
<file path=[Content_Types].xml><?xml version="1.0" encoding="utf-8"?>
<Types xmlns="http://schemas.openxmlformats.org/package/2006/content-types">
  <Default Extension="xml" ContentType="application/xml"/>
  <Default Extension="jpeg" ContentType="image/jpeg"/>
  <Default Extension="jpg" ContentType="image/jpeg"/>
  <Default Extension="tiff" ContentType="image/tiff"/>
  <Default Extension="emf" ContentType="image/x-emf"/>
  <Default Extension="rels" ContentType="application/vnd.openxmlformats-package.relationships+xml"/>
  <Default Extension="tif" ContentType="image/tiff"/>
  <Default Extension="png" ContentType="image/png"/>
  <Default Extension="bin" ContentType="application/vnd.openxmlformats-officedocument.oleObjec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FCC4FB" w14:textId="33E8801C" w:rsidR="003D07F7" w:rsidRPr="004030F5" w:rsidRDefault="00610888" w:rsidP="00CD3AA1">
      <w:pPr>
        <w:jc w:val="center"/>
        <w:rPr>
          <w:rFonts w:cs="Arial"/>
          <w:b/>
          <w:sz w:val="36"/>
          <w:szCs w:val="36"/>
          <w:lang w:val="en-CA"/>
        </w:rPr>
      </w:pPr>
      <w:r w:rsidRPr="004030F5">
        <w:rPr>
          <w:rFonts w:cs="Arial"/>
          <w:b/>
          <w:sz w:val="36"/>
          <w:szCs w:val="36"/>
          <w:lang w:val="en-CA"/>
        </w:rPr>
        <w:tab/>
      </w:r>
      <w:r w:rsidR="00182A8B" w:rsidRPr="004030F5">
        <w:rPr>
          <w:rFonts w:cs="Arial"/>
          <w:b/>
          <w:sz w:val="36"/>
          <w:szCs w:val="36"/>
          <w:lang w:val="en-CA"/>
        </w:rPr>
        <w:t>QUAN</w:t>
      </w:r>
      <w:r w:rsidR="006C4D72" w:rsidRPr="004030F5">
        <w:rPr>
          <w:rFonts w:cs="Arial"/>
          <w:b/>
          <w:sz w:val="36"/>
          <w:szCs w:val="36"/>
          <w:lang w:val="en-CA"/>
        </w:rPr>
        <w:t xml:space="preserve">TITATIVE </w:t>
      </w:r>
      <w:r w:rsidR="006421BB" w:rsidRPr="004030F5">
        <w:rPr>
          <w:rFonts w:cs="Arial"/>
          <w:b/>
          <w:sz w:val="36"/>
          <w:szCs w:val="36"/>
          <w:lang w:val="en-CA"/>
        </w:rPr>
        <w:t xml:space="preserve">AND FUNCTIONAL </w:t>
      </w:r>
      <w:r w:rsidR="005444EF" w:rsidRPr="004030F5">
        <w:rPr>
          <w:rFonts w:cs="Arial"/>
          <w:b/>
          <w:sz w:val="36"/>
          <w:szCs w:val="36"/>
          <w:lang w:val="en-CA"/>
        </w:rPr>
        <w:t>ANALYSIS PIPELINE</w:t>
      </w:r>
      <w:r w:rsidR="006C4D72" w:rsidRPr="004030F5">
        <w:rPr>
          <w:rFonts w:cs="Arial"/>
          <w:b/>
          <w:sz w:val="36"/>
          <w:szCs w:val="36"/>
          <w:lang w:val="en-CA"/>
        </w:rPr>
        <w:t xml:space="preserve"> FOR </w:t>
      </w:r>
      <w:r w:rsidR="004E4FE1">
        <w:rPr>
          <w:rFonts w:cs="Arial"/>
          <w:b/>
          <w:sz w:val="36"/>
          <w:szCs w:val="36"/>
          <w:lang w:val="en-CA"/>
        </w:rPr>
        <w:t xml:space="preserve">LABLE-FREE </w:t>
      </w:r>
      <w:r w:rsidR="006421BB" w:rsidRPr="004030F5">
        <w:rPr>
          <w:rFonts w:cs="Arial"/>
          <w:b/>
          <w:sz w:val="36"/>
          <w:szCs w:val="36"/>
          <w:lang w:val="en-CA"/>
        </w:rPr>
        <w:t>META</w:t>
      </w:r>
      <w:r w:rsidR="006C4D72" w:rsidRPr="004030F5">
        <w:rPr>
          <w:rFonts w:cs="Arial"/>
          <w:b/>
          <w:sz w:val="36"/>
          <w:szCs w:val="36"/>
          <w:lang w:val="en-CA"/>
        </w:rPr>
        <w:t>PROTEOMICS DATA</w:t>
      </w:r>
      <w:r w:rsidR="005444EF" w:rsidRPr="004030F5">
        <w:rPr>
          <w:rFonts w:cs="Arial"/>
          <w:b/>
          <w:sz w:val="36"/>
          <w:szCs w:val="36"/>
          <w:lang w:val="en-CA"/>
        </w:rPr>
        <w:t xml:space="preserve"> AND ITS APPLICATIONS</w:t>
      </w:r>
      <w:r w:rsidR="003D07F7" w:rsidRPr="004030F5">
        <w:rPr>
          <w:rFonts w:cs="Arial"/>
          <w:b/>
          <w:sz w:val="36"/>
          <w:szCs w:val="36"/>
          <w:lang w:val="en-CA"/>
        </w:rPr>
        <w:t xml:space="preserve"> </w:t>
      </w:r>
    </w:p>
    <w:p w14:paraId="3D1D9A3D" w14:textId="77777777" w:rsidR="00236E6D" w:rsidRPr="004030F5" w:rsidRDefault="00236E6D" w:rsidP="00CD3AA1">
      <w:pPr>
        <w:jc w:val="center"/>
        <w:rPr>
          <w:rFonts w:cs="Arial"/>
          <w:b/>
          <w:sz w:val="36"/>
          <w:szCs w:val="36"/>
          <w:lang w:val="en-CA"/>
        </w:rPr>
      </w:pPr>
    </w:p>
    <w:p w14:paraId="33B2F3D2" w14:textId="77777777" w:rsidR="005444EF" w:rsidRPr="004030F5" w:rsidRDefault="005444EF" w:rsidP="00CD3AA1">
      <w:pPr>
        <w:jc w:val="center"/>
        <w:rPr>
          <w:rFonts w:cs="Arial"/>
          <w:sz w:val="36"/>
          <w:szCs w:val="36"/>
        </w:rPr>
      </w:pPr>
    </w:p>
    <w:p w14:paraId="73409B13" w14:textId="77777777" w:rsidR="00236E6D" w:rsidRPr="004030F5" w:rsidRDefault="00236E6D" w:rsidP="00CD3AA1">
      <w:pPr>
        <w:jc w:val="center"/>
        <w:rPr>
          <w:rFonts w:cs="Arial"/>
          <w:sz w:val="36"/>
          <w:szCs w:val="36"/>
        </w:rPr>
      </w:pPr>
    </w:p>
    <w:p w14:paraId="108A154D" w14:textId="77777777" w:rsidR="00236E6D" w:rsidRPr="004030F5" w:rsidRDefault="00236E6D" w:rsidP="00CD3AA1">
      <w:pPr>
        <w:jc w:val="center"/>
        <w:rPr>
          <w:rFonts w:cs="Arial"/>
          <w:sz w:val="36"/>
          <w:szCs w:val="36"/>
        </w:rPr>
      </w:pPr>
    </w:p>
    <w:p w14:paraId="1C5FE5F2" w14:textId="77777777" w:rsidR="00236E6D" w:rsidRPr="004030F5" w:rsidRDefault="00236E6D" w:rsidP="00CD3AA1">
      <w:pPr>
        <w:jc w:val="center"/>
        <w:rPr>
          <w:rFonts w:cs="Arial"/>
          <w:sz w:val="36"/>
          <w:szCs w:val="36"/>
        </w:rPr>
      </w:pPr>
    </w:p>
    <w:p w14:paraId="26052685" w14:textId="77777777" w:rsidR="00236E6D" w:rsidRPr="004030F5" w:rsidRDefault="00236E6D" w:rsidP="00CD3AA1">
      <w:pPr>
        <w:jc w:val="center"/>
        <w:rPr>
          <w:rFonts w:cs="Arial"/>
          <w:sz w:val="36"/>
          <w:szCs w:val="36"/>
        </w:rPr>
      </w:pPr>
    </w:p>
    <w:p w14:paraId="2EA3793C" w14:textId="77777777" w:rsidR="00236E6D" w:rsidRPr="004030F5" w:rsidRDefault="00236E6D" w:rsidP="00CD3AA1">
      <w:pPr>
        <w:jc w:val="center"/>
        <w:rPr>
          <w:rFonts w:cs="Arial"/>
          <w:sz w:val="36"/>
          <w:szCs w:val="36"/>
        </w:rPr>
      </w:pPr>
    </w:p>
    <w:p w14:paraId="506EC01F" w14:textId="77777777" w:rsidR="00236E6D" w:rsidRPr="004030F5" w:rsidRDefault="00236E6D" w:rsidP="00CD3AA1">
      <w:pPr>
        <w:jc w:val="center"/>
        <w:rPr>
          <w:rFonts w:cs="Arial"/>
          <w:sz w:val="36"/>
          <w:szCs w:val="36"/>
        </w:rPr>
      </w:pPr>
    </w:p>
    <w:p w14:paraId="43CD507C" w14:textId="77777777" w:rsidR="00236E6D" w:rsidRPr="004030F5" w:rsidRDefault="00236E6D" w:rsidP="00CD3AA1">
      <w:pPr>
        <w:jc w:val="center"/>
        <w:rPr>
          <w:rFonts w:cs="Arial"/>
          <w:sz w:val="36"/>
          <w:szCs w:val="36"/>
        </w:rPr>
      </w:pPr>
    </w:p>
    <w:p w14:paraId="36957C1D" w14:textId="77777777" w:rsidR="00236E6D" w:rsidRPr="004030F5" w:rsidRDefault="00236E6D" w:rsidP="00CD3AA1">
      <w:pPr>
        <w:jc w:val="center"/>
        <w:rPr>
          <w:rFonts w:cs="Arial"/>
          <w:sz w:val="36"/>
          <w:szCs w:val="36"/>
        </w:rPr>
      </w:pPr>
    </w:p>
    <w:p w14:paraId="1FC740ED" w14:textId="4B4FCF53" w:rsidR="00236E6D" w:rsidRPr="004030F5" w:rsidRDefault="009C755C" w:rsidP="00CD3AA1">
      <w:pPr>
        <w:jc w:val="center"/>
        <w:rPr>
          <w:rFonts w:cs="Arial"/>
          <w:sz w:val="36"/>
          <w:szCs w:val="36"/>
        </w:rPr>
      </w:pPr>
      <w:r w:rsidRPr="004030F5">
        <w:rPr>
          <w:rFonts w:cs="Arial"/>
          <w:sz w:val="36"/>
          <w:szCs w:val="36"/>
        </w:rPr>
        <w:t xml:space="preserve">A </w:t>
      </w:r>
      <w:r w:rsidR="004E4FE1">
        <w:rPr>
          <w:rFonts w:cs="Arial"/>
          <w:sz w:val="36"/>
          <w:szCs w:val="36"/>
        </w:rPr>
        <w:t>Dissertation</w:t>
      </w:r>
      <w:r w:rsidRPr="004030F5">
        <w:rPr>
          <w:rFonts w:cs="Arial"/>
          <w:sz w:val="36"/>
          <w:szCs w:val="36"/>
        </w:rPr>
        <w:t xml:space="preserve"> Presented for</w:t>
      </w:r>
      <w:r w:rsidR="008865B6" w:rsidRPr="004030F5">
        <w:rPr>
          <w:rFonts w:cs="Arial"/>
          <w:sz w:val="36"/>
          <w:szCs w:val="36"/>
        </w:rPr>
        <w:t xml:space="preserve"> the</w:t>
      </w:r>
    </w:p>
    <w:p w14:paraId="3A127627" w14:textId="14E4B571" w:rsidR="009C755C" w:rsidRPr="004030F5" w:rsidRDefault="00E74A51" w:rsidP="00CD3AA1">
      <w:pPr>
        <w:jc w:val="center"/>
        <w:rPr>
          <w:rFonts w:cs="Arial"/>
          <w:sz w:val="36"/>
          <w:szCs w:val="36"/>
        </w:rPr>
      </w:pPr>
      <w:r w:rsidRPr="004030F5">
        <w:rPr>
          <w:rFonts w:cs="Arial"/>
          <w:sz w:val="36"/>
          <w:szCs w:val="36"/>
        </w:rPr>
        <w:t>Doctor of Philosophy</w:t>
      </w:r>
    </w:p>
    <w:p w14:paraId="714B7687" w14:textId="77777777" w:rsidR="009C755C" w:rsidRPr="004030F5" w:rsidRDefault="009C755C" w:rsidP="00CD3AA1">
      <w:pPr>
        <w:jc w:val="center"/>
        <w:rPr>
          <w:rFonts w:cs="Arial"/>
          <w:sz w:val="36"/>
          <w:szCs w:val="36"/>
        </w:rPr>
      </w:pPr>
      <w:r w:rsidRPr="004030F5">
        <w:rPr>
          <w:rFonts w:cs="Arial"/>
          <w:sz w:val="36"/>
          <w:szCs w:val="36"/>
        </w:rPr>
        <w:t>Degree</w:t>
      </w:r>
    </w:p>
    <w:p w14:paraId="770F1A5E" w14:textId="77777777" w:rsidR="009C755C" w:rsidRPr="004030F5" w:rsidRDefault="009C755C" w:rsidP="00CD3AA1">
      <w:pPr>
        <w:jc w:val="center"/>
        <w:rPr>
          <w:rFonts w:cs="Arial"/>
          <w:sz w:val="36"/>
          <w:szCs w:val="36"/>
        </w:rPr>
      </w:pPr>
      <w:r w:rsidRPr="004030F5">
        <w:rPr>
          <w:rFonts w:cs="Arial"/>
          <w:sz w:val="36"/>
          <w:szCs w:val="36"/>
        </w:rPr>
        <w:t>The University of Tennessee, Knoxville</w:t>
      </w:r>
    </w:p>
    <w:p w14:paraId="197375C5" w14:textId="77777777" w:rsidR="00236E6D" w:rsidRPr="004030F5" w:rsidRDefault="00236E6D" w:rsidP="00CD3AA1">
      <w:pPr>
        <w:jc w:val="center"/>
        <w:rPr>
          <w:rFonts w:cs="Arial"/>
          <w:sz w:val="36"/>
          <w:szCs w:val="36"/>
        </w:rPr>
      </w:pPr>
    </w:p>
    <w:p w14:paraId="7D79D683" w14:textId="77777777" w:rsidR="00236E6D" w:rsidRPr="004030F5" w:rsidRDefault="00236E6D" w:rsidP="00CD3AA1">
      <w:pPr>
        <w:jc w:val="center"/>
        <w:rPr>
          <w:rFonts w:cs="Arial"/>
          <w:sz w:val="36"/>
          <w:szCs w:val="36"/>
        </w:rPr>
      </w:pPr>
    </w:p>
    <w:p w14:paraId="6E7BED1C" w14:textId="77777777" w:rsidR="00236E6D" w:rsidRPr="004030F5" w:rsidRDefault="00236E6D" w:rsidP="00CD3AA1">
      <w:pPr>
        <w:rPr>
          <w:rFonts w:cs="Arial"/>
          <w:sz w:val="36"/>
          <w:szCs w:val="36"/>
        </w:rPr>
      </w:pPr>
    </w:p>
    <w:p w14:paraId="2344429C" w14:textId="77777777" w:rsidR="00236E6D" w:rsidRPr="004030F5" w:rsidRDefault="00236E6D" w:rsidP="00CD3AA1">
      <w:pPr>
        <w:jc w:val="center"/>
        <w:rPr>
          <w:rFonts w:cs="Arial"/>
          <w:sz w:val="36"/>
          <w:szCs w:val="36"/>
        </w:rPr>
      </w:pPr>
    </w:p>
    <w:p w14:paraId="0CBC22D5" w14:textId="77777777" w:rsidR="00236E6D" w:rsidRPr="004030F5" w:rsidRDefault="00236E6D" w:rsidP="00CD3AA1">
      <w:pPr>
        <w:jc w:val="center"/>
        <w:rPr>
          <w:rFonts w:cs="Arial"/>
          <w:sz w:val="36"/>
          <w:szCs w:val="36"/>
        </w:rPr>
      </w:pPr>
    </w:p>
    <w:p w14:paraId="2890F5C9" w14:textId="77777777" w:rsidR="00236E6D" w:rsidRPr="004030F5" w:rsidRDefault="00236E6D" w:rsidP="00CD3AA1">
      <w:pPr>
        <w:jc w:val="center"/>
        <w:rPr>
          <w:rFonts w:cs="Arial"/>
          <w:sz w:val="36"/>
          <w:szCs w:val="36"/>
        </w:rPr>
      </w:pPr>
    </w:p>
    <w:p w14:paraId="5C31E088" w14:textId="77777777" w:rsidR="00236E6D" w:rsidRPr="004030F5" w:rsidRDefault="00236E6D" w:rsidP="00CD3AA1">
      <w:pPr>
        <w:jc w:val="center"/>
        <w:rPr>
          <w:rFonts w:cs="Arial"/>
          <w:sz w:val="36"/>
          <w:szCs w:val="36"/>
        </w:rPr>
      </w:pPr>
    </w:p>
    <w:p w14:paraId="007FAA4F" w14:textId="77777777" w:rsidR="00236E6D" w:rsidRPr="004030F5" w:rsidRDefault="00236E6D" w:rsidP="00CD3AA1">
      <w:pPr>
        <w:jc w:val="center"/>
        <w:rPr>
          <w:rFonts w:cs="Arial"/>
          <w:sz w:val="36"/>
          <w:szCs w:val="36"/>
        </w:rPr>
      </w:pPr>
    </w:p>
    <w:p w14:paraId="3CB55791" w14:textId="77777777" w:rsidR="00236E6D" w:rsidRPr="004030F5" w:rsidRDefault="00236E6D" w:rsidP="00CD3AA1">
      <w:pPr>
        <w:jc w:val="center"/>
        <w:rPr>
          <w:rFonts w:cs="Arial"/>
          <w:sz w:val="36"/>
          <w:szCs w:val="36"/>
        </w:rPr>
      </w:pPr>
    </w:p>
    <w:p w14:paraId="13ED185E" w14:textId="77777777" w:rsidR="00236E6D" w:rsidRPr="004030F5" w:rsidRDefault="00236E6D" w:rsidP="00CD3AA1">
      <w:pPr>
        <w:jc w:val="center"/>
        <w:rPr>
          <w:rFonts w:cs="Arial"/>
          <w:sz w:val="36"/>
          <w:szCs w:val="36"/>
        </w:rPr>
      </w:pPr>
    </w:p>
    <w:p w14:paraId="09CC800E" w14:textId="77777777" w:rsidR="00236E6D" w:rsidRPr="004030F5" w:rsidRDefault="00236E6D" w:rsidP="00CD3AA1">
      <w:pPr>
        <w:rPr>
          <w:rFonts w:cs="Arial"/>
          <w:sz w:val="36"/>
          <w:szCs w:val="36"/>
        </w:rPr>
      </w:pPr>
    </w:p>
    <w:p w14:paraId="05594B84" w14:textId="77777777" w:rsidR="00236E6D" w:rsidRPr="004030F5" w:rsidRDefault="005444EF" w:rsidP="00CD3AA1">
      <w:pPr>
        <w:jc w:val="center"/>
        <w:rPr>
          <w:rFonts w:cs="Arial"/>
          <w:sz w:val="36"/>
          <w:szCs w:val="36"/>
        </w:rPr>
      </w:pPr>
      <w:r w:rsidRPr="004030F5">
        <w:rPr>
          <w:rFonts w:cs="Arial"/>
          <w:sz w:val="36"/>
          <w:szCs w:val="36"/>
        </w:rPr>
        <w:t>Lang Ho Lee</w:t>
      </w:r>
    </w:p>
    <w:p w14:paraId="4DB2C3CB" w14:textId="77777777" w:rsidR="009C755C" w:rsidRPr="004030F5" w:rsidRDefault="00164826" w:rsidP="00CD3AA1">
      <w:pPr>
        <w:jc w:val="center"/>
        <w:rPr>
          <w:rFonts w:cs="Arial"/>
          <w:sz w:val="36"/>
          <w:szCs w:val="36"/>
        </w:rPr>
      </w:pPr>
      <w:r w:rsidRPr="004030F5">
        <w:rPr>
          <w:rFonts w:cs="Arial"/>
          <w:sz w:val="36"/>
          <w:szCs w:val="36"/>
        </w:rPr>
        <w:t>July</w:t>
      </w:r>
      <w:r w:rsidR="009C755C" w:rsidRPr="004030F5">
        <w:rPr>
          <w:rFonts w:cs="Arial"/>
          <w:sz w:val="36"/>
          <w:szCs w:val="36"/>
        </w:rPr>
        <w:t xml:space="preserve"> </w:t>
      </w:r>
      <w:r w:rsidR="003963D3" w:rsidRPr="004030F5">
        <w:rPr>
          <w:rFonts w:cs="Arial"/>
          <w:sz w:val="36"/>
          <w:szCs w:val="36"/>
        </w:rPr>
        <w:t>2015</w:t>
      </w:r>
    </w:p>
    <w:p w14:paraId="5E0E2F77" w14:textId="77777777" w:rsidR="00236E6D" w:rsidRPr="004030F5" w:rsidRDefault="00236E6D" w:rsidP="00CD3AA1">
      <w:pPr>
        <w:jc w:val="center"/>
        <w:rPr>
          <w:rFonts w:cs="Arial"/>
          <w:sz w:val="36"/>
          <w:szCs w:val="36"/>
        </w:rPr>
      </w:pPr>
    </w:p>
    <w:p w14:paraId="613FD792" w14:textId="77777777" w:rsidR="00236E6D" w:rsidRPr="004030F5" w:rsidRDefault="00236E6D" w:rsidP="00CD3AA1">
      <w:pPr>
        <w:jc w:val="center"/>
        <w:rPr>
          <w:rFonts w:cs="Arial"/>
          <w:sz w:val="36"/>
          <w:szCs w:val="36"/>
        </w:rPr>
      </w:pPr>
    </w:p>
    <w:p w14:paraId="693DF918" w14:textId="77777777" w:rsidR="00236E6D" w:rsidRPr="004030F5" w:rsidRDefault="00236E6D" w:rsidP="00CD3AA1">
      <w:pPr>
        <w:jc w:val="center"/>
        <w:rPr>
          <w:rFonts w:cs="Arial"/>
          <w:sz w:val="36"/>
          <w:szCs w:val="36"/>
        </w:rPr>
      </w:pPr>
    </w:p>
    <w:p w14:paraId="0989EDA1" w14:textId="77777777" w:rsidR="00236E6D" w:rsidRPr="004030F5" w:rsidRDefault="00236E6D" w:rsidP="00CD3AA1">
      <w:pPr>
        <w:jc w:val="center"/>
        <w:rPr>
          <w:rFonts w:cs="Arial"/>
          <w:sz w:val="36"/>
          <w:szCs w:val="36"/>
        </w:rPr>
      </w:pPr>
    </w:p>
    <w:p w14:paraId="0B6E0026" w14:textId="77777777" w:rsidR="00236E6D" w:rsidRPr="004030F5" w:rsidRDefault="00236E6D" w:rsidP="00CD3AA1">
      <w:pPr>
        <w:jc w:val="center"/>
        <w:rPr>
          <w:rFonts w:cs="Arial"/>
          <w:sz w:val="36"/>
          <w:szCs w:val="36"/>
        </w:rPr>
      </w:pPr>
    </w:p>
    <w:p w14:paraId="1608704C" w14:textId="77777777" w:rsidR="00236E6D" w:rsidRPr="004030F5" w:rsidRDefault="00236E6D" w:rsidP="00CD3AA1">
      <w:pPr>
        <w:jc w:val="center"/>
        <w:rPr>
          <w:rFonts w:cs="Arial"/>
          <w:sz w:val="36"/>
          <w:szCs w:val="36"/>
        </w:rPr>
      </w:pPr>
    </w:p>
    <w:p w14:paraId="5CC8D9D1" w14:textId="77777777" w:rsidR="00236E6D" w:rsidRPr="004030F5" w:rsidRDefault="00236E6D" w:rsidP="00CD3AA1">
      <w:pPr>
        <w:jc w:val="center"/>
        <w:rPr>
          <w:rFonts w:cs="Arial"/>
          <w:sz w:val="36"/>
          <w:szCs w:val="36"/>
        </w:rPr>
      </w:pPr>
    </w:p>
    <w:p w14:paraId="20590856" w14:textId="77777777" w:rsidR="00236E6D" w:rsidRPr="004030F5" w:rsidRDefault="00236E6D" w:rsidP="00CD3AA1">
      <w:pPr>
        <w:jc w:val="center"/>
        <w:rPr>
          <w:rFonts w:cs="Arial"/>
          <w:sz w:val="36"/>
          <w:szCs w:val="36"/>
        </w:rPr>
      </w:pPr>
    </w:p>
    <w:p w14:paraId="12A183D1" w14:textId="77777777" w:rsidR="00236E6D" w:rsidRPr="004030F5" w:rsidRDefault="00236E6D" w:rsidP="00CD3AA1">
      <w:pPr>
        <w:jc w:val="center"/>
        <w:rPr>
          <w:rFonts w:cs="Arial"/>
          <w:sz w:val="36"/>
          <w:szCs w:val="36"/>
        </w:rPr>
      </w:pPr>
    </w:p>
    <w:p w14:paraId="594AA1B8" w14:textId="77777777" w:rsidR="00236E6D" w:rsidRPr="004030F5" w:rsidRDefault="00236E6D" w:rsidP="00CD3AA1">
      <w:pPr>
        <w:jc w:val="center"/>
        <w:rPr>
          <w:rFonts w:cs="Arial"/>
          <w:sz w:val="36"/>
          <w:szCs w:val="36"/>
        </w:rPr>
      </w:pPr>
    </w:p>
    <w:p w14:paraId="1F2B03E9" w14:textId="77777777" w:rsidR="00236E6D" w:rsidRPr="004030F5" w:rsidRDefault="00236E6D" w:rsidP="00CD3AA1">
      <w:pPr>
        <w:jc w:val="center"/>
        <w:rPr>
          <w:rFonts w:cs="Arial"/>
          <w:sz w:val="36"/>
          <w:szCs w:val="36"/>
        </w:rPr>
      </w:pPr>
    </w:p>
    <w:p w14:paraId="5041C2FB" w14:textId="77777777" w:rsidR="00236E6D" w:rsidRPr="004030F5" w:rsidRDefault="00236E6D" w:rsidP="00CD3AA1">
      <w:pPr>
        <w:jc w:val="center"/>
        <w:rPr>
          <w:rFonts w:cs="Arial"/>
          <w:sz w:val="36"/>
          <w:szCs w:val="36"/>
        </w:rPr>
      </w:pPr>
    </w:p>
    <w:p w14:paraId="05E20003" w14:textId="77777777" w:rsidR="00236E6D" w:rsidRPr="004030F5" w:rsidRDefault="00236E6D" w:rsidP="00CD3AA1">
      <w:pPr>
        <w:jc w:val="center"/>
        <w:rPr>
          <w:rFonts w:cs="Arial"/>
          <w:sz w:val="36"/>
          <w:szCs w:val="36"/>
        </w:rPr>
      </w:pPr>
    </w:p>
    <w:p w14:paraId="4A272AFC" w14:textId="77777777" w:rsidR="00236E6D" w:rsidRPr="004030F5" w:rsidRDefault="00236E6D" w:rsidP="00CD3AA1">
      <w:pPr>
        <w:jc w:val="center"/>
        <w:rPr>
          <w:rFonts w:cs="Arial"/>
          <w:sz w:val="36"/>
          <w:szCs w:val="36"/>
        </w:rPr>
      </w:pPr>
    </w:p>
    <w:p w14:paraId="5BA8F2B7" w14:textId="77777777" w:rsidR="00236E6D" w:rsidRPr="004030F5" w:rsidRDefault="003D07F7" w:rsidP="00CD3AA1">
      <w:pPr>
        <w:jc w:val="center"/>
        <w:rPr>
          <w:rFonts w:cs="Arial"/>
        </w:rPr>
      </w:pPr>
      <w:r w:rsidRPr="004030F5">
        <w:rPr>
          <w:rFonts w:cs="Arial"/>
        </w:rPr>
        <w:t>Copyright © 20</w:t>
      </w:r>
      <w:r w:rsidR="00173751" w:rsidRPr="004030F5">
        <w:rPr>
          <w:rFonts w:cs="Arial"/>
        </w:rPr>
        <w:t>15</w:t>
      </w:r>
      <w:r w:rsidR="00236E6D" w:rsidRPr="004030F5">
        <w:rPr>
          <w:rFonts w:cs="Arial"/>
        </w:rPr>
        <w:t xml:space="preserve"> by </w:t>
      </w:r>
      <w:r w:rsidR="005444EF" w:rsidRPr="004030F5">
        <w:rPr>
          <w:rFonts w:cs="Arial"/>
        </w:rPr>
        <w:t>Lang Ho Lee</w:t>
      </w:r>
    </w:p>
    <w:p w14:paraId="7B744944" w14:textId="77777777" w:rsidR="00236E6D" w:rsidRPr="004030F5" w:rsidRDefault="00236E6D" w:rsidP="00CD3AA1">
      <w:pPr>
        <w:jc w:val="center"/>
        <w:rPr>
          <w:rFonts w:cs="Arial"/>
        </w:rPr>
      </w:pPr>
      <w:r w:rsidRPr="004030F5">
        <w:rPr>
          <w:rFonts w:cs="Arial"/>
        </w:rPr>
        <w:t>All rights reserved.</w:t>
      </w:r>
    </w:p>
    <w:p w14:paraId="372BC065" w14:textId="77777777" w:rsidR="00236E6D" w:rsidRPr="004030F5" w:rsidRDefault="00236E6D" w:rsidP="003E7750">
      <w:pPr>
        <w:spacing w:line="480" w:lineRule="auto"/>
        <w:jc w:val="center"/>
        <w:rPr>
          <w:rFonts w:cs="Arial"/>
        </w:rPr>
      </w:pPr>
    </w:p>
    <w:p w14:paraId="2480C4ED" w14:textId="77777777" w:rsidR="00236E6D" w:rsidRPr="004030F5" w:rsidRDefault="00236E6D" w:rsidP="003E7750">
      <w:pPr>
        <w:spacing w:line="480" w:lineRule="auto"/>
        <w:jc w:val="center"/>
        <w:rPr>
          <w:rFonts w:cs="Arial"/>
        </w:rPr>
      </w:pPr>
    </w:p>
    <w:p w14:paraId="7B0F7097" w14:textId="77777777" w:rsidR="00236E6D" w:rsidRPr="004030F5" w:rsidRDefault="00236E6D" w:rsidP="003E7750">
      <w:pPr>
        <w:spacing w:line="480" w:lineRule="auto"/>
        <w:jc w:val="center"/>
        <w:rPr>
          <w:rFonts w:cs="Arial"/>
        </w:rPr>
      </w:pPr>
    </w:p>
    <w:p w14:paraId="1A5F4F69" w14:textId="77777777" w:rsidR="00236E6D" w:rsidRPr="004030F5" w:rsidRDefault="00236E6D" w:rsidP="003E7750">
      <w:pPr>
        <w:spacing w:line="480" w:lineRule="auto"/>
        <w:jc w:val="center"/>
        <w:rPr>
          <w:rFonts w:cs="Arial"/>
        </w:rPr>
      </w:pPr>
    </w:p>
    <w:p w14:paraId="5576410A" w14:textId="77777777" w:rsidR="00236E6D" w:rsidRPr="004030F5" w:rsidRDefault="00236E6D" w:rsidP="003E7750">
      <w:pPr>
        <w:spacing w:line="480" w:lineRule="auto"/>
        <w:jc w:val="center"/>
        <w:rPr>
          <w:rFonts w:cs="Arial"/>
        </w:rPr>
      </w:pPr>
    </w:p>
    <w:p w14:paraId="34AA0AEE" w14:textId="77777777" w:rsidR="00236E6D" w:rsidRPr="004030F5" w:rsidRDefault="00236E6D" w:rsidP="003E7750">
      <w:pPr>
        <w:spacing w:line="480" w:lineRule="auto"/>
        <w:jc w:val="center"/>
        <w:rPr>
          <w:rFonts w:cs="Arial"/>
        </w:rPr>
      </w:pPr>
    </w:p>
    <w:p w14:paraId="7A720E52" w14:textId="77777777" w:rsidR="00236E6D" w:rsidRPr="004030F5" w:rsidRDefault="00236E6D" w:rsidP="003E7750">
      <w:pPr>
        <w:spacing w:line="480" w:lineRule="auto"/>
        <w:jc w:val="center"/>
        <w:rPr>
          <w:rFonts w:cs="Arial"/>
        </w:rPr>
      </w:pPr>
    </w:p>
    <w:p w14:paraId="049C5308" w14:textId="77777777" w:rsidR="00236E6D" w:rsidRPr="004030F5" w:rsidRDefault="00236E6D" w:rsidP="003E7750">
      <w:pPr>
        <w:spacing w:line="480" w:lineRule="auto"/>
        <w:jc w:val="center"/>
        <w:rPr>
          <w:rFonts w:cs="Arial"/>
        </w:rPr>
      </w:pPr>
    </w:p>
    <w:p w14:paraId="7C2A1B77" w14:textId="77777777" w:rsidR="00236E6D" w:rsidRPr="004030F5" w:rsidRDefault="00236E6D" w:rsidP="003E7750">
      <w:pPr>
        <w:spacing w:line="480" w:lineRule="auto"/>
        <w:jc w:val="center"/>
        <w:rPr>
          <w:rFonts w:cs="Arial"/>
        </w:rPr>
      </w:pPr>
    </w:p>
    <w:p w14:paraId="766CA1F5" w14:textId="77777777" w:rsidR="00236E6D" w:rsidRPr="004030F5" w:rsidRDefault="00236E6D" w:rsidP="003E7750">
      <w:pPr>
        <w:spacing w:line="480" w:lineRule="auto"/>
        <w:jc w:val="center"/>
        <w:rPr>
          <w:rFonts w:cs="Arial"/>
        </w:rPr>
      </w:pPr>
    </w:p>
    <w:p w14:paraId="408E2C6A" w14:textId="77777777" w:rsidR="00236E6D" w:rsidRPr="004030F5" w:rsidRDefault="00236E6D" w:rsidP="003E7750">
      <w:pPr>
        <w:spacing w:line="480" w:lineRule="auto"/>
        <w:jc w:val="center"/>
        <w:rPr>
          <w:rFonts w:cs="Arial"/>
        </w:rPr>
      </w:pPr>
    </w:p>
    <w:p w14:paraId="768312CB" w14:textId="77777777" w:rsidR="00CD73A9" w:rsidRPr="004030F5" w:rsidRDefault="00236E6D" w:rsidP="00CD3AA1">
      <w:pPr>
        <w:spacing w:line="480" w:lineRule="auto"/>
        <w:rPr>
          <w:rFonts w:cs="Arial"/>
          <w:b/>
          <w:sz w:val="28"/>
          <w:szCs w:val="28"/>
        </w:rPr>
      </w:pPr>
      <w:r w:rsidRPr="004030F5">
        <w:rPr>
          <w:rFonts w:cs="Arial"/>
          <w:sz w:val="36"/>
          <w:szCs w:val="36"/>
        </w:rPr>
        <w:br w:type="page"/>
      </w:r>
      <w:r w:rsidR="00CD73A9" w:rsidRPr="004030F5">
        <w:rPr>
          <w:rFonts w:cs="Arial"/>
          <w:b/>
          <w:sz w:val="28"/>
          <w:szCs w:val="28"/>
        </w:rPr>
        <w:lastRenderedPageBreak/>
        <w:t>ACKNOWLEDGEMENTS</w:t>
      </w:r>
    </w:p>
    <w:p w14:paraId="1D74DF2C" w14:textId="77777777" w:rsidR="00CD73A9" w:rsidRPr="004030F5" w:rsidRDefault="00CD73A9" w:rsidP="003E7750">
      <w:pPr>
        <w:spacing w:line="480" w:lineRule="auto"/>
        <w:jc w:val="center"/>
        <w:rPr>
          <w:rFonts w:cs="Arial"/>
        </w:rPr>
      </w:pPr>
    </w:p>
    <w:p w14:paraId="27A26457" w14:textId="77777777" w:rsidR="00236E6D" w:rsidRPr="004030F5" w:rsidRDefault="00A34F5F" w:rsidP="003E7750">
      <w:pPr>
        <w:spacing w:line="480" w:lineRule="auto"/>
        <w:jc w:val="center"/>
        <w:rPr>
          <w:rFonts w:cs="Arial"/>
        </w:rPr>
      </w:pPr>
      <w:r w:rsidRPr="004030F5">
        <w:rPr>
          <w:rFonts w:cs="Arial"/>
        </w:rPr>
        <w:t>Thank you all for your help.</w:t>
      </w:r>
      <w:r w:rsidR="008865B6" w:rsidRPr="004030F5">
        <w:rPr>
          <w:rFonts w:cs="Arial"/>
        </w:rPr>
        <w:t xml:space="preserve"> However, this page is optional.</w:t>
      </w:r>
      <w:r w:rsidR="00CD73A9" w:rsidRPr="004030F5">
        <w:rPr>
          <w:rFonts w:cs="Arial"/>
          <w:sz w:val="36"/>
          <w:szCs w:val="36"/>
        </w:rPr>
        <w:br w:type="page"/>
      </w:r>
      <w:r w:rsidR="00236E6D" w:rsidRPr="004030F5">
        <w:rPr>
          <w:rFonts w:cs="Arial"/>
          <w:b/>
          <w:bCs/>
          <w:sz w:val="28"/>
          <w:szCs w:val="28"/>
        </w:rPr>
        <w:lastRenderedPageBreak/>
        <w:t>ABSTRACT</w:t>
      </w:r>
    </w:p>
    <w:p w14:paraId="2AF1DEDB" w14:textId="77777777" w:rsidR="0038664F" w:rsidRDefault="0038664F" w:rsidP="00103B0F">
      <w:pPr>
        <w:spacing w:line="480" w:lineRule="auto"/>
        <w:ind w:firstLine="720"/>
        <w:rPr>
          <w:shd w:val="clear" w:color="auto" w:fill="FFFFFF"/>
        </w:rPr>
      </w:pPr>
    </w:p>
    <w:p w14:paraId="567B13D0" w14:textId="7CBB27AF" w:rsidR="00F44AF0" w:rsidRDefault="00103B0F" w:rsidP="0015360C">
      <w:pPr>
        <w:spacing w:line="480" w:lineRule="auto"/>
        <w:ind w:firstLine="720"/>
        <w:rPr>
          <w:shd w:val="clear" w:color="auto" w:fill="FFFFFF"/>
        </w:rPr>
      </w:pPr>
      <w:r>
        <w:rPr>
          <w:shd w:val="clear" w:color="auto" w:fill="FFFFFF"/>
        </w:rPr>
        <w:t>Metaproteomics is highly complicated proteomics data containing multiple proteomes</w:t>
      </w:r>
      <w:r w:rsidR="00262D04">
        <w:rPr>
          <w:shd w:val="clear" w:color="auto" w:fill="FFFFFF"/>
        </w:rPr>
        <w:t xml:space="preserve"> from microbial communities and host organism</w:t>
      </w:r>
      <w:r>
        <w:rPr>
          <w:shd w:val="clear" w:color="auto" w:fill="FFFFFF"/>
        </w:rPr>
        <w:t>.  Since</w:t>
      </w:r>
      <w:r>
        <w:rPr>
          <w:rStyle w:val="apple-converted-space"/>
          <w:rFonts w:eastAsia="Times New Roman"/>
          <w:color w:val="000000"/>
          <w:sz w:val="18"/>
          <w:szCs w:val="18"/>
          <w:shd w:val="clear" w:color="auto" w:fill="FFFFFF"/>
        </w:rPr>
        <w:t> </w:t>
      </w:r>
      <w:r>
        <w:rPr>
          <w:shd w:val="clear" w:color="auto" w:fill="FFFFFF"/>
        </w:rPr>
        <w:t>large-scale investigation of</w:t>
      </w:r>
      <w:r w:rsidR="00BC4314">
        <w:rPr>
          <w:shd w:val="clear" w:color="auto" w:fill="FFFFFF"/>
        </w:rPr>
        <w:t> metaproteome has been reported</w:t>
      </w:r>
      <w:r w:rsidR="0038664F">
        <w:rPr>
          <w:shd w:val="clear" w:color="auto" w:fill="FFFFFF"/>
        </w:rPr>
        <w:t xml:space="preserve"> in 2005, metaproteomics has been </w:t>
      </w:r>
      <w:r>
        <w:rPr>
          <w:shd w:val="clear" w:color="auto" w:fill="FFFFFF"/>
        </w:rPr>
        <w:t xml:space="preserve">quantitatively and qualitatively advanced and </w:t>
      </w:r>
      <w:r w:rsidR="001E248A">
        <w:rPr>
          <w:shd w:val="clear" w:color="auto" w:fill="FFFFFF"/>
        </w:rPr>
        <w:t xml:space="preserve">applied to </w:t>
      </w:r>
      <w:r w:rsidR="00186B4C">
        <w:rPr>
          <w:shd w:val="clear" w:color="auto" w:fill="FFFFFF"/>
        </w:rPr>
        <w:t>various environmental samples</w:t>
      </w:r>
      <w:r w:rsidR="001F715F">
        <w:rPr>
          <w:shd w:val="clear" w:color="auto" w:fill="FFFFFF"/>
        </w:rPr>
        <w:t xml:space="preserve"> from</w:t>
      </w:r>
      <w:r w:rsidR="0038664F">
        <w:rPr>
          <w:shd w:val="clear" w:color="auto" w:fill="FFFFFF"/>
        </w:rPr>
        <w:t xml:space="preserve"> </w:t>
      </w:r>
      <w:r w:rsidR="00557A2D">
        <w:rPr>
          <w:rFonts w:cs="Arial"/>
        </w:rPr>
        <w:t>acid mine-</w:t>
      </w:r>
      <w:r w:rsidR="0038664F" w:rsidRPr="004030F5">
        <w:rPr>
          <w:rFonts w:cs="Arial"/>
        </w:rPr>
        <w:t>drainage biofilms</w:t>
      </w:r>
      <w:r w:rsidR="001F715F">
        <w:rPr>
          <w:rFonts w:cs="Arial"/>
        </w:rPr>
        <w:t xml:space="preserve"> to</w:t>
      </w:r>
      <w:r w:rsidR="0038664F">
        <w:rPr>
          <w:rFonts w:cs="Arial"/>
        </w:rPr>
        <w:t xml:space="preserve"> human microbiome</w:t>
      </w:r>
      <w:r>
        <w:rPr>
          <w:shd w:val="clear" w:color="auto" w:fill="FFFFFF"/>
        </w:rPr>
        <w:t xml:space="preserve">.  Even though importance of rapidly growing metaproteomics is </w:t>
      </w:r>
      <w:r w:rsidR="008864ED">
        <w:rPr>
          <w:shd w:val="clear" w:color="auto" w:fill="FFFFFF"/>
        </w:rPr>
        <w:t>rising</w:t>
      </w:r>
      <w:r>
        <w:rPr>
          <w:shd w:val="clear" w:color="auto" w:fill="FFFFFF"/>
        </w:rPr>
        <w:t xml:space="preserve"> in life science </w:t>
      </w:r>
      <w:r w:rsidR="0038664F">
        <w:rPr>
          <w:shd w:val="clear" w:color="auto" w:fill="FFFFFF"/>
        </w:rPr>
        <w:t xml:space="preserve">and environmental science </w:t>
      </w:r>
      <w:r>
        <w:rPr>
          <w:shd w:val="clear" w:color="auto" w:fill="FFFFFF"/>
        </w:rPr>
        <w:t xml:space="preserve">field, </w:t>
      </w:r>
      <w:r w:rsidR="0015360C">
        <w:rPr>
          <w:shd w:val="clear" w:color="auto" w:fill="FFFFFF"/>
        </w:rPr>
        <w:t xml:space="preserve">its analysis pipeline is not available yet. </w:t>
      </w:r>
      <w:r w:rsidR="0015360C">
        <w:rPr>
          <w:rFonts w:cs="Arial"/>
        </w:rPr>
        <w:t>Therefore,</w:t>
      </w:r>
      <w:r w:rsidR="0015360C">
        <w:rPr>
          <w:shd w:val="clear" w:color="auto" w:fill="FFFFFF"/>
        </w:rPr>
        <w:t xml:space="preserve"> w</w:t>
      </w:r>
      <w:r w:rsidR="000A4D94">
        <w:rPr>
          <w:shd w:val="clear" w:color="auto" w:fill="FFFFFF"/>
        </w:rPr>
        <w:t>e developed q</w:t>
      </w:r>
      <w:r>
        <w:rPr>
          <w:shd w:val="clear" w:color="auto" w:fill="FFFFFF"/>
        </w:rPr>
        <w:t xml:space="preserve">uantitative and functional analysis pipeline for metaproteomics (QFAM) </w:t>
      </w:r>
      <w:r w:rsidR="00186B4C">
        <w:rPr>
          <w:shd w:val="clear" w:color="auto" w:fill="FFFFFF"/>
        </w:rPr>
        <w:t xml:space="preserve">to </w:t>
      </w:r>
      <w:r w:rsidR="000525C8">
        <w:rPr>
          <w:shd w:val="clear" w:color="auto" w:fill="FFFFFF"/>
        </w:rPr>
        <w:t>analyze</w:t>
      </w:r>
      <w:r w:rsidR="00186B4C">
        <w:rPr>
          <w:shd w:val="clear" w:color="auto" w:fill="FFFFFF"/>
        </w:rPr>
        <w:t xml:space="preserve"> large and</w:t>
      </w:r>
      <w:r w:rsidR="000525C8">
        <w:rPr>
          <w:shd w:val="clear" w:color="auto" w:fill="FFFFFF"/>
        </w:rPr>
        <w:t xml:space="preserve"> complicated metaproteomics data</w:t>
      </w:r>
      <w:r w:rsidR="00186B4C">
        <w:rPr>
          <w:shd w:val="clear" w:color="auto" w:fill="FFFFFF"/>
        </w:rPr>
        <w:t>.</w:t>
      </w:r>
      <w:r w:rsidR="000A4D94">
        <w:rPr>
          <w:shd w:val="clear" w:color="auto" w:fill="FFFFFF"/>
        </w:rPr>
        <w:t xml:space="preserve">  QFAM enables multiprocessing with </w:t>
      </w:r>
      <w:r w:rsidR="00E543D0">
        <w:rPr>
          <w:shd w:val="clear" w:color="auto" w:fill="FFFFFF"/>
        </w:rPr>
        <w:t xml:space="preserve">up to </w:t>
      </w:r>
      <w:r w:rsidR="000A4D94">
        <w:rPr>
          <w:shd w:val="clear" w:color="auto" w:fill="FFFFFF"/>
        </w:rPr>
        <w:t xml:space="preserve">48 cores </w:t>
      </w:r>
      <w:r w:rsidR="00E543D0">
        <w:rPr>
          <w:shd w:val="clear" w:color="auto" w:fill="FFFFFF"/>
        </w:rPr>
        <w:t>of Newton cluster</w:t>
      </w:r>
      <w:r w:rsidR="008864ED">
        <w:rPr>
          <w:shd w:val="clear" w:color="auto" w:fill="FFFFFF"/>
        </w:rPr>
        <w:t xml:space="preserve"> </w:t>
      </w:r>
      <w:r w:rsidR="000A4D94">
        <w:rPr>
          <w:shd w:val="clear" w:color="auto" w:fill="FFFFFF"/>
        </w:rPr>
        <w:t xml:space="preserve">for rapid </w:t>
      </w:r>
      <w:r w:rsidR="00E543D0">
        <w:rPr>
          <w:shd w:val="clear" w:color="auto" w:fill="FFFFFF"/>
        </w:rPr>
        <w:t>process</w:t>
      </w:r>
      <w:r w:rsidR="000A4D94">
        <w:rPr>
          <w:shd w:val="clear" w:color="auto" w:fill="FFFFFF"/>
        </w:rPr>
        <w:t xml:space="preserve"> and </w:t>
      </w:r>
      <w:r w:rsidR="00852CEC">
        <w:rPr>
          <w:shd w:val="clear" w:color="auto" w:fill="FFFFFF"/>
        </w:rPr>
        <w:t>comparisons between</w:t>
      </w:r>
      <w:r w:rsidR="00E543D0">
        <w:rPr>
          <w:shd w:val="clear" w:color="auto" w:fill="FFFFFF"/>
        </w:rPr>
        <w:t xml:space="preserve"> </w:t>
      </w:r>
      <w:r w:rsidR="003131BF">
        <w:rPr>
          <w:shd w:val="clear" w:color="auto" w:fill="FFFFFF"/>
        </w:rPr>
        <w:t>metaproteomes</w:t>
      </w:r>
      <w:r w:rsidR="00E543D0">
        <w:rPr>
          <w:shd w:val="clear" w:color="auto" w:fill="FFFFFF"/>
        </w:rPr>
        <w:t xml:space="preserve"> quantitatively and functionally.</w:t>
      </w:r>
    </w:p>
    <w:p w14:paraId="6622212F" w14:textId="4666678A" w:rsidR="00B063B0" w:rsidRDefault="00B063B0" w:rsidP="00B063B0">
      <w:pPr>
        <w:spacing w:line="480" w:lineRule="auto"/>
        <w:ind w:firstLine="720"/>
        <w:rPr>
          <w:rFonts w:cs="Arial"/>
        </w:rPr>
      </w:pPr>
      <w:r>
        <w:rPr>
          <w:rFonts w:cs="Arial"/>
        </w:rPr>
        <w:t>QFAM has four</w:t>
      </w:r>
      <w:r w:rsidR="00F44AF0">
        <w:rPr>
          <w:rFonts w:cs="Arial"/>
        </w:rPr>
        <w:t xml:space="preserve"> modules for </w:t>
      </w:r>
      <w:r w:rsidR="00711BBA">
        <w:rPr>
          <w:rFonts w:cs="Arial"/>
        </w:rPr>
        <w:t>swift</w:t>
      </w:r>
      <w:r w:rsidR="00F44AF0">
        <w:rPr>
          <w:rFonts w:cs="Arial"/>
        </w:rPr>
        <w:t xml:space="preserve"> and </w:t>
      </w:r>
      <w:r w:rsidR="00711BBA">
        <w:rPr>
          <w:rFonts w:cs="Arial"/>
        </w:rPr>
        <w:t>confident</w:t>
      </w:r>
      <w:r w:rsidR="00F44AF0">
        <w:rPr>
          <w:rFonts w:cs="Arial"/>
        </w:rPr>
        <w:t xml:space="preserve"> analysis</w:t>
      </w:r>
      <w:r w:rsidR="00005FEE">
        <w:rPr>
          <w:rFonts w:cs="Arial"/>
        </w:rPr>
        <w:t>.  First, it has</w:t>
      </w:r>
      <w:r w:rsidR="00F44AF0">
        <w:rPr>
          <w:rFonts w:cs="Arial"/>
        </w:rPr>
        <w:t xml:space="preserve"> </w:t>
      </w:r>
      <w:r w:rsidR="00D86296">
        <w:rPr>
          <w:rFonts w:cs="Arial"/>
        </w:rPr>
        <w:t>peptide-spectrum match (</w:t>
      </w:r>
      <w:r w:rsidR="00F44AF0">
        <w:rPr>
          <w:rFonts w:cs="Arial"/>
        </w:rPr>
        <w:t>PSM</w:t>
      </w:r>
      <w:r w:rsidR="00D86296">
        <w:rPr>
          <w:rFonts w:cs="Arial"/>
        </w:rPr>
        <w:t>)</w:t>
      </w:r>
      <w:r w:rsidR="00F44AF0">
        <w:rPr>
          <w:rFonts w:cs="Arial"/>
        </w:rPr>
        <w:t xml:space="preserve"> search module using MyriMatch and IDPicker. </w:t>
      </w:r>
      <w:r w:rsidR="00005FEE">
        <w:rPr>
          <w:rFonts w:cs="Arial"/>
        </w:rPr>
        <w:t xml:space="preserve"> </w:t>
      </w:r>
      <w:r w:rsidR="00D86296">
        <w:rPr>
          <w:rFonts w:cs="Arial"/>
        </w:rPr>
        <w:t>MyriMatch</w:t>
      </w:r>
      <w:r w:rsidR="00F3616B">
        <w:rPr>
          <w:rFonts w:cs="Arial"/>
        </w:rPr>
        <w:t xml:space="preserve"> and IDPicker</w:t>
      </w:r>
      <w:r w:rsidR="00D86296">
        <w:rPr>
          <w:rFonts w:cs="Arial"/>
        </w:rPr>
        <w:t xml:space="preserve"> </w:t>
      </w:r>
      <w:r w:rsidR="00F3616B">
        <w:rPr>
          <w:rFonts w:cs="Arial"/>
        </w:rPr>
        <w:t>are</w:t>
      </w:r>
      <w:r w:rsidR="00005FEE">
        <w:rPr>
          <w:rFonts w:cs="Arial"/>
        </w:rPr>
        <w:t xml:space="preserve"> </w:t>
      </w:r>
      <w:r w:rsidR="00D86296">
        <w:rPr>
          <w:rFonts w:cs="Arial"/>
        </w:rPr>
        <w:t>multiprocessing</w:t>
      </w:r>
      <w:r w:rsidR="00557A2D">
        <w:rPr>
          <w:rFonts w:cs="Arial"/>
        </w:rPr>
        <w:t xml:space="preserve"> and have</w:t>
      </w:r>
      <w:r w:rsidR="00F3616B">
        <w:rPr>
          <w:rFonts w:cs="Arial"/>
        </w:rPr>
        <w:t xml:space="preserve"> accurate scoring</w:t>
      </w:r>
      <w:r w:rsidR="00005FEE">
        <w:rPr>
          <w:rFonts w:cs="Arial"/>
        </w:rPr>
        <w:t xml:space="preserve"> system</w:t>
      </w:r>
      <w:r w:rsidR="00F3616B">
        <w:rPr>
          <w:rFonts w:cs="Arial"/>
        </w:rPr>
        <w:t xml:space="preserve"> for</w:t>
      </w:r>
      <w:r w:rsidR="008F200F">
        <w:rPr>
          <w:rFonts w:cs="Arial"/>
        </w:rPr>
        <w:t xml:space="preserve"> </w:t>
      </w:r>
      <w:r w:rsidR="00F3616B">
        <w:rPr>
          <w:rFonts w:cs="Arial"/>
        </w:rPr>
        <w:t>confident protein identification</w:t>
      </w:r>
      <w:r w:rsidR="00F571E1">
        <w:rPr>
          <w:rFonts w:cs="Arial"/>
        </w:rPr>
        <w:t>.</w:t>
      </w:r>
      <w:r w:rsidR="00F3616B">
        <w:rPr>
          <w:rFonts w:cs="Arial"/>
        </w:rPr>
        <w:t xml:space="preserve">  These two advantages of MyriMatch and IDPicker are required features for huge and complicated metaproteome identification.</w:t>
      </w:r>
      <w:r>
        <w:rPr>
          <w:rFonts w:cs="Arial"/>
        </w:rPr>
        <w:t xml:space="preserve">  Next, QFAM has</w:t>
      </w:r>
      <w:r w:rsidR="00F81CB7">
        <w:rPr>
          <w:rFonts w:cs="Arial"/>
        </w:rPr>
        <w:t xml:space="preserve"> normalizati</w:t>
      </w:r>
      <w:r>
        <w:rPr>
          <w:rFonts w:cs="Arial"/>
        </w:rPr>
        <w:t>on module</w:t>
      </w:r>
      <w:r w:rsidR="00557A2D">
        <w:rPr>
          <w:rFonts w:cs="Arial"/>
        </w:rPr>
        <w:t xml:space="preserve"> allowing </w:t>
      </w:r>
      <w:r w:rsidR="00262D04">
        <w:rPr>
          <w:rFonts w:cs="Arial"/>
        </w:rPr>
        <w:t>widely used</w:t>
      </w:r>
      <w:r w:rsidR="00F81CB7">
        <w:rPr>
          <w:rFonts w:cs="Arial"/>
        </w:rPr>
        <w:t xml:space="preserve"> methodologies in label-free proteomics, such as total sum normalization and </w:t>
      </w:r>
      <w:r w:rsidR="00F54E58" w:rsidRPr="00F54E58">
        <w:rPr>
          <w:rFonts w:cs="Arial"/>
        </w:rPr>
        <w:t>the normalized spectral abundance factor (NSAF)</w:t>
      </w:r>
      <w:r>
        <w:rPr>
          <w:rFonts w:cs="Arial"/>
        </w:rPr>
        <w:t>.</w:t>
      </w:r>
    </w:p>
    <w:p w14:paraId="0C7C11CA" w14:textId="302A9281" w:rsidR="00F54E58" w:rsidRDefault="00262D04" w:rsidP="00B063B0">
      <w:pPr>
        <w:spacing w:line="480" w:lineRule="auto"/>
        <w:ind w:firstLine="720"/>
        <w:rPr>
          <w:rFonts w:cs="Arial"/>
        </w:rPr>
      </w:pPr>
      <w:r>
        <w:rPr>
          <w:rFonts w:cs="Arial"/>
        </w:rPr>
        <w:lastRenderedPageBreak/>
        <w:t xml:space="preserve">With the normalized </w:t>
      </w:r>
      <w:r w:rsidR="00B063B0">
        <w:rPr>
          <w:rFonts w:cs="Arial"/>
        </w:rPr>
        <w:t>PSMs</w:t>
      </w:r>
      <w:r>
        <w:rPr>
          <w:rFonts w:cs="Arial"/>
        </w:rPr>
        <w:t xml:space="preserve">, quantitative analysis module (QAM) and functional analysis module (FAM) </w:t>
      </w:r>
      <w:r w:rsidR="00292590">
        <w:rPr>
          <w:rFonts w:cs="Arial"/>
        </w:rPr>
        <w:t>produce d</w:t>
      </w:r>
      <w:r w:rsidR="009840D2">
        <w:rPr>
          <w:rFonts w:cs="Arial"/>
        </w:rPr>
        <w:t>ependable signatures</w:t>
      </w:r>
      <w:r w:rsidR="00292590">
        <w:rPr>
          <w:rFonts w:cs="Arial"/>
        </w:rPr>
        <w:t xml:space="preserve"> and insights </w:t>
      </w:r>
      <w:r w:rsidR="009840D2">
        <w:rPr>
          <w:rFonts w:cs="Arial"/>
        </w:rPr>
        <w:t>for</w:t>
      </w:r>
      <w:r w:rsidR="00292590">
        <w:rPr>
          <w:rFonts w:cs="Arial"/>
        </w:rPr>
        <w:t xml:space="preserve"> understand</w:t>
      </w:r>
      <w:r w:rsidR="009840D2">
        <w:rPr>
          <w:rFonts w:cs="Arial"/>
        </w:rPr>
        <w:t>ing</w:t>
      </w:r>
      <w:r w:rsidR="00292590">
        <w:rPr>
          <w:rFonts w:cs="Arial"/>
        </w:rPr>
        <w:t xml:space="preserve"> characteristics of metaproteomes.  </w:t>
      </w:r>
      <w:r w:rsidR="00051FA8">
        <w:rPr>
          <w:rFonts w:cs="Arial"/>
        </w:rPr>
        <w:t xml:space="preserve">QAM </w:t>
      </w:r>
      <w:r w:rsidR="00862B58">
        <w:rPr>
          <w:rFonts w:cs="Arial"/>
        </w:rPr>
        <w:t xml:space="preserve">uses ’selfea’ R package, which provides </w:t>
      </w:r>
      <w:r w:rsidR="000525C8">
        <w:rPr>
          <w:rFonts w:cs="Arial"/>
        </w:rPr>
        <w:t>various probability models</w:t>
      </w:r>
      <w:r w:rsidR="00862B58">
        <w:rPr>
          <w:rFonts w:cs="Arial"/>
        </w:rPr>
        <w:t xml:space="preserve"> as well as Cohen’s effect sizes.  Our benchmark data test and Monte Carlo simulation results show that selfea can reduce false positives efficiently while losing few true positives.</w:t>
      </w:r>
    </w:p>
    <w:p w14:paraId="36888227" w14:textId="77777777" w:rsidR="008864ED" w:rsidRDefault="008864ED" w:rsidP="008864ED">
      <w:pPr>
        <w:spacing w:line="480" w:lineRule="auto"/>
        <w:ind w:firstLine="720"/>
        <w:rPr>
          <w:rFonts w:cs="Arial"/>
        </w:rPr>
      </w:pPr>
      <w:r>
        <w:rPr>
          <w:rFonts w:cs="Arial"/>
        </w:rPr>
        <w:t>FAM has two modules, Bios</w:t>
      </w:r>
      <w:r w:rsidR="00BB3615">
        <w:rPr>
          <w:rFonts w:cs="Arial"/>
        </w:rPr>
        <w:t>ystem analysis and cluster of genes (COG) analysis.  BioSystem module is for functional analysis based on reference database</w:t>
      </w:r>
      <w:r w:rsidR="006F03C7">
        <w:rPr>
          <w:rFonts w:cs="Arial"/>
        </w:rPr>
        <w:t xml:space="preserve"> like</w:t>
      </w:r>
      <w:r w:rsidR="00BB3615">
        <w:rPr>
          <w:rFonts w:cs="Arial"/>
        </w:rPr>
        <w:t xml:space="preserve"> </w:t>
      </w:r>
      <w:r w:rsidR="00477EB4">
        <w:rPr>
          <w:rFonts w:cs="Arial"/>
        </w:rPr>
        <w:t xml:space="preserve">NCBI </w:t>
      </w:r>
      <w:r w:rsidR="00BB3615">
        <w:rPr>
          <w:rFonts w:cs="Arial"/>
        </w:rPr>
        <w:t xml:space="preserve">BioSystems, while COG module is rooted from sequence comparisons.  </w:t>
      </w:r>
      <w:r>
        <w:rPr>
          <w:rFonts w:cs="Arial"/>
        </w:rPr>
        <w:t xml:space="preserve">Biosystem </w:t>
      </w:r>
      <w:r w:rsidR="009318E9">
        <w:rPr>
          <w:rFonts w:cs="Arial"/>
        </w:rPr>
        <w:t xml:space="preserve">module is appropriate to well-annotated model organisms, such as human, whereas COG module is useful for less-annotated sequences, such as microbial species and metagenome sequences.  </w:t>
      </w:r>
      <w:r w:rsidR="00B7161D">
        <w:rPr>
          <w:rFonts w:cs="Arial"/>
        </w:rPr>
        <w:t xml:space="preserve">Both of two modules provide enrichment test using Fisher’s exact test and quantitative test using </w:t>
      </w:r>
      <w:r>
        <w:rPr>
          <w:rFonts w:cs="Arial"/>
        </w:rPr>
        <w:t>selfea</w:t>
      </w:r>
      <w:r w:rsidR="00B7161D">
        <w:rPr>
          <w:rFonts w:cs="Arial"/>
        </w:rPr>
        <w:t>.  With two statistics, FAM generates abundantly and diffe</w:t>
      </w:r>
      <w:bookmarkStart w:id="0" w:name="_GoBack"/>
      <w:bookmarkEnd w:id="0"/>
      <w:r w:rsidR="00B7161D">
        <w:rPr>
          <w:rFonts w:cs="Arial"/>
        </w:rPr>
        <w:t>rentially enriched functional terms that are insightful for making biological stories laid behind metaproteome data.</w:t>
      </w:r>
      <w:r>
        <w:rPr>
          <w:rFonts w:cs="Arial"/>
        </w:rPr>
        <w:t xml:space="preserve">  </w:t>
      </w:r>
    </w:p>
    <w:p w14:paraId="4EBBEE74" w14:textId="0BADB2D1" w:rsidR="008864ED" w:rsidRDefault="008864ED" w:rsidP="008864ED">
      <w:pPr>
        <w:spacing w:line="480" w:lineRule="auto"/>
        <w:ind w:firstLine="720"/>
        <w:rPr>
          <w:rFonts w:cs="Arial"/>
        </w:rPr>
      </w:pPr>
      <w:r>
        <w:rPr>
          <w:rFonts w:cs="Arial"/>
        </w:rPr>
        <w:t xml:space="preserve">Two application studies in chapter 4 and 5 show how QFAM can be employed for metaproteomics data analysis.  </w:t>
      </w:r>
      <w:r w:rsidR="0015360C">
        <w:rPr>
          <w:rFonts w:cs="Arial"/>
        </w:rPr>
        <w:t>QFAM is distinguished from other proteomics pipelines by multiprocessing P</w:t>
      </w:r>
      <w:r w:rsidR="00232EF7">
        <w:rPr>
          <w:rFonts w:cs="Arial"/>
        </w:rPr>
        <w:t>SM search and quantitative and functional analysis.</w:t>
      </w:r>
    </w:p>
    <w:p w14:paraId="1F1590EE" w14:textId="73A4F094" w:rsidR="00E74A51" w:rsidRPr="00F54E58" w:rsidRDefault="00236E6D" w:rsidP="008864ED">
      <w:pPr>
        <w:spacing w:line="480" w:lineRule="auto"/>
        <w:rPr>
          <w:rFonts w:cs="Arial"/>
        </w:rPr>
      </w:pPr>
      <w:r w:rsidRPr="004030F5">
        <w:rPr>
          <w:rFonts w:cs="Arial"/>
        </w:rPr>
        <w:br w:type="page"/>
      </w:r>
    </w:p>
    <w:p w14:paraId="04DA9D63" w14:textId="57653A66" w:rsidR="00236E6D" w:rsidRPr="004030F5" w:rsidRDefault="00236E6D" w:rsidP="003E7750">
      <w:pPr>
        <w:numPr>
          <w:ilvl w:val="12"/>
          <w:numId w:val="0"/>
        </w:numPr>
        <w:spacing w:line="480" w:lineRule="auto"/>
        <w:jc w:val="center"/>
        <w:rPr>
          <w:rFonts w:cs="Arial"/>
        </w:rPr>
      </w:pPr>
      <w:r w:rsidRPr="004030F5">
        <w:rPr>
          <w:rFonts w:cs="Arial"/>
          <w:b/>
          <w:bCs/>
          <w:sz w:val="28"/>
          <w:szCs w:val="28"/>
        </w:rPr>
        <w:lastRenderedPageBreak/>
        <w:t>TABLE OF CONTENTS</w:t>
      </w:r>
    </w:p>
    <w:p w14:paraId="51D48F98" w14:textId="77777777" w:rsidR="00236E6D" w:rsidRPr="004030F5" w:rsidRDefault="00236E6D" w:rsidP="003E7750">
      <w:pPr>
        <w:numPr>
          <w:ilvl w:val="12"/>
          <w:numId w:val="0"/>
        </w:numPr>
        <w:spacing w:line="480" w:lineRule="auto"/>
        <w:jc w:val="center"/>
        <w:rPr>
          <w:rFonts w:cs="Arial"/>
        </w:rPr>
      </w:pPr>
    </w:p>
    <w:p w14:paraId="62958FA3" w14:textId="77777777" w:rsidR="00236E6D" w:rsidRPr="004030F5" w:rsidRDefault="00236E6D" w:rsidP="003E775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cs="Arial"/>
        </w:rPr>
      </w:pPr>
    </w:p>
    <w:p w14:paraId="39EBB5A4" w14:textId="77777777" w:rsidR="004A715D" w:rsidRDefault="00665C7E">
      <w:pPr>
        <w:pStyle w:val="TOC1"/>
        <w:rPr>
          <w:rFonts w:asciiTheme="minorHAnsi" w:eastAsiaTheme="minorEastAsia" w:hAnsiTheme="minorHAnsi" w:cstheme="minorBidi"/>
          <w:noProof/>
          <w:lang w:eastAsia="ja-JP"/>
        </w:rPr>
      </w:pPr>
      <w:r w:rsidRPr="004030F5">
        <w:fldChar w:fldCharType="begin"/>
      </w:r>
      <w:r w:rsidR="00236E6D" w:rsidRPr="004030F5">
        <w:instrText xml:space="preserve"> TOC \o "1-3" \h \z </w:instrText>
      </w:r>
      <w:r w:rsidRPr="004030F5">
        <w:fldChar w:fldCharType="separate"/>
      </w:r>
      <w:r w:rsidR="004A715D" w:rsidRPr="00461531">
        <w:rPr>
          <w:rFonts w:cs="Arial"/>
          <w:noProof/>
        </w:rPr>
        <w:t>CHAPTER I INTRODUCTION</w:t>
      </w:r>
      <w:r w:rsidR="004A715D">
        <w:rPr>
          <w:noProof/>
        </w:rPr>
        <w:tab/>
      </w:r>
      <w:r w:rsidR="004A715D">
        <w:rPr>
          <w:noProof/>
        </w:rPr>
        <w:fldChar w:fldCharType="begin"/>
      </w:r>
      <w:r w:rsidR="004A715D">
        <w:rPr>
          <w:noProof/>
        </w:rPr>
        <w:instrText xml:space="preserve"> PAGEREF _Toc296333696 \h </w:instrText>
      </w:r>
      <w:r w:rsidR="004A715D">
        <w:rPr>
          <w:noProof/>
        </w:rPr>
      </w:r>
      <w:r w:rsidR="004A715D">
        <w:rPr>
          <w:noProof/>
        </w:rPr>
        <w:fldChar w:fldCharType="separate"/>
      </w:r>
      <w:r w:rsidR="004A715D">
        <w:rPr>
          <w:noProof/>
        </w:rPr>
        <w:t>1</w:t>
      </w:r>
      <w:r w:rsidR="004A715D">
        <w:rPr>
          <w:noProof/>
        </w:rPr>
        <w:fldChar w:fldCharType="end"/>
      </w:r>
    </w:p>
    <w:p w14:paraId="22A427FA"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Metaproteomics</w:t>
      </w:r>
      <w:r>
        <w:rPr>
          <w:noProof/>
        </w:rPr>
        <w:tab/>
      </w:r>
      <w:r>
        <w:rPr>
          <w:noProof/>
        </w:rPr>
        <w:fldChar w:fldCharType="begin"/>
      </w:r>
      <w:r>
        <w:rPr>
          <w:noProof/>
        </w:rPr>
        <w:instrText xml:space="preserve"> PAGEREF _Toc296333697 \h </w:instrText>
      </w:r>
      <w:r>
        <w:rPr>
          <w:noProof/>
        </w:rPr>
      </w:r>
      <w:r>
        <w:rPr>
          <w:noProof/>
        </w:rPr>
        <w:fldChar w:fldCharType="separate"/>
      </w:r>
      <w:r>
        <w:rPr>
          <w:noProof/>
        </w:rPr>
        <w:t>1</w:t>
      </w:r>
      <w:r>
        <w:rPr>
          <w:noProof/>
        </w:rPr>
        <w:fldChar w:fldCharType="end"/>
      </w:r>
    </w:p>
    <w:p w14:paraId="0E9E5BAB"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Metaproteomics in proteomics</w:t>
      </w:r>
      <w:r>
        <w:rPr>
          <w:noProof/>
        </w:rPr>
        <w:tab/>
      </w:r>
      <w:r>
        <w:rPr>
          <w:noProof/>
        </w:rPr>
        <w:fldChar w:fldCharType="begin"/>
      </w:r>
      <w:r>
        <w:rPr>
          <w:noProof/>
        </w:rPr>
        <w:instrText xml:space="preserve"> PAGEREF _Toc296333698 \h </w:instrText>
      </w:r>
      <w:r>
        <w:rPr>
          <w:noProof/>
        </w:rPr>
      </w:r>
      <w:r>
        <w:rPr>
          <w:noProof/>
        </w:rPr>
        <w:fldChar w:fldCharType="separate"/>
      </w:r>
      <w:r>
        <w:rPr>
          <w:noProof/>
        </w:rPr>
        <w:t>1</w:t>
      </w:r>
      <w:r>
        <w:rPr>
          <w:noProof/>
        </w:rPr>
        <w:fldChar w:fldCharType="end"/>
      </w:r>
    </w:p>
    <w:p w14:paraId="6C2F6B49"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Shotgun metaproteomics</w:t>
      </w:r>
      <w:r>
        <w:rPr>
          <w:noProof/>
        </w:rPr>
        <w:tab/>
      </w:r>
      <w:r>
        <w:rPr>
          <w:noProof/>
        </w:rPr>
        <w:fldChar w:fldCharType="begin"/>
      </w:r>
      <w:r>
        <w:rPr>
          <w:noProof/>
        </w:rPr>
        <w:instrText xml:space="preserve"> PAGEREF _Toc296333699 \h </w:instrText>
      </w:r>
      <w:r>
        <w:rPr>
          <w:noProof/>
        </w:rPr>
      </w:r>
      <w:r>
        <w:rPr>
          <w:noProof/>
        </w:rPr>
        <w:fldChar w:fldCharType="separate"/>
      </w:r>
      <w:r>
        <w:rPr>
          <w:noProof/>
        </w:rPr>
        <w:t>3</w:t>
      </w:r>
      <w:r>
        <w:rPr>
          <w:noProof/>
        </w:rPr>
        <w:fldChar w:fldCharType="end"/>
      </w:r>
    </w:p>
    <w:p w14:paraId="7233CA40"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LC-MS/MS analysis</w:t>
      </w:r>
      <w:r>
        <w:rPr>
          <w:noProof/>
        </w:rPr>
        <w:tab/>
      </w:r>
      <w:r>
        <w:rPr>
          <w:noProof/>
        </w:rPr>
        <w:fldChar w:fldCharType="begin"/>
      </w:r>
      <w:r>
        <w:rPr>
          <w:noProof/>
        </w:rPr>
        <w:instrText xml:space="preserve"> PAGEREF _Toc296333700 \h </w:instrText>
      </w:r>
      <w:r>
        <w:rPr>
          <w:noProof/>
        </w:rPr>
      </w:r>
      <w:r>
        <w:rPr>
          <w:noProof/>
        </w:rPr>
        <w:fldChar w:fldCharType="separate"/>
      </w:r>
      <w:r>
        <w:rPr>
          <w:noProof/>
        </w:rPr>
        <w:t>9</w:t>
      </w:r>
      <w:r>
        <w:rPr>
          <w:noProof/>
        </w:rPr>
        <w:fldChar w:fldCharType="end"/>
      </w:r>
    </w:p>
    <w:p w14:paraId="47E2E778"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Bioinformatics for metaproteomics</w:t>
      </w:r>
      <w:r>
        <w:rPr>
          <w:noProof/>
        </w:rPr>
        <w:tab/>
      </w:r>
      <w:r>
        <w:rPr>
          <w:noProof/>
        </w:rPr>
        <w:fldChar w:fldCharType="begin"/>
      </w:r>
      <w:r>
        <w:rPr>
          <w:noProof/>
        </w:rPr>
        <w:instrText xml:space="preserve"> PAGEREF _Toc296333701 \h </w:instrText>
      </w:r>
      <w:r>
        <w:rPr>
          <w:noProof/>
        </w:rPr>
      </w:r>
      <w:r>
        <w:rPr>
          <w:noProof/>
        </w:rPr>
        <w:fldChar w:fldCharType="separate"/>
      </w:r>
      <w:r>
        <w:rPr>
          <w:noProof/>
        </w:rPr>
        <w:t>19</w:t>
      </w:r>
      <w:r>
        <w:rPr>
          <w:noProof/>
        </w:rPr>
        <w:fldChar w:fldCharType="end"/>
      </w:r>
    </w:p>
    <w:p w14:paraId="66D6C7E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Peptide-spectrum search</w:t>
      </w:r>
      <w:r>
        <w:rPr>
          <w:noProof/>
        </w:rPr>
        <w:tab/>
      </w:r>
      <w:r>
        <w:rPr>
          <w:noProof/>
        </w:rPr>
        <w:fldChar w:fldCharType="begin"/>
      </w:r>
      <w:r>
        <w:rPr>
          <w:noProof/>
        </w:rPr>
        <w:instrText xml:space="preserve"> PAGEREF _Toc296333702 \h </w:instrText>
      </w:r>
      <w:r>
        <w:rPr>
          <w:noProof/>
        </w:rPr>
      </w:r>
      <w:r>
        <w:rPr>
          <w:noProof/>
        </w:rPr>
        <w:fldChar w:fldCharType="separate"/>
      </w:r>
      <w:r>
        <w:rPr>
          <w:noProof/>
        </w:rPr>
        <w:t>19</w:t>
      </w:r>
      <w:r>
        <w:rPr>
          <w:noProof/>
        </w:rPr>
        <w:fldChar w:fldCharType="end"/>
      </w:r>
    </w:p>
    <w:p w14:paraId="58C0A710"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Post-process of PSM search results</w:t>
      </w:r>
      <w:r>
        <w:rPr>
          <w:noProof/>
        </w:rPr>
        <w:tab/>
      </w:r>
      <w:r>
        <w:rPr>
          <w:noProof/>
        </w:rPr>
        <w:fldChar w:fldCharType="begin"/>
      </w:r>
      <w:r>
        <w:rPr>
          <w:noProof/>
        </w:rPr>
        <w:instrText xml:space="preserve"> PAGEREF _Toc296333703 \h </w:instrText>
      </w:r>
      <w:r>
        <w:rPr>
          <w:noProof/>
        </w:rPr>
      </w:r>
      <w:r>
        <w:rPr>
          <w:noProof/>
        </w:rPr>
        <w:fldChar w:fldCharType="separate"/>
      </w:r>
      <w:r>
        <w:rPr>
          <w:noProof/>
        </w:rPr>
        <w:t>29</w:t>
      </w:r>
      <w:r>
        <w:rPr>
          <w:noProof/>
        </w:rPr>
        <w:fldChar w:fldCharType="end"/>
      </w:r>
    </w:p>
    <w:p w14:paraId="71D5F417"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Quantitative and Functional analysis pipeline for Metaproteomics</w:t>
      </w:r>
      <w:r>
        <w:rPr>
          <w:noProof/>
        </w:rPr>
        <w:tab/>
      </w:r>
      <w:r>
        <w:rPr>
          <w:noProof/>
        </w:rPr>
        <w:fldChar w:fldCharType="begin"/>
      </w:r>
      <w:r>
        <w:rPr>
          <w:noProof/>
        </w:rPr>
        <w:instrText xml:space="preserve"> PAGEREF _Toc296333704 \h </w:instrText>
      </w:r>
      <w:r>
        <w:rPr>
          <w:noProof/>
        </w:rPr>
      </w:r>
      <w:r>
        <w:rPr>
          <w:noProof/>
        </w:rPr>
        <w:fldChar w:fldCharType="separate"/>
      </w:r>
      <w:r>
        <w:rPr>
          <w:noProof/>
        </w:rPr>
        <w:t>39</w:t>
      </w:r>
      <w:r>
        <w:rPr>
          <w:noProof/>
        </w:rPr>
        <w:fldChar w:fldCharType="end"/>
      </w:r>
    </w:p>
    <w:p w14:paraId="38020A0C" w14:textId="77777777" w:rsidR="004A715D" w:rsidRDefault="004A715D">
      <w:pPr>
        <w:pStyle w:val="TOC1"/>
        <w:rPr>
          <w:rFonts w:asciiTheme="minorHAnsi" w:eastAsiaTheme="minorEastAsia" w:hAnsiTheme="minorHAnsi" w:cstheme="minorBidi"/>
          <w:noProof/>
          <w:lang w:eastAsia="ja-JP"/>
        </w:rPr>
      </w:pPr>
      <w:r w:rsidRPr="00461531">
        <w:rPr>
          <w:rFonts w:cs="Arial"/>
          <w:noProof/>
        </w:rPr>
        <w:t>CHAPTER II QUANTITATIVE AND FUNCTIONAL ANALYSIS PIPELINE FOR METAPROTEOMICS DATA</w:t>
      </w:r>
      <w:r>
        <w:rPr>
          <w:noProof/>
        </w:rPr>
        <w:tab/>
      </w:r>
      <w:r>
        <w:rPr>
          <w:noProof/>
        </w:rPr>
        <w:fldChar w:fldCharType="begin"/>
      </w:r>
      <w:r>
        <w:rPr>
          <w:noProof/>
        </w:rPr>
        <w:instrText xml:space="preserve"> PAGEREF _Toc296333705 \h </w:instrText>
      </w:r>
      <w:r>
        <w:rPr>
          <w:noProof/>
        </w:rPr>
      </w:r>
      <w:r>
        <w:rPr>
          <w:noProof/>
        </w:rPr>
        <w:fldChar w:fldCharType="separate"/>
      </w:r>
      <w:r>
        <w:rPr>
          <w:noProof/>
        </w:rPr>
        <w:t>44</w:t>
      </w:r>
      <w:r>
        <w:rPr>
          <w:noProof/>
        </w:rPr>
        <w:fldChar w:fldCharType="end"/>
      </w:r>
    </w:p>
    <w:p w14:paraId="41483338"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General information about the pipeline</w:t>
      </w:r>
      <w:r>
        <w:rPr>
          <w:noProof/>
        </w:rPr>
        <w:tab/>
      </w:r>
      <w:r>
        <w:rPr>
          <w:noProof/>
        </w:rPr>
        <w:fldChar w:fldCharType="begin"/>
      </w:r>
      <w:r>
        <w:rPr>
          <w:noProof/>
        </w:rPr>
        <w:instrText xml:space="preserve"> PAGEREF _Toc296333706 \h </w:instrText>
      </w:r>
      <w:r>
        <w:rPr>
          <w:noProof/>
        </w:rPr>
      </w:r>
      <w:r>
        <w:rPr>
          <w:noProof/>
        </w:rPr>
        <w:fldChar w:fldCharType="separate"/>
      </w:r>
      <w:r>
        <w:rPr>
          <w:noProof/>
        </w:rPr>
        <w:t>4</w:t>
      </w:r>
      <w:r>
        <w:rPr>
          <w:noProof/>
        </w:rPr>
        <w:t>4</w:t>
      </w:r>
      <w:r>
        <w:rPr>
          <w:noProof/>
        </w:rPr>
        <w:fldChar w:fldCharType="end"/>
      </w:r>
    </w:p>
    <w:p w14:paraId="09E1C26A"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Quantitative and functional analysis for metaproteomics (QFAM)</w:t>
      </w:r>
      <w:r>
        <w:rPr>
          <w:noProof/>
        </w:rPr>
        <w:tab/>
      </w:r>
      <w:r>
        <w:rPr>
          <w:noProof/>
        </w:rPr>
        <w:fldChar w:fldCharType="begin"/>
      </w:r>
      <w:r>
        <w:rPr>
          <w:noProof/>
        </w:rPr>
        <w:instrText xml:space="preserve"> PAGEREF _Toc296333707 \h </w:instrText>
      </w:r>
      <w:r>
        <w:rPr>
          <w:noProof/>
        </w:rPr>
      </w:r>
      <w:r>
        <w:rPr>
          <w:noProof/>
        </w:rPr>
        <w:fldChar w:fldCharType="separate"/>
      </w:r>
      <w:r>
        <w:rPr>
          <w:noProof/>
        </w:rPr>
        <w:t>44</w:t>
      </w:r>
      <w:r>
        <w:rPr>
          <w:noProof/>
        </w:rPr>
        <w:fldChar w:fldCharType="end"/>
      </w:r>
    </w:p>
    <w:p w14:paraId="34EC1288"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Module for LC-MS/MS data analysis</w:t>
      </w:r>
      <w:r>
        <w:rPr>
          <w:noProof/>
        </w:rPr>
        <w:tab/>
      </w:r>
      <w:r>
        <w:rPr>
          <w:noProof/>
        </w:rPr>
        <w:fldChar w:fldCharType="begin"/>
      </w:r>
      <w:r>
        <w:rPr>
          <w:noProof/>
        </w:rPr>
        <w:instrText xml:space="preserve"> PAGEREF _Toc296333708 \h </w:instrText>
      </w:r>
      <w:r>
        <w:rPr>
          <w:noProof/>
        </w:rPr>
      </w:r>
      <w:r>
        <w:rPr>
          <w:noProof/>
        </w:rPr>
        <w:fldChar w:fldCharType="separate"/>
      </w:r>
      <w:r>
        <w:rPr>
          <w:noProof/>
        </w:rPr>
        <w:t>47</w:t>
      </w:r>
      <w:r>
        <w:rPr>
          <w:noProof/>
        </w:rPr>
        <w:fldChar w:fldCharType="end"/>
      </w:r>
    </w:p>
    <w:p w14:paraId="5F8FC3D2"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Automated module for DB search and protein assembly</w:t>
      </w:r>
      <w:r>
        <w:rPr>
          <w:noProof/>
        </w:rPr>
        <w:tab/>
      </w:r>
      <w:r>
        <w:rPr>
          <w:noProof/>
        </w:rPr>
        <w:fldChar w:fldCharType="begin"/>
      </w:r>
      <w:r>
        <w:rPr>
          <w:noProof/>
        </w:rPr>
        <w:instrText xml:space="preserve"> PAGEREF _Toc296333709 \h </w:instrText>
      </w:r>
      <w:r>
        <w:rPr>
          <w:noProof/>
        </w:rPr>
      </w:r>
      <w:r>
        <w:rPr>
          <w:noProof/>
        </w:rPr>
        <w:fldChar w:fldCharType="separate"/>
      </w:r>
      <w:r>
        <w:rPr>
          <w:noProof/>
        </w:rPr>
        <w:t>47</w:t>
      </w:r>
      <w:r>
        <w:rPr>
          <w:noProof/>
        </w:rPr>
        <w:fldChar w:fldCharType="end"/>
      </w:r>
    </w:p>
    <w:p w14:paraId="29583604"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Making contrast file, comparing MS runs and normalization</w:t>
      </w:r>
      <w:r>
        <w:rPr>
          <w:noProof/>
        </w:rPr>
        <w:tab/>
      </w:r>
      <w:r>
        <w:rPr>
          <w:noProof/>
        </w:rPr>
        <w:fldChar w:fldCharType="begin"/>
      </w:r>
      <w:r>
        <w:rPr>
          <w:noProof/>
        </w:rPr>
        <w:instrText xml:space="preserve"> PAGEREF _Toc296333710 \h </w:instrText>
      </w:r>
      <w:r>
        <w:rPr>
          <w:noProof/>
        </w:rPr>
      </w:r>
      <w:r>
        <w:rPr>
          <w:noProof/>
        </w:rPr>
        <w:fldChar w:fldCharType="separate"/>
      </w:r>
      <w:r>
        <w:rPr>
          <w:noProof/>
        </w:rPr>
        <w:t>50</w:t>
      </w:r>
      <w:r>
        <w:rPr>
          <w:noProof/>
        </w:rPr>
        <w:fldChar w:fldCharType="end"/>
      </w:r>
    </w:p>
    <w:p w14:paraId="381D126B"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Module for quantitative and functional analysis</w:t>
      </w:r>
      <w:r>
        <w:rPr>
          <w:noProof/>
        </w:rPr>
        <w:tab/>
      </w:r>
      <w:r>
        <w:rPr>
          <w:noProof/>
        </w:rPr>
        <w:fldChar w:fldCharType="begin"/>
      </w:r>
      <w:r>
        <w:rPr>
          <w:noProof/>
        </w:rPr>
        <w:instrText xml:space="preserve"> PAGEREF _Toc296333711 \h </w:instrText>
      </w:r>
      <w:r>
        <w:rPr>
          <w:noProof/>
        </w:rPr>
      </w:r>
      <w:r>
        <w:rPr>
          <w:noProof/>
        </w:rPr>
        <w:fldChar w:fldCharType="separate"/>
      </w:r>
      <w:r>
        <w:rPr>
          <w:noProof/>
        </w:rPr>
        <w:t>53</w:t>
      </w:r>
      <w:r>
        <w:rPr>
          <w:noProof/>
        </w:rPr>
        <w:fldChar w:fldCharType="end"/>
      </w:r>
    </w:p>
    <w:p w14:paraId="4E5859FA"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Quantitative analysis module (QAM)</w:t>
      </w:r>
      <w:r>
        <w:rPr>
          <w:noProof/>
        </w:rPr>
        <w:tab/>
      </w:r>
      <w:r>
        <w:rPr>
          <w:noProof/>
        </w:rPr>
        <w:fldChar w:fldCharType="begin"/>
      </w:r>
      <w:r>
        <w:rPr>
          <w:noProof/>
        </w:rPr>
        <w:instrText xml:space="preserve"> PAGEREF _Toc296333712 \h </w:instrText>
      </w:r>
      <w:r>
        <w:rPr>
          <w:noProof/>
        </w:rPr>
      </w:r>
      <w:r>
        <w:rPr>
          <w:noProof/>
        </w:rPr>
        <w:fldChar w:fldCharType="separate"/>
      </w:r>
      <w:r>
        <w:rPr>
          <w:noProof/>
        </w:rPr>
        <w:t>53</w:t>
      </w:r>
      <w:r>
        <w:rPr>
          <w:noProof/>
        </w:rPr>
        <w:fldChar w:fldCharType="end"/>
      </w:r>
    </w:p>
    <w:p w14:paraId="2E80B41F"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Functional analysis module (FAM)</w:t>
      </w:r>
      <w:r>
        <w:rPr>
          <w:noProof/>
        </w:rPr>
        <w:tab/>
      </w:r>
      <w:r>
        <w:rPr>
          <w:noProof/>
        </w:rPr>
        <w:fldChar w:fldCharType="begin"/>
      </w:r>
      <w:r>
        <w:rPr>
          <w:noProof/>
        </w:rPr>
        <w:instrText xml:space="preserve"> PAGEREF _Toc296333713 \h </w:instrText>
      </w:r>
      <w:r>
        <w:rPr>
          <w:noProof/>
        </w:rPr>
      </w:r>
      <w:r>
        <w:rPr>
          <w:noProof/>
        </w:rPr>
        <w:fldChar w:fldCharType="separate"/>
      </w:r>
      <w:r>
        <w:rPr>
          <w:noProof/>
        </w:rPr>
        <w:t>56</w:t>
      </w:r>
      <w:r>
        <w:rPr>
          <w:noProof/>
        </w:rPr>
        <w:fldChar w:fldCharType="end"/>
      </w:r>
    </w:p>
    <w:p w14:paraId="1A8ADD1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BioSystems analysis of FAM</w:t>
      </w:r>
      <w:r>
        <w:rPr>
          <w:noProof/>
        </w:rPr>
        <w:tab/>
      </w:r>
      <w:r>
        <w:rPr>
          <w:noProof/>
        </w:rPr>
        <w:fldChar w:fldCharType="begin"/>
      </w:r>
      <w:r>
        <w:rPr>
          <w:noProof/>
        </w:rPr>
        <w:instrText xml:space="preserve"> PAGEREF _Toc296333714 \h </w:instrText>
      </w:r>
      <w:r>
        <w:rPr>
          <w:noProof/>
        </w:rPr>
      </w:r>
      <w:r>
        <w:rPr>
          <w:noProof/>
        </w:rPr>
        <w:fldChar w:fldCharType="separate"/>
      </w:r>
      <w:r>
        <w:rPr>
          <w:noProof/>
        </w:rPr>
        <w:t>58</w:t>
      </w:r>
      <w:r>
        <w:rPr>
          <w:noProof/>
        </w:rPr>
        <w:fldChar w:fldCharType="end"/>
      </w:r>
    </w:p>
    <w:p w14:paraId="5C513876"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COG analysis of FAM</w:t>
      </w:r>
      <w:r>
        <w:rPr>
          <w:noProof/>
        </w:rPr>
        <w:tab/>
      </w:r>
      <w:r>
        <w:rPr>
          <w:noProof/>
        </w:rPr>
        <w:fldChar w:fldCharType="begin"/>
      </w:r>
      <w:r>
        <w:rPr>
          <w:noProof/>
        </w:rPr>
        <w:instrText xml:space="preserve"> PAGEREF _Toc296333715 \h </w:instrText>
      </w:r>
      <w:r>
        <w:rPr>
          <w:noProof/>
        </w:rPr>
      </w:r>
      <w:r>
        <w:rPr>
          <w:noProof/>
        </w:rPr>
        <w:fldChar w:fldCharType="separate"/>
      </w:r>
      <w:r>
        <w:rPr>
          <w:noProof/>
        </w:rPr>
        <w:t>64</w:t>
      </w:r>
      <w:r>
        <w:rPr>
          <w:noProof/>
        </w:rPr>
        <w:fldChar w:fldCharType="end"/>
      </w:r>
    </w:p>
    <w:p w14:paraId="32EFF709"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Other modules of QFAM</w:t>
      </w:r>
      <w:r>
        <w:rPr>
          <w:noProof/>
        </w:rPr>
        <w:tab/>
      </w:r>
      <w:r>
        <w:rPr>
          <w:noProof/>
        </w:rPr>
        <w:fldChar w:fldCharType="begin"/>
      </w:r>
      <w:r>
        <w:rPr>
          <w:noProof/>
        </w:rPr>
        <w:instrText xml:space="preserve"> PAGEREF _Toc296333716 \h </w:instrText>
      </w:r>
      <w:r>
        <w:rPr>
          <w:noProof/>
        </w:rPr>
      </w:r>
      <w:r>
        <w:rPr>
          <w:noProof/>
        </w:rPr>
        <w:fldChar w:fldCharType="separate"/>
      </w:r>
      <w:r>
        <w:rPr>
          <w:noProof/>
        </w:rPr>
        <w:t>70</w:t>
      </w:r>
      <w:r>
        <w:rPr>
          <w:noProof/>
        </w:rPr>
        <w:fldChar w:fldCharType="end"/>
      </w:r>
    </w:p>
    <w:p w14:paraId="3AE4EAE3"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_Toc296333717 \h </w:instrText>
      </w:r>
      <w:r>
        <w:rPr>
          <w:noProof/>
        </w:rPr>
      </w:r>
      <w:r>
        <w:rPr>
          <w:noProof/>
        </w:rPr>
        <w:fldChar w:fldCharType="separate"/>
      </w:r>
      <w:r>
        <w:rPr>
          <w:noProof/>
        </w:rPr>
        <w:t>74</w:t>
      </w:r>
      <w:r>
        <w:rPr>
          <w:noProof/>
        </w:rPr>
        <w:fldChar w:fldCharType="end"/>
      </w:r>
    </w:p>
    <w:p w14:paraId="7B13DF67" w14:textId="77777777" w:rsidR="004A715D" w:rsidRDefault="004A715D">
      <w:pPr>
        <w:pStyle w:val="TOC1"/>
        <w:rPr>
          <w:rFonts w:asciiTheme="minorHAnsi" w:eastAsiaTheme="minorEastAsia" w:hAnsiTheme="minorHAnsi" w:cstheme="minorBidi"/>
          <w:noProof/>
          <w:lang w:eastAsia="ja-JP"/>
        </w:rPr>
      </w:pPr>
      <w:r>
        <w:rPr>
          <w:noProof/>
        </w:rPr>
        <w:t>CHAPTER III Selfea: R package for reliable feature selection</w:t>
      </w:r>
      <w:r>
        <w:rPr>
          <w:noProof/>
        </w:rPr>
        <w:tab/>
      </w:r>
      <w:r>
        <w:rPr>
          <w:noProof/>
        </w:rPr>
        <w:fldChar w:fldCharType="begin"/>
      </w:r>
      <w:r>
        <w:rPr>
          <w:noProof/>
        </w:rPr>
        <w:instrText xml:space="preserve"> PAGEREF _Toc296333718 \h </w:instrText>
      </w:r>
      <w:r>
        <w:rPr>
          <w:noProof/>
        </w:rPr>
      </w:r>
      <w:r>
        <w:rPr>
          <w:noProof/>
        </w:rPr>
        <w:fldChar w:fldCharType="separate"/>
      </w:r>
      <w:r>
        <w:rPr>
          <w:noProof/>
        </w:rPr>
        <w:t>77</w:t>
      </w:r>
      <w:r>
        <w:rPr>
          <w:noProof/>
        </w:rPr>
        <w:fldChar w:fldCharType="end"/>
      </w:r>
    </w:p>
    <w:p w14:paraId="446E638F"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_Toc296333719 \h </w:instrText>
      </w:r>
      <w:r>
        <w:rPr>
          <w:noProof/>
        </w:rPr>
      </w:r>
      <w:r>
        <w:rPr>
          <w:noProof/>
        </w:rPr>
        <w:fldChar w:fldCharType="separate"/>
      </w:r>
      <w:r>
        <w:rPr>
          <w:noProof/>
        </w:rPr>
        <w:t>77</w:t>
      </w:r>
      <w:r>
        <w:rPr>
          <w:noProof/>
        </w:rPr>
        <w:fldChar w:fldCharType="end"/>
      </w:r>
    </w:p>
    <w:p w14:paraId="59EE4994"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lang w:eastAsia="ko-KR"/>
        </w:rPr>
        <w:t>Methods</w:t>
      </w:r>
      <w:r>
        <w:rPr>
          <w:noProof/>
        </w:rPr>
        <w:tab/>
      </w:r>
      <w:r>
        <w:rPr>
          <w:noProof/>
        </w:rPr>
        <w:fldChar w:fldCharType="begin"/>
      </w:r>
      <w:r>
        <w:rPr>
          <w:noProof/>
        </w:rPr>
        <w:instrText xml:space="preserve"> PAGEREF _Toc296333720 \h </w:instrText>
      </w:r>
      <w:r>
        <w:rPr>
          <w:noProof/>
        </w:rPr>
      </w:r>
      <w:r>
        <w:rPr>
          <w:noProof/>
        </w:rPr>
        <w:fldChar w:fldCharType="separate"/>
      </w:r>
      <w:r>
        <w:rPr>
          <w:noProof/>
        </w:rPr>
        <w:t>79</w:t>
      </w:r>
      <w:r>
        <w:rPr>
          <w:noProof/>
        </w:rPr>
        <w:fldChar w:fldCharType="end"/>
      </w:r>
    </w:p>
    <w:p w14:paraId="25898A6F"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t>Label free LC-MS/MS Proteomics Data</w:t>
      </w:r>
      <w:r>
        <w:rPr>
          <w:noProof/>
        </w:rPr>
        <w:tab/>
      </w:r>
      <w:r>
        <w:rPr>
          <w:noProof/>
        </w:rPr>
        <w:fldChar w:fldCharType="begin"/>
      </w:r>
      <w:r>
        <w:rPr>
          <w:noProof/>
        </w:rPr>
        <w:instrText xml:space="preserve"> PAGEREF _Toc296333721 \h </w:instrText>
      </w:r>
      <w:r>
        <w:rPr>
          <w:noProof/>
        </w:rPr>
      </w:r>
      <w:r>
        <w:rPr>
          <w:noProof/>
        </w:rPr>
        <w:fldChar w:fldCharType="separate"/>
      </w:r>
      <w:r>
        <w:rPr>
          <w:noProof/>
        </w:rPr>
        <w:t>79</w:t>
      </w:r>
      <w:r>
        <w:rPr>
          <w:noProof/>
        </w:rPr>
        <w:fldChar w:fldCharType="end"/>
      </w:r>
    </w:p>
    <w:p w14:paraId="28908BB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lastRenderedPageBreak/>
        <w:t>Calculation of Cohen’s effect sizes and statistics</w:t>
      </w:r>
      <w:r>
        <w:rPr>
          <w:noProof/>
        </w:rPr>
        <w:tab/>
      </w:r>
      <w:r>
        <w:rPr>
          <w:noProof/>
        </w:rPr>
        <w:fldChar w:fldCharType="begin"/>
      </w:r>
      <w:r>
        <w:rPr>
          <w:noProof/>
        </w:rPr>
        <w:instrText xml:space="preserve"> PAGEREF _Toc296333722 \h </w:instrText>
      </w:r>
      <w:r>
        <w:rPr>
          <w:noProof/>
        </w:rPr>
      </w:r>
      <w:r>
        <w:rPr>
          <w:noProof/>
        </w:rPr>
        <w:fldChar w:fldCharType="separate"/>
      </w:r>
      <w:r>
        <w:rPr>
          <w:noProof/>
        </w:rPr>
        <w:t>80</w:t>
      </w:r>
      <w:r>
        <w:rPr>
          <w:noProof/>
        </w:rPr>
        <w:fldChar w:fldCharType="end"/>
      </w:r>
    </w:p>
    <w:p w14:paraId="4C4D62BE"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t>Benchmark data test and fecal proteome data test</w:t>
      </w:r>
      <w:r>
        <w:rPr>
          <w:noProof/>
        </w:rPr>
        <w:tab/>
      </w:r>
      <w:r>
        <w:rPr>
          <w:noProof/>
        </w:rPr>
        <w:fldChar w:fldCharType="begin"/>
      </w:r>
      <w:r>
        <w:rPr>
          <w:noProof/>
        </w:rPr>
        <w:instrText xml:space="preserve"> PAGEREF _Toc296333723 \h </w:instrText>
      </w:r>
      <w:r>
        <w:rPr>
          <w:noProof/>
        </w:rPr>
      </w:r>
      <w:r>
        <w:rPr>
          <w:noProof/>
        </w:rPr>
        <w:fldChar w:fldCharType="separate"/>
      </w:r>
      <w:r>
        <w:rPr>
          <w:noProof/>
        </w:rPr>
        <w:t>82</w:t>
      </w:r>
      <w:r>
        <w:rPr>
          <w:noProof/>
        </w:rPr>
        <w:fldChar w:fldCharType="end"/>
      </w:r>
    </w:p>
    <w:p w14:paraId="4FD1FCBF"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t>Monte Carlo simulation</w:t>
      </w:r>
      <w:r>
        <w:rPr>
          <w:noProof/>
        </w:rPr>
        <w:tab/>
      </w:r>
      <w:r>
        <w:rPr>
          <w:noProof/>
        </w:rPr>
        <w:fldChar w:fldCharType="begin"/>
      </w:r>
      <w:r>
        <w:rPr>
          <w:noProof/>
        </w:rPr>
        <w:instrText xml:space="preserve"> PAGEREF _Toc296333724 \h </w:instrText>
      </w:r>
      <w:r>
        <w:rPr>
          <w:noProof/>
        </w:rPr>
      </w:r>
      <w:r>
        <w:rPr>
          <w:noProof/>
        </w:rPr>
        <w:fldChar w:fldCharType="separate"/>
      </w:r>
      <w:r>
        <w:rPr>
          <w:noProof/>
        </w:rPr>
        <w:t>83</w:t>
      </w:r>
      <w:r>
        <w:rPr>
          <w:noProof/>
        </w:rPr>
        <w:fldChar w:fldCharType="end"/>
      </w:r>
    </w:p>
    <w:p w14:paraId="45DA108A"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t>User guide for selfea package</w:t>
      </w:r>
      <w:r>
        <w:rPr>
          <w:noProof/>
        </w:rPr>
        <w:tab/>
      </w:r>
      <w:r>
        <w:rPr>
          <w:noProof/>
        </w:rPr>
        <w:fldChar w:fldCharType="begin"/>
      </w:r>
      <w:r>
        <w:rPr>
          <w:noProof/>
        </w:rPr>
        <w:instrText xml:space="preserve"> PAGEREF _Toc296333725 \h </w:instrText>
      </w:r>
      <w:r>
        <w:rPr>
          <w:noProof/>
        </w:rPr>
      </w:r>
      <w:r>
        <w:rPr>
          <w:noProof/>
        </w:rPr>
        <w:fldChar w:fldCharType="separate"/>
      </w:r>
      <w:r>
        <w:rPr>
          <w:noProof/>
        </w:rPr>
        <w:t>84</w:t>
      </w:r>
      <w:r>
        <w:rPr>
          <w:noProof/>
        </w:rPr>
        <w:fldChar w:fldCharType="end"/>
      </w:r>
    </w:p>
    <w:p w14:paraId="59B96036"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Algorithm</w:t>
      </w:r>
      <w:r>
        <w:rPr>
          <w:noProof/>
        </w:rPr>
        <w:tab/>
      </w:r>
      <w:r>
        <w:rPr>
          <w:noProof/>
        </w:rPr>
        <w:fldChar w:fldCharType="begin"/>
      </w:r>
      <w:r>
        <w:rPr>
          <w:noProof/>
        </w:rPr>
        <w:instrText xml:space="preserve"> PAGEREF _Toc296333726 \h </w:instrText>
      </w:r>
      <w:r>
        <w:rPr>
          <w:noProof/>
        </w:rPr>
      </w:r>
      <w:r>
        <w:rPr>
          <w:noProof/>
        </w:rPr>
        <w:fldChar w:fldCharType="separate"/>
      </w:r>
      <w:r>
        <w:rPr>
          <w:noProof/>
        </w:rPr>
        <w:t>84</w:t>
      </w:r>
      <w:r>
        <w:rPr>
          <w:noProof/>
        </w:rPr>
        <w:fldChar w:fldCharType="end"/>
      </w:r>
    </w:p>
    <w:p w14:paraId="37ACEEE7"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Benchmark test</w:t>
      </w:r>
      <w:r>
        <w:rPr>
          <w:noProof/>
        </w:rPr>
        <w:tab/>
      </w:r>
      <w:r>
        <w:rPr>
          <w:noProof/>
        </w:rPr>
        <w:fldChar w:fldCharType="begin"/>
      </w:r>
      <w:r>
        <w:rPr>
          <w:noProof/>
        </w:rPr>
        <w:instrText xml:space="preserve"> PAGEREF _Toc296333727 \h </w:instrText>
      </w:r>
      <w:r>
        <w:rPr>
          <w:noProof/>
        </w:rPr>
      </w:r>
      <w:r>
        <w:rPr>
          <w:noProof/>
        </w:rPr>
        <w:fldChar w:fldCharType="separate"/>
      </w:r>
      <w:r>
        <w:rPr>
          <w:noProof/>
        </w:rPr>
        <w:t>88</w:t>
      </w:r>
      <w:r>
        <w:rPr>
          <w:noProof/>
        </w:rPr>
        <w:fldChar w:fldCharType="end"/>
      </w:r>
    </w:p>
    <w:p w14:paraId="0055F45B"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Tests using Gregori data</w:t>
      </w:r>
      <w:r>
        <w:rPr>
          <w:noProof/>
        </w:rPr>
        <w:tab/>
      </w:r>
      <w:r>
        <w:rPr>
          <w:noProof/>
        </w:rPr>
        <w:fldChar w:fldCharType="begin"/>
      </w:r>
      <w:r>
        <w:rPr>
          <w:noProof/>
        </w:rPr>
        <w:instrText xml:space="preserve"> PAGEREF _Toc296333728 \h </w:instrText>
      </w:r>
      <w:r>
        <w:rPr>
          <w:noProof/>
        </w:rPr>
      </w:r>
      <w:r>
        <w:rPr>
          <w:noProof/>
        </w:rPr>
        <w:fldChar w:fldCharType="separate"/>
      </w:r>
      <w:r>
        <w:rPr>
          <w:noProof/>
        </w:rPr>
        <w:t>88</w:t>
      </w:r>
      <w:r>
        <w:rPr>
          <w:noProof/>
        </w:rPr>
        <w:fldChar w:fldCharType="end"/>
      </w:r>
    </w:p>
    <w:p w14:paraId="7C8BF1C4"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Tests using fecal proteome data</w:t>
      </w:r>
      <w:r>
        <w:rPr>
          <w:noProof/>
        </w:rPr>
        <w:tab/>
      </w:r>
      <w:r>
        <w:rPr>
          <w:noProof/>
        </w:rPr>
        <w:fldChar w:fldCharType="begin"/>
      </w:r>
      <w:r>
        <w:rPr>
          <w:noProof/>
        </w:rPr>
        <w:instrText xml:space="preserve"> PAGEREF _Toc296333729 \h </w:instrText>
      </w:r>
      <w:r>
        <w:rPr>
          <w:noProof/>
        </w:rPr>
      </w:r>
      <w:r>
        <w:rPr>
          <w:noProof/>
        </w:rPr>
        <w:fldChar w:fldCharType="separate"/>
      </w:r>
      <w:r>
        <w:rPr>
          <w:noProof/>
        </w:rPr>
        <w:t>89</w:t>
      </w:r>
      <w:r>
        <w:rPr>
          <w:noProof/>
        </w:rPr>
        <w:fldChar w:fldCharType="end"/>
      </w:r>
    </w:p>
    <w:p w14:paraId="1FC6DA94"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Monte Carlo simulation</w:t>
      </w:r>
      <w:r>
        <w:rPr>
          <w:noProof/>
        </w:rPr>
        <w:tab/>
      </w:r>
      <w:r>
        <w:rPr>
          <w:noProof/>
        </w:rPr>
        <w:fldChar w:fldCharType="begin"/>
      </w:r>
      <w:r>
        <w:rPr>
          <w:noProof/>
        </w:rPr>
        <w:instrText xml:space="preserve"> PAGEREF _Toc296333730 \h </w:instrText>
      </w:r>
      <w:r>
        <w:rPr>
          <w:noProof/>
        </w:rPr>
      </w:r>
      <w:r>
        <w:rPr>
          <w:noProof/>
        </w:rPr>
        <w:fldChar w:fldCharType="separate"/>
      </w:r>
      <w:r>
        <w:rPr>
          <w:noProof/>
        </w:rPr>
        <w:t>94</w:t>
      </w:r>
      <w:r>
        <w:rPr>
          <w:noProof/>
        </w:rPr>
        <w:fldChar w:fldCharType="end"/>
      </w:r>
    </w:p>
    <w:p w14:paraId="2ABC10B2"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_Toc296333731 \h </w:instrText>
      </w:r>
      <w:r>
        <w:rPr>
          <w:noProof/>
        </w:rPr>
      </w:r>
      <w:r>
        <w:rPr>
          <w:noProof/>
        </w:rPr>
        <w:fldChar w:fldCharType="separate"/>
      </w:r>
      <w:r>
        <w:rPr>
          <w:noProof/>
        </w:rPr>
        <w:t>94</w:t>
      </w:r>
      <w:r>
        <w:rPr>
          <w:noProof/>
        </w:rPr>
        <w:fldChar w:fldCharType="end"/>
      </w:r>
    </w:p>
    <w:p w14:paraId="0BD94799" w14:textId="77777777" w:rsidR="004A715D" w:rsidRDefault="004A715D">
      <w:pPr>
        <w:pStyle w:val="TOC1"/>
        <w:rPr>
          <w:rFonts w:asciiTheme="minorHAnsi" w:eastAsiaTheme="minorEastAsia" w:hAnsiTheme="minorHAnsi" w:cstheme="minorBidi"/>
          <w:noProof/>
          <w:lang w:eastAsia="ja-JP"/>
        </w:rPr>
      </w:pPr>
      <w:r>
        <w:rPr>
          <w:noProof/>
        </w:rPr>
        <w:t>CHAPTER IV APPLICATION CASE 1 – HUMAN FECAL PROTEOME STUDY</w:t>
      </w:r>
      <w:r>
        <w:rPr>
          <w:noProof/>
        </w:rPr>
        <w:tab/>
      </w:r>
      <w:r>
        <w:rPr>
          <w:noProof/>
        </w:rPr>
        <w:fldChar w:fldCharType="begin"/>
      </w:r>
      <w:r>
        <w:rPr>
          <w:noProof/>
        </w:rPr>
        <w:instrText xml:space="preserve"> PAGEREF _Toc296333732 \h </w:instrText>
      </w:r>
      <w:r>
        <w:rPr>
          <w:noProof/>
        </w:rPr>
      </w:r>
      <w:r>
        <w:rPr>
          <w:noProof/>
        </w:rPr>
        <w:fldChar w:fldCharType="separate"/>
      </w:r>
      <w:r>
        <w:rPr>
          <w:noProof/>
        </w:rPr>
        <w:t>97</w:t>
      </w:r>
      <w:r>
        <w:rPr>
          <w:noProof/>
        </w:rPr>
        <w:fldChar w:fldCharType="end"/>
      </w:r>
    </w:p>
    <w:p w14:paraId="299C5E46"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_Toc296333733 \h </w:instrText>
      </w:r>
      <w:r>
        <w:rPr>
          <w:noProof/>
        </w:rPr>
      </w:r>
      <w:r>
        <w:rPr>
          <w:noProof/>
        </w:rPr>
        <w:fldChar w:fldCharType="separate"/>
      </w:r>
      <w:r>
        <w:rPr>
          <w:noProof/>
        </w:rPr>
        <w:t>97</w:t>
      </w:r>
      <w:r>
        <w:rPr>
          <w:noProof/>
        </w:rPr>
        <w:fldChar w:fldCharType="end"/>
      </w:r>
    </w:p>
    <w:p w14:paraId="6ED964EA"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Methods</w:t>
      </w:r>
      <w:r>
        <w:rPr>
          <w:noProof/>
        </w:rPr>
        <w:tab/>
      </w:r>
      <w:r>
        <w:rPr>
          <w:noProof/>
        </w:rPr>
        <w:fldChar w:fldCharType="begin"/>
      </w:r>
      <w:r>
        <w:rPr>
          <w:noProof/>
        </w:rPr>
        <w:instrText xml:space="preserve"> PAGEREF _Toc296333734 \h </w:instrText>
      </w:r>
      <w:r>
        <w:rPr>
          <w:noProof/>
        </w:rPr>
      </w:r>
      <w:r>
        <w:rPr>
          <w:noProof/>
        </w:rPr>
        <w:fldChar w:fldCharType="separate"/>
      </w:r>
      <w:r>
        <w:rPr>
          <w:noProof/>
        </w:rPr>
        <w:t>99</w:t>
      </w:r>
      <w:r>
        <w:rPr>
          <w:noProof/>
        </w:rPr>
        <w:fldChar w:fldCharType="end"/>
      </w:r>
    </w:p>
    <w:p w14:paraId="25015BC5"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Sample preparation and LC-MS/MS experiment</w:t>
      </w:r>
      <w:r>
        <w:rPr>
          <w:noProof/>
        </w:rPr>
        <w:tab/>
      </w:r>
      <w:r>
        <w:rPr>
          <w:noProof/>
        </w:rPr>
        <w:fldChar w:fldCharType="begin"/>
      </w:r>
      <w:r>
        <w:rPr>
          <w:noProof/>
        </w:rPr>
        <w:instrText xml:space="preserve"> PAGEREF _Toc296333735 \h </w:instrText>
      </w:r>
      <w:r>
        <w:rPr>
          <w:noProof/>
        </w:rPr>
      </w:r>
      <w:r>
        <w:rPr>
          <w:noProof/>
        </w:rPr>
        <w:fldChar w:fldCharType="separate"/>
      </w:r>
      <w:r>
        <w:rPr>
          <w:noProof/>
        </w:rPr>
        <w:t>99</w:t>
      </w:r>
      <w:r>
        <w:rPr>
          <w:noProof/>
        </w:rPr>
        <w:fldChar w:fldCharType="end"/>
      </w:r>
    </w:p>
    <w:p w14:paraId="402A6AA9"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PSM search and protein identification</w:t>
      </w:r>
      <w:r>
        <w:rPr>
          <w:noProof/>
        </w:rPr>
        <w:tab/>
      </w:r>
      <w:r>
        <w:rPr>
          <w:noProof/>
        </w:rPr>
        <w:fldChar w:fldCharType="begin"/>
      </w:r>
      <w:r>
        <w:rPr>
          <w:noProof/>
        </w:rPr>
        <w:instrText xml:space="preserve"> PAGEREF _Toc296333736 \h </w:instrText>
      </w:r>
      <w:r>
        <w:rPr>
          <w:noProof/>
        </w:rPr>
      </w:r>
      <w:r>
        <w:rPr>
          <w:noProof/>
        </w:rPr>
        <w:fldChar w:fldCharType="separate"/>
      </w:r>
      <w:r>
        <w:rPr>
          <w:noProof/>
        </w:rPr>
        <w:t>99</w:t>
      </w:r>
      <w:r>
        <w:rPr>
          <w:noProof/>
        </w:rPr>
        <w:fldChar w:fldCharType="end"/>
      </w:r>
    </w:p>
    <w:p w14:paraId="364AA3E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Statistical analyses</w:t>
      </w:r>
      <w:r>
        <w:rPr>
          <w:noProof/>
        </w:rPr>
        <w:tab/>
      </w:r>
      <w:r>
        <w:rPr>
          <w:noProof/>
        </w:rPr>
        <w:fldChar w:fldCharType="begin"/>
      </w:r>
      <w:r>
        <w:rPr>
          <w:noProof/>
        </w:rPr>
        <w:instrText xml:space="preserve"> PAGEREF _Toc296333737 \h </w:instrText>
      </w:r>
      <w:r>
        <w:rPr>
          <w:noProof/>
        </w:rPr>
      </w:r>
      <w:r>
        <w:rPr>
          <w:noProof/>
        </w:rPr>
        <w:fldChar w:fldCharType="separate"/>
      </w:r>
      <w:r>
        <w:rPr>
          <w:noProof/>
        </w:rPr>
        <w:t>102</w:t>
      </w:r>
      <w:r>
        <w:rPr>
          <w:noProof/>
        </w:rPr>
        <w:fldChar w:fldCharType="end"/>
      </w:r>
    </w:p>
    <w:p w14:paraId="687F55FF"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_Toc296333738 \h </w:instrText>
      </w:r>
      <w:r>
        <w:rPr>
          <w:noProof/>
        </w:rPr>
      </w:r>
      <w:r>
        <w:rPr>
          <w:noProof/>
        </w:rPr>
        <w:fldChar w:fldCharType="separate"/>
      </w:r>
      <w:r>
        <w:rPr>
          <w:noProof/>
        </w:rPr>
        <w:t>104</w:t>
      </w:r>
      <w:r>
        <w:rPr>
          <w:noProof/>
        </w:rPr>
        <w:fldChar w:fldCharType="end"/>
      </w:r>
    </w:p>
    <w:p w14:paraId="7812F97D"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Data generation from 11 fecal and 5 PBMC samples</w:t>
      </w:r>
      <w:r>
        <w:rPr>
          <w:noProof/>
        </w:rPr>
        <w:tab/>
      </w:r>
      <w:r>
        <w:rPr>
          <w:noProof/>
        </w:rPr>
        <w:fldChar w:fldCharType="begin"/>
      </w:r>
      <w:r>
        <w:rPr>
          <w:noProof/>
        </w:rPr>
        <w:instrText xml:space="preserve"> PAGEREF _Toc296333739 \h </w:instrText>
      </w:r>
      <w:r>
        <w:rPr>
          <w:noProof/>
        </w:rPr>
      </w:r>
      <w:r>
        <w:rPr>
          <w:noProof/>
        </w:rPr>
        <w:fldChar w:fldCharType="separate"/>
      </w:r>
      <w:r>
        <w:rPr>
          <w:noProof/>
        </w:rPr>
        <w:t>104</w:t>
      </w:r>
      <w:r>
        <w:rPr>
          <w:noProof/>
        </w:rPr>
        <w:fldChar w:fldCharType="end"/>
      </w:r>
    </w:p>
    <w:p w14:paraId="0AFA3928"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Comparison of 29 fecal and 5 PBMC MS runs</w:t>
      </w:r>
      <w:r>
        <w:rPr>
          <w:noProof/>
        </w:rPr>
        <w:tab/>
      </w:r>
      <w:r>
        <w:rPr>
          <w:noProof/>
        </w:rPr>
        <w:fldChar w:fldCharType="begin"/>
      </w:r>
      <w:r>
        <w:rPr>
          <w:noProof/>
        </w:rPr>
        <w:instrText xml:space="preserve"> PAGEREF _Toc296333740 \h </w:instrText>
      </w:r>
      <w:r>
        <w:rPr>
          <w:noProof/>
        </w:rPr>
      </w:r>
      <w:r>
        <w:rPr>
          <w:noProof/>
        </w:rPr>
        <w:fldChar w:fldCharType="separate"/>
      </w:r>
      <w:r>
        <w:rPr>
          <w:noProof/>
        </w:rPr>
        <w:t>106</w:t>
      </w:r>
      <w:r>
        <w:rPr>
          <w:noProof/>
        </w:rPr>
        <w:fldChar w:fldCharType="end"/>
      </w:r>
    </w:p>
    <w:p w14:paraId="3C6F7A0A"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Human proteins in 11 fecal proteomes</w:t>
      </w:r>
      <w:r>
        <w:rPr>
          <w:noProof/>
        </w:rPr>
        <w:tab/>
      </w:r>
      <w:r>
        <w:rPr>
          <w:noProof/>
        </w:rPr>
        <w:fldChar w:fldCharType="begin"/>
      </w:r>
      <w:r>
        <w:rPr>
          <w:noProof/>
        </w:rPr>
        <w:instrText xml:space="preserve"> PAGEREF _Toc296333741 \h </w:instrText>
      </w:r>
      <w:r>
        <w:rPr>
          <w:noProof/>
        </w:rPr>
      </w:r>
      <w:r>
        <w:rPr>
          <w:noProof/>
        </w:rPr>
        <w:fldChar w:fldCharType="separate"/>
      </w:r>
      <w:r>
        <w:rPr>
          <w:noProof/>
        </w:rPr>
        <w:t>110</w:t>
      </w:r>
      <w:r>
        <w:rPr>
          <w:noProof/>
        </w:rPr>
        <w:fldChar w:fldCharType="end"/>
      </w:r>
    </w:p>
    <w:p w14:paraId="1BA9A88D"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lang w:eastAsia="ko-KR"/>
        </w:rPr>
        <w:t>Quasi-Poisson model construction using QFAM</w:t>
      </w:r>
      <w:r>
        <w:rPr>
          <w:noProof/>
        </w:rPr>
        <w:tab/>
      </w:r>
      <w:r>
        <w:rPr>
          <w:noProof/>
        </w:rPr>
        <w:fldChar w:fldCharType="begin"/>
      </w:r>
      <w:r>
        <w:rPr>
          <w:noProof/>
        </w:rPr>
        <w:instrText xml:space="preserve"> PAGEREF _Toc296333742 \h </w:instrText>
      </w:r>
      <w:r>
        <w:rPr>
          <w:noProof/>
        </w:rPr>
      </w:r>
      <w:r>
        <w:rPr>
          <w:noProof/>
        </w:rPr>
        <w:fldChar w:fldCharType="separate"/>
      </w:r>
      <w:r>
        <w:rPr>
          <w:noProof/>
        </w:rPr>
        <w:t>119</w:t>
      </w:r>
      <w:r>
        <w:rPr>
          <w:noProof/>
        </w:rPr>
        <w:fldChar w:fldCharType="end"/>
      </w:r>
    </w:p>
    <w:p w14:paraId="56B3F7A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Functional analysis using QFAM</w:t>
      </w:r>
      <w:r>
        <w:rPr>
          <w:noProof/>
        </w:rPr>
        <w:tab/>
      </w:r>
      <w:r>
        <w:rPr>
          <w:noProof/>
        </w:rPr>
        <w:fldChar w:fldCharType="begin"/>
      </w:r>
      <w:r>
        <w:rPr>
          <w:noProof/>
        </w:rPr>
        <w:instrText xml:space="preserve"> PAGEREF _Toc296333743 \h </w:instrText>
      </w:r>
      <w:r>
        <w:rPr>
          <w:noProof/>
        </w:rPr>
      </w:r>
      <w:r>
        <w:rPr>
          <w:noProof/>
        </w:rPr>
        <w:fldChar w:fldCharType="separate"/>
      </w:r>
      <w:r>
        <w:rPr>
          <w:noProof/>
        </w:rPr>
        <w:t>122</w:t>
      </w:r>
      <w:r>
        <w:rPr>
          <w:noProof/>
        </w:rPr>
        <w:fldChar w:fldCharType="end"/>
      </w:r>
    </w:p>
    <w:p w14:paraId="51316224"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_Toc296333744 \h </w:instrText>
      </w:r>
      <w:r>
        <w:rPr>
          <w:noProof/>
        </w:rPr>
      </w:r>
      <w:r>
        <w:rPr>
          <w:noProof/>
        </w:rPr>
        <w:fldChar w:fldCharType="separate"/>
      </w:r>
      <w:r>
        <w:rPr>
          <w:noProof/>
        </w:rPr>
        <w:t>132</w:t>
      </w:r>
      <w:r>
        <w:rPr>
          <w:noProof/>
        </w:rPr>
        <w:fldChar w:fldCharType="end"/>
      </w:r>
    </w:p>
    <w:p w14:paraId="6E8EE50E" w14:textId="77777777" w:rsidR="004A715D" w:rsidRDefault="004A715D">
      <w:pPr>
        <w:pStyle w:val="TOC1"/>
        <w:rPr>
          <w:rFonts w:asciiTheme="minorHAnsi" w:eastAsiaTheme="minorEastAsia" w:hAnsiTheme="minorHAnsi" w:cstheme="minorBidi"/>
          <w:noProof/>
          <w:lang w:eastAsia="ja-JP"/>
        </w:rPr>
      </w:pPr>
      <w:r>
        <w:rPr>
          <w:noProof/>
        </w:rPr>
        <w:t xml:space="preserve">CHAPTER V </w:t>
      </w:r>
      <w:r w:rsidRPr="00461531">
        <w:rPr>
          <w:rFonts w:cs="Arial"/>
          <w:noProof/>
        </w:rPr>
        <w:t>APPLICATION CASE 2 – HUMAN DIET PROTEOME STUDY</w:t>
      </w:r>
      <w:r>
        <w:rPr>
          <w:noProof/>
        </w:rPr>
        <w:tab/>
      </w:r>
      <w:r>
        <w:rPr>
          <w:noProof/>
        </w:rPr>
        <w:fldChar w:fldCharType="begin"/>
      </w:r>
      <w:r>
        <w:rPr>
          <w:noProof/>
        </w:rPr>
        <w:instrText xml:space="preserve"> PAGEREF _Toc296333745 \h </w:instrText>
      </w:r>
      <w:r>
        <w:rPr>
          <w:noProof/>
        </w:rPr>
      </w:r>
      <w:r>
        <w:rPr>
          <w:noProof/>
        </w:rPr>
        <w:fldChar w:fldCharType="separate"/>
      </w:r>
      <w:r>
        <w:rPr>
          <w:noProof/>
        </w:rPr>
        <w:t>134</w:t>
      </w:r>
      <w:r>
        <w:rPr>
          <w:noProof/>
        </w:rPr>
        <w:fldChar w:fldCharType="end"/>
      </w:r>
    </w:p>
    <w:p w14:paraId="7AF62C17"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Introduction</w:t>
      </w:r>
      <w:r>
        <w:rPr>
          <w:noProof/>
        </w:rPr>
        <w:tab/>
      </w:r>
      <w:r>
        <w:rPr>
          <w:noProof/>
        </w:rPr>
        <w:fldChar w:fldCharType="begin"/>
      </w:r>
      <w:r>
        <w:rPr>
          <w:noProof/>
        </w:rPr>
        <w:instrText xml:space="preserve"> PAGEREF _Toc296333746 \h </w:instrText>
      </w:r>
      <w:r>
        <w:rPr>
          <w:noProof/>
        </w:rPr>
      </w:r>
      <w:r>
        <w:rPr>
          <w:noProof/>
        </w:rPr>
        <w:fldChar w:fldCharType="separate"/>
      </w:r>
      <w:r>
        <w:rPr>
          <w:noProof/>
        </w:rPr>
        <w:t>134</w:t>
      </w:r>
      <w:r>
        <w:rPr>
          <w:noProof/>
        </w:rPr>
        <w:fldChar w:fldCharType="end"/>
      </w:r>
    </w:p>
    <w:p w14:paraId="51065EAC"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Methods</w:t>
      </w:r>
      <w:r>
        <w:rPr>
          <w:noProof/>
        </w:rPr>
        <w:tab/>
      </w:r>
      <w:r>
        <w:rPr>
          <w:noProof/>
        </w:rPr>
        <w:fldChar w:fldCharType="begin"/>
      </w:r>
      <w:r>
        <w:rPr>
          <w:noProof/>
        </w:rPr>
        <w:instrText xml:space="preserve"> PAGEREF _Toc296333747 \h </w:instrText>
      </w:r>
      <w:r>
        <w:rPr>
          <w:noProof/>
        </w:rPr>
      </w:r>
      <w:r>
        <w:rPr>
          <w:noProof/>
        </w:rPr>
        <w:fldChar w:fldCharType="separate"/>
      </w:r>
      <w:r>
        <w:rPr>
          <w:noProof/>
        </w:rPr>
        <w:t>135</w:t>
      </w:r>
      <w:r>
        <w:rPr>
          <w:noProof/>
        </w:rPr>
        <w:fldChar w:fldCharType="end"/>
      </w:r>
    </w:p>
    <w:p w14:paraId="7C6AD11C"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Generation of Metaproteome data</w:t>
      </w:r>
      <w:r>
        <w:rPr>
          <w:noProof/>
        </w:rPr>
        <w:tab/>
      </w:r>
      <w:r>
        <w:rPr>
          <w:noProof/>
        </w:rPr>
        <w:fldChar w:fldCharType="begin"/>
      </w:r>
      <w:r>
        <w:rPr>
          <w:noProof/>
        </w:rPr>
        <w:instrText xml:space="preserve"> PAGEREF _Toc296333748 \h </w:instrText>
      </w:r>
      <w:r>
        <w:rPr>
          <w:noProof/>
        </w:rPr>
      </w:r>
      <w:r>
        <w:rPr>
          <w:noProof/>
        </w:rPr>
        <w:fldChar w:fldCharType="separate"/>
      </w:r>
      <w:r>
        <w:rPr>
          <w:noProof/>
        </w:rPr>
        <w:t>135</w:t>
      </w:r>
      <w:r>
        <w:rPr>
          <w:noProof/>
        </w:rPr>
        <w:fldChar w:fldCharType="end"/>
      </w:r>
    </w:p>
    <w:p w14:paraId="28E51D34"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Sample preparation and LC-MS/MS experiment</w:t>
      </w:r>
      <w:r>
        <w:rPr>
          <w:noProof/>
        </w:rPr>
        <w:tab/>
      </w:r>
      <w:r>
        <w:rPr>
          <w:noProof/>
        </w:rPr>
        <w:fldChar w:fldCharType="begin"/>
      </w:r>
      <w:r>
        <w:rPr>
          <w:noProof/>
        </w:rPr>
        <w:instrText xml:space="preserve"> PAGEREF _Toc296333749 \h </w:instrText>
      </w:r>
      <w:r>
        <w:rPr>
          <w:noProof/>
        </w:rPr>
      </w:r>
      <w:r>
        <w:rPr>
          <w:noProof/>
        </w:rPr>
        <w:fldChar w:fldCharType="separate"/>
      </w:r>
      <w:r>
        <w:rPr>
          <w:noProof/>
        </w:rPr>
        <w:t>137</w:t>
      </w:r>
      <w:r>
        <w:rPr>
          <w:noProof/>
        </w:rPr>
        <w:fldChar w:fldCharType="end"/>
      </w:r>
    </w:p>
    <w:p w14:paraId="789E1B72"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Quantitation and normalization of metaproteome data</w:t>
      </w:r>
      <w:r>
        <w:rPr>
          <w:noProof/>
        </w:rPr>
        <w:tab/>
      </w:r>
      <w:r>
        <w:rPr>
          <w:noProof/>
        </w:rPr>
        <w:fldChar w:fldCharType="begin"/>
      </w:r>
      <w:r>
        <w:rPr>
          <w:noProof/>
        </w:rPr>
        <w:instrText xml:space="preserve"> PAGEREF _Toc296333750 \h </w:instrText>
      </w:r>
      <w:r>
        <w:rPr>
          <w:noProof/>
        </w:rPr>
      </w:r>
      <w:r>
        <w:rPr>
          <w:noProof/>
        </w:rPr>
        <w:fldChar w:fldCharType="separate"/>
      </w:r>
      <w:r>
        <w:rPr>
          <w:noProof/>
        </w:rPr>
        <w:t>138</w:t>
      </w:r>
      <w:r>
        <w:rPr>
          <w:noProof/>
        </w:rPr>
        <w:fldChar w:fldCharType="end"/>
      </w:r>
    </w:p>
    <w:p w14:paraId="648FD029"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Quantitative analysis of metaproteome data</w:t>
      </w:r>
      <w:r>
        <w:rPr>
          <w:noProof/>
        </w:rPr>
        <w:tab/>
      </w:r>
      <w:r>
        <w:rPr>
          <w:noProof/>
        </w:rPr>
        <w:fldChar w:fldCharType="begin"/>
      </w:r>
      <w:r>
        <w:rPr>
          <w:noProof/>
        </w:rPr>
        <w:instrText xml:space="preserve"> PAGEREF _Toc296333751 \h </w:instrText>
      </w:r>
      <w:r>
        <w:rPr>
          <w:noProof/>
        </w:rPr>
      </w:r>
      <w:r>
        <w:rPr>
          <w:noProof/>
        </w:rPr>
        <w:fldChar w:fldCharType="separate"/>
      </w:r>
      <w:r>
        <w:rPr>
          <w:noProof/>
        </w:rPr>
        <w:t>139</w:t>
      </w:r>
      <w:r>
        <w:rPr>
          <w:noProof/>
        </w:rPr>
        <w:fldChar w:fldCharType="end"/>
      </w:r>
    </w:p>
    <w:p w14:paraId="7C319686"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Functional analysis of metaproteome data</w:t>
      </w:r>
      <w:r>
        <w:rPr>
          <w:noProof/>
        </w:rPr>
        <w:tab/>
      </w:r>
      <w:r>
        <w:rPr>
          <w:noProof/>
        </w:rPr>
        <w:fldChar w:fldCharType="begin"/>
      </w:r>
      <w:r>
        <w:rPr>
          <w:noProof/>
        </w:rPr>
        <w:instrText xml:space="preserve"> PAGEREF _Toc296333752 \h </w:instrText>
      </w:r>
      <w:r>
        <w:rPr>
          <w:noProof/>
        </w:rPr>
      </w:r>
      <w:r>
        <w:rPr>
          <w:noProof/>
        </w:rPr>
        <w:fldChar w:fldCharType="separate"/>
      </w:r>
      <w:r>
        <w:rPr>
          <w:noProof/>
        </w:rPr>
        <w:t>140</w:t>
      </w:r>
      <w:r>
        <w:rPr>
          <w:noProof/>
        </w:rPr>
        <w:fldChar w:fldCharType="end"/>
      </w:r>
    </w:p>
    <w:p w14:paraId="15688686"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lastRenderedPageBreak/>
        <w:t>Identification of translated-metagenome sequences</w:t>
      </w:r>
      <w:r>
        <w:rPr>
          <w:noProof/>
        </w:rPr>
        <w:tab/>
      </w:r>
      <w:r>
        <w:rPr>
          <w:noProof/>
        </w:rPr>
        <w:fldChar w:fldCharType="begin"/>
      </w:r>
      <w:r>
        <w:rPr>
          <w:noProof/>
        </w:rPr>
        <w:instrText xml:space="preserve"> PAGEREF _Toc296333753 \h </w:instrText>
      </w:r>
      <w:r>
        <w:rPr>
          <w:noProof/>
        </w:rPr>
      </w:r>
      <w:r>
        <w:rPr>
          <w:noProof/>
        </w:rPr>
        <w:fldChar w:fldCharType="separate"/>
      </w:r>
      <w:r>
        <w:rPr>
          <w:noProof/>
        </w:rPr>
        <w:t>142</w:t>
      </w:r>
      <w:r>
        <w:rPr>
          <w:noProof/>
        </w:rPr>
        <w:fldChar w:fldCharType="end"/>
      </w:r>
    </w:p>
    <w:p w14:paraId="65FD6F43"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Results</w:t>
      </w:r>
      <w:r>
        <w:rPr>
          <w:noProof/>
        </w:rPr>
        <w:tab/>
      </w:r>
      <w:r>
        <w:rPr>
          <w:noProof/>
        </w:rPr>
        <w:fldChar w:fldCharType="begin"/>
      </w:r>
      <w:r>
        <w:rPr>
          <w:noProof/>
        </w:rPr>
        <w:instrText xml:space="preserve"> PAGEREF _Toc296333754 \h </w:instrText>
      </w:r>
      <w:r>
        <w:rPr>
          <w:noProof/>
        </w:rPr>
      </w:r>
      <w:r>
        <w:rPr>
          <w:noProof/>
        </w:rPr>
        <w:fldChar w:fldCharType="separate"/>
      </w:r>
      <w:r>
        <w:rPr>
          <w:noProof/>
        </w:rPr>
        <w:t>142</w:t>
      </w:r>
      <w:r>
        <w:rPr>
          <w:noProof/>
        </w:rPr>
        <w:fldChar w:fldCharType="end"/>
      </w:r>
    </w:p>
    <w:p w14:paraId="46A23A1A"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Generation of diet metaproteome data</w:t>
      </w:r>
      <w:r>
        <w:rPr>
          <w:noProof/>
        </w:rPr>
        <w:tab/>
      </w:r>
      <w:r>
        <w:rPr>
          <w:noProof/>
        </w:rPr>
        <w:fldChar w:fldCharType="begin"/>
      </w:r>
      <w:r>
        <w:rPr>
          <w:noProof/>
        </w:rPr>
        <w:instrText xml:space="preserve"> PAGEREF _Toc296333755 \h </w:instrText>
      </w:r>
      <w:r>
        <w:rPr>
          <w:noProof/>
        </w:rPr>
      </w:r>
      <w:r>
        <w:rPr>
          <w:noProof/>
        </w:rPr>
        <w:fldChar w:fldCharType="separate"/>
      </w:r>
      <w:r>
        <w:rPr>
          <w:noProof/>
        </w:rPr>
        <w:t>142</w:t>
      </w:r>
      <w:r>
        <w:rPr>
          <w:noProof/>
        </w:rPr>
        <w:fldChar w:fldCharType="end"/>
      </w:r>
    </w:p>
    <w:p w14:paraId="589BCC57"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Construction of generalized linear mixed model</w:t>
      </w:r>
      <w:r>
        <w:rPr>
          <w:noProof/>
        </w:rPr>
        <w:tab/>
      </w:r>
      <w:r>
        <w:rPr>
          <w:noProof/>
        </w:rPr>
        <w:fldChar w:fldCharType="begin"/>
      </w:r>
      <w:r>
        <w:rPr>
          <w:noProof/>
        </w:rPr>
        <w:instrText xml:space="preserve"> PAGEREF _Toc296333756 \h </w:instrText>
      </w:r>
      <w:r>
        <w:rPr>
          <w:noProof/>
        </w:rPr>
      </w:r>
      <w:r>
        <w:rPr>
          <w:noProof/>
        </w:rPr>
        <w:fldChar w:fldCharType="separate"/>
      </w:r>
      <w:r>
        <w:rPr>
          <w:noProof/>
        </w:rPr>
        <w:t>145</w:t>
      </w:r>
      <w:r>
        <w:rPr>
          <w:noProof/>
        </w:rPr>
        <w:fldChar w:fldCharType="end"/>
      </w:r>
    </w:p>
    <w:p w14:paraId="6BFAF7B9" w14:textId="77777777" w:rsidR="004A715D" w:rsidRDefault="004A715D">
      <w:pPr>
        <w:pStyle w:val="TOC3"/>
        <w:tabs>
          <w:tab w:val="right" w:leader="dot" w:pos="8630"/>
        </w:tabs>
        <w:rPr>
          <w:rFonts w:asciiTheme="minorHAnsi" w:eastAsiaTheme="minorEastAsia" w:hAnsiTheme="minorHAnsi" w:cstheme="minorBidi"/>
          <w:noProof/>
          <w:lang w:eastAsia="ja-JP"/>
        </w:rPr>
      </w:pPr>
      <w:r>
        <w:rPr>
          <w:noProof/>
        </w:rPr>
        <w:t>Functional analysis using FAM</w:t>
      </w:r>
      <w:r>
        <w:rPr>
          <w:noProof/>
        </w:rPr>
        <w:tab/>
      </w:r>
      <w:r>
        <w:rPr>
          <w:noProof/>
        </w:rPr>
        <w:fldChar w:fldCharType="begin"/>
      </w:r>
      <w:r>
        <w:rPr>
          <w:noProof/>
        </w:rPr>
        <w:instrText xml:space="preserve"> PAGEREF _Toc296333757 \h </w:instrText>
      </w:r>
      <w:r>
        <w:rPr>
          <w:noProof/>
        </w:rPr>
      </w:r>
      <w:r>
        <w:rPr>
          <w:noProof/>
        </w:rPr>
        <w:fldChar w:fldCharType="separate"/>
      </w:r>
      <w:r>
        <w:rPr>
          <w:noProof/>
        </w:rPr>
        <w:t>149</w:t>
      </w:r>
      <w:r>
        <w:rPr>
          <w:noProof/>
        </w:rPr>
        <w:fldChar w:fldCharType="end"/>
      </w:r>
    </w:p>
    <w:p w14:paraId="15FE7769"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Conclusion</w:t>
      </w:r>
      <w:r>
        <w:rPr>
          <w:noProof/>
        </w:rPr>
        <w:tab/>
      </w:r>
      <w:r>
        <w:rPr>
          <w:noProof/>
        </w:rPr>
        <w:fldChar w:fldCharType="begin"/>
      </w:r>
      <w:r>
        <w:rPr>
          <w:noProof/>
        </w:rPr>
        <w:instrText xml:space="preserve"> PAGEREF _Toc296333758 \h </w:instrText>
      </w:r>
      <w:r>
        <w:rPr>
          <w:noProof/>
        </w:rPr>
      </w:r>
      <w:r>
        <w:rPr>
          <w:noProof/>
        </w:rPr>
        <w:fldChar w:fldCharType="separate"/>
      </w:r>
      <w:r>
        <w:rPr>
          <w:noProof/>
        </w:rPr>
        <w:t>161</w:t>
      </w:r>
      <w:r>
        <w:rPr>
          <w:noProof/>
        </w:rPr>
        <w:fldChar w:fldCharType="end"/>
      </w:r>
    </w:p>
    <w:p w14:paraId="5E37ACB7" w14:textId="77777777" w:rsidR="004A715D" w:rsidRDefault="004A715D">
      <w:pPr>
        <w:pStyle w:val="TOC1"/>
        <w:rPr>
          <w:rFonts w:asciiTheme="minorHAnsi" w:eastAsiaTheme="minorEastAsia" w:hAnsiTheme="minorHAnsi" w:cstheme="minorBidi"/>
          <w:noProof/>
          <w:lang w:eastAsia="ja-JP"/>
        </w:rPr>
      </w:pPr>
      <w:r w:rsidRPr="00461531">
        <w:rPr>
          <w:rFonts w:cs="Arial"/>
          <w:noProof/>
        </w:rPr>
        <w:t>CHAPTER VI Conclusions</w:t>
      </w:r>
      <w:r>
        <w:rPr>
          <w:noProof/>
        </w:rPr>
        <w:tab/>
      </w:r>
      <w:r>
        <w:rPr>
          <w:noProof/>
        </w:rPr>
        <w:fldChar w:fldCharType="begin"/>
      </w:r>
      <w:r>
        <w:rPr>
          <w:noProof/>
        </w:rPr>
        <w:instrText xml:space="preserve"> PAGEREF _Toc296333759 \h </w:instrText>
      </w:r>
      <w:r>
        <w:rPr>
          <w:noProof/>
        </w:rPr>
      </w:r>
      <w:r>
        <w:rPr>
          <w:noProof/>
        </w:rPr>
        <w:fldChar w:fldCharType="separate"/>
      </w:r>
      <w:r>
        <w:rPr>
          <w:noProof/>
        </w:rPr>
        <w:t>163</w:t>
      </w:r>
      <w:r>
        <w:rPr>
          <w:noProof/>
        </w:rPr>
        <w:fldChar w:fldCharType="end"/>
      </w:r>
    </w:p>
    <w:p w14:paraId="18E9E3D1"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Significance of QFAM in metaproteomics analysis tools</w:t>
      </w:r>
      <w:r>
        <w:rPr>
          <w:noProof/>
        </w:rPr>
        <w:tab/>
      </w:r>
      <w:r>
        <w:rPr>
          <w:noProof/>
        </w:rPr>
        <w:fldChar w:fldCharType="begin"/>
      </w:r>
      <w:r>
        <w:rPr>
          <w:noProof/>
        </w:rPr>
        <w:instrText xml:space="preserve"> PAGEREF _Toc296333760 \h </w:instrText>
      </w:r>
      <w:r>
        <w:rPr>
          <w:noProof/>
        </w:rPr>
      </w:r>
      <w:r>
        <w:rPr>
          <w:noProof/>
        </w:rPr>
        <w:fldChar w:fldCharType="separate"/>
      </w:r>
      <w:r>
        <w:rPr>
          <w:noProof/>
        </w:rPr>
        <w:t>163</w:t>
      </w:r>
      <w:r>
        <w:rPr>
          <w:noProof/>
        </w:rPr>
        <w:fldChar w:fldCharType="end"/>
      </w:r>
    </w:p>
    <w:p w14:paraId="5FD57BA7" w14:textId="77777777" w:rsidR="004A715D" w:rsidRDefault="004A715D">
      <w:pPr>
        <w:pStyle w:val="TOC2"/>
        <w:tabs>
          <w:tab w:val="right" w:leader="dot" w:pos="8630"/>
        </w:tabs>
        <w:rPr>
          <w:rFonts w:asciiTheme="minorHAnsi" w:eastAsiaTheme="minorEastAsia" w:hAnsiTheme="minorHAnsi" w:cstheme="minorBidi"/>
          <w:noProof/>
          <w:lang w:eastAsia="ja-JP"/>
        </w:rPr>
      </w:pPr>
      <w:r>
        <w:rPr>
          <w:noProof/>
        </w:rPr>
        <w:t>Future direction of QFAM</w:t>
      </w:r>
      <w:r>
        <w:rPr>
          <w:noProof/>
        </w:rPr>
        <w:tab/>
      </w:r>
      <w:r>
        <w:rPr>
          <w:noProof/>
        </w:rPr>
        <w:fldChar w:fldCharType="begin"/>
      </w:r>
      <w:r>
        <w:rPr>
          <w:noProof/>
        </w:rPr>
        <w:instrText xml:space="preserve"> PAGEREF _Toc296333761 \h </w:instrText>
      </w:r>
      <w:r>
        <w:rPr>
          <w:noProof/>
        </w:rPr>
      </w:r>
      <w:r>
        <w:rPr>
          <w:noProof/>
        </w:rPr>
        <w:fldChar w:fldCharType="separate"/>
      </w:r>
      <w:r>
        <w:rPr>
          <w:noProof/>
        </w:rPr>
        <w:t>163</w:t>
      </w:r>
      <w:r>
        <w:rPr>
          <w:noProof/>
        </w:rPr>
        <w:fldChar w:fldCharType="end"/>
      </w:r>
    </w:p>
    <w:p w14:paraId="1BF58E63" w14:textId="77777777" w:rsidR="004A715D" w:rsidRDefault="004A715D">
      <w:pPr>
        <w:pStyle w:val="TOC1"/>
        <w:rPr>
          <w:rFonts w:asciiTheme="minorHAnsi" w:eastAsiaTheme="minorEastAsia" w:hAnsiTheme="minorHAnsi" w:cstheme="minorBidi"/>
          <w:noProof/>
          <w:lang w:eastAsia="ja-JP"/>
        </w:rPr>
      </w:pPr>
      <w:r w:rsidRPr="00461531">
        <w:rPr>
          <w:rFonts w:cs="Arial"/>
          <w:noProof/>
        </w:rPr>
        <w:t>LIST OF REFERENCES</w:t>
      </w:r>
      <w:r>
        <w:rPr>
          <w:noProof/>
        </w:rPr>
        <w:tab/>
      </w:r>
      <w:r>
        <w:rPr>
          <w:noProof/>
        </w:rPr>
        <w:fldChar w:fldCharType="begin"/>
      </w:r>
      <w:r>
        <w:rPr>
          <w:noProof/>
        </w:rPr>
        <w:instrText xml:space="preserve"> PAGEREF _Toc296333762 \h </w:instrText>
      </w:r>
      <w:r>
        <w:rPr>
          <w:noProof/>
        </w:rPr>
      </w:r>
      <w:r>
        <w:rPr>
          <w:noProof/>
        </w:rPr>
        <w:fldChar w:fldCharType="separate"/>
      </w:r>
      <w:r>
        <w:rPr>
          <w:noProof/>
        </w:rPr>
        <w:t>164</w:t>
      </w:r>
      <w:r>
        <w:rPr>
          <w:noProof/>
        </w:rPr>
        <w:fldChar w:fldCharType="end"/>
      </w:r>
    </w:p>
    <w:p w14:paraId="366421D7" w14:textId="77777777" w:rsidR="004A715D" w:rsidRDefault="004A715D">
      <w:pPr>
        <w:pStyle w:val="TOC1"/>
        <w:rPr>
          <w:rFonts w:asciiTheme="minorHAnsi" w:eastAsiaTheme="minorEastAsia" w:hAnsiTheme="minorHAnsi" w:cstheme="minorBidi"/>
          <w:noProof/>
          <w:lang w:eastAsia="ja-JP"/>
        </w:rPr>
      </w:pPr>
      <w:r w:rsidRPr="00461531">
        <w:rPr>
          <w:rFonts w:cs="Arial"/>
          <w:noProof/>
        </w:rPr>
        <w:t>APPENDIX</w:t>
      </w:r>
      <w:r>
        <w:rPr>
          <w:noProof/>
        </w:rPr>
        <w:tab/>
      </w:r>
      <w:r>
        <w:rPr>
          <w:noProof/>
        </w:rPr>
        <w:fldChar w:fldCharType="begin"/>
      </w:r>
      <w:r>
        <w:rPr>
          <w:noProof/>
        </w:rPr>
        <w:instrText xml:space="preserve"> PAGEREF _Toc296333763 \h </w:instrText>
      </w:r>
      <w:r>
        <w:rPr>
          <w:noProof/>
        </w:rPr>
      </w:r>
      <w:r>
        <w:rPr>
          <w:noProof/>
        </w:rPr>
        <w:fldChar w:fldCharType="separate"/>
      </w:r>
      <w:r>
        <w:rPr>
          <w:noProof/>
        </w:rPr>
        <w:t>175</w:t>
      </w:r>
      <w:r>
        <w:rPr>
          <w:noProof/>
        </w:rPr>
        <w:fldChar w:fldCharType="end"/>
      </w:r>
    </w:p>
    <w:p w14:paraId="75B98249" w14:textId="7C95BD82" w:rsidR="00236E6D" w:rsidRPr="004030F5" w:rsidRDefault="00665C7E" w:rsidP="000A35F6">
      <w:pPr>
        <w:numPr>
          <w:ilvl w:val="12"/>
          <w:numId w:val="0"/>
        </w:numPr>
        <w:spacing w:line="480" w:lineRule="auto"/>
        <w:jc w:val="center"/>
        <w:rPr>
          <w:rFonts w:cs="Arial"/>
          <w:b/>
          <w:bCs/>
          <w:sz w:val="28"/>
          <w:szCs w:val="28"/>
        </w:rPr>
      </w:pPr>
      <w:r w:rsidRPr="004030F5">
        <w:rPr>
          <w:rFonts w:cs="Arial"/>
        </w:rPr>
        <w:fldChar w:fldCharType="end"/>
      </w:r>
      <w:r w:rsidR="009C755C" w:rsidRPr="004030F5">
        <w:rPr>
          <w:rFonts w:cs="Arial"/>
          <w:b/>
          <w:bCs/>
          <w:sz w:val="28"/>
          <w:szCs w:val="28"/>
        </w:rPr>
        <w:br w:type="page"/>
      </w:r>
      <w:r w:rsidR="00236E6D" w:rsidRPr="004030F5">
        <w:rPr>
          <w:rFonts w:cs="Arial"/>
          <w:b/>
          <w:bCs/>
          <w:sz w:val="28"/>
          <w:szCs w:val="28"/>
        </w:rPr>
        <w:lastRenderedPageBreak/>
        <w:t>LIST OF TABLES</w:t>
      </w:r>
    </w:p>
    <w:p w14:paraId="68C8221A" w14:textId="77777777" w:rsidR="00236E6D" w:rsidRPr="004030F5" w:rsidRDefault="00236E6D" w:rsidP="003E7750">
      <w:pPr>
        <w:numPr>
          <w:ilvl w:val="12"/>
          <w:numId w:val="0"/>
        </w:numPr>
        <w:spacing w:line="480" w:lineRule="auto"/>
        <w:jc w:val="center"/>
        <w:rPr>
          <w:rFonts w:cs="Arial"/>
        </w:rPr>
      </w:pPr>
    </w:p>
    <w:p w14:paraId="60D13BC0" w14:textId="77777777" w:rsidR="00236E6D" w:rsidRPr="004030F5" w:rsidRDefault="00236E6D" w:rsidP="00460CE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cs="Arial"/>
        </w:rPr>
      </w:pPr>
    </w:p>
    <w:p w14:paraId="145A7BA1" w14:textId="77777777" w:rsidR="00A41E9D" w:rsidRDefault="00665C7E">
      <w:pPr>
        <w:pStyle w:val="TableofFigures"/>
        <w:tabs>
          <w:tab w:val="right" w:leader="dot" w:pos="8630"/>
        </w:tabs>
        <w:rPr>
          <w:rFonts w:asciiTheme="minorHAnsi" w:eastAsiaTheme="minorEastAsia" w:hAnsiTheme="minorHAnsi" w:cstheme="minorBidi"/>
          <w:noProof/>
          <w:lang w:eastAsia="ja-JP"/>
        </w:rPr>
      </w:pPr>
      <w:r w:rsidRPr="004030F5">
        <w:rPr>
          <w:rFonts w:cs="Arial"/>
        </w:rPr>
        <w:fldChar w:fldCharType="begin"/>
      </w:r>
      <w:r w:rsidR="00236E6D" w:rsidRPr="004030F5">
        <w:rPr>
          <w:rFonts w:cs="Arial"/>
        </w:rPr>
        <w:instrText xml:space="preserve"> TOC \h \z \c "Table" </w:instrText>
      </w:r>
      <w:r w:rsidRPr="004030F5">
        <w:rPr>
          <w:rFonts w:cs="Arial"/>
        </w:rPr>
        <w:fldChar w:fldCharType="separate"/>
      </w:r>
      <w:r w:rsidR="00A41E9D" w:rsidRPr="008B71F7">
        <w:rPr>
          <w:rFonts w:cs="Arial"/>
          <w:noProof/>
        </w:rPr>
        <w:t>Table 1 Various proteases.  This table is adapted from the website, http://www.proteinsandproteomics.org/content/free/tables_1/table11.pdf.</w:t>
      </w:r>
      <w:r w:rsidR="00A41E9D">
        <w:rPr>
          <w:noProof/>
        </w:rPr>
        <w:tab/>
      </w:r>
      <w:r w:rsidR="00A41E9D">
        <w:rPr>
          <w:noProof/>
        </w:rPr>
        <w:fldChar w:fldCharType="begin"/>
      </w:r>
      <w:r w:rsidR="00A41E9D">
        <w:rPr>
          <w:noProof/>
        </w:rPr>
        <w:instrText xml:space="preserve"> PAGEREF _Toc296333073 \h </w:instrText>
      </w:r>
      <w:r w:rsidR="00A41E9D">
        <w:rPr>
          <w:noProof/>
        </w:rPr>
      </w:r>
      <w:r w:rsidR="00A41E9D">
        <w:rPr>
          <w:noProof/>
        </w:rPr>
        <w:fldChar w:fldCharType="separate"/>
      </w:r>
      <w:r w:rsidR="00A41E9D">
        <w:rPr>
          <w:noProof/>
        </w:rPr>
        <w:t>7</w:t>
      </w:r>
      <w:r w:rsidR="00A41E9D">
        <w:rPr>
          <w:noProof/>
        </w:rPr>
        <w:fldChar w:fldCharType="end"/>
      </w:r>
    </w:p>
    <w:p w14:paraId="6E459A7D"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8B71F7">
        <w:rPr>
          <w:rFonts w:cs="Arial"/>
          <w:noProof/>
        </w:rPr>
        <w:t>Table 2 Accuracy and quantitative coverage of various labeling method in proteomics.  This table was adapted from Bantscheff et al [36].</w:t>
      </w:r>
      <w:r>
        <w:rPr>
          <w:noProof/>
        </w:rPr>
        <w:tab/>
      </w:r>
      <w:r>
        <w:rPr>
          <w:noProof/>
        </w:rPr>
        <w:fldChar w:fldCharType="begin"/>
      </w:r>
      <w:r>
        <w:rPr>
          <w:noProof/>
        </w:rPr>
        <w:instrText xml:space="preserve"> PAGEREF _Toc296333074 \h </w:instrText>
      </w:r>
      <w:r>
        <w:rPr>
          <w:noProof/>
        </w:rPr>
      </w:r>
      <w:r>
        <w:rPr>
          <w:noProof/>
        </w:rPr>
        <w:fldChar w:fldCharType="separate"/>
      </w:r>
      <w:r>
        <w:rPr>
          <w:noProof/>
        </w:rPr>
        <w:t>18</w:t>
      </w:r>
      <w:r>
        <w:rPr>
          <w:noProof/>
        </w:rPr>
        <w:fldChar w:fldCharType="end"/>
      </w:r>
    </w:p>
    <w:p w14:paraId="7F44A6CA"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3 MyriMatch search time. </w:t>
      </w:r>
      <w:r w:rsidRPr="008B71F7">
        <w:rPr>
          <w:noProof/>
        </w:rPr>
        <w:t>This table was adapted from Gross et al [87].</w:t>
      </w:r>
      <w:r>
        <w:rPr>
          <w:noProof/>
        </w:rPr>
        <w:tab/>
      </w:r>
      <w:r>
        <w:rPr>
          <w:noProof/>
        </w:rPr>
        <w:fldChar w:fldCharType="begin"/>
      </w:r>
      <w:r>
        <w:rPr>
          <w:noProof/>
        </w:rPr>
        <w:instrText xml:space="preserve"> PAGEREF _Toc296333075 \h </w:instrText>
      </w:r>
      <w:r>
        <w:rPr>
          <w:noProof/>
        </w:rPr>
      </w:r>
      <w:r>
        <w:rPr>
          <w:noProof/>
        </w:rPr>
        <w:fldChar w:fldCharType="separate"/>
      </w:r>
      <w:r>
        <w:rPr>
          <w:noProof/>
        </w:rPr>
        <w:t>48</w:t>
      </w:r>
      <w:r>
        <w:rPr>
          <w:noProof/>
        </w:rPr>
        <w:fldChar w:fldCharType="end"/>
      </w:r>
    </w:p>
    <w:p w14:paraId="07BF9D7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4 MyriMatch run time in Newton cluster.  </w:t>
      </w:r>
      <w:r w:rsidRPr="008B71F7">
        <w:rPr>
          <w:noProof/>
        </w:rPr>
        <w:t>We tested MyriMatch for 500 megabytes protein DB, containing 176,620 proteins, to search 41,079 peaks.  Increasing the number of CPU cores dramatically decreases running time.</w:t>
      </w:r>
      <w:r>
        <w:rPr>
          <w:noProof/>
        </w:rPr>
        <w:tab/>
      </w:r>
      <w:r>
        <w:rPr>
          <w:noProof/>
        </w:rPr>
        <w:fldChar w:fldCharType="begin"/>
      </w:r>
      <w:r>
        <w:rPr>
          <w:noProof/>
        </w:rPr>
        <w:instrText xml:space="preserve"> PAGEREF _Toc296333076 \h </w:instrText>
      </w:r>
      <w:r>
        <w:rPr>
          <w:noProof/>
        </w:rPr>
      </w:r>
      <w:r>
        <w:rPr>
          <w:noProof/>
        </w:rPr>
        <w:fldChar w:fldCharType="separate"/>
      </w:r>
      <w:r>
        <w:rPr>
          <w:noProof/>
        </w:rPr>
        <w:t>48</w:t>
      </w:r>
      <w:r>
        <w:rPr>
          <w:noProof/>
        </w:rPr>
        <w:fldChar w:fldCharType="end"/>
      </w:r>
    </w:p>
    <w:p w14:paraId="5D09222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Table 5 Run time of LC-MS/MS data analysis in the pipeline.</w:t>
      </w:r>
      <w:r>
        <w:rPr>
          <w:noProof/>
        </w:rPr>
        <w:tab/>
      </w:r>
      <w:r>
        <w:rPr>
          <w:noProof/>
        </w:rPr>
        <w:fldChar w:fldCharType="begin"/>
      </w:r>
      <w:r>
        <w:rPr>
          <w:noProof/>
        </w:rPr>
        <w:instrText xml:space="preserve"> PAGEREF _Toc296333077 \h </w:instrText>
      </w:r>
      <w:r>
        <w:rPr>
          <w:noProof/>
        </w:rPr>
      </w:r>
      <w:r>
        <w:rPr>
          <w:noProof/>
        </w:rPr>
        <w:fldChar w:fldCharType="separate"/>
      </w:r>
      <w:r>
        <w:rPr>
          <w:noProof/>
        </w:rPr>
        <w:t>49</w:t>
      </w:r>
      <w:r>
        <w:rPr>
          <w:noProof/>
        </w:rPr>
        <w:fldChar w:fldCharType="end"/>
      </w:r>
    </w:p>
    <w:p w14:paraId="4270A51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6 Example result of the QAM.  </w:t>
      </w:r>
      <w:r w:rsidRPr="008B71F7">
        <w:rPr>
          <w:noProof/>
        </w:rPr>
        <w:t xml:space="preserve">Cohens_W: Cohen’s </w:t>
      </w:r>
      <w:r w:rsidRPr="008B71F7">
        <w:rPr>
          <w:i/>
          <w:noProof/>
        </w:rPr>
        <w:t>w</w:t>
      </w:r>
      <w:r w:rsidRPr="008B71F7">
        <w:rPr>
          <w:noProof/>
        </w:rPr>
        <w:t xml:space="preserve">, Cohens_F: Cohen’s </w:t>
      </w:r>
      <w:r w:rsidRPr="008B71F7">
        <w:rPr>
          <w:i/>
          <w:noProof/>
        </w:rPr>
        <w:t>f</w:t>
      </w:r>
      <w:r w:rsidRPr="008B71F7">
        <w:rPr>
          <w:noProof/>
        </w:rPr>
        <w:t>, Max_FC: maximum fold change, QP_Pval_adjusted: adjusted p-value from quasi-Poisson model, NB_Pval_adjusted: adjusted p-value from negative binomial model and Normal_Pval_adjusted: adjusted p-value from Normal ANOVA model.</w:t>
      </w:r>
      <w:r>
        <w:rPr>
          <w:noProof/>
        </w:rPr>
        <w:tab/>
      </w:r>
      <w:r>
        <w:rPr>
          <w:noProof/>
        </w:rPr>
        <w:fldChar w:fldCharType="begin"/>
      </w:r>
      <w:r>
        <w:rPr>
          <w:noProof/>
        </w:rPr>
        <w:instrText xml:space="preserve"> PAGEREF _Toc296333078 \h </w:instrText>
      </w:r>
      <w:r>
        <w:rPr>
          <w:noProof/>
        </w:rPr>
      </w:r>
      <w:r>
        <w:rPr>
          <w:noProof/>
        </w:rPr>
        <w:fldChar w:fldCharType="separate"/>
      </w:r>
      <w:r>
        <w:rPr>
          <w:noProof/>
        </w:rPr>
        <w:t>55</w:t>
      </w:r>
      <w:r>
        <w:rPr>
          <w:noProof/>
        </w:rPr>
        <w:fldChar w:fldCharType="end"/>
      </w:r>
    </w:p>
    <w:p w14:paraId="767A122F"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7 An example contingency table for one pathways ID of the enrichment test of FAM.  </w:t>
      </w:r>
      <w:r w:rsidRPr="008B71F7">
        <w:rPr>
          <w:noProof/>
        </w:rPr>
        <w:t>Numbers in every cell are the number of proteins.</w:t>
      </w:r>
      <w:r>
        <w:rPr>
          <w:noProof/>
        </w:rPr>
        <w:tab/>
      </w:r>
      <w:r>
        <w:rPr>
          <w:noProof/>
        </w:rPr>
        <w:fldChar w:fldCharType="begin"/>
      </w:r>
      <w:r>
        <w:rPr>
          <w:noProof/>
        </w:rPr>
        <w:instrText xml:space="preserve"> PAGEREF _Toc296333079 \h </w:instrText>
      </w:r>
      <w:r>
        <w:rPr>
          <w:noProof/>
        </w:rPr>
      </w:r>
      <w:r>
        <w:rPr>
          <w:noProof/>
        </w:rPr>
        <w:fldChar w:fldCharType="separate"/>
      </w:r>
      <w:r>
        <w:rPr>
          <w:noProof/>
        </w:rPr>
        <w:t>62</w:t>
      </w:r>
      <w:r>
        <w:rPr>
          <w:noProof/>
        </w:rPr>
        <w:fldChar w:fldCharType="end"/>
      </w:r>
    </w:p>
    <w:p w14:paraId="44188312"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8 Example result of FAM.  </w:t>
      </w:r>
      <w:r w:rsidRPr="008B71F7">
        <w:rPr>
          <w:noProof/>
        </w:rPr>
        <w:t xml:space="preserve">FAM provides three statistics, adjusted p-value of enrichment test and significance test and effect size.  The table is filtered pathways from whole FAM analysis result (pathway = KEGG, p-value adjustment method = FDR, significance test method = quasi-Poisson and Cohen’s </w:t>
      </w:r>
      <w:r w:rsidRPr="008B71F7">
        <w:rPr>
          <w:i/>
          <w:noProof/>
        </w:rPr>
        <w:t>f</w:t>
      </w:r>
      <w:r w:rsidRPr="008B71F7">
        <w:rPr>
          <w:noProof/>
        </w:rPr>
        <w:t>, enrichment test p-value &lt; 0.05, significance test p-value &lt; 0.05 and 80% statistical power.  # of proteins: the number of proteins</w:t>
      </w:r>
      <w:r>
        <w:rPr>
          <w:noProof/>
        </w:rPr>
        <w:tab/>
      </w:r>
      <w:r>
        <w:rPr>
          <w:noProof/>
        </w:rPr>
        <w:fldChar w:fldCharType="begin"/>
      </w:r>
      <w:r>
        <w:rPr>
          <w:noProof/>
        </w:rPr>
        <w:instrText xml:space="preserve"> PAGEREF _Toc296333080 \h </w:instrText>
      </w:r>
      <w:r>
        <w:rPr>
          <w:noProof/>
        </w:rPr>
      </w:r>
      <w:r>
        <w:rPr>
          <w:noProof/>
        </w:rPr>
        <w:fldChar w:fldCharType="separate"/>
      </w:r>
      <w:r>
        <w:rPr>
          <w:noProof/>
        </w:rPr>
        <w:t>63</w:t>
      </w:r>
      <w:r>
        <w:rPr>
          <w:noProof/>
        </w:rPr>
        <w:fldChar w:fldCharType="end"/>
      </w:r>
    </w:p>
    <w:p w14:paraId="7B6915E3"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9 Comparison of the number annotated proteins between KEGG pathway and COG.  </w:t>
      </w:r>
      <w:r w:rsidRPr="008B71F7">
        <w:rPr>
          <w:noProof/>
        </w:rPr>
        <w:t>Total number of identified microbial proteins is 5,354.</w:t>
      </w:r>
      <w:r>
        <w:rPr>
          <w:noProof/>
        </w:rPr>
        <w:tab/>
      </w:r>
      <w:r>
        <w:rPr>
          <w:noProof/>
        </w:rPr>
        <w:fldChar w:fldCharType="begin"/>
      </w:r>
      <w:r>
        <w:rPr>
          <w:noProof/>
        </w:rPr>
        <w:instrText xml:space="preserve"> PAGEREF _Toc296333081 \h </w:instrText>
      </w:r>
      <w:r>
        <w:rPr>
          <w:noProof/>
        </w:rPr>
      </w:r>
      <w:r>
        <w:rPr>
          <w:noProof/>
        </w:rPr>
        <w:fldChar w:fldCharType="separate"/>
      </w:r>
      <w:r>
        <w:rPr>
          <w:noProof/>
        </w:rPr>
        <w:t>64</w:t>
      </w:r>
      <w:r>
        <w:rPr>
          <w:noProof/>
        </w:rPr>
        <w:fldChar w:fldCharType="end"/>
      </w:r>
    </w:p>
    <w:p w14:paraId="0979A931"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10 An example contingency table for one COG ID of the enrichment test of FAM.  </w:t>
      </w:r>
      <w:r w:rsidRPr="008B71F7">
        <w:rPr>
          <w:noProof/>
        </w:rPr>
        <w:t>Numbers in every cell are the number proteins.</w:t>
      </w:r>
      <w:r>
        <w:rPr>
          <w:noProof/>
        </w:rPr>
        <w:tab/>
      </w:r>
      <w:r>
        <w:rPr>
          <w:noProof/>
        </w:rPr>
        <w:fldChar w:fldCharType="begin"/>
      </w:r>
      <w:r>
        <w:rPr>
          <w:noProof/>
        </w:rPr>
        <w:instrText xml:space="preserve"> PAGEREF _Toc296333082 \h </w:instrText>
      </w:r>
      <w:r>
        <w:rPr>
          <w:noProof/>
        </w:rPr>
      </w:r>
      <w:r>
        <w:rPr>
          <w:noProof/>
        </w:rPr>
        <w:fldChar w:fldCharType="separate"/>
      </w:r>
      <w:r>
        <w:rPr>
          <w:noProof/>
        </w:rPr>
        <w:t>68</w:t>
      </w:r>
      <w:r>
        <w:rPr>
          <w:noProof/>
        </w:rPr>
        <w:fldChar w:fldCharType="end"/>
      </w:r>
    </w:p>
    <w:p w14:paraId="1B5C7CDE"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11 Example result of COG analysis in FAM.  </w:t>
      </w:r>
      <w:r w:rsidRPr="008B71F7">
        <w:rPr>
          <w:noProof/>
        </w:rPr>
        <w:t>Same threshold was applied to BioSystem analysis in table 8.  Func. cat.: COG functional category</w:t>
      </w:r>
      <w:r>
        <w:rPr>
          <w:noProof/>
        </w:rPr>
        <w:tab/>
      </w:r>
      <w:r>
        <w:rPr>
          <w:noProof/>
        </w:rPr>
        <w:fldChar w:fldCharType="begin"/>
      </w:r>
      <w:r>
        <w:rPr>
          <w:noProof/>
        </w:rPr>
        <w:instrText xml:space="preserve"> PAGEREF _Toc296333083 \h </w:instrText>
      </w:r>
      <w:r>
        <w:rPr>
          <w:noProof/>
        </w:rPr>
      </w:r>
      <w:r>
        <w:rPr>
          <w:noProof/>
        </w:rPr>
        <w:fldChar w:fldCharType="separate"/>
      </w:r>
      <w:r>
        <w:rPr>
          <w:noProof/>
        </w:rPr>
        <w:t>69</w:t>
      </w:r>
      <w:r>
        <w:rPr>
          <w:noProof/>
        </w:rPr>
        <w:fldChar w:fldCharType="end"/>
      </w:r>
    </w:p>
    <w:p w14:paraId="462F0FBD"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12 Six methods used for comparing Cohen’s ES and FC.  </w:t>
      </w:r>
      <w:r w:rsidRPr="008B71F7">
        <w:rPr>
          <w:noProof/>
        </w:rPr>
        <w:t>Three probability models, widely used in biological data analysis, were employed for comparison of Cohen’s ES with FC.  Abbreviations denoting model and ES are summarized at the table with used thresholds.</w:t>
      </w:r>
      <w:r>
        <w:rPr>
          <w:noProof/>
        </w:rPr>
        <w:tab/>
      </w:r>
      <w:r>
        <w:rPr>
          <w:noProof/>
        </w:rPr>
        <w:fldChar w:fldCharType="begin"/>
      </w:r>
      <w:r>
        <w:rPr>
          <w:noProof/>
        </w:rPr>
        <w:instrText xml:space="preserve"> PAGEREF _Toc296333084 \h </w:instrText>
      </w:r>
      <w:r>
        <w:rPr>
          <w:noProof/>
        </w:rPr>
      </w:r>
      <w:r>
        <w:rPr>
          <w:noProof/>
        </w:rPr>
        <w:fldChar w:fldCharType="separate"/>
      </w:r>
      <w:r>
        <w:rPr>
          <w:noProof/>
        </w:rPr>
        <w:t>88</w:t>
      </w:r>
      <w:r>
        <w:rPr>
          <w:noProof/>
        </w:rPr>
        <w:fldChar w:fldCharType="end"/>
      </w:r>
    </w:p>
    <w:p w14:paraId="167B9D41"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lastRenderedPageBreak/>
        <w:t xml:space="preserve">Table 13 Comparison of MS runs of fecal sample and PBMC.  </w:t>
      </w:r>
      <w:r w:rsidRPr="008B71F7">
        <w:rPr>
          <w:noProof/>
        </w:rPr>
        <w:t>The number of identified proteins was counted for fecal human, microbiome and PBMC human data.  Unshared proteins are proteins uniquely identified in only one sample.</w:t>
      </w:r>
      <w:r>
        <w:rPr>
          <w:noProof/>
        </w:rPr>
        <w:tab/>
      </w:r>
      <w:r>
        <w:rPr>
          <w:noProof/>
        </w:rPr>
        <w:fldChar w:fldCharType="begin"/>
      </w:r>
      <w:r>
        <w:rPr>
          <w:noProof/>
        </w:rPr>
        <w:instrText xml:space="preserve"> PAGEREF _Toc296333085 \h </w:instrText>
      </w:r>
      <w:r>
        <w:rPr>
          <w:noProof/>
        </w:rPr>
      </w:r>
      <w:r>
        <w:rPr>
          <w:noProof/>
        </w:rPr>
        <w:fldChar w:fldCharType="separate"/>
      </w:r>
      <w:r>
        <w:rPr>
          <w:noProof/>
        </w:rPr>
        <w:t>105</w:t>
      </w:r>
      <w:r>
        <w:rPr>
          <w:noProof/>
        </w:rPr>
        <w:fldChar w:fldCharType="end"/>
      </w:r>
    </w:p>
    <w:p w14:paraId="1F4C870E"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Table 14 Protein identification frequency in fecal and PBMC proteomes.</w:t>
      </w:r>
      <w:r>
        <w:rPr>
          <w:noProof/>
        </w:rPr>
        <w:tab/>
      </w:r>
      <w:r>
        <w:rPr>
          <w:noProof/>
        </w:rPr>
        <w:fldChar w:fldCharType="begin"/>
      </w:r>
      <w:r>
        <w:rPr>
          <w:noProof/>
        </w:rPr>
        <w:instrText xml:space="preserve"> PAGEREF _Toc296333086 \h </w:instrText>
      </w:r>
      <w:r>
        <w:rPr>
          <w:noProof/>
        </w:rPr>
      </w:r>
      <w:r>
        <w:rPr>
          <w:noProof/>
        </w:rPr>
        <w:fldChar w:fldCharType="separate"/>
      </w:r>
      <w:r>
        <w:rPr>
          <w:noProof/>
        </w:rPr>
        <w:t>110</w:t>
      </w:r>
      <w:r>
        <w:rPr>
          <w:noProof/>
        </w:rPr>
        <w:fldChar w:fldCharType="end"/>
      </w:r>
    </w:p>
    <w:p w14:paraId="55E5DFA7"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15 Top 25 abundant human proteins in 11 fecal samples. </w:t>
      </w:r>
      <w:r w:rsidRPr="008B71F7">
        <w:rPr>
          <w:noProof/>
        </w:rPr>
        <w:t>* means immune response related proteins.  Frequency is identification frequency in 11 fecal samples of healthy volunteers.  Sum of SC is total count of SC from 29 MS runs.</w:t>
      </w:r>
      <w:r>
        <w:rPr>
          <w:noProof/>
        </w:rPr>
        <w:tab/>
      </w:r>
      <w:r>
        <w:rPr>
          <w:noProof/>
        </w:rPr>
        <w:fldChar w:fldCharType="begin"/>
      </w:r>
      <w:r>
        <w:rPr>
          <w:noProof/>
        </w:rPr>
        <w:instrText xml:space="preserve"> PAGEREF _Toc296333087 \h </w:instrText>
      </w:r>
      <w:r>
        <w:rPr>
          <w:noProof/>
        </w:rPr>
      </w:r>
      <w:r>
        <w:rPr>
          <w:noProof/>
        </w:rPr>
        <w:fldChar w:fldCharType="separate"/>
      </w:r>
      <w:r>
        <w:rPr>
          <w:noProof/>
        </w:rPr>
        <w:t>112</w:t>
      </w:r>
      <w:r>
        <w:rPr>
          <w:noProof/>
        </w:rPr>
        <w:fldChar w:fldCharType="end"/>
      </w:r>
    </w:p>
    <w:p w14:paraId="6EC1F304"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16 Top 25 abundant immune response proteins in 11 fecal samples.  </w:t>
      </w:r>
      <w:r w:rsidRPr="008B71F7">
        <w:rPr>
          <w:noProof/>
        </w:rPr>
        <w:t>Frequency is identification frequency in 11 fecal samples of healthy volunteers.  Sum of SC is total count of SC from 29 MS runs.</w:t>
      </w:r>
      <w:r>
        <w:rPr>
          <w:noProof/>
        </w:rPr>
        <w:tab/>
      </w:r>
      <w:r>
        <w:rPr>
          <w:noProof/>
        </w:rPr>
        <w:fldChar w:fldCharType="begin"/>
      </w:r>
      <w:r>
        <w:rPr>
          <w:noProof/>
        </w:rPr>
        <w:instrText xml:space="preserve"> PAGEREF _Toc296333088 \h </w:instrText>
      </w:r>
      <w:r>
        <w:rPr>
          <w:noProof/>
        </w:rPr>
      </w:r>
      <w:r>
        <w:rPr>
          <w:noProof/>
        </w:rPr>
        <w:fldChar w:fldCharType="separate"/>
      </w:r>
      <w:r>
        <w:rPr>
          <w:noProof/>
        </w:rPr>
        <w:t>117</w:t>
      </w:r>
      <w:r>
        <w:rPr>
          <w:noProof/>
        </w:rPr>
        <w:fldChar w:fldCharType="end"/>
      </w:r>
    </w:p>
    <w:p w14:paraId="2194C921"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17 Significantly varied GO terms in human fecal proteins. </w:t>
      </w:r>
      <w:r w:rsidRPr="008B71F7">
        <w:rPr>
          <w:noProof/>
        </w:rPr>
        <w:t>FDR: FDR-adjusted enrichment test and # of prot: the number of member proteins.</w:t>
      </w:r>
      <w:r>
        <w:rPr>
          <w:noProof/>
        </w:rPr>
        <w:tab/>
      </w:r>
      <w:r>
        <w:rPr>
          <w:noProof/>
        </w:rPr>
        <w:fldChar w:fldCharType="begin"/>
      </w:r>
      <w:r>
        <w:rPr>
          <w:noProof/>
        </w:rPr>
        <w:instrText xml:space="preserve"> PAGEREF _Toc296333089 \h </w:instrText>
      </w:r>
      <w:r>
        <w:rPr>
          <w:noProof/>
        </w:rPr>
      </w:r>
      <w:r>
        <w:rPr>
          <w:noProof/>
        </w:rPr>
        <w:fldChar w:fldCharType="separate"/>
      </w:r>
      <w:r>
        <w:rPr>
          <w:noProof/>
        </w:rPr>
        <w:t>124</w:t>
      </w:r>
      <w:r>
        <w:rPr>
          <w:noProof/>
        </w:rPr>
        <w:fldChar w:fldCharType="end"/>
      </w:r>
    </w:p>
    <w:p w14:paraId="63F4C762"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Table 18</w:t>
      </w:r>
      <w:r>
        <w:rPr>
          <w:noProof/>
          <w:lang w:eastAsia="ko-KR"/>
        </w:rPr>
        <w:t xml:space="preserve"> Significant COG terms in microbial fecal proteins.  </w:t>
      </w:r>
      <w:r w:rsidRPr="008B71F7">
        <w:rPr>
          <w:noProof/>
        </w:rPr>
        <w:t>FDR: FDR-adjusted enrichment test and # of prots: the number of member proteins.</w:t>
      </w:r>
      <w:r>
        <w:rPr>
          <w:noProof/>
        </w:rPr>
        <w:tab/>
      </w:r>
      <w:r>
        <w:rPr>
          <w:noProof/>
        </w:rPr>
        <w:fldChar w:fldCharType="begin"/>
      </w:r>
      <w:r>
        <w:rPr>
          <w:noProof/>
        </w:rPr>
        <w:instrText xml:space="preserve"> PAGEREF _Toc296333090 \h </w:instrText>
      </w:r>
      <w:r>
        <w:rPr>
          <w:noProof/>
        </w:rPr>
      </w:r>
      <w:r>
        <w:rPr>
          <w:noProof/>
        </w:rPr>
        <w:fldChar w:fldCharType="separate"/>
      </w:r>
      <w:r>
        <w:rPr>
          <w:noProof/>
        </w:rPr>
        <w:t>126</w:t>
      </w:r>
      <w:r>
        <w:rPr>
          <w:noProof/>
        </w:rPr>
        <w:fldChar w:fldCharType="end"/>
      </w:r>
    </w:p>
    <w:p w14:paraId="4091F6FC"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19 </w:t>
      </w:r>
      <w:r>
        <w:rPr>
          <w:noProof/>
          <w:lang w:eastAsia="ko-KR"/>
        </w:rPr>
        <w:t xml:space="preserve">Significant COG functional terms in microbial fecal proteins.  </w:t>
      </w:r>
      <w:r w:rsidRPr="008B71F7">
        <w:rPr>
          <w:noProof/>
        </w:rPr>
        <w:t>FDR: FDR-adjusted enrichment test and # of prots: the number of member proteins.</w:t>
      </w:r>
      <w:r>
        <w:rPr>
          <w:noProof/>
        </w:rPr>
        <w:tab/>
      </w:r>
      <w:r>
        <w:rPr>
          <w:noProof/>
        </w:rPr>
        <w:fldChar w:fldCharType="begin"/>
      </w:r>
      <w:r>
        <w:rPr>
          <w:noProof/>
        </w:rPr>
        <w:instrText xml:space="preserve"> PAGEREF _Toc296333091 \h </w:instrText>
      </w:r>
      <w:r>
        <w:rPr>
          <w:noProof/>
        </w:rPr>
      </w:r>
      <w:r>
        <w:rPr>
          <w:noProof/>
        </w:rPr>
        <w:fldChar w:fldCharType="separate"/>
      </w:r>
      <w:r>
        <w:rPr>
          <w:noProof/>
        </w:rPr>
        <w:t>129</w:t>
      </w:r>
      <w:r>
        <w:rPr>
          <w:noProof/>
        </w:rPr>
        <w:fldChar w:fldCharType="end"/>
      </w:r>
    </w:p>
    <w:p w14:paraId="3ABCE91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20 The number of identified proteins in different species. </w:t>
      </w:r>
      <w:r w:rsidRPr="008B71F7">
        <w:rPr>
          <w:noProof/>
        </w:rPr>
        <w:t xml:space="preserve"> SD is standard deviation of numbers in three different diets.</w:t>
      </w:r>
      <w:r>
        <w:rPr>
          <w:noProof/>
        </w:rPr>
        <w:tab/>
      </w:r>
      <w:r>
        <w:rPr>
          <w:noProof/>
        </w:rPr>
        <w:fldChar w:fldCharType="begin"/>
      </w:r>
      <w:r>
        <w:rPr>
          <w:noProof/>
        </w:rPr>
        <w:instrText xml:space="preserve"> PAGEREF _Toc296333092 \h </w:instrText>
      </w:r>
      <w:r>
        <w:rPr>
          <w:noProof/>
        </w:rPr>
      </w:r>
      <w:r>
        <w:rPr>
          <w:noProof/>
        </w:rPr>
        <w:fldChar w:fldCharType="separate"/>
      </w:r>
      <w:r>
        <w:rPr>
          <w:noProof/>
        </w:rPr>
        <w:t>144</w:t>
      </w:r>
      <w:r>
        <w:rPr>
          <w:noProof/>
        </w:rPr>
        <w:fldChar w:fldCharType="end"/>
      </w:r>
    </w:p>
    <w:p w14:paraId="7C477630"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Table 21 166 significant COG terms in different diets. </w:t>
      </w:r>
      <w:r w:rsidRPr="008B71F7">
        <w:rPr>
          <w:noProof/>
        </w:rPr>
        <w:t xml:space="preserve"> COG Func.: COG broad function single digit symbol.  Related diets are categorized by expression level in three diets.</w:t>
      </w:r>
      <w:r>
        <w:rPr>
          <w:noProof/>
        </w:rPr>
        <w:tab/>
      </w:r>
      <w:r>
        <w:rPr>
          <w:noProof/>
        </w:rPr>
        <w:fldChar w:fldCharType="begin"/>
      </w:r>
      <w:r>
        <w:rPr>
          <w:noProof/>
        </w:rPr>
        <w:instrText xml:space="preserve"> PAGEREF _Toc296333093 \h </w:instrText>
      </w:r>
      <w:r>
        <w:rPr>
          <w:noProof/>
        </w:rPr>
      </w:r>
      <w:r>
        <w:rPr>
          <w:noProof/>
        </w:rPr>
        <w:fldChar w:fldCharType="separate"/>
      </w:r>
      <w:r>
        <w:rPr>
          <w:noProof/>
        </w:rPr>
        <w:t>153</w:t>
      </w:r>
      <w:r>
        <w:rPr>
          <w:noProof/>
        </w:rPr>
        <w:fldChar w:fldCharType="end"/>
      </w:r>
    </w:p>
    <w:p w14:paraId="2AA991E6" w14:textId="77777777" w:rsidR="00236E6D" w:rsidRPr="004030F5" w:rsidRDefault="00665C7E" w:rsidP="00A56AA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cs="Arial"/>
        </w:rPr>
      </w:pPr>
      <w:r w:rsidRPr="004030F5">
        <w:rPr>
          <w:rFonts w:cs="Arial"/>
        </w:rPr>
        <w:fldChar w:fldCharType="end"/>
      </w:r>
    </w:p>
    <w:p w14:paraId="464EDF4C" w14:textId="77777777" w:rsidR="00236E6D" w:rsidRPr="004030F5" w:rsidRDefault="00236E6D" w:rsidP="003E7750">
      <w:pPr>
        <w:spacing w:line="480" w:lineRule="auto"/>
        <w:rPr>
          <w:rFonts w:cs="Arial"/>
        </w:rPr>
      </w:pPr>
    </w:p>
    <w:p w14:paraId="5AD95008" w14:textId="77777777" w:rsidR="00236E6D" w:rsidRPr="004030F5" w:rsidRDefault="00236E6D" w:rsidP="003E7750">
      <w:pPr>
        <w:spacing w:line="480" w:lineRule="auto"/>
        <w:rPr>
          <w:rFonts w:cs="Arial"/>
        </w:rPr>
      </w:pPr>
    </w:p>
    <w:p w14:paraId="5DE0328C" w14:textId="77777777" w:rsidR="00236E6D" w:rsidRPr="004030F5" w:rsidRDefault="00236E6D" w:rsidP="003E7750">
      <w:pPr>
        <w:pStyle w:val="Level1"/>
        <w:tabs>
          <w:tab w:val="right" w:leader="dot" w:pos="8228"/>
        </w:tabs>
        <w:spacing w:line="480" w:lineRule="auto"/>
        <w:ind w:left="0"/>
        <w:rPr>
          <w:rFonts w:ascii="Arial" w:hAnsi="Arial" w:cs="Arial"/>
          <w:b/>
          <w:bCs/>
          <w:sz w:val="28"/>
          <w:szCs w:val="28"/>
        </w:rPr>
      </w:pPr>
    </w:p>
    <w:p w14:paraId="7D00176C" w14:textId="77777777" w:rsidR="00236E6D" w:rsidRPr="004030F5" w:rsidRDefault="00236E6D" w:rsidP="003E7750">
      <w:pPr>
        <w:numPr>
          <w:ilvl w:val="12"/>
          <w:numId w:val="0"/>
        </w:numPr>
        <w:spacing w:line="480" w:lineRule="auto"/>
        <w:jc w:val="center"/>
        <w:rPr>
          <w:rFonts w:cs="Arial"/>
        </w:rPr>
      </w:pPr>
      <w:r w:rsidRPr="004030F5">
        <w:rPr>
          <w:rFonts w:cs="Arial"/>
          <w:sz w:val="28"/>
          <w:szCs w:val="28"/>
        </w:rPr>
        <w:br w:type="page"/>
      </w:r>
      <w:r w:rsidRPr="004030F5">
        <w:rPr>
          <w:rFonts w:cs="Arial"/>
          <w:b/>
          <w:bCs/>
          <w:sz w:val="28"/>
          <w:szCs w:val="28"/>
        </w:rPr>
        <w:lastRenderedPageBreak/>
        <w:t>LIST OF FIGURES</w:t>
      </w:r>
    </w:p>
    <w:p w14:paraId="078F8007" w14:textId="77777777" w:rsidR="00236E6D" w:rsidRPr="004030F5" w:rsidRDefault="00236E6D" w:rsidP="003E7750">
      <w:pPr>
        <w:numPr>
          <w:ilvl w:val="12"/>
          <w:numId w:val="0"/>
        </w:numPr>
        <w:spacing w:line="480" w:lineRule="auto"/>
        <w:rPr>
          <w:rFonts w:cs="Arial"/>
        </w:rPr>
      </w:pPr>
    </w:p>
    <w:p w14:paraId="272F2E56" w14:textId="77777777" w:rsidR="00236E6D" w:rsidRPr="004030F5" w:rsidRDefault="00236E6D" w:rsidP="003E775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cs="Arial"/>
        </w:rPr>
      </w:pPr>
    </w:p>
    <w:p w14:paraId="16EE811C" w14:textId="77777777" w:rsidR="00A41E9D" w:rsidRDefault="00665C7E">
      <w:pPr>
        <w:pStyle w:val="TableofFigures"/>
        <w:tabs>
          <w:tab w:val="right" w:leader="dot" w:pos="8630"/>
        </w:tabs>
        <w:rPr>
          <w:rFonts w:asciiTheme="minorHAnsi" w:eastAsiaTheme="minorEastAsia" w:hAnsiTheme="minorHAnsi" w:cstheme="minorBidi"/>
          <w:noProof/>
          <w:lang w:eastAsia="ja-JP"/>
        </w:rPr>
      </w:pPr>
      <w:r w:rsidRPr="004030F5">
        <w:rPr>
          <w:rFonts w:cs="Arial"/>
        </w:rPr>
        <w:fldChar w:fldCharType="begin"/>
      </w:r>
      <w:r w:rsidR="00304BD0" w:rsidRPr="004030F5">
        <w:rPr>
          <w:rFonts w:cs="Arial"/>
        </w:rPr>
        <w:instrText xml:space="preserve"> TOC \h \z \c "Figure" </w:instrText>
      </w:r>
      <w:r w:rsidRPr="004030F5">
        <w:rPr>
          <w:rFonts w:cs="Arial"/>
        </w:rPr>
        <w:fldChar w:fldCharType="separate"/>
      </w:r>
      <w:r w:rsidR="00A41E9D" w:rsidRPr="007B0534">
        <w:rPr>
          <w:rFonts w:cs="Arial"/>
          <w:noProof/>
        </w:rPr>
        <w:t>Figure 1 Various applications of Proteomics.  Proteomics is diversely applied to many life science fields including basic scientific researches, clinical protein marker discovery and drug discovery.  This figure was adapted from a book, ‘Molecular Biologist's Guide to Proteomics’ [2].</w:t>
      </w:r>
      <w:r w:rsidR="00A41E9D">
        <w:rPr>
          <w:noProof/>
        </w:rPr>
        <w:tab/>
      </w:r>
      <w:r w:rsidR="00A41E9D">
        <w:rPr>
          <w:noProof/>
        </w:rPr>
        <w:fldChar w:fldCharType="begin"/>
      </w:r>
      <w:r w:rsidR="00A41E9D">
        <w:rPr>
          <w:noProof/>
        </w:rPr>
        <w:instrText xml:space="preserve"> PAGEREF _Toc296333094 \h </w:instrText>
      </w:r>
      <w:r w:rsidR="00A41E9D">
        <w:rPr>
          <w:noProof/>
        </w:rPr>
      </w:r>
      <w:r w:rsidR="00A41E9D">
        <w:rPr>
          <w:noProof/>
        </w:rPr>
        <w:fldChar w:fldCharType="separate"/>
      </w:r>
      <w:r w:rsidR="00A41E9D">
        <w:rPr>
          <w:noProof/>
        </w:rPr>
        <w:t>2</w:t>
      </w:r>
      <w:r w:rsidR="00A41E9D">
        <w:rPr>
          <w:noProof/>
        </w:rPr>
        <w:fldChar w:fldCharType="end"/>
      </w:r>
    </w:p>
    <w:p w14:paraId="56DBBBC1"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 xml:space="preserve">Figure 2 Overview of typical shotgun metaproteomics steps.  Metaproteomics collects a sample containing microbial community.  Then proteins are collected from the collected sample. Then, the collected proteins are cleaned up and digested by an enzyme, typically trypsin.  The peptides are ionized and measured by LC-MS/MS.  Finally, the measured MS/MS peaks are identified and analyzed by many bioinformatics tools.  This illustration was adapted from Tanca et al [4] and </w:t>
      </w:r>
      <w:r w:rsidRPr="007B0534">
        <w:rPr>
          <w:rFonts w:cs="Arial"/>
          <w:noProof/>
          <w:color w:val="0000FF"/>
          <w:u w:val="single"/>
        </w:rPr>
        <w:t>http://www.planetorbitrap.com</w:t>
      </w:r>
      <w:r w:rsidRPr="007B0534">
        <w:rPr>
          <w:rFonts w:cs="Arial"/>
          <w:noProof/>
        </w:rPr>
        <w:t>.</w:t>
      </w:r>
      <w:r>
        <w:rPr>
          <w:noProof/>
        </w:rPr>
        <w:tab/>
      </w:r>
      <w:r>
        <w:rPr>
          <w:noProof/>
        </w:rPr>
        <w:fldChar w:fldCharType="begin"/>
      </w:r>
      <w:r>
        <w:rPr>
          <w:noProof/>
        </w:rPr>
        <w:instrText xml:space="preserve"> PAGEREF _Toc296333095 \h </w:instrText>
      </w:r>
      <w:r>
        <w:rPr>
          <w:noProof/>
        </w:rPr>
      </w:r>
      <w:r>
        <w:rPr>
          <w:noProof/>
        </w:rPr>
        <w:fldChar w:fldCharType="separate"/>
      </w:r>
      <w:r>
        <w:rPr>
          <w:noProof/>
        </w:rPr>
        <w:t>4</w:t>
      </w:r>
      <w:r>
        <w:rPr>
          <w:noProof/>
        </w:rPr>
        <w:fldChar w:fldCharType="end"/>
      </w:r>
    </w:p>
    <w:p w14:paraId="46BEB7E0"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3</w:t>
      </w:r>
      <w:r w:rsidRPr="007B0534">
        <w:rPr>
          <w:rFonts w:cs="Arial"/>
          <w:i/>
          <w:noProof/>
        </w:rPr>
        <w:t xml:space="preserve"> in silico</w:t>
      </w:r>
      <w:r w:rsidRPr="007B0534">
        <w:rPr>
          <w:rFonts w:cs="Arial"/>
          <w:noProof/>
        </w:rPr>
        <w:t xml:space="preserve"> digestions of human HeLa cell proteome with assorted proteases A) without mis-cleavage and B) with assuming two miss-cleavages.  This figure is adapted from Wu et al [20].</w:t>
      </w:r>
      <w:r>
        <w:rPr>
          <w:noProof/>
        </w:rPr>
        <w:tab/>
      </w:r>
      <w:r>
        <w:rPr>
          <w:noProof/>
        </w:rPr>
        <w:fldChar w:fldCharType="begin"/>
      </w:r>
      <w:r>
        <w:rPr>
          <w:noProof/>
        </w:rPr>
        <w:instrText xml:space="preserve"> PAGEREF _Toc296333096 \h </w:instrText>
      </w:r>
      <w:r>
        <w:rPr>
          <w:noProof/>
        </w:rPr>
      </w:r>
      <w:r>
        <w:rPr>
          <w:noProof/>
        </w:rPr>
        <w:fldChar w:fldCharType="separate"/>
      </w:r>
      <w:r>
        <w:rPr>
          <w:noProof/>
        </w:rPr>
        <w:t>8</w:t>
      </w:r>
      <w:r>
        <w:rPr>
          <w:noProof/>
        </w:rPr>
        <w:fldChar w:fldCharType="end"/>
      </w:r>
    </w:p>
    <w:p w14:paraId="1DA0E145"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4 These panels display distribution of P-score, peptide identification score of MaxQuant.  Blue color means peptide identifications from forward database search and red colors are from reverse database, intended false positive peptide database.  L means peptide length.  This illustration was adapted from Cox et al [23].</w:t>
      </w:r>
      <w:r>
        <w:rPr>
          <w:noProof/>
        </w:rPr>
        <w:tab/>
      </w:r>
      <w:r>
        <w:rPr>
          <w:noProof/>
        </w:rPr>
        <w:fldChar w:fldCharType="begin"/>
      </w:r>
      <w:r>
        <w:rPr>
          <w:noProof/>
        </w:rPr>
        <w:instrText xml:space="preserve"> PAGEREF _Toc296333097 \h </w:instrText>
      </w:r>
      <w:r>
        <w:rPr>
          <w:noProof/>
        </w:rPr>
      </w:r>
      <w:r>
        <w:rPr>
          <w:noProof/>
        </w:rPr>
        <w:fldChar w:fldCharType="separate"/>
      </w:r>
      <w:r>
        <w:rPr>
          <w:noProof/>
        </w:rPr>
        <w:t>10</w:t>
      </w:r>
      <w:r>
        <w:rPr>
          <w:noProof/>
        </w:rPr>
        <w:fldChar w:fldCharType="end"/>
      </w:r>
    </w:p>
    <w:p w14:paraId="3FEEE630"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5 The effect of increasing mass accuracy for unambiguous identification of compounds.  PPM is a parts per million (((exact mass – accurate mass) / exact mass) x 10</w:t>
      </w:r>
      <w:r w:rsidRPr="007B0534">
        <w:rPr>
          <w:rFonts w:cs="Arial"/>
          <w:noProof/>
          <w:vertAlign w:val="superscript"/>
        </w:rPr>
        <w:t>6</w:t>
      </w:r>
      <w:r w:rsidRPr="007B0534">
        <w:rPr>
          <w:rFonts w:cs="Arial"/>
          <w:noProof/>
        </w:rPr>
        <w:t>).  Lower ppm means small mass error.  If mass accuracy is low (ppm is high), the number of candidate compounds is linearly increased.  The slope is getting steeper, while molecular weight is getting larger.  This illustration is adapted from Quenzer et al [24].</w:t>
      </w:r>
      <w:r>
        <w:rPr>
          <w:noProof/>
        </w:rPr>
        <w:tab/>
      </w:r>
      <w:r>
        <w:rPr>
          <w:noProof/>
        </w:rPr>
        <w:fldChar w:fldCharType="begin"/>
      </w:r>
      <w:r>
        <w:rPr>
          <w:noProof/>
        </w:rPr>
        <w:instrText xml:space="preserve"> PAGEREF _Toc296333098 \h </w:instrText>
      </w:r>
      <w:r>
        <w:rPr>
          <w:noProof/>
        </w:rPr>
      </w:r>
      <w:r>
        <w:rPr>
          <w:noProof/>
        </w:rPr>
        <w:fldChar w:fldCharType="separate"/>
      </w:r>
      <w:r>
        <w:rPr>
          <w:noProof/>
        </w:rPr>
        <w:t>12</w:t>
      </w:r>
      <w:r>
        <w:rPr>
          <w:noProof/>
        </w:rPr>
        <w:fldChar w:fldCharType="end"/>
      </w:r>
    </w:p>
    <w:p w14:paraId="4B019C4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6 Data dependent acquisition (DDA) and data independent acquisition (DIA).  DDA targets MS/MS scans with narrow isolation windows centered on specific precursor ion in an survey MS1 scan.  DIA acquired MS/MS scans with wide isolation windows acquiring any peptide precursors.  Peptide precursor VLENTEIGDSIFDK++ is present in a single MS/MS spectrum in a DDA analysis, while it can be extracted from every retention times in DIA.  This image was adapted from Egertson et al [31].</w:t>
      </w:r>
      <w:r>
        <w:rPr>
          <w:noProof/>
        </w:rPr>
        <w:tab/>
      </w:r>
      <w:r>
        <w:rPr>
          <w:noProof/>
        </w:rPr>
        <w:fldChar w:fldCharType="begin"/>
      </w:r>
      <w:r>
        <w:rPr>
          <w:noProof/>
        </w:rPr>
        <w:instrText xml:space="preserve"> PAGEREF _Toc296333099 \h </w:instrText>
      </w:r>
      <w:r>
        <w:rPr>
          <w:noProof/>
        </w:rPr>
      </w:r>
      <w:r>
        <w:rPr>
          <w:noProof/>
        </w:rPr>
        <w:fldChar w:fldCharType="separate"/>
      </w:r>
      <w:r>
        <w:rPr>
          <w:noProof/>
        </w:rPr>
        <w:t>14</w:t>
      </w:r>
      <w:r>
        <w:rPr>
          <w:noProof/>
        </w:rPr>
        <w:fldChar w:fldCharType="end"/>
      </w:r>
    </w:p>
    <w:p w14:paraId="17D5054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 xml:space="preserve">Figure 7 Relative amount of proteins in original sample, in identification and quantification by metaproteome analysis.  Proteins are lost during protein extraction, digestion and LC-MS/MS steps.  Low-abundant proteins are majorly not identified due to limit of dynamic range.  Specific type of proteins </w:t>
      </w:r>
      <w:r w:rsidRPr="007B0534">
        <w:rPr>
          <w:rFonts w:cs="Arial"/>
          <w:noProof/>
        </w:rPr>
        <w:lastRenderedPageBreak/>
        <w:t>is missed by protein extraction method.  Only a fraction of original proteins is reliably quantified.  This illustration was adapted from Bantscheff et al [36].</w:t>
      </w:r>
      <w:r>
        <w:rPr>
          <w:noProof/>
        </w:rPr>
        <w:tab/>
      </w:r>
      <w:r>
        <w:rPr>
          <w:noProof/>
        </w:rPr>
        <w:fldChar w:fldCharType="begin"/>
      </w:r>
      <w:r>
        <w:rPr>
          <w:noProof/>
        </w:rPr>
        <w:instrText xml:space="preserve"> PAGEREF _Toc296333100 \h </w:instrText>
      </w:r>
      <w:r>
        <w:rPr>
          <w:noProof/>
        </w:rPr>
      </w:r>
      <w:r>
        <w:rPr>
          <w:noProof/>
        </w:rPr>
        <w:fldChar w:fldCharType="separate"/>
      </w:r>
      <w:r>
        <w:rPr>
          <w:noProof/>
        </w:rPr>
        <w:t>16</w:t>
      </w:r>
      <w:r>
        <w:rPr>
          <w:noProof/>
        </w:rPr>
        <w:fldChar w:fldCharType="end"/>
      </w:r>
    </w:p>
    <w:p w14:paraId="6238DC3F"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8 Common quantitative mass spectrometry workflows.  Boxes in blue and yellow indicate experiments to be compared.  Solid line means that labeled sample is mixed.  Dashed line means that points at experimental variation that quantification error can be occurred.  This illustration was adapted from Bantscheff et al [36].</w:t>
      </w:r>
      <w:r>
        <w:rPr>
          <w:noProof/>
        </w:rPr>
        <w:tab/>
      </w:r>
      <w:r>
        <w:rPr>
          <w:noProof/>
        </w:rPr>
        <w:fldChar w:fldCharType="begin"/>
      </w:r>
      <w:r>
        <w:rPr>
          <w:noProof/>
        </w:rPr>
        <w:instrText xml:space="preserve"> PAGEREF _Toc296333101 \h </w:instrText>
      </w:r>
      <w:r>
        <w:rPr>
          <w:noProof/>
        </w:rPr>
      </w:r>
      <w:r>
        <w:rPr>
          <w:noProof/>
        </w:rPr>
        <w:fldChar w:fldCharType="separate"/>
      </w:r>
      <w:r>
        <w:rPr>
          <w:noProof/>
        </w:rPr>
        <w:t>17</w:t>
      </w:r>
      <w:r>
        <w:rPr>
          <w:noProof/>
        </w:rPr>
        <w:fldChar w:fldCharType="end"/>
      </w:r>
    </w:p>
    <w:p w14:paraId="3A663A19"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 xml:space="preserve">Figure 9 Example of </w:t>
      </w:r>
      <w:r w:rsidRPr="007B0534">
        <w:rPr>
          <w:rFonts w:cs="Arial"/>
          <w:i/>
          <w:noProof/>
        </w:rPr>
        <w:t>de novo</w:t>
      </w:r>
      <w:r w:rsidRPr="007B0534">
        <w:rPr>
          <w:rFonts w:cs="Arial"/>
          <w:noProof/>
        </w:rPr>
        <w:t xml:space="preserve"> sequencing from MS/MS spectrum.  This is tandem mass spectrum of the [M+2H]+2 ion m/z 955.03 in LC/ESI/MS analyses of tryptic peptides from a 70 kDa iPLA2 digest.  This illustration was borrowed from </w:t>
      </w:r>
      <w:r w:rsidRPr="007B0534">
        <w:rPr>
          <w:rFonts w:cs="Arial"/>
          <w:noProof/>
          <w:color w:val="0000FF"/>
          <w:u w:val="single"/>
        </w:rPr>
        <w:t>http://msr.dom.wustl.edu/ms-peptide-mapping/</w:t>
      </w:r>
      <w:r w:rsidRPr="007B0534">
        <w:rPr>
          <w:rFonts w:cs="Arial"/>
          <w:noProof/>
        </w:rPr>
        <w:t>.</w:t>
      </w:r>
      <w:r>
        <w:rPr>
          <w:noProof/>
        </w:rPr>
        <w:tab/>
      </w:r>
      <w:r>
        <w:rPr>
          <w:noProof/>
        </w:rPr>
        <w:fldChar w:fldCharType="begin"/>
      </w:r>
      <w:r>
        <w:rPr>
          <w:noProof/>
        </w:rPr>
        <w:instrText xml:space="preserve"> PAGEREF _Toc296333102 \h </w:instrText>
      </w:r>
      <w:r>
        <w:rPr>
          <w:noProof/>
        </w:rPr>
      </w:r>
      <w:r>
        <w:rPr>
          <w:noProof/>
        </w:rPr>
        <w:fldChar w:fldCharType="separate"/>
      </w:r>
      <w:r>
        <w:rPr>
          <w:noProof/>
        </w:rPr>
        <w:t>21</w:t>
      </w:r>
      <w:r>
        <w:rPr>
          <w:noProof/>
        </w:rPr>
        <w:fldChar w:fldCharType="end"/>
      </w:r>
    </w:p>
    <w:p w14:paraId="7ECFA96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10 Schematic diagram of DB search.  This diagram is based on SEQUEST, but other engines have very similar structure.  First, search engines generate all the possible peptides from protein DB given the number of allowed miss-cleavage and digestion enzyme.  Then, candidate peptides are selected from peptide library using mass of precursor ion.  Next step is calculation of scores, probability, correlation coefficient or similarity, between candidate peptides and MS/MS spectrum.  The engines report top 10 or 20 peptides for given MS/MS.  This illustration was adapted from McHugh et al [55].</w:t>
      </w:r>
      <w:r>
        <w:rPr>
          <w:noProof/>
        </w:rPr>
        <w:tab/>
      </w:r>
      <w:r>
        <w:rPr>
          <w:noProof/>
        </w:rPr>
        <w:fldChar w:fldCharType="begin"/>
      </w:r>
      <w:r>
        <w:rPr>
          <w:noProof/>
        </w:rPr>
        <w:instrText xml:space="preserve"> PAGEREF _Toc296333103 \h </w:instrText>
      </w:r>
      <w:r>
        <w:rPr>
          <w:noProof/>
        </w:rPr>
      </w:r>
      <w:r>
        <w:rPr>
          <w:noProof/>
        </w:rPr>
        <w:fldChar w:fldCharType="separate"/>
      </w:r>
      <w:r>
        <w:rPr>
          <w:noProof/>
        </w:rPr>
        <w:t>22</w:t>
      </w:r>
      <w:r>
        <w:rPr>
          <w:noProof/>
        </w:rPr>
        <w:fldChar w:fldCharType="end"/>
      </w:r>
    </w:p>
    <w:p w14:paraId="7FA373FD"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 xml:space="preserve">Figure 11 DB search of MS-GF+.  MS GF+ is updated version of Spectral Dictionary [56].  Red line is traditional DB search comparing spectra against the peptide library generated from protein DB.  Blue line is the </w:t>
      </w:r>
      <w:r w:rsidRPr="007B0534">
        <w:rPr>
          <w:rFonts w:cs="Arial"/>
          <w:i/>
          <w:noProof/>
        </w:rPr>
        <w:t>de novo</w:t>
      </w:r>
      <w:r w:rsidRPr="007B0534">
        <w:rPr>
          <w:rFonts w:cs="Arial"/>
          <w:noProof/>
        </w:rPr>
        <w:t xml:space="preserve"> based DB search constructing all the possible </w:t>
      </w:r>
      <w:r w:rsidRPr="007B0534">
        <w:rPr>
          <w:rFonts w:cs="Arial"/>
          <w:i/>
          <w:noProof/>
        </w:rPr>
        <w:t xml:space="preserve">de novo </w:t>
      </w:r>
      <w:r w:rsidRPr="007B0534">
        <w:rPr>
          <w:rFonts w:cs="Arial"/>
          <w:noProof/>
        </w:rPr>
        <w:t>sequences from a MS/MS spectrum.  This illustration was adapted from Kim et al [56].</w:t>
      </w:r>
      <w:r>
        <w:rPr>
          <w:noProof/>
        </w:rPr>
        <w:tab/>
      </w:r>
      <w:r>
        <w:rPr>
          <w:noProof/>
        </w:rPr>
        <w:fldChar w:fldCharType="begin"/>
      </w:r>
      <w:r>
        <w:rPr>
          <w:noProof/>
        </w:rPr>
        <w:instrText xml:space="preserve"> PAGEREF _Toc296333104 \h </w:instrText>
      </w:r>
      <w:r>
        <w:rPr>
          <w:noProof/>
        </w:rPr>
      </w:r>
      <w:r>
        <w:rPr>
          <w:noProof/>
        </w:rPr>
        <w:fldChar w:fldCharType="separate"/>
      </w:r>
      <w:r>
        <w:rPr>
          <w:noProof/>
        </w:rPr>
        <w:t>25</w:t>
      </w:r>
      <w:r>
        <w:rPr>
          <w:noProof/>
        </w:rPr>
        <w:fldChar w:fldCharType="end"/>
      </w:r>
    </w:p>
    <w:p w14:paraId="3CA5B682"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 xml:space="preserve">Figure 12 Target-decoy DB comparison.  The number of trypsin-derived peptides over calculated monoisotopic mass of A) target DB and B) decoy DB from </w:t>
      </w:r>
      <w:r w:rsidRPr="007B0534">
        <w:rPr>
          <w:rFonts w:cs="Arial"/>
          <w:i/>
          <w:noProof/>
        </w:rPr>
        <w:t xml:space="preserve">in silico </w:t>
      </w:r>
      <w:r w:rsidRPr="007B0534">
        <w:rPr>
          <w:rFonts w:cs="Arial"/>
          <w:noProof/>
        </w:rPr>
        <w:t>trypsin digestion of IPI human protein DB.  C) The number of trypsin-derived peptides is in target (blue line) and decoy (blue line) DB. Green line is intersection between those two, target and decoy.</w:t>
      </w:r>
      <w:r>
        <w:rPr>
          <w:noProof/>
        </w:rPr>
        <w:tab/>
      </w:r>
      <w:r>
        <w:rPr>
          <w:noProof/>
        </w:rPr>
        <w:fldChar w:fldCharType="begin"/>
      </w:r>
      <w:r>
        <w:rPr>
          <w:noProof/>
        </w:rPr>
        <w:instrText xml:space="preserve"> PAGEREF _Toc296333105 \h </w:instrText>
      </w:r>
      <w:r>
        <w:rPr>
          <w:noProof/>
        </w:rPr>
      </w:r>
      <w:r>
        <w:rPr>
          <w:noProof/>
        </w:rPr>
        <w:fldChar w:fldCharType="separate"/>
      </w:r>
      <w:r>
        <w:rPr>
          <w:noProof/>
        </w:rPr>
        <w:t>28</w:t>
      </w:r>
      <w:r>
        <w:rPr>
          <w:noProof/>
        </w:rPr>
        <w:fldChar w:fldCharType="end"/>
      </w:r>
    </w:p>
    <w:p w14:paraId="3C576DF9"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13 Overview of bipartite graph model and analysis procedure of protein assembly in IDPicker.  Pro: protein, pep: peptide.  This figure was adapted from Zhang et al [68].</w:t>
      </w:r>
      <w:r>
        <w:rPr>
          <w:noProof/>
        </w:rPr>
        <w:tab/>
      </w:r>
      <w:r>
        <w:rPr>
          <w:noProof/>
        </w:rPr>
        <w:fldChar w:fldCharType="begin"/>
      </w:r>
      <w:r>
        <w:rPr>
          <w:noProof/>
        </w:rPr>
        <w:instrText xml:space="preserve"> PAGEREF _Toc296333106 \h </w:instrText>
      </w:r>
      <w:r>
        <w:rPr>
          <w:noProof/>
        </w:rPr>
      </w:r>
      <w:r>
        <w:rPr>
          <w:noProof/>
        </w:rPr>
        <w:fldChar w:fldCharType="separate"/>
      </w:r>
      <w:r>
        <w:rPr>
          <w:noProof/>
        </w:rPr>
        <w:t>32</w:t>
      </w:r>
      <w:r>
        <w:rPr>
          <w:noProof/>
        </w:rPr>
        <w:fldChar w:fldCharType="end"/>
      </w:r>
    </w:p>
    <w:p w14:paraId="0122ADA5"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14 Typical distribution of SC in label-free metaproteomics data.</w:t>
      </w:r>
      <w:r>
        <w:rPr>
          <w:noProof/>
        </w:rPr>
        <w:tab/>
      </w:r>
      <w:r>
        <w:rPr>
          <w:noProof/>
        </w:rPr>
        <w:fldChar w:fldCharType="begin"/>
      </w:r>
      <w:r>
        <w:rPr>
          <w:noProof/>
        </w:rPr>
        <w:instrText xml:space="preserve"> PAGEREF _Toc296333107 \h </w:instrText>
      </w:r>
      <w:r>
        <w:rPr>
          <w:noProof/>
        </w:rPr>
      </w:r>
      <w:r>
        <w:rPr>
          <w:noProof/>
        </w:rPr>
        <w:fldChar w:fldCharType="separate"/>
      </w:r>
      <w:r>
        <w:rPr>
          <w:noProof/>
        </w:rPr>
        <w:t>38</w:t>
      </w:r>
      <w:r>
        <w:rPr>
          <w:noProof/>
        </w:rPr>
        <w:fldChar w:fldCharType="end"/>
      </w:r>
    </w:p>
    <w:p w14:paraId="2A6C51A8"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t>Figure 15 Interface of GalaxyP.  It has three-column interface consisting of available tools, main screen for analysis result and parameter input and status of analysis steps from left to right.  This illustration is screen-captured from http://www.usegalaxyp.org.</w:t>
      </w:r>
      <w:r>
        <w:rPr>
          <w:noProof/>
        </w:rPr>
        <w:tab/>
      </w:r>
      <w:r>
        <w:rPr>
          <w:noProof/>
        </w:rPr>
        <w:fldChar w:fldCharType="begin"/>
      </w:r>
      <w:r>
        <w:rPr>
          <w:noProof/>
        </w:rPr>
        <w:instrText xml:space="preserve"> PAGEREF _Toc296333108 \h </w:instrText>
      </w:r>
      <w:r>
        <w:rPr>
          <w:noProof/>
        </w:rPr>
      </w:r>
      <w:r>
        <w:rPr>
          <w:noProof/>
        </w:rPr>
        <w:fldChar w:fldCharType="separate"/>
      </w:r>
      <w:r>
        <w:rPr>
          <w:noProof/>
        </w:rPr>
        <w:t>40</w:t>
      </w:r>
      <w:r>
        <w:rPr>
          <w:noProof/>
        </w:rPr>
        <w:fldChar w:fldCharType="end"/>
      </w:r>
    </w:p>
    <w:p w14:paraId="1885752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sidRPr="007B0534">
        <w:rPr>
          <w:rFonts w:cs="Arial"/>
          <w:noProof/>
        </w:rPr>
        <w:lastRenderedPageBreak/>
        <w:t>Figure 16 Schematic diagram of workflow in MetaProteomeAnalyzer.  Server side and client side are communicating and uploaded data is deposited in server SQL DB.  The illustration is adapted from Muth et al [78].</w:t>
      </w:r>
      <w:r>
        <w:rPr>
          <w:noProof/>
        </w:rPr>
        <w:tab/>
      </w:r>
      <w:r>
        <w:rPr>
          <w:noProof/>
        </w:rPr>
        <w:fldChar w:fldCharType="begin"/>
      </w:r>
      <w:r>
        <w:rPr>
          <w:noProof/>
        </w:rPr>
        <w:instrText xml:space="preserve"> PAGEREF _Toc296333109 \h </w:instrText>
      </w:r>
      <w:r>
        <w:rPr>
          <w:noProof/>
        </w:rPr>
      </w:r>
      <w:r>
        <w:rPr>
          <w:noProof/>
        </w:rPr>
        <w:fldChar w:fldCharType="separate"/>
      </w:r>
      <w:r>
        <w:rPr>
          <w:noProof/>
        </w:rPr>
        <w:t>41</w:t>
      </w:r>
      <w:r>
        <w:rPr>
          <w:noProof/>
        </w:rPr>
        <w:fldChar w:fldCharType="end"/>
      </w:r>
    </w:p>
    <w:p w14:paraId="52EBECFC"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17 Schematic diagram of quantitative and functional analysis pipeline for metaproteomics (QFAM).</w:t>
      </w:r>
      <w:r w:rsidRPr="007B0534">
        <w:rPr>
          <w:noProof/>
        </w:rPr>
        <w:t xml:space="preserve">  QFAM consists of seven modules and is designed to process metaproteome data rapidly and give functional reports to users.</w:t>
      </w:r>
      <w:r>
        <w:rPr>
          <w:noProof/>
        </w:rPr>
        <w:tab/>
      </w:r>
      <w:r>
        <w:rPr>
          <w:noProof/>
        </w:rPr>
        <w:fldChar w:fldCharType="begin"/>
      </w:r>
      <w:r>
        <w:rPr>
          <w:noProof/>
        </w:rPr>
        <w:instrText xml:space="preserve"> PAGEREF _Toc296333110 \h </w:instrText>
      </w:r>
      <w:r>
        <w:rPr>
          <w:noProof/>
        </w:rPr>
      </w:r>
      <w:r>
        <w:rPr>
          <w:noProof/>
        </w:rPr>
        <w:fldChar w:fldCharType="separate"/>
      </w:r>
      <w:r>
        <w:rPr>
          <w:noProof/>
        </w:rPr>
        <w:t>45</w:t>
      </w:r>
      <w:r>
        <w:rPr>
          <w:noProof/>
        </w:rPr>
        <w:fldChar w:fldCharType="end"/>
      </w:r>
    </w:p>
    <w:p w14:paraId="3FEF6E41"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18 Boxplots showing the distribution of Pearson correlation coefficients among the different levels of replicates.  </w:t>
      </w:r>
      <w:r w:rsidRPr="007B0534">
        <w:rPr>
          <w:noProof/>
        </w:rPr>
        <w:t>This illustration was adapted from Piehowski et al [88].</w:t>
      </w:r>
      <w:r>
        <w:rPr>
          <w:noProof/>
        </w:rPr>
        <w:tab/>
      </w:r>
      <w:r>
        <w:rPr>
          <w:noProof/>
        </w:rPr>
        <w:fldChar w:fldCharType="begin"/>
      </w:r>
      <w:r>
        <w:rPr>
          <w:noProof/>
        </w:rPr>
        <w:instrText xml:space="preserve"> PAGEREF _Toc296333111 \h </w:instrText>
      </w:r>
      <w:r>
        <w:rPr>
          <w:noProof/>
        </w:rPr>
      </w:r>
      <w:r>
        <w:rPr>
          <w:noProof/>
        </w:rPr>
        <w:fldChar w:fldCharType="separate"/>
      </w:r>
      <w:r>
        <w:rPr>
          <w:noProof/>
        </w:rPr>
        <w:t>52</w:t>
      </w:r>
      <w:r>
        <w:rPr>
          <w:noProof/>
        </w:rPr>
        <w:fldChar w:fldCharType="end"/>
      </w:r>
    </w:p>
    <w:p w14:paraId="5F658895"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19 Protein scatter plot for quasi-Poisson model and Cohen’s </w:t>
      </w:r>
      <w:r w:rsidRPr="007B0534">
        <w:rPr>
          <w:i/>
          <w:noProof/>
        </w:rPr>
        <w:t>f</w:t>
      </w:r>
      <w:r w:rsidRPr="007B0534">
        <w:rPr>
          <w:i/>
          <w:noProof/>
          <w:lang w:eastAsia="ko-KR"/>
        </w:rPr>
        <w:t xml:space="preserve"> </w:t>
      </w:r>
      <w:r>
        <w:rPr>
          <w:noProof/>
          <w:lang w:eastAsia="ko-KR"/>
        </w:rPr>
        <w:t xml:space="preserve">combination.  </w:t>
      </w:r>
      <w:r w:rsidRPr="007B0534">
        <w:rPr>
          <w:noProof/>
          <w:lang w:eastAsia="ko-KR"/>
        </w:rPr>
        <w:t xml:space="preserve">Selfea provides protein scatter plot for explaining how significant proteins were distinguished.  Horizontal black line is false discovery rate (FDR) = 0.05, user-defined p-value threshold, and vertical black line is Cohen’s </w:t>
      </w:r>
      <w:r w:rsidRPr="007B0534">
        <w:rPr>
          <w:i/>
          <w:noProof/>
          <w:lang w:eastAsia="ko-KR"/>
        </w:rPr>
        <w:t>f</w:t>
      </w:r>
      <w:r w:rsidRPr="007B0534">
        <w:rPr>
          <w:noProof/>
          <w:lang w:eastAsia="ko-KR"/>
        </w:rPr>
        <w:t xml:space="preserve"> at 80% statistical power, typically recommended power for reliable feature selection.  Red dots are insignificant proteins, while blue dots are significant.</w:t>
      </w:r>
      <w:r>
        <w:rPr>
          <w:noProof/>
        </w:rPr>
        <w:tab/>
      </w:r>
      <w:r>
        <w:rPr>
          <w:noProof/>
        </w:rPr>
        <w:fldChar w:fldCharType="begin"/>
      </w:r>
      <w:r>
        <w:rPr>
          <w:noProof/>
        </w:rPr>
        <w:instrText xml:space="preserve"> PAGEREF _Toc296333112 \h </w:instrText>
      </w:r>
      <w:r>
        <w:rPr>
          <w:noProof/>
        </w:rPr>
      </w:r>
      <w:r>
        <w:rPr>
          <w:noProof/>
        </w:rPr>
        <w:fldChar w:fldCharType="separate"/>
      </w:r>
      <w:r>
        <w:rPr>
          <w:noProof/>
        </w:rPr>
        <w:t>57</w:t>
      </w:r>
      <w:r>
        <w:rPr>
          <w:noProof/>
        </w:rPr>
        <w:fldChar w:fldCharType="end"/>
      </w:r>
    </w:p>
    <w:p w14:paraId="55359538"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20 Overview of existing pathway analysis methods using gene expression data as an example.</w:t>
      </w:r>
      <w:r>
        <w:rPr>
          <w:noProof/>
        </w:rPr>
        <w:tab/>
      </w:r>
      <w:r>
        <w:rPr>
          <w:noProof/>
        </w:rPr>
        <w:fldChar w:fldCharType="begin"/>
      </w:r>
      <w:r>
        <w:rPr>
          <w:noProof/>
        </w:rPr>
        <w:instrText xml:space="preserve"> PAGEREF _Toc296333113 \h </w:instrText>
      </w:r>
      <w:r>
        <w:rPr>
          <w:noProof/>
        </w:rPr>
      </w:r>
      <w:r>
        <w:rPr>
          <w:noProof/>
        </w:rPr>
        <w:fldChar w:fldCharType="separate"/>
      </w:r>
      <w:r>
        <w:rPr>
          <w:noProof/>
        </w:rPr>
        <w:t>59</w:t>
      </w:r>
      <w:r>
        <w:rPr>
          <w:noProof/>
        </w:rPr>
        <w:fldChar w:fldCharType="end"/>
      </w:r>
    </w:p>
    <w:p w14:paraId="03AA5E10"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21 A diagram of biosystems part of FAM.</w:t>
      </w:r>
      <w:r w:rsidRPr="007B0534">
        <w:rPr>
          <w:noProof/>
        </w:rPr>
        <w:t xml:space="preserve">  FAM has two parts, a script updating reference file up-to-date and enrichment test part.  QAM is incorporated into FAM for significance test.  User receives results from enrichment test and significance test in terms of Biosystems.</w:t>
      </w:r>
      <w:r>
        <w:rPr>
          <w:noProof/>
        </w:rPr>
        <w:tab/>
      </w:r>
      <w:r>
        <w:rPr>
          <w:noProof/>
        </w:rPr>
        <w:fldChar w:fldCharType="begin"/>
      </w:r>
      <w:r>
        <w:rPr>
          <w:noProof/>
        </w:rPr>
        <w:instrText xml:space="preserve"> PAGEREF _Toc296333114 \h </w:instrText>
      </w:r>
      <w:r>
        <w:rPr>
          <w:noProof/>
        </w:rPr>
      </w:r>
      <w:r>
        <w:rPr>
          <w:noProof/>
        </w:rPr>
        <w:fldChar w:fldCharType="separate"/>
      </w:r>
      <w:r>
        <w:rPr>
          <w:noProof/>
        </w:rPr>
        <w:t>61</w:t>
      </w:r>
      <w:r>
        <w:rPr>
          <w:noProof/>
        </w:rPr>
        <w:fldChar w:fldCharType="end"/>
      </w:r>
    </w:p>
    <w:p w14:paraId="39E741B0"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22 COG analysis part of FAM.  </w:t>
      </w:r>
      <w:r w:rsidRPr="007B0534">
        <w:rPr>
          <w:noProof/>
        </w:rPr>
        <w:t>COG analysis starts running PSI-BLAST and COGSoftware to identify COG IDs of query proteins.  With the identified COG IDs, enrichment test and significance test are conducted by the R and Python scripts of FAM.  Orange color box: input files, blue oval shape: python and R scripts, Green box: COGSoftware and PSI-BLAST, purple box: distributed jobs and light purple box: output files</w:t>
      </w:r>
      <w:r>
        <w:rPr>
          <w:noProof/>
        </w:rPr>
        <w:tab/>
      </w:r>
      <w:r>
        <w:rPr>
          <w:noProof/>
        </w:rPr>
        <w:fldChar w:fldCharType="begin"/>
      </w:r>
      <w:r>
        <w:rPr>
          <w:noProof/>
        </w:rPr>
        <w:instrText xml:space="preserve"> PAGEREF _Toc296333115 \h </w:instrText>
      </w:r>
      <w:r>
        <w:rPr>
          <w:noProof/>
        </w:rPr>
      </w:r>
      <w:r>
        <w:rPr>
          <w:noProof/>
        </w:rPr>
        <w:fldChar w:fldCharType="separate"/>
      </w:r>
      <w:r>
        <w:rPr>
          <w:noProof/>
        </w:rPr>
        <w:t>67</w:t>
      </w:r>
      <w:r>
        <w:rPr>
          <w:noProof/>
        </w:rPr>
        <w:fldChar w:fldCharType="end"/>
      </w:r>
    </w:p>
    <w:p w14:paraId="77CFC76A"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23 Examples of bar- and line-graph generated by QFAM.  </w:t>
      </w:r>
      <w:r w:rsidRPr="007B0534">
        <w:rPr>
          <w:noProof/>
        </w:rPr>
        <w:t>QFAM provides R library for drawing A) line graph and B) bar graph from analysis result of QFAM.</w:t>
      </w:r>
      <w:r>
        <w:rPr>
          <w:noProof/>
        </w:rPr>
        <w:tab/>
      </w:r>
      <w:r>
        <w:rPr>
          <w:noProof/>
        </w:rPr>
        <w:fldChar w:fldCharType="begin"/>
      </w:r>
      <w:r>
        <w:rPr>
          <w:noProof/>
        </w:rPr>
        <w:instrText xml:space="preserve"> PAGEREF _Toc296333116 \h </w:instrText>
      </w:r>
      <w:r>
        <w:rPr>
          <w:noProof/>
        </w:rPr>
      </w:r>
      <w:r>
        <w:rPr>
          <w:noProof/>
        </w:rPr>
        <w:fldChar w:fldCharType="separate"/>
      </w:r>
      <w:r>
        <w:rPr>
          <w:noProof/>
        </w:rPr>
        <w:t>72</w:t>
      </w:r>
      <w:r>
        <w:rPr>
          <w:noProof/>
        </w:rPr>
        <w:fldChar w:fldCharType="end"/>
      </w:r>
    </w:p>
    <w:p w14:paraId="79221C79"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24 Example heat-map drew by QFAM’s R library.  </w:t>
      </w:r>
      <w:r w:rsidRPr="007B0534">
        <w:rPr>
          <w:noProof/>
        </w:rPr>
        <w:t>Heat-map, colored by steal blue and white, can display global trend of protein expression.  Hierarchical clustering for proteins and for experimental groups are available in QFAM’s R library.  In this example, only proteins are clustered to show how protein expressions are changed in different groups (color bars of upper side of heat-map).  Heat-map’s cells are standardized spectral counts by mean and variance.</w:t>
      </w:r>
      <w:r>
        <w:rPr>
          <w:noProof/>
        </w:rPr>
        <w:tab/>
      </w:r>
      <w:r>
        <w:rPr>
          <w:noProof/>
        </w:rPr>
        <w:fldChar w:fldCharType="begin"/>
      </w:r>
      <w:r>
        <w:rPr>
          <w:noProof/>
        </w:rPr>
        <w:instrText xml:space="preserve"> PAGEREF _Toc296333117 \h </w:instrText>
      </w:r>
      <w:r>
        <w:rPr>
          <w:noProof/>
        </w:rPr>
      </w:r>
      <w:r>
        <w:rPr>
          <w:noProof/>
        </w:rPr>
        <w:fldChar w:fldCharType="separate"/>
      </w:r>
      <w:r>
        <w:rPr>
          <w:noProof/>
        </w:rPr>
        <w:t>73</w:t>
      </w:r>
      <w:r>
        <w:rPr>
          <w:noProof/>
        </w:rPr>
        <w:fldChar w:fldCharType="end"/>
      </w:r>
    </w:p>
    <w:p w14:paraId="2CAB4E9C"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25 Median power of studies included in neuroscience meta-analyses.  </w:t>
      </w:r>
      <w:r w:rsidRPr="007B0534">
        <w:rPr>
          <w:noProof/>
        </w:rPr>
        <w:t xml:space="preserve">This figure shows a histogram of median statistical power of neuroscience </w:t>
      </w:r>
      <w:r w:rsidRPr="007B0534">
        <w:rPr>
          <w:noProof/>
        </w:rPr>
        <w:lastRenderedPageBreak/>
        <w:t>papers published in 2011.  If this figure was based on minimum power as we used, the power of papers should be far more below than 80%.  This illustration was borrowed from Button et al [103].  N: the number of papers, Power(%): median statistical power</w:t>
      </w:r>
      <w:r>
        <w:rPr>
          <w:noProof/>
        </w:rPr>
        <w:tab/>
      </w:r>
      <w:r>
        <w:rPr>
          <w:noProof/>
        </w:rPr>
        <w:fldChar w:fldCharType="begin"/>
      </w:r>
      <w:r>
        <w:rPr>
          <w:noProof/>
        </w:rPr>
        <w:instrText xml:space="preserve"> PAGEREF _Toc296333118 \h </w:instrText>
      </w:r>
      <w:r>
        <w:rPr>
          <w:noProof/>
        </w:rPr>
      </w:r>
      <w:r>
        <w:rPr>
          <w:noProof/>
        </w:rPr>
        <w:fldChar w:fldCharType="separate"/>
      </w:r>
      <w:r>
        <w:rPr>
          <w:noProof/>
        </w:rPr>
        <w:t>78</w:t>
      </w:r>
      <w:r>
        <w:rPr>
          <w:noProof/>
        </w:rPr>
        <w:fldChar w:fldCharType="end"/>
      </w:r>
    </w:p>
    <w:p w14:paraId="42F38BDE"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26 Testing</w:t>
      </w:r>
      <w:r w:rsidRPr="007B0534">
        <w:rPr>
          <w:rFonts w:eastAsia="Batang"/>
          <w:noProof/>
          <w:lang w:eastAsia="ko-KR"/>
        </w:rPr>
        <w:t xml:space="preserve"> result with Gregori data and fecal proteome data.  A) Statistical power, B) the number of true positives (human proteins) and C) the number of false positives (yeast proteins) in significant protein list of Gregori data benchmark test for 6 method sets</w:t>
      </w:r>
      <w:r w:rsidRPr="007B0534">
        <w:rPr>
          <w:noProof/>
          <w:lang w:eastAsia="ko-KR"/>
        </w:rPr>
        <w:t>,</w:t>
      </w:r>
      <w:r w:rsidRPr="007B0534">
        <w:rPr>
          <w:rFonts w:eastAsia="Batang"/>
          <w:noProof/>
          <w:lang w:eastAsia="ko-KR"/>
        </w:rPr>
        <w:t xml:space="preserve"> QP_F, QP_FC, NB_W, NB_FC, NOR_F and NOR_FC described in table 12</w:t>
      </w:r>
      <w:r w:rsidRPr="007B0534">
        <w:rPr>
          <w:noProof/>
          <w:lang w:eastAsia="ko-KR"/>
        </w:rPr>
        <w:t>.  FDR thresholds for QP, NB and NOR are 0.05 and Cohen’s ES (</w:t>
      </w:r>
      <w:r w:rsidRPr="007B0534">
        <w:rPr>
          <w:i/>
          <w:noProof/>
          <w:lang w:eastAsia="ko-KR"/>
        </w:rPr>
        <w:t>f</w:t>
      </w:r>
      <w:r w:rsidRPr="007B0534">
        <w:rPr>
          <w:noProof/>
          <w:lang w:eastAsia="ko-KR"/>
        </w:rPr>
        <w:t xml:space="preserve"> and </w:t>
      </w:r>
      <w:r w:rsidRPr="007B0534">
        <w:rPr>
          <w:i/>
          <w:noProof/>
          <w:lang w:eastAsia="ko-KR"/>
        </w:rPr>
        <w:t>w</w:t>
      </w:r>
      <w:r w:rsidRPr="007B0534">
        <w:rPr>
          <w:noProof/>
          <w:lang w:eastAsia="ko-KR"/>
        </w:rPr>
        <w:t>) threshold is 90% statistical power.</w:t>
      </w:r>
      <w:r w:rsidRPr="007B0534">
        <w:rPr>
          <w:rFonts w:eastAsia="Batang"/>
          <w:noProof/>
          <w:lang w:eastAsia="ko-KR"/>
        </w:rPr>
        <w:t xml:space="preserve">  Scatter plot of 39 human (red) and 646 yeat (blue) proteins comparing D) Cohen’s </w:t>
      </w:r>
      <w:r w:rsidRPr="007B0534">
        <w:rPr>
          <w:rFonts w:eastAsia="Batang"/>
          <w:i/>
          <w:noProof/>
          <w:lang w:eastAsia="ko-KR"/>
        </w:rPr>
        <w:t>w</w:t>
      </w:r>
      <w:r w:rsidRPr="007B0534">
        <w:rPr>
          <w:rFonts w:eastAsia="Batang"/>
          <w:noProof/>
          <w:lang w:eastAsia="ko-KR"/>
        </w:rPr>
        <w:t xml:space="preserve"> and FC, E) Cohen’s </w:t>
      </w:r>
      <w:r w:rsidRPr="007B0534">
        <w:rPr>
          <w:rFonts w:eastAsia="Batang"/>
          <w:i/>
          <w:noProof/>
          <w:lang w:eastAsia="ko-KR"/>
        </w:rPr>
        <w:t>f</w:t>
      </w:r>
      <w:r w:rsidRPr="007B0534">
        <w:rPr>
          <w:rFonts w:eastAsia="Batang"/>
          <w:noProof/>
          <w:lang w:eastAsia="ko-KR"/>
        </w:rPr>
        <w:t xml:space="preserve"> and FC, F) QP model and Cohen’s </w:t>
      </w:r>
      <w:r w:rsidRPr="007B0534">
        <w:rPr>
          <w:rFonts w:eastAsia="Batang"/>
          <w:i/>
          <w:noProof/>
          <w:lang w:eastAsia="ko-KR"/>
        </w:rPr>
        <w:t>f</w:t>
      </w:r>
      <w:r w:rsidRPr="007B0534">
        <w:rPr>
          <w:rFonts w:eastAsia="Batang"/>
          <w:noProof/>
          <w:lang w:eastAsia="ko-KR"/>
        </w:rPr>
        <w:t xml:space="preserve">, G) NB model and Cohen’s </w:t>
      </w:r>
      <w:r w:rsidRPr="007B0534">
        <w:rPr>
          <w:rFonts w:eastAsia="Batang"/>
          <w:i/>
          <w:noProof/>
          <w:lang w:eastAsia="ko-KR"/>
        </w:rPr>
        <w:t xml:space="preserve">w </w:t>
      </w:r>
      <w:r w:rsidRPr="007B0534">
        <w:rPr>
          <w:rFonts w:eastAsia="Batang"/>
          <w:noProof/>
          <w:lang w:eastAsia="ko-KR"/>
        </w:rPr>
        <w:t xml:space="preserve">and H) NOR model and Cohen’s </w:t>
      </w:r>
      <w:r w:rsidRPr="007B0534">
        <w:rPr>
          <w:rFonts w:eastAsia="Batang"/>
          <w:i/>
          <w:noProof/>
          <w:lang w:eastAsia="ko-KR"/>
        </w:rPr>
        <w:t>f</w:t>
      </w:r>
      <w:r w:rsidRPr="007B0534">
        <w:rPr>
          <w:rFonts w:eastAsia="Batang"/>
          <w:noProof/>
          <w:lang w:eastAsia="ko-KR"/>
        </w:rPr>
        <w:t>.</w:t>
      </w:r>
      <w:r>
        <w:rPr>
          <w:noProof/>
        </w:rPr>
        <w:tab/>
      </w:r>
      <w:r>
        <w:rPr>
          <w:noProof/>
        </w:rPr>
        <w:fldChar w:fldCharType="begin"/>
      </w:r>
      <w:r>
        <w:rPr>
          <w:noProof/>
        </w:rPr>
        <w:instrText xml:space="preserve"> PAGEREF _Toc296333119 \h </w:instrText>
      </w:r>
      <w:r>
        <w:rPr>
          <w:noProof/>
        </w:rPr>
      </w:r>
      <w:r>
        <w:rPr>
          <w:noProof/>
        </w:rPr>
        <w:fldChar w:fldCharType="separate"/>
      </w:r>
      <w:r>
        <w:rPr>
          <w:noProof/>
        </w:rPr>
        <w:t>86</w:t>
      </w:r>
      <w:r>
        <w:rPr>
          <w:noProof/>
        </w:rPr>
        <w:fldChar w:fldCharType="end"/>
      </w:r>
    </w:p>
    <w:p w14:paraId="14498B48"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27 Protein scatter plots comparing three models and FC.  </w:t>
      </w:r>
      <w:r w:rsidRPr="007B0534">
        <w:rPr>
          <w:noProof/>
        </w:rPr>
        <w:t>False positive yeast proteins (blue color cross) and true positive human proteins (red color dot) were distributed on the plain of A) FDR-adjusted p-value of QP model and FC, B) FDR-adjusted p-value of NB model and FC and C) FDR-adjusted p-value of Normal model and FC.  Vertical line is 2-FC and horizontal line is 0.05 FDR.  Red-colored left-bottom section, divided by vertical and horizontal lines, is filtered by 2-FC after probability filter (FDR &lt; 0.05).  Little or none of FPs (blue dots) is removed by 2-FC.</w:t>
      </w:r>
      <w:r>
        <w:rPr>
          <w:noProof/>
        </w:rPr>
        <w:tab/>
      </w:r>
      <w:r>
        <w:rPr>
          <w:noProof/>
        </w:rPr>
        <w:fldChar w:fldCharType="begin"/>
      </w:r>
      <w:r>
        <w:rPr>
          <w:noProof/>
        </w:rPr>
        <w:instrText xml:space="preserve"> PAGEREF _Toc296333120 \h </w:instrText>
      </w:r>
      <w:r>
        <w:rPr>
          <w:noProof/>
        </w:rPr>
      </w:r>
      <w:r>
        <w:rPr>
          <w:noProof/>
        </w:rPr>
        <w:fldChar w:fldCharType="separate"/>
      </w:r>
      <w:r>
        <w:rPr>
          <w:noProof/>
        </w:rPr>
        <w:t>92</w:t>
      </w:r>
      <w:r>
        <w:rPr>
          <w:noProof/>
        </w:rPr>
        <w:fldChar w:fldCharType="end"/>
      </w:r>
    </w:p>
    <w:p w14:paraId="64711582"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28 </w:t>
      </w:r>
      <w:r>
        <w:rPr>
          <w:noProof/>
          <w:lang w:eastAsia="ko-KR"/>
        </w:rPr>
        <w:t>Boxplots of 1,000 times Monte Carlo simulation of Gregori data</w:t>
      </w:r>
      <w:r w:rsidRPr="007B0534">
        <w:rPr>
          <w:noProof/>
          <w:lang w:eastAsia="ko-KR"/>
        </w:rPr>
        <w:t>.  A) Statistical power, B) the number of false positives (yeast proteins), C) the number of true positives (human proteins) and D) FP Rate, FP/(FP+TN), of 1,000 times Monte Carlo simulation, based on Gregori data, for 6 method sets,</w:t>
      </w:r>
      <w:r w:rsidRPr="007B0534">
        <w:rPr>
          <w:rFonts w:eastAsia="Batang"/>
          <w:noProof/>
          <w:lang w:eastAsia="ko-KR"/>
        </w:rPr>
        <w:t xml:space="preserve"> QP_F, QP_FC, NB_W, NB_FC, NOR_F and NOR_FC described in supplementary table 1</w:t>
      </w:r>
      <w:r w:rsidRPr="007B0534">
        <w:rPr>
          <w:noProof/>
          <w:lang w:eastAsia="ko-KR"/>
        </w:rPr>
        <w:t>.  FDR thresholds for QP, NB and NOR are 0.05 and Cohen’s ES (</w:t>
      </w:r>
      <w:r w:rsidRPr="007B0534">
        <w:rPr>
          <w:i/>
          <w:noProof/>
          <w:lang w:eastAsia="ko-KR"/>
        </w:rPr>
        <w:t>f</w:t>
      </w:r>
      <w:r w:rsidRPr="007B0534">
        <w:rPr>
          <w:noProof/>
          <w:lang w:eastAsia="ko-KR"/>
        </w:rPr>
        <w:t xml:space="preserve"> and </w:t>
      </w:r>
      <w:r w:rsidRPr="007B0534">
        <w:rPr>
          <w:i/>
          <w:noProof/>
          <w:lang w:eastAsia="ko-KR"/>
        </w:rPr>
        <w:t>w</w:t>
      </w:r>
      <w:r w:rsidRPr="007B0534">
        <w:rPr>
          <w:noProof/>
          <w:lang w:eastAsia="ko-KR"/>
        </w:rPr>
        <w:t>) threshold is 90% statistical power.  TN: True Negative (The number of total yeast proteins in Gregori data – FP).</w:t>
      </w:r>
      <w:r>
        <w:rPr>
          <w:noProof/>
        </w:rPr>
        <w:tab/>
      </w:r>
      <w:r>
        <w:rPr>
          <w:noProof/>
        </w:rPr>
        <w:fldChar w:fldCharType="begin"/>
      </w:r>
      <w:r>
        <w:rPr>
          <w:noProof/>
        </w:rPr>
        <w:instrText xml:space="preserve"> PAGEREF _Toc296333121 \h </w:instrText>
      </w:r>
      <w:r>
        <w:rPr>
          <w:noProof/>
        </w:rPr>
      </w:r>
      <w:r>
        <w:rPr>
          <w:noProof/>
        </w:rPr>
        <w:fldChar w:fldCharType="separate"/>
      </w:r>
      <w:r>
        <w:rPr>
          <w:noProof/>
        </w:rPr>
        <w:t>95</w:t>
      </w:r>
      <w:r>
        <w:rPr>
          <w:noProof/>
        </w:rPr>
        <w:fldChar w:fldCharType="end"/>
      </w:r>
    </w:p>
    <w:p w14:paraId="6152F99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29 Experiment workflow of fecal metaproteome data generation.  </w:t>
      </w:r>
      <w:r w:rsidRPr="007B0534">
        <w:rPr>
          <w:noProof/>
        </w:rPr>
        <w:t>This illustration was adapted from Xiong et al [122].</w:t>
      </w:r>
      <w:r>
        <w:rPr>
          <w:noProof/>
        </w:rPr>
        <w:tab/>
      </w:r>
      <w:r>
        <w:rPr>
          <w:noProof/>
        </w:rPr>
        <w:fldChar w:fldCharType="begin"/>
      </w:r>
      <w:r>
        <w:rPr>
          <w:noProof/>
        </w:rPr>
        <w:instrText xml:space="preserve"> PAGEREF _Toc296333122 \h </w:instrText>
      </w:r>
      <w:r>
        <w:rPr>
          <w:noProof/>
        </w:rPr>
      </w:r>
      <w:r>
        <w:rPr>
          <w:noProof/>
        </w:rPr>
        <w:fldChar w:fldCharType="separate"/>
      </w:r>
      <w:r>
        <w:rPr>
          <w:noProof/>
        </w:rPr>
        <w:t>100</w:t>
      </w:r>
      <w:r>
        <w:rPr>
          <w:noProof/>
        </w:rPr>
        <w:fldChar w:fldCharType="end"/>
      </w:r>
    </w:p>
    <w:p w14:paraId="473DD5C5"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30 Hierarchical clustering of 29 MS runs of 11 fecal samples.  </w:t>
      </w:r>
      <w:r w:rsidRPr="007B0534">
        <w:rPr>
          <w:noProof/>
          <w:lang w:eastAsia="ko-KR"/>
        </w:rPr>
        <w:t>Technical replicates are closely clustered together, which means small variance within technical replicates.</w:t>
      </w:r>
      <w:r>
        <w:rPr>
          <w:noProof/>
        </w:rPr>
        <w:tab/>
      </w:r>
      <w:r>
        <w:rPr>
          <w:noProof/>
        </w:rPr>
        <w:fldChar w:fldCharType="begin"/>
      </w:r>
      <w:r>
        <w:rPr>
          <w:noProof/>
        </w:rPr>
        <w:instrText xml:space="preserve"> PAGEREF _Toc296333123 \h </w:instrText>
      </w:r>
      <w:r>
        <w:rPr>
          <w:noProof/>
        </w:rPr>
      </w:r>
      <w:r>
        <w:rPr>
          <w:noProof/>
        </w:rPr>
        <w:fldChar w:fldCharType="separate"/>
      </w:r>
      <w:r>
        <w:rPr>
          <w:noProof/>
        </w:rPr>
        <w:t>107</w:t>
      </w:r>
      <w:r>
        <w:rPr>
          <w:noProof/>
        </w:rPr>
        <w:fldChar w:fldCharType="end"/>
      </w:r>
    </w:p>
    <w:p w14:paraId="2A3EBE1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31 Correlation coefficients between fecal and PBMC MS runs.  </w:t>
      </w:r>
      <w:r w:rsidRPr="007B0534">
        <w:rPr>
          <w:noProof/>
        </w:rPr>
        <w:t>Pearson correlation coefficients between A) technological replicates of fecal samples, B) biological replicates of PBMC samples and C) biological replicates of fecal samples.</w:t>
      </w:r>
      <w:r>
        <w:rPr>
          <w:noProof/>
        </w:rPr>
        <w:tab/>
      </w:r>
      <w:r>
        <w:rPr>
          <w:noProof/>
        </w:rPr>
        <w:fldChar w:fldCharType="begin"/>
      </w:r>
      <w:r>
        <w:rPr>
          <w:noProof/>
        </w:rPr>
        <w:instrText xml:space="preserve"> PAGEREF _Toc296333124 \h </w:instrText>
      </w:r>
      <w:r>
        <w:rPr>
          <w:noProof/>
        </w:rPr>
      </w:r>
      <w:r>
        <w:rPr>
          <w:noProof/>
        </w:rPr>
        <w:fldChar w:fldCharType="separate"/>
      </w:r>
      <w:r>
        <w:rPr>
          <w:noProof/>
        </w:rPr>
        <w:t>108</w:t>
      </w:r>
      <w:r>
        <w:rPr>
          <w:noProof/>
        </w:rPr>
        <w:fldChar w:fldCharType="end"/>
      </w:r>
    </w:p>
    <w:p w14:paraId="440F0B76"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32 Expression location of top 25 abundant human fecal proteins. </w:t>
      </w:r>
      <w:r w:rsidRPr="007B0534">
        <w:rPr>
          <w:noProof/>
        </w:rPr>
        <w:t>Origin of fecal proteins were estimated by two databases, A) Proteomics DB and B) Human Proteome Map.</w:t>
      </w:r>
      <w:r>
        <w:rPr>
          <w:noProof/>
        </w:rPr>
        <w:tab/>
      </w:r>
      <w:r>
        <w:rPr>
          <w:noProof/>
        </w:rPr>
        <w:fldChar w:fldCharType="begin"/>
      </w:r>
      <w:r>
        <w:rPr>
          <w:noProof/>
        </w:rPr>
        <w:instrText xml:space="preserve"> PAGEREF _Toc296333125 \h </w:instrText>
      </w:r>
      <w:r>
        <w:rPr>
          <w:noProof/>
        </w:rPr>
      </w:r>
      <w:r>
        <w:rPr>
          <w:noProof/>
        </w:rPr>
        <w:fldChar w:fldCharType="separate"/>
      </w:r>
      <w:r>
        <w:rPr>
          <w:noProof/>
        </w:rPr>
        <w:t>114</w:t>
      </w:r>
      <w:r>
        <w:rPr>
          <w:noProof/>
        </w:rPr>
        <w:fldChar w:fldCharType="end"/>
      </w:r>
    </w:p>
    <w:p w14:paraId="103793EC"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lastRenderedPageBreak/>
        <w:t xml:space="preserve">Figure 33 Protein scatter plot of human fecal proteome comparison.  </w:t>
      </w:r>
      <w:r w:rsidRPr="007B0534">
        <w:rPr>
          <w:noProof/>
        </w:rPr>
        <w:t xml:space="preserve">Blue dots are significantly categorized proteins, while red dots are proteins that could not passed two thresholds, FDR &lt; 0.05 and Cohen’s </w:t>
      </w:r>
      <w:r w:rsidRPr="007B0534">
        <w:rPr>
          <w:i/>
          <w:noProof/>
        </w:rPr>
        <w:t>f</w:t>
      </w:r>
      <w:r w:rsidRPr="007B0534">
        <w:rPr>
          <w:noProof/>
        </w:rPr>
        <w:t xml:space="preserve"> &gt; 1.3769.</w:t>
      </w:r>
      <w:r>
        <w:rPr>
          <w:noProof/>
        </w:rPr>
        <w:tab/>
      </w:r>
      <w:r>
        <w:rPr>
          <w:noProof/>
        </w:rPr>
        <w:fldChar w:fldCharType="begin"/>
      </w:r>
      <w:r>
        <w:rPr>
          <w:noProof/>
        </w:rPr>
        <w:instrText xml:space="preserve"> PAGEREF _Toc296333126 \h </w:instrText>
      </w:r>
      <w:r>
        <w:rPr>
          <w:noProof/>
        </w:rPr>
      </w:r>
      <w:r>
        <w:rPr>
          <w:noProof/>
        </w:rPr>
        <w:fldChar w:fldCharType="separate"/>
      </w:r>
      <w:r>
        <w:rPr>
          <w:noProof/>
        </w:rPr>
        <w:t>121</w:t>
      </w:r>
      <w:r>
        <w:rPr>
          <w:noProof/>
        </w:rPr>
        <w:fldChar w:fldCharType="end"/>
      </w:r>
    </w:p>
    <w:p w14:paraId="3F328759"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34 Expression profile of 15 COG functions.  </w:t>
      </w:r>
      <w:r w:rsidRPr="007B0534">
        <w:rPr>
          <w:noProof/>
          <w:lang w:eastAsia="ko-KR"/>
        </w:rPr>
        <w:t>Spectrum counts of member proteins were transferred to COG broad functional terms.  COG function name for corresponding symbol is in table 19.  This plot was drown by line plot module of QFAM.</w:t>
      </w:r>
      <w:r>
        <w:rPr>
          <w:noProof/>
        </w:rPr>
        <w:tab/>
      </w:r>
      <w:r>
        <w:rPr>
          <w:noProof/>
        </w:rPr>
        <w:fldChar w:fldCharType="begin"/>
      </w:r>
      <w:r>
        <w:rPr>
          <w:noProof/>
        </w:rPr>
        <w:instrText xml:space="preserve"> PAGEREF _Toc296333127 \h </w:instrText>
      </w:r>
      <w:r>
        <w:rPr>
          <w:noProof/>
        </w:rPr>
      </w:r>
      <w:r>
        <w:rPr>
          <w:noProof/>
        </w:rPr>
        <w:fldChar w:fldCharType="separate"/>
      </w:r>
      <w:r>
        <w:rPr>
          <w:noProof/>
        </w:rPr>
        <w:t>131</w:t>
      </w:r>
      <w:r>
        <w:rPr>
          <w:noProof/>
        </w:rPr>
        <w:fldChar w:fldCharType="end"/>
      </w:r>
    </w:p>
    <w:p w14:paraId="107F272B"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35 Experiment design of diet proteome study.</w:t>
      </w:r>
      <w:r w:rsidRPr="007B0534">
        <w:rPr>
          <w:noProof/>
        </w:rPr>
        <w:t xml:space="preserve">  Low RS has 2g amylose and High RS has 38g amylose.  Every diet is treated for two weeks.  Total 8 patients had different diets, as is schedule in cross over design.</w:t>
      </w:r>
      <w:r>
        <w:rPr>
          <w:noProof/>
        </w:rPr>
        <w:tab/>
      </w:r>
      <w:r>
        <w:rPr>
          <w:noProof/>
        </w:rPr>
        <w:fldChar w:fldCharType="begin"/>
      </w:r>
      <w:r>
        <w:rPr>
          <w:noProof/>
        </w:rPr>
        <w:instrText xml:space="preserve"> PAGEREF _Toc296333128 \h </w:instrText>
      </w:r>
      <w:r>
        <w:rPr>
          <w:noProof/>
        </w:rPr>
      </w:r>
      <w:r>
        <w:rPr>
          <w:noProof/>
        </w:rPr>
        <w:fldChar w:fldCharType="separate"/>
      </w:r>
      <w:r>
        <w:rPr>
          <w:noProof/>
        </w:rPr>
        <w:t>136</w:t>
      </w:r>
      <w:r>
        <w:rPr>
          <w:noProof/>
        </w:rPr>
        <w:fldChar w:fldCharType="end"/>
      </w:r>
    </w:p>
    <w:p w14:paraId="790E5B2F"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36 Protein scatter plot of diet proteome comparison.  </w:t>
      </w:r>
      <w:r w:rsidRPr="007B0534">
        <w:rPr>
          <w:noProof/>
        </w:rPr>
        <w:t xml:space="preserve">Green dots mean insignificant microbial proteins, and red dots are insignificant human proteins.  Significant proteins are colored as purple (significant microbial) and blue (significant human).  Since we used rigorous thresholds to make the expected number of false positive below 1, almost all the visible spots were excluded by two lines (FDR threshold (= 0.0001) horizontal line and Cohen’s </w:t>
      </w:r>
      <w:r w:rsidRPr="007B0534">
        <w:rPr>
          <w:i/>
          <w:noProof/>
        </w:rPr>
        <w:t>w</w:t>
      </w:r>
      <w:r w:rsidRPr="007B0534">
        <w:rPr>
          <w:noProof/>
        </w:rPr>
        <w:t xml:space="preserve"> (= 1.0258) vertical line).</w:t>
      </w:r>
      <w:r>
        <w:rPr>
          <w:noProof/>
        </w:rPr>
        <w:tab/>
      </w:r>
      <w:r>
        <w:rPr>
          <w:noProof/>
        </w:rPr>
        <w:fldChar w:fldCharType="begin"/>
      </w:r>
      <w:r>
        <w:rPr>
          <w:noProof/>
        </w:rPr>
        <w:instrText xml:space="preserve"> PAGEREF _Toc296333129 \h </w:instrText>
      </w:r>
      <w:r>
        <w:rPr>
          <w:noProof/>
        </w:rPr>
      </w:r>
      <w:r>
        <w:rPr>
          <w:noProof/>
        </w:rPr>
        <w:fldChar w:fldCharType="separate"/>
      </w:r>
      <w:r>
        <w:rPr>
          <w:noProof/>
        </w:rPr>
        <w:t>148</w:t>
      </w:r>
      <w:r>
        <w:rPr>
          <w:noProof/>
        </w:rPr>
        <w:fldChar w:fldCharType="end"/>
      </w:r>
    </w:p>
    <w:p w14:paraId="36CD0D9D"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Figure 37 Stacked bar graphs of accumulated spectral counts of 20 significant KEGG pathways</w:t>
      </w:r>
      <w:r w:rsidRPr="007B0534">
        <w:rPr>
          <w:noProof/>
        </w:rPr>
        <w:t>.  Y-axis is KEGG pathway and X-axis is percentage of accumulated spectral counts of 2A (baseline), HRS and LRS samples.  Blue-colored bar is sum of spectral counts in baseline diet.  Red-colored bar means expression level (sum of spectral counts) in HRS.  Green bars are from sum of expression level in LRS.</w:t>
      </w:r>
      <w:r>
        <w:rPr>
          <w:noProof/>
        </w:rPr>
        <w:tab/>
      </w:r>
      <w:r>
        <w:rPr>
          <w:noProof/>
        </w:rPr>
        <w:fldChar w:fldCharType="begin"/>
      </w:r>
      <w:r>
        <w:rPr>
          <w:noProof/>
        </w:rPr>
        <w:instrText xml:space="preserve"> PAGEREF _Toc296333130 \h </w:instrText>
      </w:r>
      <w:r>
        <w:rPr>
          <w:noProof/>
        </w:rPr>
      </w:r>
      <w:r>
        <w:rPr>
          <w:noProof/>
        </w:rPr>
        <w:fldChar w:fldCharType="separate"/>
      </w:r>
      <w:r>
        <w:rPr>
          <w:noProof/>
        </w:rPr>
        <w:t>150</w:t>
      </w:r>
      <w:r>
        <w:rPr>
          <w:noProof/>
        </w:rPr>
        <w:fldChar w:fldCharType="end"/>
      </w:r>
    </w:p>
    <w:p w14:paraId="73901D78" w14:textId="77777777" w:rsidR="00A41E9D" w:rsidRDefault="00A41E9D">
      <w:pPr>
        <w:pStyle w:val="TableofFigures"/>
        <w:tabs>
          <w:tab w:val="right" w:leader="dot" w:pos="8630"/>
        </w:tabs>
        <w:rPr>
          <w:rFonts w:asciiTheme="minorHAnsi" w:eastAsiaTheme="minorEastAsia" w:hAnsiTheme="minorHAnsi" w:cstheme="minorBidi"/>
          <w:noProof/>
          <w:lang w:eastAsia="ja-JP"/>
        </w:rPr>
      </w:pPr>
      <w:r>
        <w:rPr>
          <w:noProof/>
        </w:rPr>
        <w:t xml:space="preserve">Figure 38 Heat-map of significant 166 COG terms.  </w:t>
      </w:r>
      <w:r w:rsidRPr="007B0534">
        <w:rPr>
          <w:noProof/>
        </w:rPr>
        <w:t>We standardized sum of transferred SC of each of COG terms.  Deeper steel-blue color means higher expression level in diet metaproteome.  COG terms are clustered by their expression pattern and broad functional term.</w:t>
      </w:r>
      <w:r>
        <w:rPr>
          <w:noProof/>
        </w:rPr>
        <w:tab/>
      </w:r>
      <w:r>
        <w:rPr>
          <w:noProof/>
        </w:rPr>
        <w:fldChar w:fldCharType="begin"/>
      </w:r>
      <w:r>
        <w:rPr>
          <w:noProof/>
        </w:rPr>
        <w:instrText xml:space="preserve"> PAGEREF _Toc296333131 \h </w:instrText>
      </w:r>
      <w:r>
        <w:rPr>
          <w:noProof/>
        </w:rPr>
      </w:r>
      <w:r>
        <w:rPr>
          <w:noProof/>
        </w:rPr>
        <w:fldChar w:fldCharType="separate"/>
      </w:r>
      <w:r>
        <w:rPr>
          <w:noProof/>
        </w:rPr>
        <w:t>160</w:t>
      </w:r>
      <w:r>
        <w:rPr>
          <w:noProof/>
        </w:rPr>
        <w:fldChar w:fldCharType="end"/>
      </w:r>
    </w:p>
    <w:p w14:paraId="3002E39B" w14:textId="77777777" w:rsidR="003C1575" w:rsidRPr="004030F5" w:rsidRDefault="00665C7E" w:rsidP="00A56AAB">
      <w:pPr>
        <w:numPr>
          <w:ilvl w:val="12"/>
          <w:numId w:val="0"/>
        </w:numPr>
        <w:spacing w:line="480" w:lineRule="auto"/>
        <w:rPr>
          <w:rFonts w:cs="Arial"/>
        </w:rPr>
        <w:sectPr w:rsidR="003C1575" w:rsidRPr="004030F5" w:rsidSect="008A4E30">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r w:rsidRPr="004030F5">
        <w:rPr>
          <w:rFonts w:cs="Arial"/>
        </w:rPr>
        <w:fldChar w:fldCharType="end"/>
      </w:r>
    </w:p>
    <w:p w14:paraId="613E37C9" w14:textId="1B5F17CF" w:rsidR="00236E6D" w:rsidRPr="004030F5" w:rsidRDefault="00236E6D" w:rsidP="002B03B3">
      <w:pPr>
        <w:pStyle w:val="Heading1"/>
        <w:jc w:val="center"/>
        <w:rPr>
          <w:rFonts w:cs="Arial"/>
        </w:rPr>
      </w:pPr>
      <w:bookmarkStart w:id="1" w:name="_Toc296333696"/>
      <w:r w:rsidRPr="004030F5">
        <w:rPr>
          <w:rFonts w:cs="Arial"/>
        </w:rPr>
        <w:lastRenderedPageBreak/>
        <w:t>CHAPTER I</w:t>
      </w:r>
      <w:r w:rsidR="00B60A12">
        <w:rPr>
          <w:rFonts w:cs="Arial"/>
        </w:rPr>
        <w:br/>
      </w:r>
      <w:r w:rsidR="00E132DA" w:rsidRPr="004030F5">
        <w:rPr>
          <w:rFonts w:cs="Arial"/>
        </w:rPr>
        <w:t>INTRODUCTION</w:t>
      </w:r>
      <w:bookmarkEnd w:id="1"/>
    </w:p>
    <w:p w14:paraId="69467354" w14:textId="77777777" w:rsidR="002B03B3" w:rsidRPr="004030F5" w:rsidRDefault="002B03B3" w:rsidP="00EB2749">
      <w:pPr>
        <w:pStyle w:val="Heading2"/>
      </w:pPr>
    </w:p>
    <w:p w14:paraId="657B5FB4" w14:textId="029E4A24" w:rsidR="004A4B00" w:rsidRPr="004030F5" w:rsidRDefault="001B3284" w:rsidP="00EB2749">
      <w:pPr>
        <w:pStyle w:val="Heading2"/>
      </w:pPr>
      <w:bookmarkStart w:id="2" w:name="_Toc296333697"/>
      <w:r w:rsidRPr="004030F5">
        <w:t>M</w:t>
      </w:r>
      <w:r w:rsidR="004A4B00" w:rsidRPr="004030F5">
        <w:t>etaproteomics</w:t>
      </w:r>
      <w:bookmarkEnd w:id="2"/>
    </w:p>
    <w:p w14:paraId="68E8AD8E" w14:textId="77777777" w:rsidR="002B03B3" w:rsidRPr="004030F5" w:rsidRDefault="002B03B3" w:rsidP="002B03B3">
      <w:pPr>
        <w:rPr>
          <w:rFonts w:cs="Arial"/>
        </w:rPr>
      </w:pPr>
    </w:p>
    <w:p w14:paraId="5710BA21" w14:textId="68430CD5" w:rsidR="00EB2749" w:rsidRPr="004030F5" w:rsidRDefault="00BB0F5E" w:rsidP="00BB0F5E">
      <w:pPr>
        <w:pStyle w:val="Heading3"/>
      </w:pPr>
      <w:bookmarkStart w:id="3" w:name="_Toc296333698"/>
      <w:r w:rsidRPr="004030F5">
        <w:t>Metaproteomics</w:t>
      </w:r>
      <w:r w:rsidR="005722B6" w:rsidRPr="004030F5">
        <w:t xml:space="preserve"> in proteomics</w:t>
      </w:r>
      <w:bookmarkEnd w:id="3"/>
    </w:p>
    <w:p w14:paraId="7DE9E57D" w14:textId="23A13DE4" w:rsidR="0062158D" w:rsidRPr="004030F5" w:rsidRDefault="00B511EF" w:rsidP="003E7750">
      <w:pPr>
        <w:pStyle w:val="Footer"/>
        <w:numPr>
          <w:ilvl w:val="12"/>
          <w:numId w:val="0"/>
        </w:numPr>
        <w:tabs>
          <w:tab w:val="clear" w:pos="4320"/>
          <w:tab w:val="clear" w:pos="8640"/>
        </w:tabs>
        <w:spacing w:line="480" w:lineRule="auto"/>
        <w:ind w:firstLine="720"/>
        <w:rPr>
          <w:rFonts w:cs="Arial"/>
        </w:rPr>
      </w:pPr>
      <w:r w:rsidRPr="004030F5">
        <w:rPr>
          <w:rFonts w:cs="Arial"/>
        </w:rPr>
        <w:t>Proteomics is a</w:t>
      </w:r>
      <w:r w:rsidR="005C738F" w:rsidRPr="004030F5">
        <w:rPr>
          <w:rFonts w:cs="Arial"/>
        </w:rPr>
        <w:t>n</w:t>
      </w:r>
      <w:r w:rsidRPr="004030F5">
        <w:rPr>
          <w:rFonts w:cs="Arial"/>
        </w:rPr>
        <w:t xml:space="preserve"> </w:t>
      </w:r>
      <w:r w:rsidR="005C738F" w:rsidRPr="004030F5">
        <w:rPr>
          <w:rFonts w:cs="Arial"/>
        </w:rPr>
        <w:t>all-inclusive</w:t>
      </w:r>
      <w:r w:rsidRPr="004030F5">
        <w:rPr>
          <w:rFonts w:cs="Arial"/>
        </w:rPr>
        <w:t xml:space="preserve"> collection of proteins in a cell, a multicellular organism</w:t>
      </w:r>
      <w:r w:rsidR="00C67E0D" w:rsidRPr="004030F5">
        <w:rPr>
          <w:rFonts w:cs="Arial"/>
        </w:rPr>
        <w:t xml:space="preserve">, </w:t>
      </w:r>
      <w:r w:rsidRPr="004030F5">
        <w:rPr>
          <w:rFonts w:cs="Arial"/>
        </w:rPr>
        <w:t>an extracell</w:t>
      </w:r>
      <w:r w:rsidR="00C67E0D" w:rsidRPr="004030F5">
        <w:rPr>
          <w:rFonts w:cs="Arial"/>
        </w:rPr>
        <w:t>ular environment and a community</w:t>
      </w:r>
      <w:r w:rsidRPr="004030F5">
        <w:rPr>
          <w:rFonts w:cs="Arial"/>
        </w:rPr>
        <w:t xml:space="preserve"> </w:t>
      </w:r>
      <w:r w:rsidR="005C738F" w:rsidRPr="004030F5">
        <w:rPr>
          <w:rFonts w:cs="Arial"/>
        </w:rPr>
        <w:t xml:space="preserve">of multiple organisms.  This comprehensive analysis is accomplished through </w:t>
      </w:r>
      <w:r w:rsidR="0029258A" w:rsidRPr="004030F5">
        <w:rPr>
          <w:rFonts w:cs="Arial"/>
        </w:rPr>
        <w:t>protein extractio</w:t>
      </w:r>
      <w:r w:rsidR="002532C2" w:rsidRPr="004030F5">
        <w:rPr>
          <w:rFonts w:cs="Arial"/>
        </w:rPr>
        <w:t>n, identification and comparative analysis steps</w:t>
      </w:r>
      <w:r w:rsidR="005C2C52" w:rsidRPr="004030F5">
        <w:rPr>
          <w:rFonts w:cs="Arial"/>
        </w:rPr>
        <w:t xml:space="preserve"> using liquid chromatography mass spectrometry (LC-MS), two-dimensional gel electrophoresis-mass spectrometry (2DE-MS), affinity purifications-mass spectrometry</w:t>
      </w:r>
      <w:r w:rsidR="00EA7F59" w:rsidRPr="004030F5">
        <w:rPr>
          <w:rFonts w:cs="Arial"/>
        </w:rPr>
        <w:t xml:space="preserve"> (AP-MS)</w:t>
      </w:r>
      <w:r w:rsidR="005C2C52" w:rsidRPr="004030F5">
        <w:rPr>
          <w:rFonts w:cs="Arial"/>
        </w:rPr>
        <w:t xml:space="preserve"> and protein- or antibody-based microarray</w:t>
      </w:r>
      <w:r w:rsidR="00E859E2" w:rsidRPr="004030F5">
        <w:rPr>
          <w:rFonts w:cs="Arial"/>
        </w:rPr>
        <w:t xml:space="preserve"> </w:t>
      </w:r>
      <w:r w:rsidR="00E859E2" w:rsidRPr="004030F5">
        <w:rPr>
          <w:rFonts w:cs="Arial"/>
        </w:rPr>
        <w:fldChar w:fldCharType="begin"/>
      </w:r>
      <w:r w:rsidR="007C3F6A" w:rsidRPr="004030F5">
        <w:rPr>
          <w:rFonts w:cs="Arial"/>
        </w:rPr>
        <w:instrText xml:space="preserve"> ADDIN EN.CITE &lt;EndNote&gt;&lt;Cite&gt;&lt;Author&gt;Pieper&lt;/Author&gt;&lt;Year&gt;2014&lt;/Year&gt;&lt;RecNum&gt;1&lt;/RecNum&gt;&lt;DisplayText&gt;[1]&lt;/DisplayText&gt;&lt;record&gt;&lt;rec-number&gt;1&lt;/rec-number&gt;&lt;foreign-keys&gt;&lt;key app="EN" db-id="efx2002d5f0z21etvw3x9zp7tw2axpa2eez0" timestamp="1432753895"&gt;1&lt;/key&gt;&lt;/foreign-keys&gt;&lt;ref-type name="Book Section"&gt;5&lt;/ref-type&gt;&lt;contributors&gt;&lt;authors&gt;&lt;author&gt;Pieper, Rembert&lt;/author&gt;&lt;author&gt;Huang, Shih-Ting&lt;/author&gt;&lt;author&gt;Suh, Moo-Jin&lt;/author&gt;&lt;/authors&gt;&lt;/contributors&gt;&lt;titles&gt;&lt;title&gt;Proteomics and Metaproteomics&lt;/title&gt;&lt;secondary-title&gt;Encyclopedia of Metagenomics&lt;/secondary-title&gt;&lt;/titles&gt;&lt;pages&gt;1-11&lt;/pages&gt;&lt;dates&gt;&lt;year&gt;2014&lt;/year&gt;&lt;/dates&gt;&lt;publisher&gt;Springer&lt;/publisher&gt;&lt;isbn&gt;1461464188&lt;/isbn&gt;&lt;urls&gt;&lt;/urls&gt;&lt;/record&gt;&lt;/Cite&gt;&lt;/EndNote&gt;</w:instrText>
      </w:r>
      <w:r w:rsidR="00E859E2" w:rsidRPr="004030F5">
        <w:rPr>
          <w:rFonts w:cs="Arial"/>
        </w:rPr>
        <w:fldChar w:fldCharType="separate"/>
      </w:r>
      <w:r w:rsidR="007C3F6A" w:rsidRPr="004030F5">
        <w:rPr>
          <w:rFonts w:cs="Arial"/>
          <w:noProof/>
        </w:rPr>
        <w:t>[1]</w:t>
      </w:r>
      <w:r w:rsidR="00E859E2" w:rsidRPr="004030F5">
        <w:rPr>
          <w:rFonts w:cs="Arial"/>
        </w:rPr>
        <w:fldChar w:fldCharType="end"/>
      </w:r>
      <w:r w:rsidR="00453363" w:rsidRPr="004030F5">
        <w:rPr>
          <w:rFonts w:cs="Arial"/>
        </w:rPr>
        <w:t>.</w:t>
      </w:r>
      <w:r w:rsidR="00C34A07" w:rsidRPr="004030F5">
        <w:rPr>
          <w:rFonts w:cs="Arial"/>
        </w:rPr>
        <w:t xml:space="preserve">  </w:t>
      </w:r>
      <w:r w:rsidR="00E44E45" w:rsidRPr="004030F5">
        <w:rPr>
          <w:rFonts w:cs="Arial"/>
        </w:rPr>
        <w:t>The goals of proteomics research are v</w:t>
      </w:r>
      <w:r w:rsidR="00C97691" w:rsidRPr="004030F5">
        <w:rPr>
          <w:rFonts w:cs="Arial"/>
        </w:rPr>
        <w:t>arious and extensive</w:t>
      </w:r>
      <w:r w:rsidR="00157661" w:rsidRPr="004030F5">
        <w:rPr>
          <w:rFonts w:cs="Arial"/>
        </w:rPr>
        <w:t xml:space="preserve">, such as </w:t>
      </w:r>
      <w:r w:rsidR="00A93648" w:rsidRPr="004030F5">
        <w:rPr>
          <w:rFonts w:cs="Arial"/>
        </w:rPr>
        <w:t xml:space="preserve">protein quantification on a large scale, </w:t>
      </w:r>
      <w:r w:rsidR="00DE5E86" w:rsidRPr="004030F5">
        <w:rPr>
          <w:rFonts w:cs="Arial"/>
        </w:rPr>
        <w:t>finding drug target</w:t>
      </w:r>
      <w:r w:rsidR="00825A51" w:rsidRPr="004030F5">
        <w:rPr>
          <w:rFonts w:cs="Arial"/>
        </w:rPr>
        <w:t>s</w:t>
      </w:r>
      <w:r w:rsidR="00DE5E86" w:rsidRPr="004030F5">
        <w:rPr>
          <w:rFonts w:cs="Arial"/>
        </w:rPr>
        <w:t>, exploring clinical protein markers, structural characterization of protein comp</w:t>
      </w:r>
      <w:r w:rsidR="00825A51" w:rsidRPr="004030F5">
        <w:rPr>
          <w:rFonts w:cs="Arial"/>
        </w:rPr>
        <w:t>lexes, imaging protein traffic</w:t>
      </w:r>
      <w:r w:rsidR="00DE5E86" w:rsidRPr="004030F5">
        <w:rPr>
          <w:rFonts w:cs="Arial"/>
        </w:rPr>
        <w:t xml:space="preserve"> in multicellular system and </w:t>
      </w:r>
      <w:r w:rsidR="006044D8" w:rsidRPr="004030F5">
        <w:rPr>
          <w:rFonts w:cs="Arial"/>
        </w:rPr>
        <w:t>discovery of significant proteins for a specific perturbation like a disease</w:t>
      </w:r>
      <w:r w:rsidR="000F25BB" w:rsidRPr="004030F5">
        <w:rPr>
          <w:rFonts w:cs="Arial"/>
        </w:rPr>
        <w:t xml:space="preserve"> </w:t>
      </w:r>
      <w:r w:rsidR="008542E2" w:rsidRPr="004030F5">
        <w:rPr>
          <w:rFonts w:cs="Arial"/>
        </w:rPr>
        <w:fldChar w:fldCharType="begin"/>
      </w:r>
      <w:r w:rsidR="007C3F6A" w:rsidRPr="004030F5">
        <w:rPr>
          <w:rFonts w:cs="Arial"/>
        </w:rPr>
        <w:instrText xml:space="preserve"> ADDIN EN.CITE &lt;EndNote&gt;&lt;Cite&gt;&lt;Author&gt;Pieper&lt;/Author&gt;&lt;Year&gt;2014&lt;/Year&gt;&lt;RecNum&gt;1&lt;/RecNum&gt;&lt;DisplayText&gt;[1,2]&lt;/DisplayText&gt;&lt;record&gt;&lt;rec-number&gt;1&lt;/rec-number&gt;&lt;foreign-keys&gt;&lt;key app="EN" db-id="efx2002d5f0z21etvw3x9zp7tw2axpa2eez0" timestamp="1432753895"&gt;1&lt;/key&gt;&lt;/foreign-keys&gt;&lt;ref-type name="Book Section"&gt;5&lt;/ref-type&gt;&lt;contributors&gt;&lt;authors&gt;&lt;author&gt;Pieper, Rembert&lt;/author&gt;&lt;author&gt;Huang, Shih-Ting&lt;/author&gt;&lt;author&gt;Suh, Moo-Jin&lt;/author&gt;&lt;/authors&gt;&lt;/contributors&gt;&lt;titles&gt;&lt;title&gt;Proteomics and Metaproteomics&lt;/title&gt;&lt;secondary-title&gt;Encyclopedia of Metagenomics&lt;/secondary-title&gt;&lt;/titles&gt;&lt;pages&gt;1-11&lt;/pages&gt;&lt;dates&gt;&lt;year&gt;2014&lt;/year&gt;&lt;/dates&gt;&lt;publisher&gt;Springer&lt;/publisher&gt;&lt;isbn&gt;1461464188&lt;/isbn&gt;&lt;urls&gt;&lt;/urls&gt;&lt;/record&gt;&lt;/Cite&gt;&lt;Cite&gt;&lt;Author&gt;Aerni&lt;/Author&gt;&lt;Year&gt;2014&lt;/Year&gt;&lt;RecNum&gt;2&lt;/RecNum&gt;&lt;record&gt;&lt;rec-number&gt;2&lt;/rec-number&gt;&lt;foreign-keys&gt;&lt;key app="EN" db-id="efx2002d5f0z21etvw3x9zp7tw2axpa2eez0" timestamp="1432759191"&gt;2&lt;/key&gt;&lt;/foreign-keys&gt;&lt;ref-type name="Book"&gt;6&lt;/ref-type&gt;&lt;contributors&gt;&lt;authors&gt;&lt;author&gt;Aerni, Sarah J&lt;/author&gt;&lt;author&gt;Sirota, Marina&lt;/author&gt;&lt;/authors&gt;&lt;/contributors&gt;&lt;titles&gt;&lt;title&gt;A Bioinformatics Guide for Molecular Biologists&lt;/title&gt;&lt;/titles&gt;&lt;dates&gt;&lt;year&gt;2014&lt;/year&gt;&lt;/dates&gt;&lt;publisher&gt;Cold Spring Harbor Laboratory Press&lt;/publisher&gt;&lt;isbn&gt;1936113228&lt;/isbn&gt;&lt;urls&gt;&lt;/urls&gt;&lt;/record&gt;&lt;/Cite&gt;&lt;/EndNote&gt;</w:instrText>
      </w:r>
      <w:r w:rsidR="008542E2" w:rsidRPr="004030F5">
        <w:rPr>
          <w:rFonts w:cs="Arial"/>
        </w:rPr>
        <w:fldChar w:fldCharType="separate"/>
      </w:r>
      <w:r w:rsidR="007C3F6A" w:rsidRPr="004030F5">
        <w:rPr>
          <w:rFonts w:cs="Arial"/>
          <w:noProof/>
        </w:rPr>
        <w:t>[1,2]</w:t>
      </w:r>
      <w:r w:rsidR="008542E2" w:rsidRPr="004030F5">
        <w:rPr>
          <w:rFonts w:cs="Arial"/>
        </w:rPr>
        <w:fldChar w:fldCharType="end"/>
      </w:r>
      <w:r w:rsidR="00781B82" w:rsidRPr="004030F5">
        <w:rPr>
          <w:rFonts w:cs="Arial"/>
        </w:rPr>
        <w:t xml:space="preserve"> </w:t>
      </w:r>
      <w:r w:rsidR="00C666A2" w:rsidRPr="004030F5">
        <w:rPr>
          <w:rFonts w:cs="Arial"/>
        </w:rPr>
        <w:t>(Fig</w:t>
      </w:r>
      <w:r w:rsidR="00375D06" w:rsidRPr="004030F5">
        <w:rPr>
          <w:rFonts w:cs="Arial"/>
        </w:rPr>
        <w:t>.</w:t>
      </w:r>
      <w:r w:rsidR="00C666A2" w:rsidRPr="004030F5">
        <w:rPr>
          <w:rFonts w:cs="Arial"/>
        </w:rPr>
        <w:t xml:space="preserve"> 1)</w:t>
      </w:r>
      <w:r w:rsidR="006044D8" w:rsidRPr="004030F5">
        <w:rPr>
          <w:rFonts w:cs="Arial"/>
        </w:rPr>
        <w:t>.</w:t>
      </w:r>
    </w:p>
    <w:p w14:paraId="6D4B3A23" w14:textId="4AA27082" w:rsidR="00816BDB" w:rsidRPr="004030F5" w:rsidRDefault="004B2285" w:rsidP="004765C4">
      <w:pPr>
        <w:pStyle w:val="Footer"/>
        <w:numPr>
          <w:ilvl w:val="12"/>
          <w:numId w:val="0"/>
        </w:numPr>
        <w:tabs>
          <w:tab w:val="clear" w:pos="4320"/>
          <w:tab w:val="clear" w:pos="8640"/>
        </w:tabs>
        <w:spacing w:line="480" w:lineRule="auto"/>
        <w:ind w:firstLine="720"/>
        <w:rPr>
          <w:rFonts w:cs="Arial"/>
        </w:rPr>
      </w:pPr>
      <w:r w:rsidRPr="004030F5">
        <w:rPr>
          <w:rFonts w:cs="Arial"/>
        </w:rPr>
        <w:t>Metaproteomics</w:t>
      </w:r>
      <w:r w:rsidR="008766B1" w:rsidRPr="004030F5">
        <w:rPr>
          <w:rFonts w:cs="Arial"/>
        </w:rPr>
        <w:t>, also known as community proteomics,</w:t>
      </w:r>
      <w:r w:rsidRPr="004030F5">
        <w:rPr>
          <w:rFonts w:cs="Arial"/>
        </w:rPr>
        <w:t xml:space="preserve"> is </w:t>
      </w:r>
      <w:r w:rsidR="007F370F" w:rsidRPr="004030F5">
        <w:rPr>
          <w:rFonts w:cs="Arial"/>
        </w:rPr>
        <w:t xml:space="preserve">an extension of proteomics.  </w:t>
      </w:r>
      <w:r w:rsidR="008D7913" w:rsidRPr="004030F5">
        <w:rPr>
          <w:rFonts w:cs="Arial"/>
        </w:rPr>
        <w:t xml:space="preserve">Wilmes primarily used and defined </w:t>
      </w:r>
      <w:r w:rsidR="00B260EB" w:rsidRPr="004030F5">
        <w:rPr>
          <w:rFonts w:cs="Arial"/>
        </w:rPr>
        <w:t xml:space="preserve">metaproteomics term </w:t>
      </w:r>
      <w:r w:rsidR="00E241CB" w:rsidRPr="004030F5">
        <w:rPr>
          <w:rFonts w:cs="Arial"/>
        </w:rPr>
        <w:t xml:space="preserve">as </w:t>
      </w:r>
      <w:r w:rsidR="008D7913" w:rsidRPr="004030F5">
        <w:rPr>
          <w:rFonts w:cs="Arial"/>
        </w:rPr>
        <w:t xml:space="preserve">“the large-scale characterization of the entire protein complement of environmental microbiota at a given point in time” </w:t>
      </w:r>
      <w:r w:rsidR="008D7913" w:rsidRPr="004030F5">
        <w:rPr>
          <w:rFonts w:cs="Arial"/>
        </w:rPr>
        <w:fldChar w:fldCharType="begin"/>
      </w:r>
      <w:r w:rsidR="007C3F6A" w:rsidRPr="004030F5">
        <w:rPr>
          <w:rFonts w:cs="Arial"/>
        </w:rPr>
        <w:instrText xml:space="preserve"> ADDIN EN.CITE &lt;EndNote&gt;&lt;Cite&gt;&lt;Author&gt;Wilmes&lt;/Author&gt;&lt;Year&gt;2004&lt;/Year&gt;&lt;RecNum&gt;3&lt;/RecNum&gt;&lt;DisplayText&gt;[3,4]&lt;/DisplayText&gt;&lt;record&gt;&lt;rec-number&gt;3&lt;/rec-number&gt;&lt;foreign-keys&gt;&lt;key app="EN" db-id="efx2002d5f0z21etvw3x9zp7tw2axpa2eez0" timestamp="1432759971"&gt;3&lt;/key&gt;&lt;/foreign-keys&gt;&lt;ref-type name="Journal Article"&gt;17&lt;/ref-type&gt;&lt;contributors&gt;&lt;authors&gt;&lt;author&gt;Wilmes, Paul&lt;/author&gt;&lt;author&gt;Bond, Philip L&lt;/author&gt;&lt;/authors&gt;&lt;/contributors&gt;&lt;titles&gt;&lt;title&gt;The application of two</w:instrText>
      </w:r>
      <w:r w:rsidR="007C3F6A" w:rsidRPr="004030F5">
        <w:rPr>
          <w:rFonts w:ascii="American Typewriter Light" w:hAnsi="American Typewriter Light" w:cs="American Typewriter Light"/>
        </w:rPr>
        <w:instrText>‐</w:instrText>
      </w:r>
      <w:r w:rsidR="007C3F6A" w:rsidRPr="004030F5">
        <w:rPr>
          <w:rFonts w:cs="Arial"/>
        </w:rPr>
        <w:instrText>dimensional polyacrylamide gel electrophoresis and downstream analyses to a mixed community of prokaryotic microorganisms&lt;/title&gt;&lt;secondary-title&gt;Environmental Microbiology&lt;/secondary-title&gt;&lt;/titles&gt;&lt;periodical&gt;&lt;full-title&gt;Environmental Microbiology&lt;/full-title&gt;&lt;/periodical&gt;&lt;pages&gt;911-920&lt;/pages&gt;&lt;volume&gt;6&lt;/volume&gt;&lt;number&gt;9&lt;/number&gt;&lt;dates&gt;&lt;year&gt;2004&lt;/year&gt;&lt;/dates&gt;&lt;isbn&gt;1462-2920&lt;/isbn&gt;&lt;urls&gt;&lt;/urls&gt;&lt;/record&gt;&lt;/Cite&gt;&lt;Cite&gt;&lt;Author&gt;Tanca&lt;/Author&gt;&lt;Year&gt;2014&lt;/Year&gt;&lt;RecNum&gt;4&lt;/RecNum&gt;&lt;record&gt;&lt;rec-number&gt;4&lt;/rec-number&gt;&lt;foreign-keys&gt;&lt;key app="EN" db-id="efx2002d5f0z21etvw3x9zp7tw2axpa2eez0" timestamp="1432760012"&gt;4&lt;/key&gt;&lt;/foreign-keys&gt;&lt;ref-type name="Journal Article"&gt;17&lt;/ref-type&gt;&lt;contributors&gt;&lt;authors&gt;&lt;author&gt;Tanca, Alessandro&lt;/author&gt;&lt;author&gt;Palomba, Antonio&lt;/author&gt;&lt;author&gt;Pisanu, Salvatore&lt;/author&gt;&lt;author&gt;Deligios, Massimo&lt;/author&gt;&lt;author&gt;Fraumene, Cristina&lt;/author&gt;&lt;author&gt;Manghina, Valeria&lt;/author&gt;&lt;author&gt;Pagnozzi, Daniela&lt;/author&gt;&lt;author&gt;Addis, Maria Filippa&lt;/author&gt;&lt;author&gt;Uzzau, Sergio&lt;/author&gt;&lt;/authors&gt;&lt;/contributors&gt;&lt;titles&gt;&lt;title&gt;A straightforward and efficient analytical pipeline for metaproteome characterization&lt;/title&gt;&lt;secondary-title&gt;Microbiome&lt;/secondary-title&gt;&lt;/titles&gt;&lt;periodical&gt;&lt;full-title&gt;Microbiome&lt;/full-title&gt;&lt;/periodical&gt;&lt;pages&gt;1-16&lt;/pages&gt;&lt;volume&gt;2&lt;/volume&gt;&lt;number&gt;1&lt;/number&gt;&lt;dates&gt;&lt;year&gt;2014&lt;/year&gt;&lt;/dates&gt;&lt;isbn&gt;2049-2618&lt;/isbn&gt;&lt;urls&gt;&lt;/urls&gt;&lt;/record&gt;&lt;/Cite&gt;&lt;/EndNote&gt;</w:instrText>
      </w:r>
      <w:r w:rsidR="008D7913" w:rsidRPr="004030F5">
        <w:rPr>
          <w:rFonts w:cs="Arial"/>
        </w:rPr>
        <w:fldChar w:fldCharType="separate"/>
      </w:r>
      <w:r w:rsidR="007C3F6A" w:rsidRPr="004030F5">
        <w:rPr>
          <w:rFonts w:cs="Arial"/>
          <w:noProof/>
        </w:rPr>
        <w:t>[3,4]</w:t>
      </w:r>
      <w:r w:rsidR="008D7913" w:rsidRPr="004030F5">
        <w:rPr>
          <w:rFonts w:cs="Arial"/>
        </w:rPr>
        <w:fldChar w:fldCharType="end"/>
      </w:r>
      <w:r w:rsidR="008D7913" w:rsidRPr="004030F5">
        <w:rPr>
          <w:rFonts w:cs="Arial"/>
        </w:rPr>
        <w:t>.  As Wilmes defined, t</w:t>
      </w:r>
      <w:r w:rsidR="007F370F" w:rsidRPr="004030F5">
        <w:rPr>
          <w:rFonts w:cs="Arial"/>
        </w:rPr>
        <w:t xml:space="preserve">his recently arising field studies </w:t>
      </w:r>
      <w:r w:rsidR="003B6BC7" w:rsidRPr="004030F5">
        <w:rPr>
          <w:rFonts w:cs="Arial"/>
        </w:rPr>
        <w:t xml:space="preserve">microbial </w:t>
      </w:r>
      <w:r w:rsidR="0071707E" w:rsidRPr="004030F5">
        <w:rPr>
          <w:rFonts w:cs="Arial"/>
        </w:rPr>
        <w:t xml:space="preserve">communities </w:t>
      </w:r>
      <w:r w:rsidR="00F900EE" w:rsidRPr="004030F5">
        <w:rPr>
          <w:rFonts w:cs="Arial"/>
        </w:rPr>
        <w:t xml:space="preserve">that consist </w:t>
      </w:r>
      <w:r w:rsidR="00457A0F" w:rsidRPr="004030F5">
        <w:rPr>
          <w:rFonts w:cs="Arial"/>
        </w:rPr>
        <w:t>of multiple spices</w:t>
      </w:r>
      <w:r w:rsidR="002562D8" w:rsidRPr="004030F5">
        <w:rPr>
          <w:rFonts w:cs="Arial"/>
        </w:rPr>
        <w:t xml:space="preserve"> from two to </w:t>
      </w:r>
      <w:r w:rsidR="001868C4" w:rsidRPr="004030F5">
        <w:rPr>
          <w:rFonts w:cs="Arial"/>
        </w:rPr>
        <w:t>the sheer number of species</w:t>
      </w:r>
      <w:r w:rsidR="008217BE" w:rsidRPr="004030F5">
        <w:rPr>
          <w:rFonts w:cs="Arial"/>
        </w:rPr>
        <w:t>.</w:t>
      </w:r>
      <w:r w:rsidR="00BF00C8" w:rsidRPr="004030F5">
        <w:rPr>
          <w:rFonts w:cs="Arial"/>
        </w:rPr>
        <w:t xml:space="preserve"> </w:t>
      </w:r>
      <w:r w:rsidR="008217BE" w:rsidRPr="004030F5">
        <w:rPr>
          <w:rFonts w:cs="Arial"/>
        </w:rPr>
        <w:t xml:space="preserve"> </w:t>
      </w:r>
    </w:p>
    <w:p w14:paraId="306983BA" w14:textId="5F8CA511" w:rsidR="0020220F" w:rsidRPr="004030F5" w:rsidRDefault="0020220F" w:rsidP="003E7750">
      <w:pPr>
        <w:spacing w:line="480" w:lineRule="auto"/>
        <w:rPr>
          <w:rFonts w:cs="Arial"/>
        </w:rPr>
      </w:pPr>
    </w:p>
    <w:p w14:paraId="5EE77C17" w14:textId="77777777" w:rsidR="00460CEF" w:rsidRPr="004030F5" w:rsidRDefault="0020220F" w:rsidP="00460CEF">
      <w:pPr>
        <w:keepNext/>
        <w:numPr>
          <w:ilvl w:val="12"/>
          <w:numId w:val="0"/>
        </w:numPr>
        <w:spacing w:line="480" w:lineRule="auto"/>
        <w:rPr>
          <w:rFonts w:cs="Arial"/>
        </w:rPr>
      </w:pPr>
      <w:r w:rsidRPr="004030F5">
        <w:rPr>
          <w:rFonts w:cs="Arial"/>
          <w:noProof/>
        </w:rPr>
        <w:drawing>
          <wp:inline distT="0" distB="0" distL="0" distR="0" wp14:anchorId="3AB6D209" wp14:editId="66A3385D">
            <wp:extent cx="5486400" cy="2688590"/>
            <wp:effectExtent l="0" t="0" r="0" b="3810"/>
            <wp:docPr id="5" name="Picture 5" descr="Macintosh HD:Users:LHL:Documents:MyData:GST:2015_Summer:Thesis:figures:Figur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HL:Documents:MyData:GST:2015_Summer:Thesis:figures:Figure_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688590"/>
                    </a:xfrm>
                    <a:prstGeom prst="rect">
                      <a:avLst/>
                    </a:prstGeom>
                    <a:noFill/>
                    <a:ln>
                      <a:noFill/>
                    </a:ln>
                  </pic:spPr>
                </pic:pic>
              </a:graphicData>
            </a:graphic>
          </wp:inline>
        </w:drawing>
      </w:r>
    </w:p>
    <w:p w14:paraId="710A782D" w14:textId="0B57E762" w:rsidR="0020220F" w:rsidRPr="004030F5" w:rsidRDefault="00460CEF" w:rsidP="002B31ED">
      <w:pPr>
        <w:pStyle w:val="Caption"/>
        <w:rPr>
          <w:rFonts w:cs="Arial"/>
          <w:b w:val="0"/>
        </w:rPr>
      </w:pPr>
      <w:bookmarkStart w:id="4" w:name="_Toc296333094"/>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w:t>
      </w:r>
      <w:r w:rsidRPr="004030F5">
        <w:rPr>
          <w:rFonts w:cs="Arial"/>
        </w:rPr>
        <w:fldChar w:fldCharType="end"/>
      </w:r>
      <w:r w:rsidR="00A01CC2" w:rsidRPr="004030F5">
        <w:rPr>
          <w:rFonts w:cs="Arial"/>
        </w:rPr>
        <w:t xml:space="preserve"> Various applications of Proteomics.</w:t>
      </w:r>
      <w:r w:rsidR="003D0C51" w:rsidRPr="004030F5">
        <w:rPr>
          <w:rFonts w:cs="Arial"/>
          <w:b w:val="0"/>
        </w:rPr>
        <w:t xml:space="preserve">  </w:t>
      </w:r>
      <w:r w:rsidR="00BB5357" w:rsidRPr="004030F5">
        <w:rPr>
          <w:rFonts w:cs="Arial"/>
          <w:b w:val="0"/>
        </w:rPr>
        <w:t xml:space="preserve">Proteomics is diversely applied to many life science fields </w:t>
      </w:r>
      <w:r w:rsidR="00F91621" w:rsidRPr="004030F5">
        <w:rPr>
          <w:rFonts w:cs="Arial"/>
          <w:b w:val="0"/>
        </w:rPr>
        <w:t>including basic scientific researches, clinical protein marker discovery and drug discovery.</w:t>
      </w:r>
      <w:r w:rsidR="000F1027" w:rsidRPr="004030F5">
        <w:rPr>
          <w:rFonts w:cs="Arial"/>
          <w:b w:val="0"/>
        </w:rPr>
        <w:t xml:space="preserve">  This figure was adapted from a book, ‘Molecular Biologist's Guide to Proteomics’ </w:t>
      </w:r>
      <w:r w:rsidR="000F1027" w:rsidRPr="004030F5">
        <w:rPr>
          <w:rFonts w:cs="Arial"/>
          <w:b w:val="0"/>
        </w:rPr>
        <w:fldChar w:fldCharType="begin"/>
      </w:r>
      <w:r w:rsidR="007C3F6A" w:rsidRPr="004030F5">
        <w:rPr>
          <w:rFonts w:cs="Arial"/>
          <w:b w:val="0"/>
        </w:rPr>
        <w:instrText xml:space="preserve"> ADDIN EN.CITE &lt;EndNote&gt;&lt;Cite&gt;&lt;Author&gt;Aerni&lt;/Author&gt;&lt;Year&gt;2014&lt;/Year&gt;&lt;RecNum&gt;2&lt;/RecNum&gt;&lt;DisplayText&gt;[2]&lt;/DisplayText&gt;&lt;record&gt;&lt;rec-number&gt;2&lt;/rec-number&gt;&lt;foreign-keys&gt;&lt;key app="EN" db-id="efx2002d5f0z21etvw3x9zp7tw2axpa2eez0" timestamp="1432759191"&gt;2&lt;/key&gt;&lt;/foreign-keys&gt;&lt;ref-type name="Book"&gt;6&lt;/ref-type&gt;&lt;contributors&gt;&lt;authors&gt;&lt;author&gt;Aerni, Sarah J&lt;/author&gt;&lt;author&gt;Sirota, Marina&lt;/author&gt;&lt;/authors&gt;&lt;/contributors&gt;&lt;titles&gt;&lt;title&gt;A Bioinformatics Guide for Molecular Biologists&lt;/title&gt;&lt;/titles&gt;&lt;dates&gt;&lt;year&gt;2014&lt;/year&gt;&lt;/dates&gt;&lt;publisher&gt;Cold Spring Harbor Laboratory Press&lt;/publisher&gt;&lt;isbn&gt;1936113228&lt;/isbn&gt;&lt;urls&gt;&lt;/urls&gt;&lt;/record&gt;&lt;/Cite&gt;&lt;/EndNote&gt;</w:instrText>
      </w:r>
      <w:r w:rsidR="000F1027" w:rsidRPr="004030F5">
        <w:rPr>
          <w:rFonts w:cs="Arial"/>
          <w:b w:val="0"/>
        </w:rPr>
        <w:fldChar w:fldCharType="separate"/>
      </w:r>
      <w:r w:rsidR="007C3F6A" w:rsidRPr="004030F5">
        <w:rPr>
          <w:rFonts w:cs="Arial"/>
          <w:b w:val="0"/>
          <w:noProof/>
        </w:rPr>
        <w:t>[2]</w:t>
      </w:r>
      <w:r w:rsidR="000F1027" w:rsidRPr="004030F5">
        <w:rPr>
          <w:rFonts w:cs="Arial"/>
          <w:b w:val="0"/>
        </w:rPr>
        <w:fldChar w:fldCharType="end"/>
      </w:r>
      <w:r w:rsidR="000F1027" w:rsidRPr="004030F5">
        <w:rPr>
          <w:rFonts w:cs="Arial"/>
          <w:b w:val="0"/>
        </w:rPr>
        <w:t>.</w:t>
      </w:r>
      <w:bookmarkEnd w:id="4"/>
    </w:p>
    <w:p w14:paraId="6D5042F4" w14:textId="77777777" w:rsidR="004765C4" w:rsidRPr="004030F5" w:rsidRDefault="0020220F" w:rsidP="004765C4">
      <w:pPr>
        <w:pStyle w:val="Footer"/>
        <w:numPr>
          <w:ilvl w:val="12"/>
          <w:numId w:val="0"/>
        </w:numPr>
        <w:tabs>
          <w:tab w:val="clear" w:pos="4320"/>
          <w:tab w:val="clear" w:pos="8640"/>
        </w:tabs>
        <w:spacing w:line="480" w:lineRule="auto"/>
        <w:ind w:firstLine="720"/>
        <w:rPr>
          <w:rFonts w:cs="Arial"/>
        </w:rPr>
      </w:pPr>
      <w:r w:rsidRPr="004030F5">
        <w:rPr>
          <w:rFonts w:cs="Arial"/>
        </w:rPr>
        <w:br w:type="page"/>
      </w:r>
    </w:p>
    <w:p w14:paraId="0EF1A79F" w14:textId="13F9957E" w:rsidR="00DE616B" w:rsidRPr="004030F5" w:rsidRDefault="004765C4" w:rsidP="004765C4">
      <w:pPr>
        <w:pStyle w:val="Footer"/>
        <w:numPr>
          <w:ilvl w:val="12"/>
          <w:numId w:val="0"/>
        </w:numPr>
        <w:tabs>
          <w:tab w:val="clear" w:pos="4320"/>
          <w:tab w:val="clear" w:pos="8640"/>
        </w:tabs>
        <w:spacing w:line="480" w:lineRule="auto"/>
        <w:rPr>
          <w:rFonts w:cs="Arial"/>
        </w:rPr>
      </w:pPr>
      <w:r w:rsidRPr="004030F5">
        <w:rPr>
          <w:rFonts w:cs="Arial"/>
        </w:rPr>
        <w:lastRenderedPageBreak/>
        <w:t>Its target communities are diverse including acid mine drainage biofilms</w:t>
      </w:r>
      <w:r w:rsidRPr="004030F5">
        <w:rPr>
          <w:rFonts w:cs="Arial"/>
        </w:rPr>
        <w:fldChar w:fldCharType="begin"/>
      </w:r>
      <w:r w:rsidR="007C3F6A" w:rsidRPr="004030F5">
        <w:rPr>
          <w:rFonts w:cs="Arial"/>
        </w:rPr>
        <w:instrText xml:space="preserve"> ADDIN EN.CITE &lt;EndNote&gt;&lt;Cite&gt;&lt;Author&gt;Ram&lt;/Author&gt;&lt;Year&gt;2005&lt;/Year&gt;&lt;RecNum&gt;5&lt;/RecNum&gt;&lt;DisplayText&gt;[5]&lt;/DisplayText&gt;&lt;record&gt;&lt;rec-number&gt;5&lt;/rec-number&gt;&lt;foreign-keys&gt;&lt;key app="EN" db-id="efx2002d5f0z21etvw3x9zp7tw2axpa2eez0" timestamp="1432760279"&gt;5&lt;/key&gt;&lt;/foreign-keys&gt;&lt;ref-type name="Journal Article"&gt;17&lt;/ref-type&gt;&lt;contributors&gt;&lt;authors&gt;&lt;author&gt;Ram, Rachna J&lt;/author&gt;&lt;author&gt;VerBerkmoes, Nathan C&lt;/author&gt;&lt;author&gt;Thelen, Michael P&lt;/author&gt;&lt;author&gt;Tyson, Gene W&lt;/author&gt;&lt;author&gt;Baker, Brett J&lt;/author&gt;&lt;author&gt;Blake, Robert C&lt;/author&gt;&lt;author&gt;Shah, Manesh&lt;/author&gt;&lt;author&gt;Hettich, Robert L&lt;/author&gt;&lt;author&gt;Banfield, Jillian F&lt;/author&gt;&lt;/authors&gt;&lt;/contributors&gt;&lt;titles&gt;&lt;title&gt;Community proteomics of a natural microbial biofilm&lt;/title&gt;&lt;secondary-title&gt;Science&lt;/secondary-title&gt;&lt;/titles&gt;&lt;periodical&gt;&lt;full-title&gt;Science&lt;/full-title&gt;&lt;/periodical&gt;&lt;pages&gt;1915-1920&lt;/pages&gt;&lt;volume&gt;308&lt;/volume&gt;&lt;number&gt;5730&lt;/number&gt;&lt;dates&gt;&lt;year&gt;2005&lt;/year&gt;&lt;/dates&gt;&lt;isbn&gt;0036-8075&lt;/isbn&gt;&lt;urls&gt;&lt;/urls&gt;&lt;/record&gt;&lt;/Cite&gt;&lt;/EndNote&gt;</w:instrText>
      </w:r>
      <w:r w:rsidRPr="004030F5">
        <w:rPr>
          <w:rFonts w:cs="Arial"/>
        </w:rPr>
        <w:fldChar w:fldCharType="separate"/>
      </w:r>
      <w:r w:rsidR="007C3F6A" w:rsidRPr="004030F5">
        <w:rPr>
          <w:rFonts w:cs="Arial"/>
          <w:noProof/>
        </w:rPr>
        <w:t>[5]</w:t>
      </w:r>
      <w:r w:rsidRPr="004030F5">
        <w:rPr>
          <w:rFonts w:cs="Arial"/>
        </w:rPr>
        <w:fldChar w:fldCharType="end"/>
      </w:r>
      <w:r w:rsidRPr="004030F5">
        <w:rPr>
          <w:rFonts w:cs="Arial"/>
        </w:rPr>
        <w:t>, wastewaters</w:t>
      </w:r>
      <w:r w:rsidRPr="004030F5">
        <w:rPr>
          <w:rFonts w:cs="Arial"/>
        </w:rPr>
        <w:fldChar w:fldCharType="begin"/>
      </w:r>
      <w:r w:rsidR="007C3F6A" w:rsidRPr="004030F5">
        <w:rPr>
          <w:rFonts w:cs="Arial"/>
        </w:rPr>
        <w:instrText xml:space="preserve"> ADDIN EN.CITE &lt;EndNote&gt;&lt;Cite&gt;&lt;Author&gt;Lacerda&lt;/Author&gt;&lt;Year&gt;2007&lt;/Year&gt;&lt;RecNum&gt;6&lt;/RecNum&gt;&lt;DisplayText&gt;[6]&lt;/DisplayText&gt;&lt;record&gt;&lt;rec-number&gt;6&lt;/rec-number&gt;&lt;foreign-keys&gt;&lt;key app="EN" db-id="efx2002d5f0z21etvw3x9zp7tw2axpa2eez0" timestamp="1432760464"&gt;6&lt;/key&gt;&lt;/foreign-keys&gt;&lt;ref-type name="Journal Article"&gt;17&lt;/ref-type&gt;&lt;contributors&gt;&lt;authors&gt;&lt;author&gt;Lacerda, Carla MR&lt;/author&gt;&lt;author&gt;Choe, Leila H&lt;/author&gt;&lt;author&gt;Reardon, Kenneth F&lt;/author&gt;&lt;/authors&gt;&lt;/contributors&gt;&lt;titles&gt;&lt;title&gt;Metaproteomic analysis of a bacterial community response to cadmium exposure&lt;/title&gt;&lt;secondary-title&gt;Journal of proteome research&lt;/secondary-title&gt;&lt;/titles&gt;&lt;periodical&gt;&lt;full-title&gt;Journal of proteome research&lt;/full-title&gt;&lt;/periodical&gt;&lt;pages&gt;1145-1152&lt;/pages&gt;&lt;volume&gt;6&lt;/volume&gt;&lt;number&gt;3&lt;/number&gt;&lt;dates&gt;&lt;year&gt;2007&lt;/year&gt;&lt;/dates&gt;&lt;isbn&gt;1535-3893&lt;/isbn&gt;&lt;urls&gt;&lt;/urls&gt;&lt;/record&gt;&lt;/Cite&gt;&lt;/EndNote&gt;</w:instrText>
      </w:r>
      <w:r w:rsidRPr="004030F5">
        <w:rPr>
          <w:rFonts w:cs="Arial"/>
        </w:rPr>
        <w:fldChar w:fldCharType="separate"/>
      </w:r>
      <w:r w:rsidR="007C3F6A" w:rsidRPr="004030F5">
        <w:rPr>
          <w:rFonts w:cs="Arial"/>
          <w:noProof/>
        </w:rPr>
        <w:t>[6]</w:t>
      </w:r>
      <w:r w:rsidRPr="004030F5">
        <w:rPr>
          <w:rFonts w:cs="Arial"/>
        </w:rPr>
        <w:fldChar w:fldCharType="end"/>
      </w:r>
      <w:r w:rsidRPr="004030F5">
        <w:rPr>
          <w:rFonts w:cs="Arial"/>
        </w:rPr>
        <w:t>, ocean</w:t>
      </w:r>
      <w:r w:rsidRPr="004030F5">
        <w:rPr>
          <w:rFonts w:cs="Arial"/>
        </w:rPr>
        <w:fldChar w:fldCharType="begin"/>
      </w:r>
      <w:r w:rsidR="007C3F6A" w:rsidRPr="004030F5">
        <w:rPr>
          <w:rFonts w:cs="Arial"/>
        </w:rPr>
        <w:instrText xml:space="preserve"> ADDIN EN.CITE &lt;EndNote&gt;&lt;Cite&gt;&lt;Author&gt;Powell&lt;/Author&gt;&lt;Year&gt;2005&lt;/Year&gt;&lt;RecNum&gt;7&lt;/RecNum&gt;&lt;DisplayText&gt;[7]&lt;/DisplayText&gt;&lt;record&gt;&lt;rec-number&gt;7&lt;/rec-number&gt;&lt;foreign-keys&gt;&lt;key app="EN" db-id="efx2002d5f0z21etvw3x9zp7tw2axpa2eez0" timestamp="1432760523"&gt;7&lt;/key&gt;&lt;/foreign-keys&gt;&lt;ref-type name="Journal Article"&gt;17&lt;/ref-type&gt;&lt;contributors&gt;&lt;authors&gt;&lt;author&gt;Powell, Matthew J&lt;/author&gt;&lt;author&gt;Sutton, Jennifer N&lt;/author&gt;&lt;author&gt;Del Castillo, Carlos E&lt;/author&gt;&lt;author&gt;Timperman, Aaron T&lt;/author&gt;&lt;/authors&gt;&lt;/contributors&gt;&lt;titles&gt;&lt;title&gt;Marine proteomics: generation of sequence tags for dissolved proteins in seawater using tandem mass spectrometry&lt;/title&gt;&lt;secondary-title&gt;Marine chemistry&lt;/secondary-title&gt;&lt;/titles&gt;&lt;periodical&gt;&lt;full-title&gt;Marine chemistry&lt;/full-title&gt;&lt;/periodical&gt;&lt;pages&gt;183-198&lt;/pages&gt;&lt;volume&gt;95&lt;/volume&gt;&lt;number&gt;3&lt;/number&gt;&lt;dates&gt;&lt;year&gt;2005&lt;/year&gt;&lt;/dates&gt;&lt;isbn&gt;0304-4203&lt;/isbn&gt;&lt;urls&gt;&lt;/urls&gt;&lt;/record&gt;&lt;/Cite&gt;&lt;/EndNote&gt;</w:instrText>
      </w:r>
      <w:r w:rsidRPr="004030F5">
        <w:rPr>
          <w:rFonts w:cs="Arial"/>
        </w:rPr>
        <w:fldChar w:fldCharType="separate"/>
      </w:r>
      <w:r w:rsidR="007C3F6A" w:rsidRPr="004030F5">
        <w:rPr>
          <w:rFonts w:cs="Arial"/>
          <w:noProof/>
        </w:rPr>
        <w:t>[7]</w:t>
      </w:r>
      <w:r w:rsidRPr="004030F5">
        <w:rPr>
          <w:rFonts w:cs="Arial"/>
        </w:rPr>
        <w:fldChar w:fldCharType="end"/>
      </w:r>
      <w:r w:rsidRPr="004030F5">
        <w:rPr>
          <w:rFonts w:cs="Arial"/>
        </w:rPr>
        <w:t>, soil</w:t>
      </w:r>
      <w:r w:rsidRPr="004030F5">
        <w:rPr>
          <w:rFonts w:cs="Arial"/>
        </w:rPr>
        <w:fldChar w:fldCharType="begin"/>
      </w:r>
      <w:r w:rsidR="007C3F6A" w:rsidRPr="004030F5">
        <w:rPr>
          <w:rFonts w:cs="Arial"/>
        </w:rPr>
        <w:instrText xml:space="preserve"> ADDIN EN.CITE &lt;EndNote&gt;&lt;Cite&gt;&lt;Author&gt;Schulze&lt;/Author&gt;&lt;Year&gt;2005&lt;/Year&gt;&lt;RecNum&gt;8&lt;/RecNum&gt;&lt;DisplayText&gt;[8]&lt;/DisplayText&gt;&lt;record&gt;&lt;rec-number&gt;8&lt;/rec-number&gt;&lt;foreign-keys&gt;&lt;key app="EN" db-id="efx2002d5f0z21etvw3x9zp7tw2axpa2eez0" timestamp="1432760576"&gt;8&lt;/key&gt;&lt;/foreign-keys&gt;&lt;ref-type name="Journal Article"&gt;17&lt;/ref-type&gt;&lt;contributors&gt;&lt;authors&gt;&lt;author&gt;Schulze, Waltraud X&lt;/author&gt;&lt;author&gt;Gleixner, Gerd&lt;/author&gt;&lt;author&gt;Kaiser, Klaus&lt;/author&gt;&lt;author&gt;Guggenberger, Georg&lt;/author&gt;&lt;author&gt;Mann, Matthias&lt;/author&gt;&lt;author&gt;Schulze, Ernst-Detlef&lt;/author&gt;&lt;/authors&gt;&lt;/contributors&gt;&lt;titles&gt;&lt;title&gt;A proteomic fingerprint of dissolved organic carbon and of soil particles&lt;/title&gt;&lt;secondary-title&gt;Oecologia&lt;/secondary-title&gt;&lt;/titles&gt;&lt;periodical&gt;&lt;full-title&gt;Oecologia&lt;/full-title&gt;&lt;/periodical&gt;&lt;pages&gt;335-343&lt;/pages&gt;&lt;volume&gt;142&lt;/volume&gt;&lt;number&gt;3&lt;/number&gt;&lt;dates&gt;&lt;year&gt;2005&lt;/year&gt;&lt;/dates&gt;&lt;isbn&gt;0029-8549&lt;/isbn&gt;&lt;urls&gt;&lt;/urls&gt;&lt;/record&gt;&lt;/Cite&gt;&lt;/EndNote&gt;</w:instrText>
      </w:r>
      <w:r w:rsidRPr="004030F5">
        <w:rPr>
          <w:rFonts w:cs="Arial"/>
        </w:rPr>
        <w:fldChar w:fldCharType="separate"/>
      </w:r>
      <w:r w:rsidR="007C3F6A" w:rsidRPr="004030F5">
        <w:rPr>
          <w:rFonts w:cs="Arial"/>
          <w:noProof/>
        </w:rPr>
        <w:t>[8]</w:t>
      </w:r>
      <w:r w:rsidRPr="004030F5">
        <w:rPr>
          <w:rFonts w:cs="Arial"/>
        </w:rPr>
        <w:fldChar w:fldCharType="end"/>
      </w:r>
      <w:r w:rsidRPr="004030F5">
        <w:rPr>
          <w:rFonts w:cs="Arial"/>
        </w:rPr>
        <w:t>, permafrost</w:t>
      </w:r>
      <w:r w:rsidRPr="004030F5">
        <w:rPr>
          <w:rFonts w:cs="Arial"/>
        </w:rPr>
        <w:fldChar w:fldCharType="begin"/>
      </w:r>
      <w:r w:rsidR="007C3F6A" w:rsidRPr="004030F5">
        <w:rPr>
          <w:rFonts w:cs="Arial"/>
        </w:rPr>
        <w:instrText xml:space="preserve"> ADDIN EN.CITE &lt;EndNote&gt;&lt;Cite&gt;&lt;Author&gt;Hultman&lt;/Author&gt;&lt;Year&gt;2015&lt;/Year&gt;&lt;RecNum&gt;9&lt;/RecNum&gt;&lt;DisplayText&gt;[9]&lt;/DisplayText&gt;&lt;record&gt;&lt;rec-number&gt;9&lt;/rec-number&gt;&lt;foreign-keys&gt;&lt;key app="EN" db-id="efx2002d5f0z21etvw3x9zp7tw2axpa2eez0" timestamp="1432760617"&gt;9&lt;/key&gt;&lt;/foreign-keys&gt;&lt;ref-type name="Journal Article"&gt;17&lt;/ref-type&gt;&lt;contributors&gt;&lt;authors&gt;&lt;author&gt;Hultman, Jenni&lt;/author&gt;&lt;author&gt;Waldrop, Mark P&lt;/author&gt;&lt;author&gt;Mackelprang, Rachel&lt;/author&gt;&lt;author&gt;David, Maude M&lt;/author&gt;&lt;author&gt;McFarland, Jack&lt;/author&gt;&lt;author&gt;Blazewicz, Steven J&lt;/author&gt;&lt;author&gt;Harden, Jennifer&lt;/author&gt;&lt;author&gt;Turetsky, Merritt R&lt;/author&gt;&lt;author&gt;McGuire, A David&lt;/author&gt;&lt;author&gt;Shah, Manesh B&lt;/author&gt;&lt;/authors&gt;&lt;/contributors&gt;&lt;titles&gt;&lt;title&gt;Multi-omics of permafrost, active layer and thermokarst bog soil microbiomes&lt;/title&gt;&lt;secondary-title&gt;Nature&lt;/secondary-title&gt;&lt;/titles&gt;&lt;periodical&gt;&lt;full-title&gt;Nature&lt;/full-title&gt;&lt;/periodical&gt;&lt;dates&gt;&lt;year&gt;2015&lt;/year&gt;&lt;/dates&gt;&lt;isbn&gt;0028-0836&lt;/isbn&gt;&lt;urls&gt;&lt;/urls&gt;&lt;/record&gt;&lt;/Cite&gt;&lt;/EndNote&gt;</w:instrText>
      </w:r>
      <w:r w:rsidRPr="004030F5">
        <w:rPr>
          <w:rFonts w:cs="Arial"/>
        </w:rPr>
        <w:fldChar w:fldCharType="separate"/>
      </w:r>
      <w:r w:rsidR="007C3F6A" w:rsidRPr="004030F5">
        <w:rPr>
          <w:rFonts w:cs="Arial"/>
          <w:noProof/>
        </w:rPr>
        <w:t>[9]</w:t>
      </w:r>
      <w:r w:rsidRPr="004030F5">
        <w:rPr>
          <w:rFonts w:cs="Arial"/>
        </w:rPr>
        <w:fldChar w:fldCharType="end"/>
      </w:r>
      <w:r w:rsidRPr="004030F5">
        <w:rPr>
          <w:rFonts w:cs="Arial"/>
        </w:rPr>
        <w:t xml:space="preserve"> and human microbiome</w:t>
      </w:r>
      <w:r w:rsidRPr="004030F5">
        <w:rPr>
          <w:rFonts w:cs="Arial"/>
        </w:rPr>
        <w:fldChar w:fldCharType="begin"/>
      </w:r>
      <w:r w:rsidR="007C3F6A" w:rsidRPr="004030F5">
        <w:rPr>
          <w:rFonts w:cs="Arial"/>
        </w:rPr>
        <w:instrText xml:space="preserve"> ADDIN EN.CITE &lt;EndNote&gt;&lt;Cite&gt;&lt;Author&gt;Xiong&lt;/Author&gt;&lt;Year&gt;2015&lt;/Year&gt;&lt;RecNum&gt;10&lt;/RecNum&gt;&lt;DisplayText&gt;[10]&lt;/DisplayText&gt;&lt;record&gt;&lt;rec-number&gt;10&lt;/rec-number&gt;&lt;foreign-keys&gt;&lt;key app="EN" db-id="efx2002d5f0z21etvw3x9zp7tw2axpa2eez0" timestamp="1432760673"&gt;10&lt;/key&gt;&lt;/foreign-keys&gt;&lt;ref-type name="Journal Article"&gt;17&lt;/ref-type&gt;&lt;contributors&gt;&lt;authors&gt;&lt;author&gt;Xiong, Weili&lt;/author&gt;&lt;author&gt;Abraham, Paul&lt;/author&gt;&lt;author&gt;Li, Zhou&lt;/author&gt;&lt;author&gt;Pan, Chongle&lt;/author&gt;&lt;author&gt;Hettich, Robert L&lt;/author&gt;&lt;/authors&gt;&lt;/contributors&gt;&lt;titles&gt;&lt;title&gt;Microbial metaproteomics for characterizing the range of metabolic functions and activities of human gut microbiota&lt;/title&gt;&lt;secondary-title&gt;Proteomics&lt;/secondary-title&gt;&lt;/titles&gt;&lt;periodical&gt;&lt;full-title&gt;Proteomics&lt;/full-title&gt;&lt;/periodical&gt;&lt;dates&gt;&lt;year&gt;2015&lt;/year&gt;&lt;/dates&gt;&lt;isbn&gt;1615-9861&lt;/isbn&gt;&lt;urls&gt;&lt;/urls&gt;&lt;/record&gt;&lt;/Cite&gt;&lt;/EndNote&gt;</w:instrText>
      </w:r>
      <w:r w:rsidRPr="004030F5">
        <w:rPr>
          <w:rFonts w:cs="Arial"/>
        </w:rPr>
        <w:fldChar w:fldCharType="separate"/>
      </w:r>
      <w:r w:rsidR="007C3F6A" w:rsidRPr="004030F5">
        <w:rPr>
          <w:rFonts w:cs="Arial"/>
          <w:noProof/>
        </w:rPr>
        <w:t>[10]</w:t>
      </w:r>
      <w:r w:rsidRPr="004030F5">
        <w:rPr>
          <w:rFonts w:cs="Arial"/>
        </w:rPr>
        <w:fldChar w:fldCharType="end"/>
      </w:r>
      <w:r w:rsidRPr="004030F5">
        <w:rPr>
          <w:rFonts w:cs="Arial"/>
        </w:rPr>
        <w:t xml:space="preserve">.  Since the first large-scale metaproteome data was generated in 2005 </w:t>
      </w:r>
      <w:r w:rsidRPr="004030F5">
        <w:rPr>
          <w:rFonts w:cs="Arial"/>
        </w:rPr>
        <w:fldChar w:fldCharType="begin"/>
      </w:r>
      <w:r w:rsidR="007C3F6A" w:rsidRPr="004030F5">
        <w:rPr>
          <w:rFonts w:cs="Arial"/>
        </w:rPr>
        <w:instrText xml:space="preserve"> ADDIN EN.CITE &lt;EndNote&gt;&lt;Cite&gt;&lt;Author&gt;Ram&lt;/Author&gt;&lt;Year&gt;2005&lt;/Year&gt;&lt;RecNum&gt;5&lt;/RecNum&gt;&lt;DisplayText&gt;[5]&lt;/DisplayText&gt;&lt;record&gt;&lt;rec-number&gt;5&lt;/rec-number&gt;&lt;foreign-keys&gt;&lt;key app="EN" db-id="efx2002d5f0z21etvw3x9zp7tw2axpa2eez0" timestamp="1432760279"&gt;5&lt;/key&gt;&lt;/foreign-keys&gt;&lt;ref-type name="Journal Article"&gt;17&lt;/ref-type&gt;&lt;contributors&gt;&lt;authors&gt;&lt;author&gt;Ram, Rachna J&lt;/author&gt;&lt;author&gt;VerBerkmoes, Nathan C&lt;/author&gt;&lt;author&gt;Thelen, Michael P&lt;/author&gt;&lt;author&gt;Tyson, Gene W&lt;/author&gt;&lt;author&gt;Baker, Brett J&lt;/author&gt;&lt;author&gt;Blake, Robert C&lt;/author&gt;&lt;author&gt;Shah, Manesh&lt;/author&gt;&lt;author&gt;Hettich, Robert L&lt;/author&gt;&lt;author&gt;Banfield, Jillian F&lt;/author&gt;&lt;/authors&gt;&lt;/contributors&gt;&lt;titles&gt;&lt;title&gt;Community proteomics of a natural microbial biofilm&lt;/title&gt;&lt;secondary-title&gt;Science&lt;/secondary-title&gt;&lt;/titles&gt;&lt;periodical&gt;&lt;full-title&gt;Science&lt;/full-title&gt;&lt;/periodical&gt;&lt;pages&gt;1915-1920&lt;/pages&gt;&lt;volume&gt;308&lt;/volume&gt;&lt;number&gt;5730&lt;/number&gt;&lt;dates&gt;&lt;year&gt;2005&lt;/year&gt;&lt;/dates&gt;&lt;isbn&gt;0036-8075&lt;/isbn&gt;&lt;urls&gt;&lt;/urls&gt;&lt;/record&gt;&lt;/Cite&gt;&lt;/EndNote&gt;</w:instrText>
      </w:r>
      <w:r w:rsidRPr="004030F5">
        <w:rPr>
          <w:rFonts w:cs="Arial"/>
        </w:rPr>
        <w:fldChar w:fldCharType="separate"/>
      </w:r>
      <w:r w:rsidR="007C3F6A" w:rsidRPr="004030F5">
        <w:rPr>
          <w:rFonts w:cs="Arial"/>
          <w:noProof/>
        </w:rPr>
        <w:t>[5]</w:t>
      </w:r>
      <w:r w:rsidRPr="004030F5">
        <w:rPr>
          <w:rFonts w:cs="Arial"/>
        </w:rPr>
        <w:fldChar w:fldCharType="end"/>
      </w:r>
      <w:r w:rsidRPr="004030F5">
        <w:rPr>
          <w:rFonts w:cs="Arial"/>
        </w:rPr>
        <w:t>, metaproteomics has rapidly advanced in terms of scale and quality.  For example, the number of identified human and microbial protein identifications from human feces were 234 proteins by Lichtman et al</w:t>
      </w:r>
      <w:r w:rsidRPr="004030F5">
        <w:rPr>
          <w:rFonts w:cs="Arial"/>
        </w:rPr>
        <w:fldChar w:fldCharType="begin"/>
      </w:r>
      <w:r w:rsidR="007C3F6A" w:rsidRPr="004030F5">
        <w:rPr>
          <w:rFonts w:cs="Arial"/>
        </w:rPr>
        <w:instrText xml:space="preserve"> ADDIN EN.CITE &lt;EndNote&gt;&lt;Cite&gt;&lt;Author&gt;Lichtman&lt;/Author&gt;&lt;Year&gt;2013&lt;/Year&gt;&lt;RecNum&gt;12&lt;/RecNum&gt;&lt;DisplayText&gt;[11]&lt;/DisplayText&gt;&lt;record&gt;&lt;rec-number&gt;12&lt;/rec-number&gt;&lt;foreign-keys&gt;&lt;key app="EN" db-id="efx2002d5f0z21etvw3x9zp7tw2axpa2eez0" timestamp="1432862164"&gt;12&lt;/key&gt;&lt;/foreign-keys&gt;&lt;ref-type name="Journal Article"&gt;17&lt;/ref-type&gt;&lt;contributors&gt;&lt;authors&gt;&lt;author&gt;Lichtman, Joshua S&lt;/author&gt;&lt;author&gt;Marcobal, Angela&lt;/author&gt;&lt;author&gt;Sonnenburg, Justin L&lt;/author&gt;&lt;author&gt;Elias, Joshua E&lt;/author&gt;&lt;/authors&gt;&lt;/contributors&gt;&lt;titles&gt;&lt;title&gt;Host-centric proteomics of stool: a novel strategy focused on intestinal responses to the gut microbiota&lt;/title&gt;&lt;secondary-title&gt;Molecular &amp;amp; Cellular Proteomics&lt;/secondary-title&gt;&lt;/titles&gt;&lt;periodical&gt;&lt;full-title&gt;Molecular &amp;amp; Cellular Proteomics&lt;/full-title&gt;&lt;/periodical&gt;&lt;pages&gt;3310-3318&lt;/pages&gt;&lt;volume&gt;12&lt;/volume&gt;&lt;number&gt;11&lt;/number&gt;&lt;dates&gt;&lt;year&gt;2013&lt;/year&gt;&lt;/dates&gt;&lt;isbn&gt;1535-9476&lt;/isbn&gt;&lt;urls&gt;&lt;/urls&gt;&lt;/record&gt;&lt;/Cite&gt;&lt;/EndNote&gt;</w:instrText>
      </w:r>
      <w:r w:rsidRPr="004030F5">
        <w:rPr>
          <w:rFonts w:cs="Arial"/>
        </w:rPr>
        <w:fldChar w:fldCharType="separate"/>
      </w:r>
      <w:r w:rsidR="007C3F6A" w:rsidRPr="004030F5">
        <w:rPr>
          <w:rFonts w:cs="Arial"/>
          <w:noProof/>
        </w:rPr>
        <w:t>[11]</w:t>
      </w:r>
      <w:r w:rsidRPr="004030F5">
        <w:rPr>
          <w:rFonts w:cs="Arial"/>
        </w:rPr>
        <w:fldChar w:fldCharType="end"/>
      </w:r>
      <w:r w:rsidRPr="004030F5">
        <w:rPr>
          <w:rFonts w:cs="Arial"/>
        </w:rPr>
        <w:t>, but it is now 7,553 proteins from human and 34 microbial species in this paper.</w:t>
      </w:r>
    </w:p>
    <w:p w14:paraId="67B82832" w14:textId="553B9ED2" w:rsidR="00DE616B" w:rsidRPr="004030F5" w:rsidRDefault="00C77DE0" w:rsidP="00C77DE0">
      <w:pPr>
        <w:pStyle w:val="Heading3"/>
      </w:pPr>
      <w:bookmarkStart w:id="5" w:name="_Toc296333699"/>
      <w:r w:rsidRPr="004030F5">
        <w:t>Shotgun metaproteomics</w:t>
      </w:r>
      <w:bookmarkEnd w:id="5"/>
    </w:p>
    <w:p w14:paraId="75692DDD" w14:textId="7237AC85" w:rsidR="004765C4" w:rsidRPr="004030F5" w:rsidRDefault="004765C4" w:rsidP="004765C4">
      <w:pPr>
        <w:pStyle w:val="Footer"/>
        <w:numPr>
          <w:ilvl w:val="12"/>
          <w:numId w:val="0"/>
        </w:numPr>
        <w:tabs>
          <w:tab w:val="clear" w:pos="4320"/>
          <w:tab w:val="clear" w:pos="8640"/>
        </w:tabs>
        <w:spacing w:line="480" w:lineRule="auto"/>
        <w:ind w:firstLine="720"/>
        <w:rPr>
          <w:rFonts w:cs="Arial"/>
        </w:rPr>
      </w:pPr>
      <w:r w:rsidRPr="004030F5">
        <w:rPr>
          <w:rFonts w:cs="Arial"/>
        </w:rPr>
        <w:t xml:space="preserve">Metaproteomics studies are generally based on bottom up approach, also known as shotgun proteomics </w:t>
      </w:r>
      <w:r w:rsidRPr="004030F5">
        <w:rPr>
          <w:rFonts w:cs="Arial"/>
        </w:rPr>
        <w:fldChar w:fldCharType="begin"/>
      </w:r>
      <w:r w:rsidR="007C3F6A" w:rsidRPr="004030F5">
        <w:rPr>
          <w:rFonts w:cs="Arial"/>
        </w:rPr>
        <w:instrText xml:space="preserve"> ADDIN EN.CITE &lt;EndNote&gt;&lt;Cite&gt;&lt;Author&gt;Tanca&lt;/Author&gt;&lt;Year&gt;2014&lt;/Year&gt;&lt;RecNum&gt;4&lt;/RecNum&gt;&lt;DisplayText&gt;[4]&lt;/DisplayText&gt;&lt;record&gt;&lt;rec-number&gt;4&lt;/rec-number&gt;&lt;foreign-keys&gt;&lt;key app="EN" db-id="efx2002d5f0z21etvw3x9zp7tw2axpa2eez0" timestamp="1432760012"&gt;4&lt;/key&gt;&lt;/foreign-keys&gt;&lt;ref-type name="Journal Article"&gt;17&lt;/ref-type&gt;&lt;contributors&gt;&lt;authors&gt;&lt;author&gt;Tanca, Alessandro&lt;/author&gt;&lt;author&gt;Palomba, Antonio&lt;/author&gt;&lt;author&gt;Pisanu, Salvatore&lt;/author&gt;&lt;author&gt;Deligios, Massimo&lt;/author&gt;&lt;author&gt;Fraumene, Cristina&lt;/author&gt;&lt;author&gt;Manghina, Valeria&lt;/author&gt;&lt;author&gt;Pagnozzi, Daniela&lt;/author&gt;&lt;author&gt;Addis, Maria Filippa&lt;/author&gt;&lt;author&gt;Uzzau, Sergio&lt;/author&gt;&lt;/authors&gt;&lt;/contributors&gt;&lt;titles&gt;&lt;title&gt;A straightforward and efficient analytical pipeline for metaproteome characterization&lt;/title&gt;&lt;secondary-title&gt;Microbiome&lt;/secondary-title&gt;&lt;/titles&gt;&lt;periodical&gt;&lt;full-title&gt;Microbiome&lt;/full-title&gt;&lt;/periodical&gt;&lt;pages&gt;1-16&lt;/pages&gt;&lt;volume&gt;2&lt;/volume&gt;&lt;number&gt;1&lt;/number&gt;&lt;dates&gt;&lt;year&gt;2014&lt;/year&gt;&lt;/dates&gt;&lt;isbn&gt;2049-2618&lt;/isbn&gt;&lt;urls&gt;&lt;/urls&gt;&lt;/record&gt;&lt;/Cite&gt;&lt;/EndNote&gt;</w:instrText>
      </w:r>
      <w:r w:rsidRPr="004030F5">
        <w:rPr>
          <w:rFonts w:cs="Arial"/>
        </w:rPr>
        <w:fldChar w:fldCharType="separate"/>
      </w:r>
      <w:r w:rsidR="007C3F6A" w:rsidRPr="004030F5">
        <w:rPr>
          <w:rFonts w:cs="Arial"/>
          <w:noProof/>
        </w:rPr>
        <w:t>[4]</w:t>
      </w:r>
      <w:r w:rsidRPr="004030F5">
        <w:rPr>
          <w:rFonts w:cs="Arial"/>
        </w:rPr>
        <w:fldChar w:fldCharType="end"/>
      </w:r>
      <w:r w:rsidRPr="004030F5">
        <w:rPr>
          <w:rFonts w:cs="Arial"/>
        </w:rPr>
        <w:t xml:space="preserve">.  Bottom up </w:t>
      </w:r>
      <w:r w:rsidR="00F26445" w:rsidRPr="004030F5">
        <w:rPr>
          <w:rFonts w:cs="Arial"/>
        </w:rPr>
        <w:t>method</w:t>
      </w:r>
      <w:r w:rsidRPr="004030F5">
        <w:rPr>
          <w:rFonts w:cs="Arial"/>
        </w:rPr>
        <w:t xml:space="preserve"> identifies small peptides digested from proteins before LC-tandem mass (MS/MS) analysis, while top down directly investigates intact proteins </w:t>
      </w:r>
      <w:r w:rsidRPr="004030F5">
        <w:rPr>
          <w:rFonts w:cs="Arial"/>
        </w:rPr>
        <w:fldChar w:fldCharType="begin"/>
      </w:r>
      <w:r w:rsidR="007C3F6A" w:rsidRPr="004030F5">
        <w:rPr>
          <w:rFonts w:cs="Arial"/>
        </w:rPr>
        <w:instrText xml:space="preserve"> ADDIN EN.CITE &lt;EndNote&gt;&lt;Cite&gt;&lt;Author&gt;Yates&lt;/Author&gt;&lt;Year&gt;2009&lt;/Year&gt;&lt;RecNum&gt;13&lt;/RecNum&gt;&lt;DisplayText&gt;[12,13]&lt;/DisplayText&gt;&lt;record&gt;&lt;rec-number&gt;13&lt;/rec-number&gt;&lt;foreign-keys&gt;&lt;key app="EN" db-id="efx2002d5f0z21etvw3x9zp7tw2axpa2eez0" timestamp="1432864597"&gt;13&lt;/key&gt;&lt;/foreign-keys&gt;&lt;ref-type name="Journal Article"&gt;17&lt;/ref-type&gt;&lt;contributors&gt;&lt;authors&gt;&lt;author&gt;Yates, John R&lt;/author&gt;&lt;author&gt;Ruse, Cristian I&lt;/author&gt;&lt;author&gt;Nakorchevsky, Aleksey&lt;/author&gt;&lt;/authors&gt;&lt;/contributors&gt;&lt;titles&gt;&lt;title&gt;Proteomics by mass spectrometry: approaches, advances, and applications&lt;/title&gt;&lt;secondary-title&gt;Annual review of biomedical engineering&lt;/secondary-title&gt;&lt;/titles&gt;&lt;periodical&gt;&lt;full-title&gt;Annual review of biomedical engineering&lt;/full-title&gt;&lt;/periodical&gt;&lt;pages&gt;49-79&lt;/pages&gt;&lt;volume&gt;11&lt;/volume&gt;&lt;dates&gt;&lt;year&gt;2009&lt;/year&gt;&lt;/dates&gt;&lt;isbn&gt;1523-9829&lt;/isbn&gt;&lt;urls&gt;&lt;/urls&gt;&lt;/record&gt;&lt;/Cite&gt;&lt;Cite&gt;&lt;Author&gt;VerBerkmoes&lt;/Author&gt;&lt;Year&gt;2009&lt;/Year&gt;&lt;RecNum&gt;14&lt;/RecNum&gt;&lt;record&gt;&lt;rec-number&gt;14&lt;/rec-number&gt;&lt;foreign-keys&gt;&lt;key app="EN" db-id="efx2002d5f0z21etvw3x9zp7tw2axpa2eez0" timestamp="1432908780"&gt;14&lt;/key&gt;&lt;/foreign-keys&gt;&lt;ref-type name="Journal Article"&gt;17&lt;/ref-type&gt;&lt;contributors&gt;&lt;authors&gt;&lt;author&gt;VerBerkmoes, Nathan C&lt;/author&gt;&lt;author&gt;Denef, Vincent J&lt;/author&gt;&lt;author&gt;Hettich, Robert L&lt;/author&gt;&lt;author&gt;Banfield, Jillian F&lt;/author&gt;&lt;/authors&gt;&lt;/contributors&gt;&lt;titles&gt;&lt;title&gt;Systems biology: functional analysis of natural microbial consortia using community proteomics&lt;/title&gt;&lt;secondary-title&gt;Nature Reviews Microbiology&lt;/secondary-title&gt;&lt;/titles&gt;&lt;periodical&gt;&lt;full-title&gt;Nature Reviews Microbiology&lt;/full-title&gt;&lt;/periodical&gt;&lt;pages&gt;196-205&lt;/pages&gt;&lt;volume&gt;7&lt;/volume&gt;&lt;number&gt;3&lt;/number&gt;&lt;dates&gt;&lt;year&gt;2009&lt;/year&gt;&lt;/dates&gt;&lt;isbn&gt;1740-1526&lt;/isbn&gt;&lt;urls&gt;&lt;/urls&gt;&lt;/record&gt;&lt;/Cite&gt;&lt;/EndNote&gt;</w:instrText>
      </w:r>
      <w:r w:rsidRPr="004030F5">
        <w:rPr>
          <w:rFonts w:cs="Arial"/>
        </w:rPr>
        <w:fldChar w:fldCharType="separate"/>
      </w:r>
      <w:r w:rsidR="007C3F6A" w:rsidRPr="004030F5">
        <w:rPr>
          <w:rFonts w:cs="Arial"/>
          <w:noProof/>
        </w:rPr>
        <w:t>[12,13]</w:t>
      </w:r>
      <w:r w:rsidRPr="004030F5">
        <w:rPr>
          <w:rFonts w:cs="Arial"/>
        </w:rPr>
        <w:fldChar w:fldCharType="end"/>
      </w:r>
      <w:r w:rsidRPr="004030F5">
        <w:rPr>
          <w:rFonts w:cs="Arial"/>
        </w:rPr>
        <w:t xml:space="preserve">.  Shotgun proteomics have advantages on large-scale data acquisition, high-complexity samples, high sensitivity and good front-end separation </w:t>
      </w:r>
      <w:r w:rsidRPr="004030F5">
        <w:rPr>
          <w:rFonts w:cs="Arial"/>
        </w:rPr>
        <w:fldChar w:fldCharType="begin"/>
      </w:r>
      <w:r w:rsidR="007C3F6A" w:rsidRPr="004030F5">
        <w:rPr>
          <w:rFonts w:cs="Arial"/>
        </w:rPr>
        <w:instrText xml:space="preserve"> ADDIN EN.CITE &lt;EndNote&gt;&lt;Cite&gt;&lt;Author&gt;Yates&lt;/Author&gt;&lt;Year&gt;2009&lt;/Year&gt;&lt;RecNum&gt;13&lt;/RecNum&gt;&lt;DisplayText&gt;[12]&lt;/DisplayText&gt;&lt;record&gt;&lt;rec-number&gt;13&lt;/rec-number&gt;&lt;foreign-keys&gt;&lt;key app="EN" db-id="efx2002d5f0z21etvw3x9zp7tw2axpa2eez0" timestamp="1432864597"&gt;13&lt;/key&gt;&lt;/foreign-keys&gt;&lt;ref-type name="Journal Article"&gt;17&lt;/ref-type&gt;&lt;contributors&gt;&lt;authors&gt;&lt;author&gt;Yates, John R&lt;/author&gt;&lt;author&gt;Ruse, Cristian I&lt;/author&gt;&lt;author&gt;Nakorchevsky, Aleksey&lt;/author&gt;&lt;/authors&gt;&lt;/contributors&gt;&lt;titles&gt;&lt;title&gt;Proteomics by mass spectrometry: approaches, advances, and applications&lt;/title&gt;&lt;secondary-title&gt;Annual review of biomedical engineering&lt;/secondary-title&gt;&lt;/titles&gt;&lt;periodical&gt;&lt;full-title&gt;Annual review of biomedical engineering&lt;/full-title&gt;&lt;/periodical&gt;&lt;pages&gt;49-79&lt;/pages&gt;&lt;volume&gt;11&lt;/volume&gt;&lt;dates&gt;&lt;year&gt;2009&lt;/year&gt;&lt;/dates&gt;&lt;isbn&gt;1523-9829&lt;/isbn&gt;&lt;urls&gt;&lt;/urls&gt;&lt;/record&gt;&lt;/Cite&gt;&lt;/EndNote&gt;</w:instrText>
      </w:r>
      <w:r w:rsidRPr="004030F5">
        <w:rPr>
          <w:rFonts w:cs="Arial"/>
        </w:rPr>
        <w:fldChar w:fldCharType="separate"/>
      </w:r>
      <w:r w:rsidR="007C3F6A" w:rsidRPr="004030F5">
        <w:rPr>
          <w:rFonts w:cs="Arial"/>
          <w:noProof/>
        </w:rPr>
        <w:t>[12]</w:t>
      </w:r>
      <w:r w:rsidRPr="004030F5">
        <w:rPr>
          <w:rFonts w:cs="Arial"/>
        </w:rPr>
        <w:fldChar w:fldCharType="end"/>
      </w:r>
      <w:r w:rsidRPr="004030F5">
        <w:rPr>
          <w:rFonts w:cs="Arial"/>
        </w:rPr>
        <w:t xml:space="preserve">.  These advantages are all required features to profile highly complicated metaproteomes.  Therefore, bottom up proteomics is majority in metaproteomics studies </w:t>
      </w:r>
      <w:r w:rsidRPr="004030F5">
        <w:rPr>
          <w:rFonts w:cs="Arial"/>
        </w:rPr>
        <w:fldChar w:fldCharType="begin"/>
      </w:r>
      <w:r w:rsidR="007C3F6A" w:rsidRPr="004030F5">
        <w:rPr>
          <w:rFonts w:cs="Arial"/>
        </w:rPr>
        <w:instrText xml:space="preserve"> ADDIN EN.CITE &lt;EndNote&gt;&lt;Cite&gt;&lt;Author&gt;VerBerkmoes&lt;/Author&gt;&lt;Year&gt;2009&lt;/Year&gt;&lt;RecNum&gt;14&lt;/RecNum&gt;&lt;DisplayText&gt;[13]&lt;/DisplayText&gt;&lt;record&gt;&lt;rec-number&gt;14&lt;/rec-number&gt;&lt;foreign-keys&gt;&lt;key app="EN" db-id="efx2002d5f0z21etvw3x9zp7tw2axpa2eez0" timestamp="1432908780"&gt;14&lt;/key&gt;&lt;/foreign-keys&gt;&lt;ref-type name="Journal Article"&gt;17&lt;/ref-type&gt;&lt;contributors&gt;&lt;authors&gt;&lt;author&gt;VerBerkmoes, Nathan C&lt;/author&gt;&lt;author&gt;Denef, Vincent J&lt;/author&gt;&lt;author&gt;Hettich, Robert L&lt;/author&gt;&lt;author&gt;Banfield, Jillian F&lt;/author&gt;&lt;/authors&gt;&lt;/contributors&gt;&lt;titles&gt;&lt;title&gt;Systems biology: functional analysis of natural microbial consortia using community proteomics&lt;/title&gt;&lt;secondary-title&gt;Nature Reviews Microbiology&lt;/secondary-title&gt;&lt;/titles&gt;&lt;periodical&gt;&lt;full-title&gt;Nature Reviews Microbiology&lt;/full-title&gt;&lt;/periodical&gt;&lt;pages&gt;196-205&lt;/pages&gt;&lt;volume&gt;7&lt;/volume&gt;&lt;number&gt;3&lt;/number&gt;&lt;dates&gt;&lt;year&gt;2009&lt;/year&gt;&lt;/dates&gt;&lt;isbn&gt;1740-1526&lt;/isbn&gt;&lt;urls&gt;&lt;/urls&gt;&lt;/record&gt;&lt;/Cite&gt;&lt;/EndNote&gt;</w:instrText>
      </w:r>
      <w:r w:rsidRPr="004030F5">
        <w:rPr>
          <w:rFonts w:cs="Arial"/>
        </w:rPr>
        <w:fldChar w:fldCharType="separate"/>
      </w:r>
      <w:r w:rsidR="007C3F6A" w:rsidRPr="004030F5">
        <w:rPr>
          <w:rFonts w:cs="Arial"/>
          <w:noProof/>
        </w:rPr>
        <w:t>[13]</w:t>
      </w:r>
      <w:r w:rsidRPr="004030F5">
        <w:rPr>
          <w:rFonts w:cs="Arial"/>
        </w:rPr>
        <w:fldChar w:fldCharType="end"/>
      </w:r>
      <w:r w:rsidRPr="004030F5">
        <w:rPr>
          <w:rFonts w:cs="Arial"/>
        </w:rPr>
        <w:t>.</w:t>
      </w:r>
    </w:p>
    <w:p w14:paraId="46AD2F09" w14:textId="6879C294" w:rsidR="004765C4" w:rsidRPr="004030F5" w:rsidRDefault="004765C4" w:rsidP="004A0A39">
      <w:pPr>
        <w:pStyle w:val="Footer"/>
        <w:numPr>
          <w:ilvl w:val="12"/>
          <w:numId w:val="0"/>
        </w:numPr>
        <w:spacing w:line="480" w:lineRule="auto"/>
        <w:ind w:firstLine="720"/>
        <w:rPr>
          <w:rFonts w:cs="Arial"/>
        </w:rPr>
      </w:pPr>
      <w:r w:rsidRPr="004030F5">
        <w:rPr>
          <w:rFonts w:cs="Arial"/>
        </w:rPr>
        <w:t xml:space="preserve">The typical shotgun metaproteomics consists of four steps: protein extraction, protein digestion, LC-MS/MS </w:t>
      </w:r>
      <w:r w:rsidR="0044524C" w:rsidRPr="004030F5">
        <w:rPr>
          <w:rFonts w:cs="Arial"/>
        </w:rPr>
        <w:t>analysis</w:t>
      </w:r>
      <w:r w:rsidRPr="004030F5">
        <w:rPr>
          <w:rFonts w:cs="Arial"/>
        </w:rPr>
        <w:t xml:space="preserve"> and bioinformatics analysis (Fig. 2).  Protein extraction step is collection of entire proteins from a number of microbial organisms in a efficient, unbiased and reproducible way </w:t>
      </w:r>
      <w:r w:rsidRPr="004030F5">
        <w:rPr>
          <w:rFonts w:cs="Arial"/>
        </w:rPr>
        <w:fldChar w:fldCharType="begin"/>
      </w:r>
      <w:r w:rsidR="007C3F6A" w:rsidRPr="004030F5">
        <w:rPr>
          <w:rFonts w:cs="Arial"/>
        </w:rPr>
        <w:instrText xml:space="preserve"> ADDIN EN.CITE &lt;EndNote&gt;&lt;Cite&gt;&lt;Author&gt;Tanca&lt;/Author&gt;&lt;Year&gt;2014&lt;/Year&gt;&lt;RecNum&gt;4&lt;/RecNum&gt;&lt;DisplayText&gt;[4]&lt;/DisplayText&gt;&lt;record&gt;&lt;rec-number&gt;4&lt;/rec-number&gt;&lt;foreign-keys&gt;&lt;key app="EN" db-id="efx2002d5f0z21etvw3x9zp7tw2axpa2eez0" timestamp="1432760012"&gt;4&lt;/key&gt;&lt;/foreign-keys&gt;&lt;ref-type name="Journal Article"&gt;17&lt;/ref-type&gt;&lt;contributors&gt;&lt;authors&gt;&lt;author&gt;Tanca, Alessandro&lt;/author&gt;&lt;author&gt;Palomba, Antonio&lt;/author&gt;&lt;author&gt;Pisanu, Salvatore&lt;/author&gt;&lt;author&gt;Deligios, Massimo&lt;/author&gt;&lt;author&gt;Fraumene, Cristina&lt;/author&gt;&lt;author&gt;Manghina, Valeria&lt;/author&gt;&lt;author&gt;Pagnozzi, Daniela&lt;/author&gt;&lt;author&gt;Addis, Maria Filippa&lt;/author&gt;&lt;author&gt;Uzzau, Sergio&lt;/author&gt;&lt;/authors&gt;&lt;/contributors&gt;&lt;titles&gt;&lt;title&gt;A straightforward and efficient analytical pipeline for metaproteome characterization&lt;/title&gt;&lt;secondary-title&gt;Microbiome&lt;/secondary-title&gt;&lt;/titles&gt;&lt;periodical&gt;&lt;full-title&gt;Microbiome&lt;/full-title&gt;&lt;/periodical&gt;&lt;pages&gt;1-16&lt;/pages&gt;&lt;volume&gt;2&lt;/volume&gt;&lt;number&gt;1&lt;/number&gt;&lt;dates&gt;&lt;year&gt;2014&lt;/year&gt;&lt;/dates&gt;&lt;isbn&gt;2049-2618&lt;/isbn&gt;&lt;urls&gt;&lt;/urls&gt;&lt;/record&gt;&lt;/Cite&gt;&lt;/EndNote&gt;</w:instrText>
      </w:r>
      <w:r w:rsidRPr="004030F5">
        <w:rPr>
          <w:rFonts w:cs="Arial"/>
        </w:rPr>
        <w:fldChar w:fldCharType="separate"/>
      </w:r>
      <w:r w:rsidR="007C3F6A" w:rsidRPr="004030F5">
        <w:rPr>
          <w:rFonts w:cs="Arial"/>
          <w:noProof/>
        </w:rPr>
        <w:t>[4]</w:t>
      </w:r>
      <w:r w:rsidRPr="004030F5">
        <w:rPr>
          <w:rFonts w:cs="Arial"/>
        </w:rPr>
        <w:fldChar w:fldCharType="end"/>
      </w:r>
      <w:r w:rsidRPr="004030F5">
        <w:rPr>
          <w:rFonts w:cs="Arial"/>
        </w:rPr>
        <w:t xml:space="preserve">. </w:t>
      </w:r>
    </w:p>
    <w:p w14:paraId="373EBA58" w14:textId="77777777" w:rsidR="00FA45D2" w:rsidRPr="004030F5" w:rsidRDefault="00FD5FEE" w:rsidP="00FA45D2">
      <w:pPr>
        <w:keepNext/>
        <w:spacing w:line="480" w:lineRule="auto"/>
        <w:rPr>
          <w:rFonts w:cs="Arial"/>
        </w:rPr>
      </w:pPr>
      <w:r w:rsidRPr="004030F5">
        <w:rPr>
          <w:rFonts w:cs="Arial"/>
          <w:noProof/>
        </w:rPr>
        <w:lastRenderedPageBreak/>
        <w:drawing>
          <wp:anchor distT="0" distB="0" distL="114300" distR="114300" simplePos="0" relativeHeight="251667456" behindDoc="0" locked="0" layoutInCell="1" allowOverlap="1" wp14:anchorId="0036B50F" wp14:editId="6DD20BB6">
            <wp:simplePos x="0" y="0"/>
            <wp:positionH relativeFrom="column">
              <wp:posOffset>505460</wp:posOffset>
            </wp:positionH>
            <wp:positionV relativeFrom="paragraph">
              <wp:posOffset>-114300</wp:posOffset>
            </wp:positionV>
            <wp:extent cx="1162685" cy="1498600"/>
            <wp:effectExtent l="0" t="0" r="5715"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r="83142"/>
                    <a:stretch/>
                  </pic:blipFill>
                  <pic:spPr bwMode="auto">
                    <a:xfrm>
                      <a:off x="0" y="0"/>
                      <a:ext cx="1162685" cy="1498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30F5">
        <w:rPr>
          <w:rFonts w:cs="Arial"/>
          <w:noProof/>
        </w:rPr>
        <mc:AlternateContent>
          <mc:Choice Requires="wps">
            <w:drawing>
              <wp:anchor distT="0" distB="0" distL="114300" distR="114300" simplePos="0" relativeHeight="251662336" behindDoc="0" locked="0" layoutInCell="1" allowOverlap="1" wp14:anchorId="5AF54815" wp14:editId="2E184087">
                <wp:simplePos x="0" y="0"/>
                <wp:positionH relativeFrom="column">
                  <wp:posOffset>118745</wp:posOffset>
                </wp:positionH>
                <wp:positionV relativeFrom="paragraph">
                  <wp:posOffset>114300</wp:posOffset>
                </wp:positionV>
                <wp:extent cx="1543685" cy="1485900"/>
                <wp:effectExtent l="0" t="0" r="5715" b="12700"/>
                <wp:wrapNone/>
                <wp:docPr id="10" name="Text Box 10"/>
                <wp:cNvGraphicFramePr/>
                <a:graphic xmlns:a="http://schemas.openxmlformats.org/drawingml/2006/main">
                  <a:graphicData uri="http://schemas.microsoft.com/office/word/2010/wordprocessingShape">
                    <wps:wsp>
                      <wps:cNvSpPr txBox="1"/>
                      <wps:spPr>
                        <a:xfrm>
                          <a:off x="0" y="0"/>
                          <a:ext cx="1543685" cy="1485900"/>
                        </a:xfrm>
                        <a:prstGeom prst="rect">
                          <a:avLst/>
                        </a:prstGeom>
                        <a:solidFill>
                          <a:schemeClr val="bg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785907" w14:textId="500FB4DF" w:rsidR="008864ED" w:rsidRPr="00AE65F0" w:rsidRDefault="008864ED" w:rsidP="00302088">
                            <w:pPr>
                              <w:jc w:val="center"/>
                              <w:rPr>
                                <w:b/>
                                <w:color w:val="4BACC6" w:themeColor="accent5"/>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0" o:spid="_x0000_s1026" type="#_x0000_t202" style="position:absolute;left:0;text-align:left;margin-left:9.35pt;margin-top:9pt;width:121.55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" fillcolor="white [3212]" stroked="f">
                <v:textbox>
                  <w:txbxContent>
                    <w:p w14:paraId="22785907" w14:textId="500FB4DF" w:rsidR="008864ED" w:rsidRPr="00AE65F0" w:rsidRDefault="008864ED" w:rsidP="00302088">
                      <w:pPr>
                        <w:jc w:val="center"/>
                        <w:rPr>
                          <w:b/>
                          <w:color w:val="4BACC6" w:themeColor="accent5"/>
                          <w:sz w:val="22"/>
                          <w:szCs w:val="22"/>
                        </w:rPr>
                      </w:pPr>
                    </w:p>
                  </w:txbxContent>
                </v:textbox>
              </v:shape>
            </w:pict>
          </mc:Fallback>
        </mc:AlternateContent>
      </w:r>
      <w:r w:rsidRPr="004030F5">
        <w:rPr>
          <w:rFonts w:cs="Arial"/>
          <w:noProof/>
        </w:rPr>
        <w:drawing>
          <wp:inline distT="0" distB="0" distL="0" distR="0" wp14:anchorId="685B6AC3" wp14:editId="737034CF">
            <wp:extent cx="5486400" cy="3397250"/>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stretch>
                      <a:fillRect/>
                    </a:stretch>
                  </pic:blipFill>
                  <pic:spPr>
                    <a:xfrm>
                      <a:off x="0" y="0"/>
                      <a:ext cx="5486400" cy="3397250"/>
                    </a:xfrm>
                    <a:prstGeom prst="rect">
                      <a:avLst/>
                    </a:prstGeom>
                  </pic:spPr>
                </pic:pic>
              </a:graphicData>
            </a:graphic>
          </wp:inline>
        </w:drawing>
      </w:r>
    </w:p>
    <w:p w14:paraId="6F98958D" w14:textId="35B758EF" w:rsidR="00C02CC7" w:rsidRPr="004030F5" w:rsidRDefault="00FA45D2" w:rsidP="00FA45D2">
      <w:pPr>
        <w:pStyle w:val="Caption"/>
        <w:rPr>
          <w:rFonts w:cs="Arial"/>
          <w:b w:val="0"/>
        </w:rPr>
      </w:pPr>
      <w:bookmarkStart w:id="6" w:name="_Toc296333095"/>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2</w:t>
      </w:r>
      <w:r w:rsidRPr="004030F5">
        <w:rPr>
          <w:rFonts w:cs="Arial"/>
        </w:rPr>
        <w:fldChar w:fldCharType="end"/>
      </w:r>
      <w:r w:rsidRPr="004030F5">
        <w:rPr>
          <w:rFonts w:cs="Arial"/>
          <w:bCs w:val="0"/>
          <w:szCs w:val="24"/>
        </w:rPr>
        <w:t xml:space="preserve"> </w:t>
      </w:r>
      <w:r w:rsidR="00C02CC7" w:rsidRPr="004030F5">
        <w:rPr>
          <w:rFonts w:cs="Arial"/>
        </w:rPr>
        <w:t xml:space="preserve">Overview of </w:t>
      </w:r>
      <w:r w:rsidR="00885453" w:rsidRPr="004030F5">
        <w:rPr>
          <w:rFonts w:cs="Arial"/>
        </w:rPr>
        <w:t xml:space="preserve">typical </w:t>
      </w:r>
      <w:r w:rsidR="002478AC" w:rsidRPr="004030F5">
        <w:rPr>
          <w:rFonts w:cs="Arial"/>
        </w:rPr>
        <w:t xml:space="preserve">shotgun </w:t>
      </w:r>
      <w:r w:rsidR="00885453" w:rsidRPr="004030F5">
        <w:rPr>
          <w:rFonts w:cs="Arial"/>
        </w:rPr>
        <w:t xml:space="preserve">metaproteomics </w:t>
      </w:r>
      <w:r w:rsidR="00C02CC7" w:rsidRPr="004030F5">
        <w:rPr>
          <w:rFonts w:cs="Arial"/>
        </w:rPr>
        <w:t>steps.</w:t>
      </w:r>
      <w:r w:rsidR="00C02CC7" w:rsidRPr="004030F5">
        <w:rPr>
          <w:rFonts w:cs="Arial"/>
          <w:b w:val="0"/>
        </w:rPr>
        <w:t xml:space="preserve">  </w:t>
      </w:r>
      <w:r w:rsidR="00972C2A" w:rsidRPr="004030F5">
        <w:rPr>
          <w:rFonts w:cs="Arial"/>
          <w:b w:val="0"/>
        </w:rPr>
        <w:t>Metaproteomics collects a sample containing</w:t>
      </w:r>
      <w:r w:rsidR="00780DC3" w:rsidRPr="004030F5">
        <w:rPr>
          <w:rFonts w:cs="Arial"/>
          <w:b w:val="0"/>
        </w:rPr>
        <w:t xml:space="preserve"> microbial community.  Then proteins are collected</w:t>
      </w:r>
      <w:r w:rsidR="00A237D1" w:rsidRPr="004030F5">
        <w:rPr>
          <w:rFonts w:cs="Arial"/>
          <w:b w:val="0"/>
        </w:rPr>
        <w:t xml:space="preserve"> from the collected sample.</w:t>
      </w:r>
      <w:r w:rsidR="00780DC3" w:rsidRPr="004030F5">
        <w:rPr>
          <w:rFonts w:cs="Arial"/>
          <w:b w:val="0"/>
        </w:rPr>
        <w:t xml:space="preserve"> </w:t>
      </w:r>
      <w:r w:rsidR="00A237D1" w:rsidRPr="004030F5">
        <w:rPr>
          <w:rFonts w:cs="Arial"/>
          <w:b w:val="0"/>
        </w:rPr>
        <w:t>T</w:t>
      </w:r>
      <w:r w:rsidR="00780DC3" w:rsidRPr="004030F5">
        <w:rPr>
          <w:rFonts w:cs="Arial"/>
          <w:b w:val="0"/>
        </w:rPr>
        <w:t>hen</w:t>
      </w:r>
      <w:r w:rsidR="00A237D1" w:rsidRPr="004030F5">
        <w:rPr>
          <w:rFonts w:cs="Arial"/>
          <w:b w:val="0"/>
        </w:rPr>
        <w:t>,</w:t>
      </w:r>
      <w:r w:rsidR="00D73177" w:rsidRPr="004030F5">
        <w:rPr>
          <w:rFonts w:cs="Arial"/>
          <w:b w:val="0"/>
        </w:rPr>
        <w:t xml:space="preserve"> the collected proteins are cleaned up and digested by an enzyme, typically trypsin. </w:t>
      </w:r>
      <w:r w:rsidR="00780DC3" w:rsidRPr="004030F5">
        <w:rPr>
          <w:rFonts w:cs="Arial"/>
          <w:b w:val="0"/>
        </w:rPr>
        <w:t xml:space="preserve"> The peptides are ionized and measured by LC-MS</w:t>
      </w:r>
      <w:r w:rsidR="004D3FFC" w:rsidRPr="004030F5">
        <w:rPr>
          <w:rFonts w:cs="Arial"/>
          <w:b w:val="0"/>
        </w:rPr>
        <w:t>/MS</w:t>
      </w:r>
      <w:r w:rsidR="0078159C" w:rsidRPr="004030F5">
        <w:rPr>
          <w:rFonts w:cs="Arial"/>
          <w:b w:val="0"/>
        </w:rPr>
        <w:t>.</w:t>
      </w:r>
      <w:r w:rsidR="00D73177" w:rsidRPr="004030F5">
        <w:rPr>
          <w:rFonts w:cs="Arial"/>
          <w:b w:val="0"/>
        </w:rPr>
        <w:t xml:space="preserve">  Finally, the measured MS/MS</w:t>
      </w:r>
      <w:r w:rsidR="0078159C" w:rsidRPr="004030F5">
        <w:rPr>
          <w:rFonts w:cs="Arial"/>
          <w:b w:val="0"/>
        </w:rPr>
        <w:t xml:space="preserve"> </w:t>
      </w:r>
      <w:r w:rsidR="00D73177" w:rsidRPr="004030F5">
        <w:rPr>
          <w:rFonts w:cs="Arial"/>
          <w:b w:val="0"/>
        </w:rPr>
        <w:t xml:space="preserve">peaks are identified and analyzed by many bioinformatics tools. </w:t>
      </w:r>
      <w:r w:rsidR="0078159C" w:rsidRPr="004030F5">
        <w:rPr>
          <w:rFonts w:cs="Arial"/>
          <w:b w:val="0"/>
        </w:rPr>
        <w:t xml:space="preserve"> This illustration was adapted from</w:t>
      </w:r>
      <w:r w:rsidR="00FB0794" w:rsidRPr="004030F5">
        <w:rPr>
          <w:rFonts w:cs="Arial"/>
          <w:b w:val="0"/>
        </w:rPr>
        <w:t xml:space="preserve"> Tanca et al</w:t>
      </w:r>
      <w:r w:rsidR="0078159C" w:rsidRPr="004030F5">
        <w:rPr>
          <w:rFonts w:cs="Arial"/>
          <w:b w:val="0"/>
        </w:rPr>
        <w:t xml:space="preserve"> </w:t>
      </w:r>
      <w:r w:rsidR="00FB0794" w:rsidRPr="004030F5">
        <w:rPr>
          <w:rFonts w:cs="Arial"/>
          <w:b w:val="0"/>
        </w:rPr>
        <w:fldChar w:fldCharType="begin"/>
      </w:r>
      <w:r w:rsidR="007C3F6A" w:rsidRPr="004030F5">
        <w:rPr>
          <w:rFonts w:cs="Arial"/>
          <w:b w:val="0"/>
        </w:rPr>
        <w:instrText xml:space="preserve"> ADDIN EN.CITE &lt;EndNote&gt;&lt;Cite&gt;&lt;Author&gt;Tanca&lt;/Author&gt;&lt;Year&gt;2014&lt;/Year&gt;&lt;RecNum&gt;4&lt;/RecNum&gt;&lt;DisplayText&gt;[4]&lt;/DisplayText&gt;&lt;record&gt;&lt;rec-number&gt;4&lt;/rec-number&gt;&lt;foreign-keys&gt;&lt;key app="EN" db-id="efx2002d5f0z21etvw3x9zp7tw2axpa2eez0" timestamp="1432760012"&gt;4&lt;/key&gt;&lt;/foreign-keys&gt;&lt;ref-type name="Journal Article"&gt;17&lt;/ref-type&gt;&lt;contributors&gt;&lt;authors&gt;&lt;author&gt;Tanca, Alessandro&lt;/author&gt;&lt;author&gt;Palomba, Antonio&lt;/author&gt;&lt;author&gt;Pisanu, Salvatore&lt;/author&gt;&lt;author&gt;Deligios, Massimo&lt;/author&gt;&lt;author&gt;Fraumene, Cristina&lt;/author&gt;&lt;author&gt;Manghina, Valeria&lt;/author&gt;&lt;author&gt;Pagnozzi, Daniela&lt;/author&gt;&lt;author&gt;Addis, Maria Filippa&lt;/author&gt;&lt;author&gt;Uzzau, Sergio&lt;/author&gt;&lt;/authors&gt;&lt;/contributors&gt;&lt;titles&gt;&lt;title&gt;A straightforward and efficient analytical pipeline for metaproteome characterization&lt;/title&gt;&lt;secondary-title&gt;Microbiome&lt;/secondary-title&gt;&lt;/titles&gt;&lt;periodical&gt;&lt;full-title&gt;Microbiome&lt;/full-title&gt;&lt;/periodical&gt;&lt;pages&gt;1-16&lt;/pages&gt;&lt;volume&gt;2&lt;/volume&gt;&lt;number&gt;1&lt;/number&gt;&lt;dates&gt;&lt;year&gt;2014&lt;/year&gt;&lt;/dates&gt;&lt;isbn&gt;2049-2618&lt;/isbn&gt;&lt;urls&gt;&lt;/urls&gt;&lt;/record&gt;&lt;/Cite&gt;&lt;/EndNote&gt;</w:instrText>
      </w:r>
      <w:r w:rsidR="00FB0794" w:rsidRPr="004030F5">
        <w:rPr>
          <w:rFonts w:cs="Arial"/>
          <w:b w:val="0"/>
        </w:rPr>
        <w:fldChar w:fldCharType="separate"/>
      </w:r>
      <w:r w:rsidR="007C3F6A" w:rsidRPr="004030F5">
        <w:rPr>
          <w:rFonts w:cs="Arial"/>
          <w:b w:val="0"/>
          <w:noProof/>
        </w:rPr>
        <w:t>[4]</w:t>
      </w:r>
      <w:r w:rsidR="00FB0794" w:rsidRPr="004030F5">
        <w:rPr>
          <w:rFonts w:cs="Arial"/>
          <w:b w:val="0"/>
        </w:rPr>
        <w:fldChar w:fldCharType="end"/>
      </w:r>
      <w:r w:rsidR="00FD5FEE" w:rsidRPr="004030F5">
        <w:rPr>
          <w:rFonts w:cs="Arial"/>
          <w:b w:val="0"/>
        </w:rPr>
        <w:t xml:space="preserve"> and</w:t>
      </w:r>
      <w:r w:rsidR="009E47C7" w:rsidRPr="004030F5">
        <w:rPr>
          <w:rFonts w:cs="Arial"/>
          <w:b w:val="0"/>
        </w:rPr>
        <w:t xml:space="preserve"> </w:t>
      </w:r>
      <w:hyperlink r:id="rId15" w:history="1">
        <w:r w:rsidR="009E47C7" w:rsidRPr="004030F5">
          <w:rPr>
            <w:rStyle w:val="Hyperlink"/>
            <w:rFonts w:cs="Arial"/>
            <w:b w:val="0"/>
          </w:rPr>
          <w:t>http://www.planetorbitrap.com</w:t>
        </w:r>
      </w:hyperlink>
      <w:r w:rsidR="00FB0794" w:rsidRPr="004030F5">
        <w:rPr>
          <w:rFonts w:cs="Arial"/>
          <w:b w:val="0"/>
        </w:rPr>
        <w:t>.</w:t>
      </w:r>
      <w:bookmarkEnd w:id="6"/>
    </w:p>
    <w:p w14:paraId="15837C52" w14:textId="25BD7A78" w:rsidR="003933F6" w:rsidRPr="004030F5" w:rsidRDefault="002632A5" w:rsidP="00DD2653">
      <w:pPr>
        <w:pStyle w:val="Footer"/>
        <w:numPr>
          <w:ilvl w:val="12"/>
          <w:numId w:val="0"/>
        </w:numPr>
        <w:tabs>
          <w:tab w:val="clear" w:pos="4320"/>
          <w:tab w:val="clear" w:pos="8640"/>
        </w:tabs>
        <w:spacing w:line="480" w:lineRule="auto"/>
        <w:ind w:firstLine="720"/>
        <w:rPr>
          <w:rFonts w:cs="Arial"/>
        </w:rPr>
      </w:pPr>
      <w:r w:rsidRPr="004030F5">
        <w:rPr>
          <w:rFonts w:cs="Arial"/>
        </w:rPr>
        <w:br w:type="page"/>
      </w:r>
    </w:p>
    <w:p w14:paraId="711017EC" w14:textId="191CAAC8" w:rsidR="00572027" w:rsidRPr="004030F5" w:rsidRDefault="002B03B3" w:rsidP="005630F8">
      <w:pPr>
        <w:pStyle w:val="Footer"/>
        <w:numPr>
          <w:ilvl w:val="12"/>
          <w:numId w:val="0"/>
        </w:numPr>
        <w:spacing w:line="480" w:lineRule="auto"/>
        <w:rPr>
          <w:rFonts w:cs="Arial"/>
        </w:rPr>
      </w:pPr>
      <w:r w:rsidRPr="004030F5">
        <w:rPr>
          <w:rFonts w:cs="Arial"/>
        </w:rPr>
        <w:lastRenderedPageBreak/>
        <w:t xml:space="preserve">There are various methods of protein prep by combining various detergent (sodium dodecyl sulfate (SDS), CHAPS or Triton X-100), organic/inorganic compounds (phenol, NaOH), chaotropic agents (urea or guanidine hydrochloride), reducing agents (dithiothreitol (DTT), tributylphosphine) and thermal treatments (boiling).  </w:t>
      </w:r>
      <w:r w:rsidR="00572027" w:rsidRPr="004030F5">
        <w:rPr>
          <w:rFonts w:cs="Arial"/>
        </w:rPr>
        <w:t xml:space="preserve">Detergents like SDS are used for cell lysis and chaotropic agents can denature protein three-dimensional structures.  Reducing agents is employed to hold denatured protein structure during protein digestion.  Rapid and controlled thermal treatment can inactivate native enzymatic activity and prevent proteome degradation </w:t>
      </w:r>
      <w:r w:rsidR="00572027" w:rsidRPr="004030F5">
        <w:rPr>
          <w:rFonts w:cs="Arial"/>
        </w:rPr>
        <w:fldChar w:fldCharType="begin"/>
      </w:r>
      <w:r w:rsidR="007C3F6A" w:rsidRPr="004030F5">
        <w:rPr>
          <w:rFonts w:cs="Arial"/>
        </w:rPr>
        <w:instrText xml:space="preserve"> ADDIN EN.CITE &lt;EndNote&gt;&lt;Cite&gt;&lt;Author&gt;Goodwin&lt;/Author&gt;&lt;Year&gt;2010&lt;/Year&gt;&lt;RecNum&gt;17&lt;/RecNum&gt;&lt;DisplayText&gt;[14]&lt;/DisplayText&gt;&lt;record&gt;&lt;rec-number&gt;17&lt;/rec-number&gt;&lt;foreign-keys&gt;&lt;key app="EN" db-id="efx2002d5f0z21etvw3x9zp7tw2axpa2eez0" timestamp="1432914614"&gt;17&lt;/key&gt;&lt;/foreign-keys&gt;&lt;ref-type name="Journal Article"&gt;17&lt;/ref-type&gt;&lt;contributors&gt;&lt;authors&gt;&lt;author&gt;Goodwin, Richard JA&lt;/author&gt;&lt;author&gt;Lang, Alastair M&lt;/author&gt;&lt;author&gt;Allingham, Heather&lt;/author&gt;&lt;author&gt;Borén, Mats&lt;/author&gt;&lt;author&gt;Pitt, Andrew R&lt;/author&gt;&lt;/authors&gt;&lt;/contributors&gt;&lt;titles&gt;&lt;title&gt;Stopping the clock on proteomic degradation by heat treatment at the point of tissue excision&lt;/title&gt;&lt;secondary-title&gt;Proteomics&lt;/secondary-title&gt;&lt;/titles&gt;&lt;periodical&gt;&lt;full-title&gt;Proteomics&lt;/full-title&gt;&lt;/periodical&gt;&lt;pages&gt;1751-1761&lt;/pages&gt;&lt;volume&gt;10&lt;/volume&gt;&lt;number&gt;9&lt;/number&gt;&lt;dates&gt;&lt;year&gt;2010&lt;/year&gt;&lt;/dates&gt;&lt;isbn&gt;1615-9861&lt;/isbn&gt;&lt;urls&gt;&lt;/urls&gt;&lt;/record&gt;&lt;/Cite&gt;&lt;/EndNote&gt;</w:instrText>
      </w:r>
      <w:r w:rsidR="00572027" w:rsidRPr="004030F5">
        <w:rPr>
          <w:rFonts w:cs="Arial"/>
        </w:rPr>
        <w:fldChar w:fldCharType="separate"/>
      </w:r>
      <w:r w:rsidR="007C3F6A" w:rsidRPr="004030F5">
        <w:rPr>
          <w:rFonts w:cs="Arial"/>
          <w:noProof/>
        </w:rPr>
        <w:t>[14]</w:t>
      </w:r>
      <w:r w:rsidR="00572027" w:rsidRPr="004030F5">
        <w:rPr>
          <w:rFonts w:cs="Arial"/>
        </w:rPr>
        <w:fldChar w:fldCharType="end"/>
      </w:r>
      <w:r w:rsidR="00572027" w:rsidRPr="004030F5">
        <w:rPr>
          <w:rFonts w:cs="Arial"/>
        </w:rPr>
        <w:t>.  Phenol can help protein separation by its less-polar characteristics as well as protein denaturation.  Since there is no gold standard for the extraction, it is important to consider characteristics of community and target proteins to maximize extraction yield.</w:t>
      </w:r>
      <w:r w:rsidR="00577CB7" w:rsidRPr="004030F5">
        <w:rPr>
          <w:rFonts w:cs="Arial"/>
        </w:rPr>
        <w:t xml:space="preserve">  Since </w:t>
      </w:r>
      <w:r w:rsidR="0034310A" w:rsidRPr="004030F5">
        <w:rPr>
          <w:rFonts w:cs="Arial"/>
        </w:rPr>
        <w:t>environmentally derived</w:t>
      </w:r>
      <w:r w:rsidR="00765C7C" w:rsidRPr="004030F5">
        <w:rPr>
          <w:rFonts w:cs="Arial"/>
        </w:rPr>
        <w:t xml:space="preserve"> samples are often not enough to get required biomass of microbial community</w:t>
      </w:r>
      <w:r w:rsidR="00D160D8" w:rsidRPr="004030F5">
        <w:rPr>
          <w:rFonts w:cs="Arial"/>
        </w:rPr>
        <w:t xml:space="preserve"> due to difficulties and cost </w:t>
      </w:r>
      <w:r w:rsidR="0034310A" w:rsidRPr="004030F5">
        <w:rPr>
          <w:rFonts w:cs="Arial"/>
        </w:rPr>
        <w:t>of</w:t>
      </w:r>
      <w:r w:rsidR="00D160D8" w:rsidRPr="004030F5">
        <w:rPr>
          <w:rFonts w:cs="Arial"/>
        </w:rPr>
        <w:t xml:space="preserve"> sample acquisition</w:t>
      </w:r>
      <w:r w:rsidR="0034310A" w:rsidRPr="004030F5">
        <w:rPr>
          <w:rFonts w:cs="Arial"/>
        </w:rPr>
        <w:t>, protein extraction is more challenging than proteomics study of laboratory-grown microbes</w:t>
      </w:r>
      <w:r w:rsidR="00ED6B93" w:rsidRPr="004030F5">
        <w:rPr>
          <w:rFonts w:cs="Arial"/>
        </w:rPr>
        <w:t xml:space="preserve"> </w:t>
      </w:r>
      <w:r w:rsidR="0007150E" w:rsidRPr="004030F5">
        <w:rPr>
          <w:rFonts w:cs="Arial"/>
        </w:rPr>
        <w:fldChar w:fldCharType="begin"/>
      </w:r>
      <w:r w:rsidR="007C3F6A" w:rsidRPr="004030F5">
        <w:rPr>
          <w:rFonts w:cs="Arial"/>
        </w:rPr>
        <w:instrText xml:space="preserve"> ADDIN EN.CITE &lt;EndNote&gt;&lt;Cite&gt;&lt;Author&gt;Hettich&lt;/Author&gt;&lt;Year&gt;2013&lt;/Year&gt;&lt;RecNum&gt;36&lt;/RecNum&gt;&lt;DisplayText&gt;[15]&lt;/DisplayText&gt;&lt;record&gt;&lt;rec-number&gt;36&lt;/rec-number&gt;&lt;foreign-keys&gt;&lt;key app="EN" db-id="efx2002d5f0z21etvw3x9zp7tw2axpa2eez0" timestamp="1433188938"&gt;36&lt;/key&gt;&lt;/foreign-keys&gt;&lt;ref-type name="Journal Article"&gt;17&lt;/ref-type&gt;&lt;contributors&gt;&lt;authors&gt;&lt;author&gt;Hettich, Robert L&lt;/author&gt;&lt;author&gt;Pan, Chongle&lt;/author&gt;&lt;author&gt;Chourey, Karuna&lt;/author&gt;&lt;author&gt;Giannone, Richard J&lt;/author&gt;&lt;/authors&gt;&lt;/contributors&gt;&lt;titles&gt;&lt;title&gt;Metaproteomics: harnessing the power of high performance mass spectrometry to identify the suite of proteins that control metabolic activities in microbial communities&lt;/title&gt;&lt;secondary-title&gt;Analytical chemistry&lt;/secondary-title&gt;&lt;/titles&gt;&lt;periodical&gt;&lt;full-title&gt;Analytical chemistry&lt;/full-title&gt;&lt;/periodical&gt;&lt;pages&gt;4203-4214&lt;/pages&gt;&lt;volume&gt;85&lt;/volume&gt;&lt;number&gt;9&lt;/number&gt;&lt;dates&gt;&lt;year&gt;2013&lt;/year&gt;&lt;/dates&gt;&lt;isbn&gt;0003-2700&lt;/isbn&gt;&lt;urls&gt;&lt;/urls&gt;&lt;/record&gt;&lt;/Cite&gt;&lt;/EndNote&gt;</w:instrText>
      </w:r>
      <w:r w:rsidR="0007150E" w:rsidRPr="004030F5">
        <w:rPr>
          <w:rFonts w:cs="Arial"/>
        </w:rPr>
        <w:fldChar w:fldCharType="separate"/>
      </w:r>
      <w:r w:rsidR="007C3F6A" w:rsidRPr="004030F5">
        <w:rPr>
          <w:rFonts w:cs="Arial"/>
          <w:noProof/>
        </w:rPr>
        <w:t>[15]</w:t>
      </w:r>
      <w:r w:rsidR="0007150E" w:rsidRPr="004030F5">
        <w:rPr>
          <w:rFonts w:cs="Arial"/>
        </w:rPr>
        <w:fldChar w:fldCharType="end"/>
      </w:r>
      <w:r w:rsidR="0034310A" w:rsidRPr="004030F5">
        <w:rPr>
          <w:rFonts w:cs="Arial"/>
        </w:rPr>
        <w:t>.</w:t>
      </w:r>
    </w:p>
    <w:p w14:paraId="688AD120" w14:textId="47D49EBA" w:rsidR="001C67AB" w:rsidRPr="004030F5" w:rsidRDefault="00572027" w:rsidP="001C67AB">
      <w:pPr>
        <w:pStyle w:val="Footer"/>
        <w:numPr>
          <w:ilvl w:val="12"/>
          <w:numId w:val="0"/>
        </w:numPr>
        <w:tabs>
          <w:tab w:val="clear" w:pos="4320"/>
          <w:tab w:val="clear" w:pos="8640"/>
        </w:tabs>
        <w:spacing w:line="480" w:lineRule="auto"/>
        <w:ind w:firstLine="720"/>
        <w:rPr>
          <w:rFonts w:cs="Arial"/>
        </w:rPr>
      </w:pPr>
      <w:r w:rsidRPr="004030F5">
        <w:rPr>
          <w:rFonts w:cs="Arial"/>
        </w:rPr>
        <w:t xml:space="preserve">After proteins are extracted from a sample, next step is protein digestion.  Before proteins are digested, chemical compounds, added for protein extraction, should be removed not to disturb following enzymatic digestion.  This cleaning step is traditionally fulfilled by protein precipitation using Trichloroacetic acid (TCA), chilled acetone or ammonium acetate/methanol to the protein extract solution </w:t>
      </w:r>
      <w:r w:rsidRPr="004030F5">
        <w:rPr>
          <w:rFonts w:cs="Arial"/>
        </w:rPr>
        <w:fldChar w:fldCharType="begin"/>
      </w:r>
      <w:r w:rsidR="007C3F6A" w:rsidRPr="004030F5">
        <w:rPr>
          <w:rFonts w:cs="Arial"/>
        </w:rPr>
        <w:instrText xml:space="preserve"> ADDIN EN.CITE &lt;EndNote&gt;&lt;Cite&gt;&lt;Author&gt;Tanca&lt;/Author&gt;&lt;Year&gt;2014&lt;/Year&gt;&lt;RecNum&gt;4&lt;/RecNum&gt;&lt;DisplayText&gt;[4]&lt;/DisplayText&gt;&lt;record&gt;&lt;rec-number&gt;4&lt;/rec-number&gt;&lt;foreign-keys&gt;&lt;key app="EN" db-id="efx2002d5f0z21etvw3x9zp7tw2axpa2eez0" timestamp="1432760012"&gt;4&lt;/key&gt;&lt;/foreign-keys&gt;&lt;ref-type name="Journal Article"&gt;17&lt;/ref-type&gt;&lt;contributors&gt;&lt;authors&gt;&lt;author&gt;Tanca, Alessandro&lt;/author&gt;&lt;author&gt;Palomba, Antonio&lt;/author&gt;&lt;author&gt;Pisanu, Salvatore&lt;/author&gt;&lt;author&gt;Deligios, Massimo&lt;/author&gt;&lt;author&gt;Fraumene, Cristina&lt;/author&gt;&lt;author&gt;Manghina, Valeria&lt;/author&gt;&lt;author&gt;Pagnozzi, Daniela&lt;/author&gt;&lt;author&gt;Addis, Maria Filippa&lt;/author&gt;&lt;author&gt;Uzzau, Sergio&lt;/author&gt;&lt;/authors&gt;&lt;/contributors&gt;&lt;titles&gt;&lt;title&gt;A straightforward and efficient analytical pipeline for metaproteome characterization&lt;/title&gt;&lt;secondary-title&gt;Microbiome&lt;/secondary-title&gt;&lt;/titles&gt;&lt;periodical&gt;&lt;full-title&gt;Microbiome&lt;/full-title&gt;&lt;/periodical&gt;&lt;pages&gt;1-16&lt;/pages&gt;&lt;volume&gt;2&lt;/volume&gt;&lt;number&gt;1&lt;/number&gt;&lt;dates&gt;&lt;year&gt;2014&lt;/year&gt;&lt;/dates&gt;&lt;isbn&gt;2049-2618&lt;/isbn&gt;&lt;urls&gt;&lt;/urls&gt;&lt;/record&gt;&lt;/Cite&gt;&lt;/EndNote&gt;</w:instrText>
      </w:r>
      <w:r w:rsidRPr="004030F5">
        <w:rPr>
          <w:rFonts w:cs="Arial"/>
        </w:rPr>
        <w:fldChar w:fldCharType="separate"/>
      </w:r>
      <w:r w:rsidR="007C3F6A" w:rsidRPr="004030F5">
        <w:rPr>
          <w:rFonts w:cs="Arial"/>
          <w:noProof/>
        </w:rPr>
        <w:t>[4]</w:t>
      </w:r>
      <w:r w:rsidRPr="004030F5">
        <w:rPr>
          <w:rFonts w:cs="Arial"/>
        </w:rPr>
        <w:fldChar w:fldCharType="end"/>
      </w:r>
      <w:r w:rsidRPr="004030F5">
        <w:rPr>
          <w:rFonts w:cs="Arial"/>
        </w:rPr>
        <w:t xml:space="preserve">.  However, these classical methods may have significant loss of certain type of proteins.  Filter-aided sample preparation (FASP), recently </w:t>
      </w:r>
      <w:r w:rsidRPr="004030F5">
        <w:rPr>
          <w:rFonts w:cs="Arial"/>
        </w:rPr>
        <w:lastRenderedPageBreak/>
        <w:t xml:space="preserve">developed in 2009 by Mann et al </w:t>
      </w:r>
      <w:r w:rsidRPr="004030F5">
        <w:rPr>
          <w:rFonts w:cs="Arial"/>
        </w:rPr>
        <w:fldChar w:fldCharType="begin"/>
      </w:r>
      <w:r w:rsidR="007C3F6A" w:rsidRPr="004030F5">
        <w:rPr>
          <w:rFonts w:cs="Arial"/>
        </w:rPr>
        <w:instrText xml:space="preserve"> ADDIN EN.CITE &lt;EndNote&gt;&lt;Cite&gt;&lt;Author&gt;Wiśniewski&lt;/Author&gt;&lt;Year&gt;2009&lt;/Year&gt;&lt;RecNum&gt;15&lt;/RecNum&gt;&lt;DisplayText&gt;[16]&lt;/DisplayText&gt;&lt;record&gt;&lt;rec-number&gt;15&lt;/rec-number&gt;&lt;foreign-keys&gt;&lt;key app="EN" db-id="efx2002d5f0z21etvw3x9zp7tw2axpa2eez0" timestamp="1432910044"&gt;15&lt;/key&gt;&lt;/foreign-keys&gt;&lt;ref-type name="Journal Article"&gt;17&lt;/ref-type&gt;&lt;contributors&gt;&lt;authors&gt;&lt;author&gt;Wiśniewski, Jacek R&lt;/author&gt;&lt;author&gt;Zougman, Alexandre&lt;/author&gt;&lt;author&gt;Nagaraj, Nagarjuna&lt;/author&gt;&lt;author&gt;Mann, Matthias&lt;/author&gt;&lt;/authors&gt;&lt;/contributors&gt;&lt;titles&gt;&lt;title&gt;Universal sample preparation method for proteome analysis&lt;/title&gt;&lt;secondary-title&gt;Nature methods&lt;/secondary-title&gt;&lt;/titles&gt;&lt;periodical&gt;&lt;full-title&gt;Nature methods&lt;/full-title&gt;&lt;/periodical&gt;&lt;pages&gt;359-362&lt;/pages&gt;&lt;volume&gt;6&lt;/volume&gt;&lt;number&gt;5&lt;/number&gt;&lt;dates&gt;&lt;year&gt;2009&lt;/year&gt;&lt;/dates&gt;&lt;isbn&gt;1548-7091&lt;/isbn&gt;&lt;urls&gt;&lt;/urls&gt;&lt;/record&gt;&lt;/Cite&gt;&lt;/EndNote&gt;</w:instrText>
      </w:r>
      <w:r w:rsidRPr="004030F5">
        <w:rPr>
          <w:rFonts w:cs="Arial"/>
        </w:rPr>
        <w:fldChar w:fldCharType="separate"/>
      </w:r>
      <w:r w:rsidR="007C3F6A" w:rsidRPr="004030F5">
        <w:rPr>
          <w:rFonts w:cs="Arial"/>
          <w:noProof/>
        </w:rPr>
        <w:t>[16]</w:t>
      </w:r>
      <w:r w:rsidRPr="004030F5">
        <w:rPr>
          <w:rFonts w:cs="Arial"/>
        </w:rPr>
        <w:fldChar w:fldCharType="end"/>
      </w:r>
      <w:r w:rsidRPr="004030F5">
        <w:rPr>
          <w:rFonts w:cs="Arial"/>
        </w:rPr>
        <w:t xml:space="preserve">, is recently applied successfully in many metaproteome studies and it can do sample cleanup and protein digestion together on a centrifuge filter that filter out by weights.  This FASP showed out-performance over several competing methods specifically for low abundant proteins </w:t>
      </w:r>
      <w:r w:rsidRPr="004030F5">
        <w:rPr>
          <w:rFonts w:cs="Arial"/>
        </w:rPr>
        <w:fldChar w:fldCharType="begin"/>
      </w:r>
      <w:r w:rsidR="007C3F6A" w:rsidRPr="004030F5">
        <w:rPr>
          <w:rFonts w:cs="Arial"/>
        </w:rPr>
        <w:instrText xml:space="preserve"> ADDIN EN.CITE &lt;EndNote&gt;&lt;Cite&gt;&lt;Author&gt;Sharma&lt;/Author&gt;&lt;Year&gt;2012&lt;/Year&gt;&lt;RecNum&gt;16&lt;/RecNum&gt;&lt;DisplayText&gt;[17]&lt;/DisplayText&gt;&lt;record&gt;&lt;rec-number&gt;16&lt;/rec-number&gt;&lt;foreign-keys&gt;&lt;key app="EN" db-id="efx2002d5f0z21etvw3x9zp7tw2axpa2eez0" timestamp="1432912375"&gt;16&lt;/key&gt;&lt;/foreign-keys&gt;&lt;ref-type name="Journal Article"&gt;17&lt;/ref-type&gt;&lt;contributors&gt;&lt;authors&gt;&lt;author&gt;Sharma, Ritin&lt;/author&gt;&lt;author&gt;Dill, Brian D&lt;/author&gt;&lt;author&gt;Chourey, Karuna&lt;/author&gt;&lt;author&gt;Shah, Manesh&lt;/author&gt;&lt;author&gt;VerBerkmoes, Nathan C&lt;/author&gt;&lt;author&gt;Hettich, Robert L&lt;/author&gt;&lt;/authors&gt;&lt;/contributors&gt;&lt;titles&gt;&lt;title&gt;Coupling a detergent lysis/cleanup methodology with intact protein fractionation for enhanced proteome characterization&lt;/title&gt;&lt;secondary-title&gt;Journal of proteome research&lt;/secondary-title&gt;&lt;/titles&gt;&lt;periodical&gt;&lt;full-title&gt;Journal of proteome research&lt;/full-title&gt;&lt;/periodical&gt;&lt;pages&gt;6008-6018&lt;/pages&gt;&lt;volume&gt;11&lt;/volume&gt;&lt;number&gt;12&lt;/number&gt;&lt;dates&gt;&lt;year&gt;2012&lt;/year&gt;&lt;/dates&gt;&lt;isbn&gt;1535-3893&lt;/isbn&gt;&lt;urls&gt;&lt;/urls&gt;&lt;/record&gt;&lt;/Cite&gt;&lt;/EndNote&gt;</w:instrText>
      </w:r>
      <w:r w:rsidRPr="004030F5">
        <w:rPr>
          <w:rFonts w:cs="Arial"/>
        </w:rPr>
        <w:fldChar w:fldCharType="separate"/>
      </w:r>
      <w:r w:rsidR="007C3F6A" w:rsidRPr="004030F5">
        <w:rPr>
          <w:rFonts w:cs="Arial"/>
          <w:noProof/>
        </w:rPr>
        <w:t>[17]</w:t>
      </w:r>
      <w:r w:rsidRPr="004030F5">
        <w:rPr>
          <w:rFonts w:cs="Arial"/>
        </w:rPr>
        <w:fldChar w:fldCharType="end"/>
      </w:r>
      <w:r w:rsidRPr="004030F5">
        <w:rPr>
          <w:rFonts w:cs="Arial"/>
        </w:rPr>
        <w:t>.</w:t>
      </w:r>
      <w:r w:rsidR="00B70943" w:rsidRPr="004030F5">
        <w:rPr>
          <w:rFonts w:cs="Arial"/>
        </w:rPr>
        <w:t xml:space="preserve">  </w:t>
      </w:r>
      <w:r w:rsidRPr="004030F5">
        <w:rPr>
          <w:rFonts w:cs="Arial"/>
        </w:rPr>
        <w:t>To facilitate effective</w:t>
      </w:r>
      <w:r w:rsidR="00917997" w:rsidRPr="004030F5">
        <w:rPr>
          <w:rFonts w:cs="Arial"/>
        </w:rPr>
        <w:t xml:space="preserve"> </w:t>
      </w:r>
      <w:r w:rsidR="0038202C" w:rsidRPr="004030F5">
        <w:rPr>
          <w:rFonts w:cs="Arial"/>
        </w:rPr>
        <w:t xml:space="preserve">protein </w:t>
      </w:r>
      <w:r w:rsidR="00917997" w:rsidRPr="004030F5">
        <w:rPr>
          <w:rFonts w:cs="Arial"/>
        </w:rPr>
        <w:t>digestion</w:t>
      </w:r>
      <w:r w:rsidRPr="004030F5">
        <w:rPr>
          <w:rFonts w:cs="Arial"/>
        </w:rPr>
        <w:t>, proteins are denatured and reduced using chemicals, such as Guanidine/DTT or Urea/DTT</w:t>
      </w:r>
      <w:r w:rsidR="000F44F0" w:rsidRPr="004030F5">
        <w:rPr>
          <w:rFonts w:cs="Arial"/>
        </w:rPr>
        <w:t xml:space="preserve"> </w:t>
      </w:r>
      <w:r w:rsidR="00A66A37" w:rsidRPr="004030F5">
        <w:rPr>
          <w:rFonts w:cs="Arial"/>
        </w:rPr>
        <w:fldChar w:fldCharType="begin"/>
      </w:r>
      <w:r w:rsidR="007C3F6A" w:rsidRPr="004030F5">
        <w:rPr>
          <w:rFonts w:cs="Arial"/>
        </w:rPr>
        <w:instrText xml:space="preserve"> ADDIN EN.CITE &lt;EndNote&gt;&lt;Cite&gt;&lt;Author&gt;Monera&lt;/Author&gt;&lt;Year&gt;1994&lt;/Year&gt;&lt;RecNum&gt;18&lt;/RecNum&gt;&lt;DisplayText&gt;[18]&lt;/DisplayText&gt;&lt;record&gt;&lt;rec-number&gt;18&lt;/rec-number&gt;&lt;foreign-keys&gt;&lt;key app="EN" db-id="efx2002d5f0z21etvw3x9zp7tw2axpa2eez0" timestamp="1432917811"&gt;18&lt;/key&gt;&lt;/foreign-keys&gt;&lt;ref-type name="Journal Article"&gt;17&lt;/ref-type&gt;&lt;contributors&gt;&lt;authors&gt;&lt;author&gt;Monera, Oscar D&lt;/author&gt;&lt;author&gt;Kay, Cyril M&lt;/author&gt;&lt;author&gt;Hodges, Robert S&lt;/author&gt;&lt;/authors&gt;&lt;/contributors&gt;&lt;titles&gt;&lt;title&gt;Protein denaturation with guanidine hydrochloride or urea provides a different estimate of stability depending on the contributions of electrostatic interactions&lt;/title&gt;&lt;secondary-title&gt;Protein Science&lt;/secondary-title&gt;&lt;/titles&gt;&lt;periodical&gt;&lt;full-title&gt;Protein Science&lt;/full-title&gt;&lt;/periodical&gt;&lt;pages&gt;1984-1991&lt;/pages&gt;&lt;volume&gt;3&lt;/volume&gt;&lt;number&gt;11&lt;/number&gt;&lt;dates&gt;&lt;year&gt;1994&lt;/year&gt;&lt;/dates&gt;&lt;isbn&gt;1469-896X&lt;/isbn&gt;&lt;urls&gt;&lt;/urls&gt;&lt;/record&gt;&lt;/Cite&gt;&lt;/EndNote&gt;</w:instrText>
      </w:r>
      <w:r w:rsidR="00A66A37" w:rsidRPr="004030F5">
        <w:rPr>
          <w:rFonts w:cs="Arial"/>
        </w:rPr>
        <w:fldChar w:fldCharType="separate"/>
      </w:r>
      <w:r w:rsidR="007C3F6A" w:rsidRPr="004030F5">
        <w:rPr>
          <w:rFonts w:cs="Arial"/>
          <w:noProof/>
        </w:rPr>
        <w:t>[18]</w:t>
      </w:r>
      <w:r w:rsidR="00A66A37" w:rsidRPr="004030F5">
        <w:rPr>
          <w:rFonts w:cs="Arial"/>
        </w:rPr>
        <w:fldChar w:fldCharType="end"/>
      </w:r>
      <w:r w:rsidR="000A30A8" w:rsidRPr="004030F5">
        <w:rPr>
          <w:rFonts w:cs="Arial"/>
        </w:rPr>
        <w:t>.</w:t>
      </w:r>
    </w:p>
    <w:p w14:paraId="346330C7" w14:textId="059D475D" w:rsidR="00B35FD3" w:rsidRPr="004030F5" w:rsidRDefault="001C67AB" w:rsidP="000F3BA8">
      <w:pPr>
        <w:pStyle w:val="Footer"/>
        <w:numPr>
          <w:ilvl w:val="12"/>
          <w:numId w:val="0"/>
        </w:numPr>
        <w:tabs>
          <w:tab w:val="clear" w:pos="4320"/>
          <w:tab w:val="clear" w:pos="8640"/>
        </w:tabs>
        <w:spacing w:line="480" w:lineRule="auto"/>
        <w:ind w:firstLine="720"/>
        <w:rPr>
          <w:rFonts w:cs="Arial"/>
        </w:rPr>
      </w:pPr>
      <w:r w:rsidRPr="004030F5">
        <w:rPr>
          <w:rFonts w:cs="Arial"/>
        </w:rPr>
        <w:t xml:space="preserve">Protein digestion is </w:t>
      </w:r>
      <w:r w:rsidR="00821D4E" w:rsidRPr="004030F5">
        <w:rPr>
          <w:rFonts w:cs="Arial"/>
        </w:rPr>
        <w:t xml:space="preserve">an </w:t>
      </w:r>
      <w:r w:rsidRPr="004030F5">
        <w:rPr>
          <w:rFonts w:cs="Arial"/>
        </w:rPr>
        <w:t>important step in shotgun metaproteomics</w:t>
      </w:r>
      <w:r w:rsidR="009B0685" w:rsidRPr="004030F5">
        <w:rPr>
          <w:rFonts w:cs="Arial"/>
        </w:rPr>
        <w:t xml:space="preserve"> bec</w:t>
      </w:r>
      <w:r w:rsidR="00747375" w:rsidRPr="004030F5">
        <w:rPr>
          <w:rFonts w:cs="Arial"/>
        </w:rPr>
        <w:t xml:space="preserve">ause </w:t>
      </w:r>
      <w:r w:rsidR="00A4388C" w:rsidRPr="004030F5">
        <w:rPr>
          <w:rFonts w:cs="Arial"/>
        </w:rPr>
        <w:t xml:space="preserve">all the </w:t>
      </w:r>
      <w:r w:rsidR="008E60D7" w:rsidRPr="004030F5">
        <w:rPr>
          <w:rFonts w:cs="Arial"/>
        </w:rPr>
        <w:t xml:space="preserve">proteins </w:t>
      </w:r>
      <w:r w:rsidR="00A4388C" w:rsidRPr="004030F5">
        <w:rPr>
          <w:rFonts w:cs="Arial"/>
        </w:rPr>
        <w:t xml:space="preserve">in bottom up approach </w:t>
      </w:r>
      <w:r w:rsidR="008E60D7" w:rsidRPr="004030F5">
        <w:rPr>
          <w:rFonts w:cs="Arial"/>
        </w:rPr>
        <w:t xml:space="preserve">are assembled from </w:t>
      </w:r>
      <w:r w:rsidR="00CB0BE2" w:rsidRPr="004030F5">
        <w:rPr>
          <w:rFonts w:cs="Arial"/>
        </w:rPr>
        <w:t xml:space="preserve">the </w:t>
      </w:r>
      <w:r w:rsidR="00B65104" w:rsidRPr="004030F5">
        <w:rPr>
          <w:rFonts w:cs="Arial"/>
        </w:rPr>
        <w:t xml:space="preserve">digested </w:t>
      </w:r>
      <w:r w:rsidR="00F012B7" w:rsidRPr="004030F5">
        <w:rPr>
          <w:rFonts w:cs="Arial"/>
        </w:rPr>
        <w:t xml:space="preserve">peptides.  </w:t>
      </w:r>
      <w:r w:rsidR="008779FD" w:rsidRPr="004030F5">
        <w:rPr>
          <w:rFonts w:cs="Arial"/>
        </w:rPr>
        <w:t xml:space="preserve">Trypsin is widely used for </w:t>
      </w:r>
      <w:r w:rsidR="004E4905" w:rsidRPr="004030F5">
        <w:rPr>
          <w:rFonts w:cs="Arial"/>
        </w:rPr>
        <w:t>proteolysis</w:t>
      </w:r>
      <w:r w:rsidR="002F1E1F" w:rsidRPr="004030F5">
        <w:rPr>
          <w:rFonts w:cs="Arial"/>
        </w:rPr>
        <w:t xml:space="preserve"> in metaproteomics</w:t>
      </w:r>
      <w:r w:rsidR="00D931F6" w:rsidRPr="004030F5">
        <w:rPr>
          <w:rFonts w:cs="Arial"/>
        </w:rPr>
        <w:t xml:space="preserve"> because </w:t>
      </w:r>
      <w:r w:rsidR="005F7EB3" w:rsidRPr="004030F5">
        <w:rPr>
          <w:rFonts w:cs="Arial"/>
        </w:rPr>
        <w:t xml:space="preserve">it is highly specific and </w:t>
      </w:r>
      <w:r w:rsidR="004A08AD" w:rsidRPr="004030F5">
        <w:rPr>
          <w:rFonts w:cs="Arial"/>
        </w:rPr>
        <w:t xml:space="preserve">generates positively charged </w:t>
      </w:r>
      <w:r w:rsidR="00102ED1" w:rsidRPr="004030F5">
        <w:rPr>
          <w:rFonts w:cs="Arial"/>
        </w:rPr>
        <w:t>N-</w:t>
      </w:r>
      <w:r w:rsidR="004A08AD" w:rsidRPr="004030F5">
        <w:rPr>
          <w:rFonts w:cs="Arial"/>
        </w:rPr>
        <w:t>terminus</w:t>
      </w:r>
      <w:r w:rsidR="002F1E1F" w:rsidRPr="004030F5">
        <w:rPr>
          <w:rFonts w:cs="Arial"/>
        </w:rPr>
        <w:t>.</w:t>
      </w:r>
      <w:r w:rsidR="00D52030" w:rsidRPr="004030F5">
        <w:rPr>
          <w:rFonts w:cs="Arial"/>
        </w:rPr>
        <w:t xml:space="preserve">  </w:t>
      </w:r>
      <w:r w:rsidR="007051CE" w:rsidRPr="004030F5">
        <w:rPr>
          <w:rFonts w:cs="Arial"/>
        </w:rPr>
        <w:t>Since MS</w:t>
      </w:r>
      <w:r w:rsidR="00B46A06" w:rsidRPr="004030F5">
        <w:rPr>
          <w:rFonts w:cs="Arial"/>
        </w:rPr>
        <w:t>-based metaproteomics</w:t>
      </w:r>
      <w:r w:rsidR="007051CE" w:rsidRPr="004030F5">
        <w:rPr>
          <w:rFonts w:cs="Arial"/>
        </w:rPr>
        <w:t xml:space="preserve"> </w:t>
      </w:r>
      <w:r w:rsidR="00B46A06" w:rsidRPr="004030F5">
        <w:rPr>
          <w:rFonts w:cs="Arial"/>
        </w:rPr>
        <w:t xml:space="preserve">usually run positive ion mode </w:t>
      </w:r>
      <w:r w:rsidR="003B3BF0" w:rsidRPr="004030F5">
        <w:rPr>
          <w:rFonts w:cs="Arial"/>
        </w:rPr>
        <w:t xml:space="preserve">in MS, </w:t>
      </w:r>
      <w:r w:rsidR="00091721" w:rsidRPr="004030F5">
        <w:rPr>
          <w:rFonts w:cs="Arial"/>
        </w:rPr>
        <w:t xml:space="preserve">positively charged </w:t>
      </w:r>
      <w:r w:rsidR="00265B11" w:rsidRPr="004030F5">
        <w:rPr>
          <w:rFonts w:cs="Arial"/>
        </w:rPr>
        <w:t>N-terminus is ideal for MS.</w:t>
      </w:r>
      <w:r w:rsidR="00586507" w:rsidRPr="004030F5">
        <w:rPr>
          <w:rFonts w:cs="Arial"/>
        </w:rPr>
        <w:t xml:space="preserve">  </w:t>
      </w:r>
      <w:r w:rsidR="00420DED" w:rsidRPr="004030F5">
        <w:rPr>
          <w:rFonts w:cs="Arial"/>
        </w:rPr>
        <w:t>It targets carboxyl side of arginine and lysine</w:t>
      </w:r>
      <w:r w:rsidR="001409D1" w:rsidRPr="004030F5">
        <w:rPr>
          <w:rFonts w:cs="Arial"/>
        </w:rPr>
        <w:t xml:space="preserve"> of proteins</w:t>
      </w:r>
      <w:r w:rsidR="003F2B86" w:rsidRPr="004030F5">
        <w:rPr>
          <w:rFonts w:cs="Arial"/>
        </w:rPr>
        <w:t xml:space="preserve"> at weak</w:t>
      </w:r>
      <w:r w:rsidR="00B63823" w:rsidRPr="004030F5">
        <w:rPr>
          <w:rFonts w:cs="Arial"/>
        </w:rPr>
        <w:t>ly</w:t>
      </w:r>
      <w:r w:rsidR="003F2B86" w:rsidRPr="004030F5">
        <w:rPr>
          <w:rFonts w:cs="Arial"/>
        </w:rPr>
        <w:t xml:space="preserve"> </w:t>
      </w:r>
      <w:r w:rsidR="00B63823" w:rsidRPr="004030F5">
        <w:rPr>
          <w:rFonts w:cs="Arial"/>
        </w:rPr>
        <w:t>basic environment</w:t>
      </w:r>
      <w:r w:rsidR="0088402D" w:rsidRPr="004030F5">
        <w:rPr>
          <w:rFonts w:cs="Arial"/>
        </w:rPr>
        <w:t xml:space="preserve"> (Table 1)</w:t>
      </w:r>
      <w:r w:rsidR="00420DED" w:rsidRPr="004030F5">
        <w:rPr>
          <w:rFonts w:cs="Arial"/>
        </w:rPr>
        <w:t>.</w:t>
      </w:r>
      <w:r w:rsidR="00E64937" w:rsidRPr="004030F5">
        <w:rPr>
          <w:rFonts w:cs="Arial"/>
        </w:rPr>
        <w:t xml:space="preserve"> </w:t>
      </w:r>
      <w:r w:rsidR="00B7586D" w:rsidRPr="004030F5">
        <w:rPr>
          <w:rFonts w:cs="Arial"/>
        </w:rPr>
        <w:t xml:space="preserve"> </w:t>
      </w:r>
      <w:r w:rsidR="00AF15C6" w:rsidRPr="004030F5">
        <w:rPr>
          <w:rFonts w:cs="Arial"/>
        </w:rPr>
        <w:t>Nevertheless, t</w:t>
      </w:r>
      <w:r w:rsidR="00D0079D" w:rsidRPr="004030F5">
        <w:rPr>
          <w:rFonts w:cs="Arial"/>
        </w:rPr>
        <w:t>rypsin</w:t>
      </w:r>
      <w:r w:rsidR="005F3F4E" w:rsidRPr="004030F5">
        <w:rPr>
          <w:rFonts w:cs="Arial"/>
        </w:rPr>
        <w:t xml:space="preserve"> </w:t>
      </w:r>
      <w:r w:rsidR="00D0079D" w:rsidRPr="004030F5">
        <w:rPr>
          <w:rFonts w:cs="Arial"/>
        </w:rPr>
        <w:t xml:space="preserve">hardly breaks tightly folded proteins that </w:t>
      </w:r>
      <w:r w:rsidR="009E7630" w:rsidRPr="004030F5">
        <w:rPr>
          <w:rFonts w:cs="Arial"/>
        </w:rPr>
        <w:t>may</w:t>
      </w:r>
      <w:r w:rsidR="00D0079D" w:rsidRPr="004030F5">
        <w:rPr>
          <w:rFonts w:cs="Arial"/>
        </w:rPr>
        <w:t xml:space="preserve"> not</w:t>
      </w:r>
      <w:r w:rsidR="009E7630" w:rsidRPr="004030F5">
        <w:rPr>
          <w:rFonts w:cs="Arial"/>
        </w:rPr>
        <w:t xml:space="preserve"> be</w:t>
      </w:r>
      <w:r w:rsidR="00D0079D" w:rsidRPr="004030F5">
        <w:rPr>
          <w:rFonts w:cs="Arial"/>
        </w:rPr>
        <w:t xml:space="preserve"> denatured by </w:t>
      </w:r>
      <w:r w:rsidR="00317222" w:rsidRPr="004030F5">
        <w:rPr>
          <w:rFonts w:cs="Arial"/>
        </w:rPr>
        <w:t>denaturing reagents and inadequate distribution of trypsin cleavage sites</w:t>
      </w:r>
      <w:r w:rsidR="00FC433A" w:rsidRPr="004030F5">
        <w:rPr>
          <w:rFonts w:cs="Arial"/>
        </w:rPr>
        <w:t xml:space="preserve"> cause too short peptides</w:t>
      </w:r>
      <w:r w:rsidR="000448D8" w:rsidRPr="004030F5">
        <w:rPr>
          <w:rFonts w:cs="Arial"/>
        </w:rPr>
        <w:t xml:space="preserve"> </w:t>
      </w:r>
      <w:r w:rsidR="000448D8" w:rsidRPr="004030F5">
        <w:rPr>
          <w:rFonts w:cs="Arial"/>
        </w:rPr>
        <w:fldChar w:fldCharType="begin"/>
      </w:r>
      <w:r w:rsidR="007C3F6A" w:rsidRPr="004030F5">
        <w:rPr>
          <w:rFonts w:cs="Arial"/>
        </w:rPr>
        <w:instrText xml:space="preserve"> ADDIN EN.CITE &lt;EndNote&gt;&lt;Cite&gt;&lt;Author&gt;Saveliev&lt;/Author&gt;&lt;Year&gt;2007&lt;/Year&gt;&lt;RecNum&gt;20&lt;/RecNum&gt;&lt;DisplayText&gt;[19]&lt;/DisplayText&gt;&lt;record&gt;&lt;rec-number&gt;20&lt;/rec-number&gt;&lt;foreign-keys&gt;&lt;key app="EN" db-id="efx2002d5f0z21etvw3x9zp7tw2axpa2eez0" timestamp="1432929137"&gt;20&lt;/key&gt;&lt;/foreign-keys&gt;&lt;ref-type name="Web Page"&gt;12&lt;/ref-type&gt;&lt;contributors&gt;&lt;authors&gt;&lt;author&gt;Sergei Saveliev&lt;/author&gt;&lt;author&gt;Laurie Engel&lt;/author&gt;&lt;author&gt;Ethan Strauss&lt;/author&gt;&lt;author&gt;Richard Jones&lt;/author&gt;&lt;author&gt;Mike Rosenblatt&lt;/author&gt;&lt;/authors&gt;&lt;/contributors&gt;&lt;titles&gt;&lt;title&gt;The Advantages to Using Arg-C, Elastase, Thermolysin and Pepsin for Protein Analysis&lt;/title&gt;&lt;/titles&gt;&lt;pages&gt;Available from: http://www.promega.com/resources/pubhub/the-advantages-to-using-arg-c-elastase-thermolysin-and-pepsin-for-protein-analysis/&lt;/pages&gt;&lt;dates&gt;&lt;year&gt;2007&lt;/year&gt;&lt;/dates&gt;&lt;urls&gt;&lt;/urls&gt;&lt;/record&gt;&lt;/Cite&gt;&lt;/EndNote&gt;</w:instrText>
      </w:r>
      <w:r w:rsidR="000448D8" w:rsidRPr="004030F5">
        <w:rPr>
          <w:rFonts w:cs="Arial"/>
        </w:rPr>
        <w:fldChar w:fldCharType="separate"/>
      </w:r>
      <w:r w:rsidR="007C3F6A" w:rsidRPr="004030F5">
        <w:rPr>
          <w:rFonts w:cs="Arial"/>
          <w:noProof/>
        </w:rPr>
        <w:t>[19]</w:t>
      </w:r>
      <w:r w:rsidR="000448D8" w:rsidRPr="004030F5">
        <w:rPr>
          <w:rFonts w:cs="Arial"/>
        </w:rPr>
        <w:fldChar w:fldCharType="end"/>
      </w:r>
      <w:r w:rsidR="00FC433A" w:rsidRPr="004030F5">
        <w:rPr>
          <w:rFonts w:cs="Arial"/>
        </w:rPr>
        <w:t xml:space="preserve">.  </w:t>
      </w:r>
      <w:r w:rsidR="006F6E68" w:rsidRPr="004030F5">
        <w:rPr>
          <w:rFonts w:cs="Arial"/>
        </w:rPr>
        <w:t>Especiall</w:t>
      </w:r>
      <w:r w:rsidR="001C580E" w:rsidRPr="004030F5">
        <w:rPr>
          <w:rFonts w:cs="Arial"/>
        </w:rPr>
        <w:t>y</w:t>
      </w:r>
      <w:r w:rsidR="00C20A16" w:rsidRPr="004030F5">
        <w:rPr>
          <w:rFonts w:cs="Arial"/>
        </w:rPr>
        <w:t>,</w:t>
      </w:r>
      <w:r w:rsidR="001C580E" w:rsidRPr="004030F5">
        <w:rPr>
          <w:rFonts w:cs="Arial"/>
        </w:rPr>
        <w:t xml:space="preserve"> membrane proteins have </w:t>
      </w:r>
      <w:r w:rsidR="006F6E68" w:rsidRPr="004030F5">
        <w:rPr>
          <w:rFonts w:cs="Arial"/>
        </w:rPr>
        <w:t xml:space="preserve">resistance to trypsin </w:t>
      </w:r>
      <w:r w:rsidR="001C580E" w:rsidRPr="004030F5">
        <w:rPr>
          <w:rFonts w:cs="Arial"/>
        </w:rPr>
        <w:t xml:space="preserve">and </w:t>
      </w:r>
      <w:r w:rsidR="00C20A16" w:rsidRPr="004030F5">
        <w:rPr>
          <w:rFonts w:cs="Arial"/>
        </w:rPr>
        <w:t>little number</w:t>
      </w:r>
      <w:r w:rsidR="001C580E" w:rsidRPr="004030F5">
        <w:rPr>
          <w:rFonts w:cs="Arial"/>
        </w:rPr>
        <w:t xml:space="preserve"> of lysine and arginine</w:t>
      </w:r>
      <w:r w:rsidR="000448D8" w:rsidRPr="004030F5">
        <w:rPr>
          <w:rFonts w:cs="Arial"/>
        </w:rPr>
        <w:t xml:space="preserve"> </w:t>
      </w:r>
      <w:r w:rsidR="000448D8" w:rsidRPr="004030F5">
        <w:rPr>
          <w:rFonts w:cs="Arial"/>
        </w:rPr>
        <w:fldChar w:fldCharType="begin"/>
      </w:r>
      <w:r w:rsidR="007C3F6A" w:rsidRPr="004030F5">
        <w:rPr>
          <w:rFonts w:cs="Arial"/>
        </w:rPr>
        <w:instrText xml:space="preserve"> ADDIN EN.CITE &lt;EndNote&gt;&lt;Cite&gt;&lt;Author&gt;Saveliev&lt;/Author&gt;&lt;Year&gt;2007&lt;/Year&gt;&lt;RecNum&gt;20&lt;/RecNum&gt;&lt;DisplayText&gt;[19]&lt;/DisplayText&gt;&lt;record&gt;&lt;rec-number&gt;20&lt;/rec-number&gt;&lt;foreign-keys&gt;&lt;key app="EN" db-id="efx2002d5f0z21etvw3x9zp7tw2axpa2eez0" timestamp="1432929137"&gt;20&lt;/key&gt;&lt;/foreign-keys&gt;&lt;ref-type name="Web Page"&gt;12&lt;/ref-type&gt;&lt;contributors&gt;&lt;authors&gt;&lt;author&gt;Sergei Saveliev&lt;/author&gt;&lt;author&gt;Laurie Engel&lt;/author&gt;&lt;author&gt;Ethan Strauss&lt;/author&gt;&lt;author&gt;Richard Jones&lt;/author&gt;&lt;author&gt;Mike Rosenblatt&lt;/author&gt;&lt;/authors&gt;&lt;/contributors&gt;&lt;titles&gt;&lt;title&gt;The Advantages to Using Arg-C, Elastase, Thermolysin and Pepsin for Protein Analysis&lt;/title&gt;&lt;/titles&gt;&lt;pages&gt;Available from: http://www.promega.com/resources/pubhub/the-advantages-to-using-arg-c-elastase-thermolysin-and-pepsin-for-protein-analysis/&lt;/pages&gt;&lt;dates&gt;&lt;year&gt;2007&lt;/year&gt;&lt;/dates&gt;&lt;urls&gt;&lt;/urls&gt;&lt;/record&gt;&lt;/Cite&gt;&lt;/EndNote&gt;</w:instrText>
      </w:r>
      <w:r w:rsidR="000448D8" w:rsidRPr="004030F5">
        <w:rPr>
          <w:rFonts w:cs="Arial"/>
        </w:rPr>
        <w:fldChar w:fldCharType="separate"/>
      </w:r>
      <w:r w:rsidR="007C3F6A" w:rsidRPr="004030F5">
        <w:rPr>
          <w:rFonts w:cs="Arial"/>
          <w:noProof/>
        </w:rPr>
        <w:t>[19]</w:t>
      </w:r>
      <w:r w:rsidR="000448D8" w:rsidRPr="004030F5">
        <w:rPr>
          <w:rFonts w:cs="Arial"/>
        </w:rPr>
        <w:fldChar w:fldCharType="end"/>
      </w:r>
      <w:r w:rsidR="001C580E" w:rsidRPr="004030F5">
        <w:rPr>
          <w:rFonts w:cs="Arial"/>
        </w:rPr>
        <w:t xml:space="preserve">.  </w:t>
      </w:r>
      <w:r w:rsidR="003541D7" w:rsidRPr="004030F5">
        <w:rPr>
          <w:rFonts w:cs="Arial"/>
        </w:rPr>
        <w:t>According to Wu et al, trypsin generates predominantly small peptides (&lt; 2</w:t>
      </w:r>
      <w:r w:rsidR="00FE2C4F" w:rsidRPr="004030F5">
        <w:rPr>
          <w:rFonts w:cs="Arial"/>
        </w:rPr>
        <w:t xml:space="preserve"> </w:t>
      </w:r>
      <w:r w:rsidR="003541D7" w:rsidRPr="004030F5">
        <w:rPr>
          <w:rFonts w:cs="Arial"/>
        </w:rPr>
        <w:t xml:space="preserve">kDa) that is shorter than 20 amino acid length (Fig. 3) </w:t>
      </w:r>
      <w:r w:rsidR="003541D7" w:rsidRPr="004030F5">
        <w:rPr>
          <w:rFonts w:cs="Arial"/>
        </w:rPr>
        <w:fldChar w:fldCharType="begin"/>
      </w:r>
      <w:r w:rsidR="007C3F6A" w:rsidRPr="004030F5">
        <w:rPr>
          <w:rFonts w:cs="Arial"/>
        </w:rPr>
        <w:instrText xml:space="preserve"> ADDIN EN.CITE &lt;EndNote&gt;&lt;Cite&gt;&lt;Author&gt;Wu&lt;/Author&gt;&lt;Year&gt;2012&lt;/Year&gt;&lt;RecNum&gt;19&lt;/RecNum&gt;&lt;DisplayText&gt;[20]&lt;/DisplayText&gt;&lt;record&gt;&lt;rec-number&gt;19&lt;/rec-number&gt;&lt;foreign-keys&gt;&lt;key app="EN" db-id="efx2002d5f0z21etvw3x9zp7tw2axpa2eez0" timestamp="1432927249"&gt;19&lt;/key&gt;&lt;/foreign-keys&gt;&lt;ref-type name="Journal Article"&gt;17&lt;/ref-type&gt;&lt;contributors&gt;&lt;authors&gt;&lt;author&gt;Wu, Cong&lt;/author&gt;&lt;author&gt;Tran, John C&lt;/author&gt;&lt;author&gt;Zamdborg, Leonid&lt;/author&gt;&lt;author&gt;Durbin, Kenneth R&lt;/author&gt;&lt;author&gt;Li, Mingxi&lt;/author&gt;&lt;author&gt;Ahlf, Dorothy R&lt;/author&gt;&lt;author&gt;Early, Bryan P&lt;/author&gt;&lt;author&gt;Thomas, Paul M&lt;/author&gt;&lt;author&gt;Sweedler, Jonathan V&lt;/author&gt;&lt;author&gt;Kelleher, Neil L&lt;/author&gt;&lt;/authors&gt;&lt;/contributors&gt;&lt;titles&gt;&lt;title&gt;A protease for&amp;apos;middle-down&amp;apos;proteomics&lt;/title&gt;&lt;secondary-title&gt;Nature methods&lt;/secondary-title&gt;&lt;/titles&gt;&lt;periodical&gt;&lt;full-title&gt;Nature methods&lt;/full-title&gt;&lt;/periodical&gt;&lt;pages&gt;822-824&lt;/pages&gt;&lt;volume&gt;9&lt;/volume&gt;&lt;number&gt;8&lt;/number&gt;&lt;dates&gt;&lt;year&gt;2012&lt;/year&gt;&lt;/dates&gt;&lt;isbn&gt;1548-7091&lt;/isbn&gt;&lt;urls&gt;&lt;/urls&gt;&lt;/record&gt;&lt;/Cite&gt;&lt;/EndNote&gt;</w:instrText>
      </w:r>
      <w:r w:rsidR="003541D7" w:rsidRPr="004030F5">
        <w:rPr>
          <w:rFonts w:cs="Arial"/>
        </w:rPr>
        <w:fldChar w:fldCharType="separate"/>
      </w:r>
      <w:r w:rsidR="007C3F6A" w:rsidRPr="004030F5">
        <w:rPr>
          <w:rFonts w:cs="Arial"/>
          <w:noProof/>
        </w:rPr>
        <w:t>[20]</w:t>
      </w:r>
      <w:r w:rsidR="003541D7" w:rsidRPr="004030F5">
        <w:rPr>
          <w:rFonts w:cs="Arial"/>
        </w:rPr>
        <w:fldChar w:fldCharType="end"/>
      </w:r>
      <w:r w:rsidR="003541D7" w:rsidRPr="004030F5">
        <w:rPr>
          <w:rFonts w:cs="Arial"/>
        </w:rPr>
        <w:t>.  This small size of peptides (</w:t>
      </w:r>
      <w:r w:rsidR="00B02893" w:rsidRPr="004030F5">
        <w:rPr>
          <w:rFonts w:cs="Arial"/>
        </w:rPr>
        <w:t xml:space="preserve">averagely </w:t>
      </w:r>
      <w:r w:rsidR="003541D7" w:rsidRPr="004030F5">
        <w:rPr>
          <w:rFonts w:cs="Arial"/>
        </w:rPr>
        <w:t>7~20 residues</w:t>
      </w:r>
      <w:r w:rsidR="000F4F50" w:rsidRPr="004030F5">
        <w:rPr>
          <w:rFonts w:cs="Arial"/>
        </w:rPr>
        <w:t xml:space="preserve"> </w:t>
      </w:r>
      <w:r w:rsidR="00813658" w:rsidRPr="004030F5">
        <w:rPr>
          <w:rFonts w:cs="Arial"/>
        </w:rPr>
        <w:fldChar w:fldCharType="begin"/>
      </w:r>
      <w:r w:rsidR="007C3F6A" w:rsidRPr="004030F5">
        <w:rPr>
          <w:rFonts w:cs="Arial"/>
        </w:rPr>
        <w:instrText xml:space="preserve"> ADDIN EN.CITE &lt;EndNote&gt;&lt;Cite&gt;&lt;Author&gt;Saveliev&lt;/Author&gt;&lt;Year&gt;2007&lt;/Year&gt;&lt;RecNum&gt;20&lt;/RecNum&gt;&lt;DisplayText&gt;[19]&lt;/DisplayText&gt;&lt;record&gt;&lt;rec-number&gt;20&lt;/rec-number&gt;&lt;foreign-keys&gt;&lt;key app="EN" db-id="efx2002d5f0z21etvw3x9zp7tw2axpa2eez0" timestamp="1432929137"&gt;20&lt;/key&gt;&lt;/foreign-keys&gt;&lt;ref-type name="Web Page"&gt;12&lt;/ref-type&gt;&lt;contributors&gt;&lt;authors&gt;&lt;author&gt;Sergei Saveliev&lt;/author&gt;&lt;author&gt;Laurie Engel&lt;/author&gt;&lt;author&gt;Ethan Strauss&lt;/author&gt;&lt;author&gt;Richard Jones&lt;/author&gt;&lt;author&gt;Mike Rosenblatt&lt;/author&gt;&lt;/authors&gt;&lt;/contributors&gt;&lt;titles&gt;&lt;title&gt;The Advantages to Using Arg-C, Elastase, Thermolysin and Pepsin for Protein Analysis&lt;/title&gt;&lt;/titles&gt;&lt;pages&gt;Available from: http://www.promega.com/resources/pubhub/the-advantages-to-using-arg-c-elastase-thermolysin-and-pepsin-for-protein-analysis/&lt;/pages&gt;&lt;dates&gt;&lt;year&gt;2007&lt;/year&gt;&lt;/dates&gt;&lt;urls&gt;&lt;/urls&gt;&lt;/record&gt;&lt;/Cite&gt;&lt;/EndNote&gt;</w:instrText>
      </w:r>
      <w:r w:rsidR="00813658" w:rsidRPr="004030F5">
        <w:rPr>
          <w:rFonts w:cs="Arial"/>
        </w:rPr>
        <w:fldChar w:fldCharType="separate"/>
      </w:r>
      <w:r w:rsidR="007C3F6A" w:rsidRPr="004030F5">
        <w:rPr>
          <w:rFonts w:cs="Arial"/>
          <w:noProof/>
        </w:rPr>
        <w:t>[19]</w:t>
      </w:r>
      <w:r w:rsidR="00813658" w:rsidRPr="004030F5">
        <w:rPr>
          <w:rFonts w:cs="Arial"/>
        </w:rPr>
        <w:fldChar w:fldCharType="end"/>
      </w:r>
      <w:r w:rsidR="003541D7" w:rsidRPr="004030F5">
        <w:rPr>
          <w:rFonts w:cs="Arial"/>
        </w:rPr>
        <w:t xml:space="preserve">) can facilitate MS detection, but </w:t>
      </w:r>
      <w:r w:rsidR="00B168B2" w:rsidRPr="004030F5">
        <w:rPr>
          <w:rFonts w:cs="Arial"/>
        </w:rPr>
        <w:t xml:space="preserve">at the same time </w:t>
      </w:r>
      <w:r w:rsidR="003541D7" w:rsidRPr="004030F5">
        <w:rPr>
          <w:rFonts w:cs="Arial"/>
        </w:rPr>
        <w:t>it causes number of redundant peptides</w:t>
      </w:r>
      <w:r w:rsidR="001B691F" w:rsidRPr="004030F5">
        <w:rPr>
          <w:rFonts w:cs="Arial"/>
        </w:rPr>
        <w:t xml:space="preserve"> that are </w:t>
      </w:r>
      <w:r w:rsidR="00F35529" w:rsidRPr="004030F5">
        <w:rPr>
          <w:rFonts w:cs="Arial"/>
        </w:rPr>
        <w:t>derived</w:t>
      </w:r>
      <w:r w:rsidR="001B691F" w:rsidRPr="004030F5">
        <w:rPr>
          <w:rFonts w:cs="Arial"/>
        </w:rPr>
        <w:t xml:space="preserve"> by more than two proteins</w:t>
      </w:r>
      <w:r w:rsidR="00FD0C0C" w:rsidRPr="004030F5">
        <w:rPr>
          <w:rFonts w:cs="Arial"/>
        </w:rPr>
        <w:t>.</w:t>
      </w:r>
      <w:r w:rsidR="00C63330" w:rsidRPr="004030F5">
        <w:rPr>
          <w:rFonts w:cs="Arial"/>
        </w:rPr>
        <w:t xml:space="preserve">  </w:t>
      </w:r>
      <w:r w:rsidR="00B35FD3" w:rsidRPr="004030F5">
        <w:rPr>
          <w:rFonts w:cs="Arial"/>
        </w:rPr>
        <w:br w:type="page"/>
      </w:r>
    </w:p>
    <w:p w14:paraId="178C0063" w14:textId="5A6B15FA" w:rsidR="00A27E99" w:rsidRPr="004030F5" w:rsidRDefault="00B06F15" w:rsidP="000A35F6">
      <w:pPr>
        <w:pStyle w:val="Caption"/>
        <w:rPr>
          <w:rFonts w:cs="Arial"/>
          <w:b w:val="0"/>
        </w:rPr>
      </w:pPr>
      <w:bookmarkStart w:id="7" w:name="_Toc296333073"/>
      <w:r w:rsidRPr="004030F5">
        <w:rPr>
          <w:rFonts w:cs="Arial"/>
        </w:rPr>
        <w:lastRenderedPageBreak/>
        <w:t xml:space="preserve">Table </w:t>
      </w:r>
      <w:r w:rsidRPr="004030F5">
        <w:rPr>
          <w:rFonts w:cs="Arial"/>
        </w:rPr>
        <w:fldChar w:fldCharType="begin"/>
      </w:r>
      <w:r w:rsidRPr="004030F5">
        <w:rPr>
          <w:rFonts w:cs="Arial"/>
        </w:rPr>
        <w:instrText xml:space="preserve"> SEQ Table \* ARABIC </w:instrText>
      </w:r>
      <w:r w:rsidRPr="004030F5">
        <w:rPr>
          <w:rFonts w:cs="Arial"/>
        </w:rPr>
        <w:fldChar w:fldCharType="separate"/>
      </w:r>
      <w:r w:rsidR="0093776B">
        <w:rPr>
          <w:rFonts w:cs="Arial"/>
          <w:noProof/>
        </w:rPr>
        <w:t>1</w:t>
      </w:r>
      <w:r w:rsidRPr="004030F5">
        <w:rPr>
          <w:rFonts w:cs="Arial"/>
        </w:rPr>
        <w:fldChar w:fldCharType="end"/>
      </w:r>
      <w:r w:rsidRPr="004030F5">
        <w:rPr>
          <w:rFonts w:cs="Arial"/>
        </w:rPr>
        <w:t xml:space="preserve"> </w:t>
      </w:r>
      <w:r w:rsidR="00666EDA" w:rsidRPr="004030F5">
        <w:rPr>
          <w:rFonts w:cs="Arial"/>
        </w:rPr>
        <w:t>Various p</w:t>
      </w:r>
      <w:r w:rsidR="00056BED" w:rsidRPr="004030F5">
        <w:rPr>
          <w:rFonts w:cs="Arial"/>
        </w:rPr>
        <w:t>roteases</w:t>
      </w:r>
      <w:r w:rsidR="00712CDE" w:rsidRPr="004030F5">
        <w:rPr>
          <w:rFonts w:cs="Arial"/>
          <w:b w:val="0"/>
        </w:rPr>
        <w:t xml:space="preserve">.  This table is adapted from </w:t>
      </w:r>
      <w:r w:rsidR="007B4A1E" w:rsidRPr="004030F5">
        <w:rPr>
          <w:rFonts w:cs="Arial"/>
          <w:b w:val="0"/>
        </w:rPr>
        <w:t xml:space="preserve">the website, </w:t>
      </w:r>
      <w:r w:rsidR="00354340" w:rsidRPr="004030F5">
        <w:rPr>
          <w:rFonts w:cs="Arial"/>
          <w:b w:val="0"/>
        </w:rPr>
        <w:t>http://www.proteinsandproteomics.org/content/free/tables_1/table11.pdf.</w:t>
      </w:r>
      <w:bookmarkEnd w:id="7"/>
    </w:p>
    <w:p w14:paraId="3E6E5731" w14:textId="13ADBC45" w:rsidR="00B06F15" w:rsidRPr="004030F5" w:rsidRDefault="00666EDA" w:rsidP="00B06F15">
      <w:pPr>
        <w:pStyle w:val="Footer"/>
        <w:numPr>
          <w:ilvl w:val="12"/>
          <w:numId w:val="0"/>
        </w:numPr>
        <w:tabs>
          <w:tab w:val="clear" w:pos="4320"/>
          <w:tab w:val="clear" w:pos="8640"/>
        </w:tabs>
        <w:spacing w:line="480" w:lineRule="auto"/>
        <w:rPr>
          <w:rFonts w:cs="Arial"/>
        </w:rPr>
      </w:pPr>
      <w:r w:rsidRPr="004030F5">
        <w:rPr>
          <w:rFonts w:cs="Arial"/>
          <w:noProof/>
        </w:rPr>
        <w:drawing>
          <wp:inline distT="0" distB="0" distL="0" distR="0" wp14:anchorId="232741B6" wp14:editId="32A6EB20">
            <wp:extent cx="5486400" cy="6495979"/>
            <wp:effectExtent l="0" t="0" r="0" b="698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6495979"/>
                    </a:xfrm>
                    <a:prstGeom prst="rect">
                      <a:avLst/>
                    </a:prstGeom>
                    <a:noFill/>
                    <a:ln>
                      <a:noFill/>
                    </a:ln>
                  </pic:spPr>
                </pic:pic>
              </a:graphicData>
            </a:graphic>
          </wp:inline>
        </w:drawing>
      </w:r>
    </w:p>
    <w:p w14:paraId="7685293A" w14:textId="77777777" w:rsidR="001C33D6" w:rsidRPr="004030F5" w:rsidRDefault="00415B82" w:rsidP="001C33D6">
      <w:pPr>
        <w:keepNext/>
        <w:rPr>
          <w:rFonts w:cs="Arial"/>
        </w:rPr>
      </w:pPr>
      <w:r w:rsidRPr="004030F5">
        <w:rPr>
          <w:rFonts w:cs="Arial"/>
        </w:rPr>
        <w:br w:type="page"/>
      </w:r>
      <w:r w:rsidR="00B51B51" w:rsidRPr="004030F5">
        <w:rPr>
          <w:rFonts w:cs="Arial"/>
          <w:noProof/>
        </w:rPr>
        <w:lastRenderedPageBreak/>
        <w:drawing>
          <wp:inline distT="0" distB="0" distL="0" distR="0" wp14:anchorId="7B4D5533" wp14:editId="336A5246">
            <wp:extent cx="5320247" cy="297180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1347" cy="2972414"/>
                    </a:xfrm>
                    <a:prstGeom prst="rect">
                      <a:avLst/>
                    </a:prstGeom>
                    <a:noFill/>
                    <a:ln>
                      <a:noFill/>
                    </a:ln>
                  </pic:spPr>
                </pic:pic>
              </a:graphicData>
            </a:graphic>
          </wp:inline>
        </w:drawing>
      </w:r>
      <w:r w:rsidR="00E11FF0" w:rsidRPr="004030F5">
        <w:rPr>
          <w:rFonts w:cs="Arial"/>
        </w:rPr>
        <w:t xml:space="preserve"> </w:t>
      </w:r>
      <w:r w:rsidR="00E11FF0" w:rsidRPr="004030F5">
        <w:rPr>
          <w:rFonts w:cs="Arial"/>
          <w:noProof/>
        </w:rPr>
        <w:drawing>
          <wp:inline distT="0" distB="0" distL="0" distR="0" wp14:anchorId="0256E091" wp14:editId="64651CF8">
            <wp:extent cx="5486400" cy="2942264"/>
            <wp:effectExtent l="0" t="0" r="0" b="4445"/>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2942264"/>
                    </a:xfrm>
                    <a:prstGeom prst="rect">
                      <a:avLst/>
                    </a:prstGeom>
                    <a:noFill/>
                    <a:ln>
                      <a:noFill/>
                    </a:ln>
                  </pic:spPr>
                </pic:pic>
              </a:graphicData>
            </a:graphic>
          </wp:inline>
        </w:drawing>
      </w:r>
    </w:p>
    <w:p w14:paraId="5620C1A5" w14:textId="09FB443A" w:rsidR="00E05716" w:rsidRPr="004030F5" w:rsidRDefault="001C33D6" w:rsidP="00A65273">
      <w:pPr>
        <w:pStyle w:val="Caption"/>
        <w:rPr>
          <w:rFonts w:cs="Arial"/>
          <w:b w:val="0"/>
        </w:rPr>
      </w:pPr>
      <w:bookmarkStart w:id="8" w:name="_Toc296333096"/>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3</w:t>
      </w:r>
      <w:r w:rsidRPr="004030F5">
        <w:rPr>
          <w:rFonts w:cs="Arial"/>
        </w:rPr>
        <w:fldChar w:fldCharType="end"/>
      </w:r>
      <w:r w:rsidRPr="004030F5">
        <w:rPr>
          <w:rFonts w:cs="Arial"/>
          <w:b w:val="0"/>
          <w:bCs w:val="0"/>
          <w:i/>
          <w:szCs w:val="24"/>
        </w:rPr>
        <w:t xml:space="preserve"> </w:t>
      </w:r>
      <w:r w:rsidRPr="004030F5">
        <w:rPr>
          <w:rFonts w:cs="Arial"/>
          <w:bCs w:val="0"/>
          <w:i/>
          <w:szCs w:val="24"/>
        </w:rPr>
        <w:t>i</w:t>
      </w:r>
      <w:r w:rsidR="00EF5FB7" w:rsidRPr="004030F5">
        <w:rPr>
          <w:rFonts w:cs="Arial"/>
          <w:i/>
        </w:rPr>
        <w:t>n silico</w:t>
      </w:r>
      <w:r w:rsidR="00EF5FB7" w:rsidRPr="004030F5">
        <w:rPr>
          <w:rFonts w:cs="Arial"/>
        </w:rPr>
        <w:t xml:space="preserve"> digestion</w:t>
      </w:r>
      <w:r w:rsidR="0079095F" w:rsidRPr="004030F5">
        <w:rPr>
          <w:rFonts w:cs="Arial"/>
        </w:rPr>
        <w:t xml:space="preserve">s of human </w:t>
      </w:r>
      <w:r w:rsidR="000A6683" w:rsidRPr="004030F5">
        <w:rPr>
          <w:rFonts w:cs="Arial"/>
        </w:rPr>
        <w:t>HeLa cell</w:t>
      </w:r>
      <w:r w:rsidR="0079095F" w:rsidRPr="004030F5">
        <w:rPr>
          <w:rFonts w:cs="Arial"/>
        </w:rPr>
        <w:t xml:space="preserve"> proteome with assorted </w:t>
      </w:r>
      <w:r w:rsidR="00784718" w:rsidRPr="004030F5">
        <w:rPr>
          <w:rFonts w:cs="Arial"/>
        </w:rPr>
        <w:t>proteases</w:t>
      </w:r>
      <w:r w:rsidR="00593FB0" w:rsidRPr="004030F5">
        <w:rPr>
          <w:rFonts w:cs="Arial"/>
        </w:rPr>
        <w:t xml:space="preserve"> </w:t>
      </w:r>
      <w:r w:rsidR="0083551F" w:rsidRPr="004030F5">
        <w:rPr>
          <w:rFonts w:cs="Arial"/>
        </w:rPr>
        <w:t xml:space="preserve">A) </w:t>
      </w:r>
      <w:r w:rsidR="00593FB0" w:rsidRPr="004030F5">
        <w:rPr>
          <w:rFonts w:cs="Arial"/>
        </w:rPr>
        <w:t>without mis-cleavage</w:t>
      </w:r>
      <w:r w:rsidR="00451C58" w:rsidRPr="004030F5">
        <w:rPr>
          <w:rFonts w:cs="Arial"/>
        </w:rPr>
        <w:t xml:space="preserve"> and </w:t>
      </w:r>
      <w:r w:rsidR="0083551F" w:rsidRPr="004030F5">
        <w:rPr>
          <w:rFonts w:cs="Arial"/>
        </w:rPr>
        <w:t xml:space="preserve">B) </w:t>
      </w:r>
      <w:r w:rsidR="00451C58" w:rsidRPr="004030F5">
        <w:rPr>
          <w:rFonts w:cs="Arial"/>
        </w:rPr>
        <w:t xml:space="preserve">with </w:t>
      </w:r>
      <w:r w:rsidR="0083551F" w:rsidRPr="004030F5">
        <w:rPr>
          <w:rFonts w:cs="Arial"/>
        </w:rPr>
        <w:t xml:space="preserve">assuming </w:t>
      </w:r>
      <w:r w:rsidR="00451C58" w:rsidRPr="004030F5">
        <w:rPr>
          <w:rFonts w:cs="Arial"/>
        </w:rPr>
        <w:t>two mis</w:t>
      </w:r>
      <w:r w:rsidR="00CD6095" w:rsidRPr="004030F5">
        <w:rPr>
          <w:rFonts w:cs="Arial"/>
        </w:rPr>
        <w:t>s</w:t>
      </w:r>
      <w:r w:rsidR="00451C58" w:rsidRPr="004030F5">
        <w:rPr>
          <w:rFonts w:cs="Arial"/>
        </w:rPr>
        <w:t>-cleavage</w:t>
      </w:r>
      <w:r w:rsidR="004C5AAF" w:rsidRPr="004030F5">
        <w:rPr>
          <w:rFonts w:cs="Arial"/>
        </w:rPr>
        <w:t>s</w:t>
      </w:r>
      <w:r w:rsidR="00593FB0" w:rsidRPr="004030F5">
        <w:rPr>
          <w:rFonts w:cs="Arial"/>
        </w:rPr>
        <w:t>.</w:t>
      </w:r>
      <w:r w:rsidR="004C5AAF" w:rsidRPr="004030F5">
        <w:rPr>
          <w:rFonts w:cs="Arial"/>
          <w:b w:val="0"/>
        </w:rPr>
        <w:t xml:space="preserve">  This figure</w:t>
      </w:r>
      <w:r w:rsidR="002F3038" w:rsidRPr="004030F5">
        <w:rPr>
          <w:rFonts w:cs="Arial"/>
          <w:b w:val="0"/>
        </w:rPr>
        <w:t xml:space="preserve"> is adapted from </w:t>
      </w:r>
      <w:r w:rsidR="00715BA1" w:rsidRPr="004030F5">
        <w:rPr>
          <w:rFonts w:cs="Arial"/>
          <w:b w:val="0"/>
        </w:rPr>
        <w:t xml:space="preserve">Wu et al </w:t>
      </w:r>
      <w:r w:rsidR="00715BA1" w:rsidRPr="004030F5">
        <w:rPr>
          <w:rFonts w:cs="Arial"/>
          <w:b w:val="0"/>
        </w:rPr>
        <w:fldChar w:fldCharType="begin"/>
      </w:r>
      <w:r w:rsidR="007C3F6A" w:rsidRPr="004030F5">
        <w:rPr>
          <w:rFonts w:cs="Arial"/>
          <w:b w:val="0"/>
        </w:rPr>
        <w:instrText xml:space="preserve"> ADDIN EN.CITE &lt;EndNote&gt;&lt;Cite&gt;&lt;Author&gt;Wu&lt;/Author&gt;&lt;Year&gt;2012&lt;/Year&gt;&lt;RecNum&gt;19&lt;/RecNum&gt;&lt;DisplayText&gt;[20]&lt;/DisplayText&gt;&lt;record&gt;&lt;rec-number&gt;19&lt;/rec-number&gt;&lt;foreign-keys&gt;&lt;key app="EN" db-id="efx2002d5f0z21etvw3x9zp7tw2axpa2eez0" timestamp="1432927249"&gt;19&lt;/key&gt;&lt;/foreign-keys&gt;&lt;ref-type name="Journal Article"&gt;17&lt;/ref-type&gt;&lt;contributors&gt;&lt;authors&gt;&lt;author&gt;Wu, Cong&lt;/author&gt;&lt;author&gt;Tran, John C&lt;/author&gt;&lt;author&gt;Zamdborg, Leonid&lt;/author&gt;&lt;author&gt;Durbin, Kenneth R&lt;/author&gt;&lt;author&gt;Li, Mingxi&lt;/author&gt;&lt;author&gt;Ahlf, Dorothy R&lt;/author&gt;&lt;author&gt;Early, Bryan P&lt;/author&gt;&lt;author&gt;Thomas, Paul M&lt;/author&gt;&lt;author&gt;Sweedler, Jonathan V&lt;/author&gt;&lt;author&gt;Kelleher, Neil L&lt;/author&gt;&lt;/authors&gt;&lt;/contributors&gt;&lt;titles&gt;&lt;title&gt;A protease for&amp;apos;middle-down&amp;apos;proteomics&lt;/title&gt;&lt;secondary-title&gt;Nature methods&lt;/secondary-title&gt;&lt;/titles&gt;&lt;periodical&gt;&lt;full-title&gt;Nature methods&lt;/full-title&gt;&lt;/periodical&gt;&lt;pages&gt;822-824&lt;/pages&gt;&lt;volume&gt;9&lt;/volume&gt;&lt;number&gt;8&lt;/number&gt;&lt;dates&gt;&lt;year&gt;2012&lt;/year&gt;&lt;/dates&gt;&lt;isbn&gt;1548-7091&lt;/isbn&gt;&lt;urls&gt;&lt;/urls&gt;&lt;/record&gt;&lt;/Cite&gt;&lt;/EndNote&gt;</w:instrText>
      </w:r>
      <w:r w:rsidR="00715BA1" w:rsidRPr="004030F5">
        <w:rPr>
          <w:rFonts w:cs="Arial"/>
          <w:b w:val="0"/>
        </w:rPr>
        <w:fldChar w:fldCharType="separate"/>
      </w:r>
      <w:r w:rsidR="007C3F6A" w:rsidRPr="004030F5">
        <w:rPr>
          <w:rFonts w:cs="Arial"/>
          <w:b w:val="0"/>
          <w:noProof/>
        </w:rPr>
        <w:t>[20]</w:t>
      </w:r>
      <w:r w:rsidR="00715BA1" w:rsidRPr="004030F5">
        <w:rPr>
          <w:rFonts w:cs="Arial"/>
          <w:b w:val="0"/>
        </w:rPr>
        <w:fldChar w:fldCharType="end"/>
      </w:r>
      <w:r w:rsidR="00715BA1" w:rsidRPr="004030F5">
        <w:rPr>
          <w:rFonts w:cs="Arial"/>
          <w:b w:val="0"/>
        </w:rPr>
        <w:t>.</w:t>
      </w:r>
      <w:bookmarkEnd w:id="8"/>
    </w:p>
    <w:p w14:paraId="43C14F7B" w14:textId="77777777" w:rsidR="009610D8" w:rsidRPr="004030F5" w:rsidRDefault="009610D8" w:rsidP="00BE3749">
      <w:pPr>
        <w:spacing w:line="480" w:lineRule="auto"/>
        <w:rPr>
          <w:rFonts w:cs="Arial"/>
        </w:rPr>
      </w:pPr>
      <w:r w:rsidRPr="004030F5">
        <w:rPr>
          <w:rFonts w:cs="Arial"/>
        </w:rPr>
        <w:br w:type="page"/>
      </w:r>
    </w:p>
    <w:p w14:paraId="37580F60" w14:textId="2D76B4B4" w:rsidR="00937827" w:rsidRPr="004030F5" w:rsidRDefault="000F3BA8" w:rsidP="000F3BA8">
      <w:pPr>
        <w:pStyle w:val="Footer"/>
        <w:numPr>
          <w:ilvl w:val="12"/>
          <w:numId w:val="0"/>
        </w:numPr>
        <w:tabs>
          <w:tab w:val="clear" w:pos="4320"/>
          <w:tab w:val="clear" w:pos="8640"/>
        </w:tabs>
        <w:spacing w:line="480" w:lineRule="auto"/>
        <w:ind w:firstLine="720"/>
        <w:rPr>
          <w:rFonts w:cs="Arial"/>
        </w:rPr>
      </w:pPr>
      <w:r w:rsidRPr="004030F5">
        <w:rPr>
          <w:rFonts w:cs="Arial"/>
        </w:rPr>
        <w:lastRenderedPageBreak/>
        <w:t xml:space="preserve">Redundant peptides, generated much more by trypsin digestion, are the biggest huddle to gather appropriate proteins from the peptides identified by LC-MS/MS.  Since redundant peptides can be congregated in more than two proteins, we can’t be sure where those come from.  In other words, we cannot know which proteins those redundant peptides should be assigned to.  </w:t>
      </w:r>
      <w:r w:rsidR="00937827" w:rsidRPr="004030F5">
        <w:rPr>
          <w:rFonts w:cs="Arial"/>
        </w:rPr>
        <w:t xml:space="preserve">To reduce the number of the problematic peptides, middle down proteomics is newly arising by intending more of miss-cleavages or using another protease producing long peptides </w:t>
      </w:r>
      <w:r w:rsidR="00937827" w:rsidRPr="004030F5">
        <w:rPr>
          <w:rFonts w:cs="Arial"/>
        </w:rPr>
        <w:fldChar w:fldCharType="begin">
          <w:fldData xml:space="preserve">PEVuZE5vdGU+PENpdGU+PEF1dGhvcj5XdTwvQXV0aG9yPjxZZWFyPjIwMTI8L1llYXI+PFJlY051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</w:fldData>
        </w:fldChar>
      </w:r>
      <w:r w:rsidR="007C3F6A" w:rsidRPr="004030F5">
        <w:rPr>
          <w:rFonts w:cs="Arial"/>
        </w:rPr>
        <w:instrText xml:space="preserve"> ADDIN EN.CITE </w:instrText>
      </w:r>
      <w:r w:rsidR="007C3F6A" w:rsidRPr="004030F5">
        <w:rPr>
          <w:rFonts w:cs="Arial"/>
        </w:rPr>
        <w:fldChar w:fldCharType="begin">
          <w:fldData xml:space="preserve">PEVuZE5vdGU+PENpdGU+PEF1dGhvcj5XdTwvQXV0aG9yPjxZZWFyPjIwMTI8L1llYXI+PFJlY051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</w:fldData>
        </w:fldChar>
      </w:r>
      <w:r w:rsidR="007C3F6A" w:rsidRPr="004030F5">
        <w:rPr>
          <w:rFonts w:cs="Arial"/>
        </w:rPr>
        <w:instrText xml:space="preserve"> ADDIN EN.CITE.DATA </w:instrText>
      </w:r>
      <w:r w:rsidR="007C3F6A" w:rsidRPr="004030F5">
        <w:rPr>
          <w:rFonts w:cs="Arial"/>
        </w:rPr>
      </w:r>
      <w:r w:rsidR="007C3F6A" w:rsidRPr="004030F5">
        <w:rPr>
          <w:rFonts w:cs="Arial"/>
        </w:rPr>
        <w:fldChar w:fldCharType="end"/>
      </w:r>
      <w:r w:rsidR="00937827" w:rsidRPr="004030F5">
        <w:rPr>
          <w:rFonts w:cs="Arial"/>
        </w:rPr>
      </w:r>
      <w:r w:rsidR="00937827" w:rsidRPr="004030F5">
        <w:rPr>
          <w:rFonts w:cs="Arial"/>
        </w:rPr>
        <w:fldChar w:fldCharType="separate"/>
      </w:r>
      <w:r w:rsidR="007C3F6A" w:rsidRPr="004030F5">
        <w:rPr>
          <w:rFonts w:cs="Arial"/>
          <w:noProof/>
        </w:rPr>
        <w:t>[20-22]</w:t>
      </w:r>
      <w:r w:rsidR="00937827" w:rsidRPr="004030F5">
        <w:rPr>
          <w:rFonts w:cs="Arial"/>
        </w:rPr>
        <w:fldChar w:fldCharType="end"/>
      </w:r>
      <w:r w:rsidR="00937827" w:rsidRPr="004030F5">
        <w:rPr>
          <w:rFonts w:cs="Arial"/>
        </w:rPr>
        <w:t xml:space="preserve">.  Wu et al introduced OmpT enzyme as replacement of trypsin to produce lengthy peptides longer than 3 kDa (Fig. 3) </w:t>
      </w:r>
      <w:r w:rsidR="00937827" w:rsidRPr="004030F5">
        <w:rPr>
          <w:rFonts w:cs="Arial"/>
        </w:rPr>
        <w:fldChar w:fldCharType="begin"/>
      </w:r>
      <w:r w:rsidR="007C3F6A" w:rsidRPr="004030F5">
        <w:rPr>
          <w:rFonts w:cs="Arial"/>
        </w:rPr>
        <w:instrText xml:space="preserve"> ADDIN EN.CITE &lt;EndNote&gt;&lt;Cite&gt;&lt;Author&gt;Wu&lt;/Author&gt;&lt;Year&gt;2012&lt;/Year&gt;&lt;RecNum&gt;19&lt;/RecNum&gt;&lt;DisplayText&gt;[20]&lt;/DisplayText&gt;&lt;record&gt;&lt;rec-number&gt;19&lt;/rec-number&gt;&lt;foreign-keys&gt;&lt;key app="EN" db-id="efx2002d5f0z21etvw3x9zp7tw2axpa2eez0" timestamp="1432927249"&gt;19&lt;/key&gt;&lt;/foreign-keys&gt;&lt;ref-type name="Journal Article"&gt;17&lt;/ref-type&gt;&lt;contributors&gt;&lt;authors&gt;&lt;author&gt;Wu, Cong&lt;/author&gt;&lt;author&gt;Tran, John C&lt;/author&gt;&lt;author&gt;Zamdborg, Leonid&lt;/author&gt;&lt;author&gt;Durbin, Kenneth R&lt;/author&gt;&lt;author&gt;Li, Mingxi&lt;/author&gt;&lt;author&gt;Ahlf, Dorothy R&lt;/author&gt;&lt;author&gt;Early, Bryan P&lt;/author&gt;&lt;author&gt;Thomas, Paul M&lt;/author&gt;&lt;author&gt;Sweedler, Jonathan V&lt;/author&gt;&lt;author&gt;Kelleher, Neil L&lt;/author&gt;&lt;/authors&gt;&lt;/contributors&gt;&lt;titles&gt;&lt;title&gt;A protease for&amp;apos;middle-down&amp;apos;proteomics&lt;/title&gt;&lt;secondary-title&gt;Nature methods&lt;/secondary-title&gt;&lt;/titles&gt;&lt;periodical&gt;&lt;full-title&gt;Nature methods&lt;/full-title&gt;&lt;/periodical&gt;&lt;pages&gt;822-824&lt;/pages&gt;&lt;volume&gt;9&lt;/volume&gt;&lt;number&gt;8&lt;/number&gt;&lt;dates&gt;&lt;year&gt;2012&lt;/year&gt;&lt;/dates&gt;&lt;isbn&gt;1548-7091&lt;/isbn&gt;&lt;urls&gt;&lt;/urls&gt;&lt;/record&gt;&lt;/Cite&gt;&lt;/EndNote&gt;</w:instrText>
      </w:r>
      <w:r w:rsidR="00937827" w:rsidRPr="004030F5">
        <w:rPr>
          <w:rFonts w:cs="Arial"/>
        </w:rPr>
        <w:fldChar w:fldCharType="separate"/>
      </w:r>
      <w:r w:rsidR="007C3F6A" w:rsidRPr="004030F5">
        <w:rPr>
          <w:rFonts w:cs="Arial"/>
          <w:noProof/>
        </w:rPr>
        <w:t>[20]</w:t>
      </w:r>
      <w:r w:rsidR="00937827" w:rsidRPr="004030F5">
        <w:rPr>
          <w:rFonts w:cs="Arial"/>
        </w:rPr>
        <w:fldChar w:fldCharType="end"/>
      </w:r>
      <w:r w:rsidR="00937827" w:rsidRPr="004030F5">
        <w:rPr>
          <w:rFonts w:cs="Arial"/>
        </w:rPr>
        <w:t xml:space="preserve">.  The longer a peptide is, the less redundant a peptide is. </w:t>
      </w:r>
    </w:p>
    <w:p w14:paraId="7A1439E6" w14:textId="74FE1347" w:rsidR="00986CDF" w:rsidRPr="004030F5" w:rsidRDefault="009610D8" w:rsidP="00986CDF">
      <w:pPr>
        <w:pStyle w:val="Footer"/>
        <w:numPr>
          <w:ilvl w:val="12"/>
          <w:numId w:val="0"/>
        </w:numPr>
        <w:tabs>
          <w:tab w:val="clear" w:pos="4320"/>
          <w:tab w:val="clear" w:pos="8640"/>
        </w:tabs>
        <w:spacing w:line="480" w:lineRule="auto"/>
        <w:ind w:firstLine="720"/>
        <w:rPr>
          <w:rFonts w:cs="Arial"/>
        </w:rPr>
      </w:pPr>
      <w:r w:rsidRPr="004030F5">
        <w:rPr>
          <w:rFonts w:cs="Arial"/>
        </w:rPr>
        <w:t xml:space="preserve">In addition to decrease of redundant peptides, longer peptides have less probability of false positive identification (Fig. 4) </w:t>
      </w:r>
      <w:r w:rsidRPr="004030F5">
        <w:rPr>
          <w:rFonts w:cs="Arial"/>
        </w:rPr>
        <w:fldChar w:fldCharType="begin"/>
      </w:r>
      <w:r w:rsidR="007C3F6A" w:rsidRPr="004030F5">
        <w:rPr>
          <w:rFonts w:cs="Arial"/>
        </w:rPr>
        <w:instrText xml:space="preserve"> ADDIN EN.CITE &lt;EndNote&gt;&lt;Cite&gt;&lt;Author&gt;Cox&lt;/Author&gt;&lt;Year&gt;2008&lt;/Year&gt;&lt;RecNum&gt;24&lt;/RecNum&gt;&lt;DisplayText&gt;[23]&lt;/DisplayText&gt;&lt;record&gt;&lt;rec-number&gt;24&lt;/rec-number&gt;&lt;foreign-keys&gt;&lt;key app="EN" db-id="efx2002d5f0z21etvw3x9zp7tw2axpa2eez0" timestamp="1433001155"&gt;24&lt;/key&gt;&lt;/foreign-keys&gt;&lt;ref-type name="Journal Article"&gt;17&lt;/ref-type&gt;&lt;contributors&gt;&lt;authors&gt;&lt;author&gt;Cox, Jürgen&lt;/author&gt;&lt;author&gt;Mann, Matthias&lt;/author&gt;&lt;/authors&gt;&lt;/contributors&gt;&lt;titles&gt;&lt;title&gt;MaxQuant enables high peptide identification rates, individualized ppb-range mass accuracies and proteome-wide protein quantification&lt;/title&gt;&lt;secondary-title&gt;Nature biotechnology&lt;/secondary-title&gt;&lt;/titles&gt;&lt;periodical&gt;&lt;full-title&gt;Nature biotechnology&lt;/full-title&gt;&lt;/periodical&gt;&lt;pages&gt;1367-1372&lt;/pages&gt;&lt;volume&gt;26&lt;/volume&gt;&lt;number&gt;12&lt;/number&gt;&lt;dates&gt;&lt;year&gt;2008&lt;/year&gt;&lt;/dates&gt;&lt;isbn&gt;1087-0156&lt;/isbn&gt;&lt;urls&gt;&lt;/urls&gt;&lt;/record&gt;&lt;/Cite&gt;&lt;/EndNote&gt;</w:instrText>
      </w:r>
      <w:r w:rsidRPr="004030F5">
        <w:rPr>
          <w:rFonts w:cs="Arial"/>
        </w:rPr>
        <w:fldChar w:fldCharType="separate"/>
      </w:r>
      <w:r w:rsidR="007C3F6A" w:rsidRPr="004030F5">
        <w:rPr>
          <w:rFonts w:cs="Arial"/>
          <w:noProof/>
        </w:rPr>
        <w:t>[23]</w:t>
      </w:r>
      <w:r w:rsidRPr="004030F5">
        <w:rPr>
          <w:rFonts w:cs="Arial"/>
        </w:rPr>
        <w:fldChar w:fldCharType="end"/>
      </w:r>
      <w:r w:rsidRPr="004030F5">
        <w:rPr>
          <w:rFonts w:cs="Arial"/>
        </w:rPr>
        <w:t xml:space="preserve">.  Figure 4 shows that P-score, Bayesian probability model based score of peptide identification in MaxQuant </w:t>
      </w:r>
      <w:r w:rsidRPr="004030F5">
        <w:rPr>
          <w:rFonts w:cs="Arial"/>
        </w:rPr>
        <w:fldChar w:fldCharType="begin"/>
      </w:r>
      <w:r w:rsidR="007C3F6A" w:rsidRPr="004030F5">
        <w:rPr>
          <w:rFonts w:cs="Arial"/>
        </w:rPr>
        <w:instrText xml:space="preserve"> ADDIN EN.CITE &lt;EndNote&gt;&lt;Cite&gt;&lt;Author&gt;Cox&lt;/Author&gt;&lt;Year&gt;2008&lt;/Year&gt;&lt;RecNum&gt;24&lt;/RecNum&gt;&lt;DisplayText&gt;[23]&lt;/DisplayText&gt;&lt;record&gt;&lt;rec-number&gt;24&lt;/rec-number&gt;&lt;foreign-keys&gt;&lt;key app="EN" db-id="efx2002d5f0z21etvw3x9zp7tw2axpa2eez0" timestamp="1433001155"&gt;24&lt;/key&gt;&lt;/foreign-keys&gt;&lt;ref-type name="Journal Article"&gt;17&lt;/ref-type&gt;&lt;contributors&gt;&lt;authors&gt;&lt;author&gt;Cox, Jürgen&lt;/author&gt;&lt;author&gt;Mann, Matthias&lt;/author&gt;&lt;/authors&gt;&lt;/contributors&gt;&lt;titles&gt;&lt;title&gt;MaxQuant enables high peptide identification rates, individualized ppb-range mass accuracies and proteome-wide protein quantification&lt;/title&gt;&lt;secondary-title&gt;Nature biotechnology&lt;/secondary-title&gt;&lt;/titles&gt;&lt;periodical&gt;&lt;full-title&gt;Nature biotechnology&lt;/full-title&gt;&lt;/periodical&gt;&lt;pages&gt;1367-1372&lt;/pages&gt;&lt;volume&gt;26&lt;/volume&gt;&lt;number&gt;12&lt;/number&gt;&lt;dates&gt;&lt;year&gt;2008&lt;/year&gt;&lt;/dates&gt;&lt;isbn&gt;1087-0156&lt;/isbn&gt;&lt;urls&gt;&lt;/urls&gt;&lt;/record&gt;&lt;/Cite&gt;&lt;/EndNote&gt;</w:instrText>
      </w:r>
      <w:r w:rsidRPr="004030F5">
        <w:rPr>
          <w:rFonts w:cs="Arial"/>
        </w:rPr>
        <w:fldChar w:fldCharType="separate"/>
      </w:r>
      <w:r w:rsidR="007C3F6A" w:rsidRPr="004030F5">
        <w:rPr>
          <w:rFonts w:cs="Arial"/>
          <w:noProof/>
        </w:rPr>
        <w:t>[23]</w:t>
      </w:r>
      <w:r w:rsidRPr="004030F5">
        <w:rPr>
          <w:rFonts w:cs="Arial"/>
        </w:rPr>
        <w:fldChar w:fldCharType="end"/>
      </w:r>
      <w:r w:rsidRPr="004030F5">
        <w:rPr>
          <w:rFonts w:cs="Arial"/>
        </w:rPr>
        <w:t xml:space="preserve">, are different by peptide length.  P-score distribution of false positive identifications (red color) is getting smaller and narrower than true positive distribution (blue color) while peptide length (L) is getting longer.  Metaproteomics study using middle down approach is not published yet, but I </w:t>
      </w:r>
      <w:r w:rsidR="00D930B3" w:rsidRPr="004030F5">
        <w:rPr>
          <w:rFonts w:cs="Arial"/>
        </w:rPr>
        <w:t>believe</w:t>
      </w:r>
      <w:r w:rsidRPr="004030F5">
        <w:rPr>
          <w:rFonts w:cs="Arial"/>
        </w:rPr>
        <w:t xml:space="preserve"> that it should be very effective to </w:t>
      </w:r>
      <w:r w:rsidR="00690525" w:rsidRPr="004030F5">
        <w:rPr>
          <w:rFonts w:cs="Arial"/>
        </w:rPr>
        <w:t xml:space="preserve">accurately </w:t>
      </w:r>
      <w:r w:rsidRPr="004030F5">
        <w:rPr>
          <w:rFonts w:cs="Arial"/>
        </w:rPr>
        <w:t>investigate metaproteomes that have high number of microbial orthologous proteins.</w:t>
      </w:r>
    </w:p>
    <w:p w14:paraId="52368C31" w14:textId="11AD2851" w:rsidR="00986CDF" w:rsidRPr="004030F5" w:rsidRDefault="00986CDF" w:rsidP="00986CDF">
      <w:pPr>
        <w:pStyle w:val="Heading3"/>
      </w:pPr>
      <w:bookmarkStart w:id="9" w:name="_Toc296333700"/>
      <w:r w:rsidRPr="004030F5">
        <w:t>LC-MS/MS analysis</w:t>
      </w:r>
      <w:bookmarkEnd w:id="9"/>
    </w:p>
    <w:p w14:paraId="371E97B8" w14:textId="2BAF36D3" w:rsidR="002D51B8" w:rsidRPr="004030F5" w:rsidRDefault="009610D8" w:rsidP="00F57B0A">
      <w:pPr>
        <w:keepNext/>
        <w:spacing w:line="480" w:lineRule="auto"/>
        <w:ind w:firstLine="720"/>
        <w:rPr>
          <w:rFonts w:cs="Arial"/>
        </w:rPr>
      </w:pPr>
      <w:r w:rsidRPr="004030F5">
        <w:rPr>
          <w:rFonts w:cs="Arial"/>
        </w:rPr>
        <w:t>The digested peptides are ionized and separated by their chemical and ph</w:t>
      </w:r>
      <w:r w:rsidR="00D9667A" w:rsidRPr="004030F5">
        <w:rPr>
          <w:rFonts w:cs="Arial"/>
        </w:rPr>
        <w:t>ysical characteristics through LC and measured by MS</w:t>
      </w:r>
      <w:r w:rsidR="002D51B8" w:rsidRPr="004030F5">
        <w:rPr>
          <w:rFonts w:cs="Arial"/>
        </w:rPr>
        <w:t>.</w:t>
      </w:r>
      <w:r w:rsidR="002D51B8" w:rsidRPr="004030F5">
        <w:rPr>
          <w:rFonts w:cs="Arial"/>
        </w:rPr>
        <w:br w:type="page"/>
      </w:r>
    </w:p>
    <w:p w14:paraId="264FC1DF" w14:textId="050DF6E2" w:rsidR="00A007A2" w:rsidRPr="004030F5" w:rsidRDefault="00C377D3" w:rsidP="002D51B8">
      <w:pPr>
        <w:keepNext/>
        <w:spacing w:line="480" w:lineRule="auto"/>
        <w:rPr>
          <w:rFonts w:cs="Arial"/>
        </w:rPr>
      </w:pPr>
      <w:r w:rsidRPr="004030F5">
        <w:rPr>
          <w:rFonts w:eastAsia="Times New Roman" w:cs="Arial"/>
          <w:noProof/>
        </w:rPr>
        <w:lastRenderedPageBreak/>
        <w:drawing>
          <wp:inline distT="0" distB="0" distL="0" distR="0" wp14:anchorId="236AB050" wp14:editId="16154B0F">
            <wp:extent cx="5486400" cy="3311471"/>
            <wp:effectExtent l="0" t="0" r="0" b="0"/>
            <wp:docPr id="17" name="Picture 5" descr="nfortunately we are unable to provide accessible alternative text for this. If you require assistance to access this image, or to obtain a text description, please contact npg@natur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fortunately we are unable to provide accessible alternative text for this. If you require assistance to access this image, or to obtain a text description, please contact npg@nature.c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3311471"/>
                    </a:xfrm>
                    <a:prstGeom prst="rect">
                      <a:avLst/>
                    </a:prstGeom>
                    <a:noFill/>
                    <a:ln>
                      <a:noFill/>
                    </a:ln>
                  </pic:spPr>
                </pic:pic>
              </a:graphicData>
            </a:graphic>
          </wp:inline>
        </w:drawing>
      </w:r>
    </w:p>
    <w:p w14:paraId="7EB206BD" w14:textId="36C9FF92" w:rsidR="00DE2F92" w:rsidRPr="004030F5" w:rsidRDefault="00A007A2" w:rsidP="00A007A2">
      <w:pPr>
        <w:pStyle w:val="Caption"/>
        <w:rPr>
          <w:rFonts w:cs="Arial"/>
          <w:b w:val="0"/>
        </w:rPr>
      </w:pPr>
      <w:bookmarkStart w:id="10" w:name="_Toc296333097"/>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4</w:t>
      </w:r>
      <w:r w:rsidRPr="004030F5">
        <w:rPr>
          <w:rFonts w:cs="Arial"/>
        </w:rPr>
        <w:fldChar w:fldCharType="end"/>
      </w:r>
      <w:r w:rsidRPr="004030F5">
        <w:rPr>
          <w:rFonts w:cs="Arial"/>
          <w:b w:val="0"/>
          <w:bCs w:val="0"/>
          <w:szCs w:val="24"/>
        </w:rPr>
        <w:t xml:space="preserve"> </w:t>
      </w:r>
      <w:r w:rsidR="00C377D3" w:rsidRPr="004030F5">
        <w:rPr>
          <w:rFonts w:cs="Arial"/>
        </w:rPr>
        <w:t>These panels display distribution of P-score, peptide id</w:t>
      </w:r>
      <w:r w:rsidR="0092039D" w:rsidRPr="004030F5">
        <w:rPr>
          <w:rFonts w:cs="Arial"/>
        </w:rPr>
        <w:t>entification score of MaxQuant.</w:t>
      </w:r>
      <w:r w:rsidR="0092039D" w:rsidRPr="004030F5">
        <w:rPr>
          <w:rFonts w:cs="Arial"/>
          <w:b w:val="0"/>
        </w:rPr>
        <w:t xml:space="preserve">  Blue color means peptide identifications from forward database search and red col</w:t>
      </w:r>
      <w:r w:rsidR="00F97FFB" w:rsidRPr="004030F5">
        <w:rPr>
          <w:rFonts w:cs="Arial"/>
          <w:b w:val="0"/>
        </w:rPr>
        <w:t>ors are from</w:t>
      </w:r>
      <w:r w:rsidR="00E647AC" w:rsidRPr="004030F5">
        <w:rPr>
          <w:rFonts w:cs="Arial"/>
          <w:b w:val="0"/>
        </w:rPr>
        <w:t xml:space="preserve"> reverse database, intended false </w:t>
      </w:r>
      <w:r w:rsidR="00F97FFB" w:rsidRPr="004030F5">
        <w:rPr>
          <w:rFonts w:cs="Arial"/>
          <w:b w:val="0"/>
        </w:rPr>
        <w:t xml:space="preserve">positive peptide database.  </w:t>
      </w:r>
      <w:r w:rsidR="001E73F9" w:rsidRPr="004030F5">
        <w:rPr>
          <w:rFonts w:cs="Arial"/>
          <w:b w:val="0"/>
        </w:rPr>
        <w:t xml:space="preserve">L means peptide length.  </w:t>
      </w:r>
      <w:r w:rsidR="004B3916" w:rsidRPr="004030F5">
        <w:rPr>
          <w:rFonts w:cs="Arial"/>
          <w:b w:val="0"/>
        </w:rPr>
        <w:t xml:space="preserve">This illustration was adapted from </w:t>
      </w:r>
      <w:r w:rsidR="00CC588E" w:rsidRPr="004030F5">
        <w:rPr>
          <w:rFonts w:cs="Arial"/>
          <w:b w:val="0"/>
        </w:rPr>
        <w:t xml:space="preserve">Cox et al </w:t>
      </w:r>
      <w:r w:rsidR="00615D30" w:rsidRPr="004030F5">
        <w:rPr>
          <w:rFonts w:cs="Arial"/>
          <w:b w:val="0"/>
        </w:rPr>
        <w:fldChar w:fldCharType="begin"/>
      </w:r>
      <w:r w:rsidR="007C3F6A" w:rsidRPr="004030F5">
        <w:rPr>
          <w:rFonts w:cs="Arial"/>
          <w:b w:val="0"/>
        </w:rPr>
        <w:instrText xml:space="preserve"> ADDIN EN.CITE &lt;EndNote&gt;&lt;Cite&gt;&lt;Author&gt;Cox&lt;/Author&gt;&lt;Year&gt;2008&lt;/Year&gt;&lt;RecNum&gt;24&lt;/RecNum&gt;&lt;DisplayText&gt;[23]&lt;/DisplayText&gt;&lt;record&gt;&lt;rec-number&gt;24&lt;/rec-number&gt;&lt;foreign-keys&gt;&lt;key app="EN" db-id="efx2002d5f0z21etvw3x9zp7tw2axpa2eez0" timestamp="1433001155"&gt;24&lt;/key&gt;&lt;/foreign-keys&gt;&lt;ref-type name="Journal Article"&gt;17&lt;/ref-type&gt;&lt;contributors&gt;&lt;authors&gt;&lt;author&gt;Cox, Jürgen&lt;/author&gt;&lt;author&gt;Mann, Matthias&lt;/author&gt;&lt;/authors&gt;&lt;/contributors&gt;&lt;titles&gt;&lt;title&gt;MaxQuant enables high peptide identification rates, individualized ppb-range mass accuracies and proteome-wide protein quantification&lt;/title&gt;&lt;secondary-title&gt;Nature biotechnology&lt;/secondary-title&gt;&lt;/titles&gt;&lt;periodical&gt;&lt;full-title&gt;Nature biotechnology&lt;/full-title&gt;&lt;/periodical&gt;&lt;pages&gt;1367-1372&lt;/pages&gt;&lt;volume&gt;26&lt;/volume&gt;&lt;number&gt;12&lt;/number&gt;&lt;dates&gt;&lt;year&gt;2008&lt;/year&gt;&lt;/dates&gt;&lt;isbn&gt;1087-0156&lt;/isbn&gt;&lt;urls&gt;&lt;/urls&gt;&lt;/record&gt;&lt;/Cite&gt;&lt;/EndNote&gt;</w:instrText>
      </w:r>
      <w:r w:rsidR="00615D30" w:rsidRPr="004030F5">
        <w:rPr>
          <w:rFonts w:cs="Arial"/>
          <w:b w:val="0"/>
        </w:rPr>
        <w:fldChar w:fldCharType="separate"/>
      </w:r>
      <w:r w:rsidR="007C3F6A" w:rsidRPr="004030F5">
        <w:rPr>
          <w:rFonts w:cs="Arial"/>
          <w:b w:val="0"/>
          <w:noProof/>
        </w:rPr>
        <w:t>[23]</w:t>
      </w:r>
      <w:r w:rsidR="00615D30" w:rsidRPr="004030F5">
        <w:rPr>
          <w:rFonts w:cs="Arial"/>
          <w:b w:val="0"/>
        </w:rPr>
        <w:fldChar w:fldCharType="end"/>
      </w:r>
      <w:r w:rsidR="00615D30" w:rsidRPr="004030F5">
        <w:rPr>
          <w:rFonts w:cs="Arial"/>
          <w:b w:val="0"/>
        </w:rPr>
        <w:t>.</w:t>
      </w:r>
      <w:bookmarkEnd w:id="10"/>
      <w:r w:rsidR="00615D30" w:rsidRPr="004030F5">
        <w:rPr>
          <w:rFonts w:cs="Arial"/>
          <w:b w:val="0"/>
        </w:rPr>
        <w:t xml:space="preserve"> </w:t>
      </w:r>
    </w:p>
    <w:p w14:paraId="4F83F5B9" w14:textId="28ABAF24" w:rsidR="00C377D3" w:rsidRPr="004030F5" w:rsidRDefault="00C377D3" w:rsidP="00BE3749">
      <w:pPr>
        <w:spacing w:line="480" w:lineRule="auto"/>
        <w:rPr>
          <w:rFonts w:cs="Arial"/>
        </w:rPr>
      </w:pPr>
      <w:r w:rsidRPr="004030F5">
        <w:rPr>
          <w:rFonts w:cs="Arial"/>
        </w:rPr>
        <w:br w:type="page"/>
      </w:r>
    </w:p>
    <w:p w14:paraId="6AE782AC" w14:textId="1E2BFC88" w:rsidR="005B57E5" w:rsidRPr="004030F5" w:rsidRDefault="002D51B8" w:rsidP="005B57E5">
      <w:pPr>
        <w:pStyle w:val="Footer"/>
        <w:numPr>
          <w:ilvl w:val="12"/>
          <w:numId w:val="0"/>
        </w:numPr>
        <w:tabs>
          <w:tab w:val="clear" w:pos="4320"/>
          <w:tab w:val="clear" w:pos="8640"/>
        </w:tabs>
        <w:spacing w:line="480" w:lineRule="auto"/>
        <w:rPr>
          <w:rFonts w:cs="Arial"/>
        </w:rPr>
      </w:pPr>
      <w:r w:rsidRPr="004030F5">
        <w:rPr>
          <w:rFonts w:cs="Arial"/>
        </w:rPr>
        <w:lastRenderedPageBreak/>
        <w:t xml:space="preserve">Since metaproteome usually has more proteins than normal single species proteome, ion separation is important.  If massive number of ions is sprayed together into MS, some of ions may not be appropriately measured or missing due to MS scans speed.  Peptide separation should be designed by considering ability of MS instrument.  Besides the scan speed, good ion separation is able to reduce density of ions.  </w:t>
      </w:r>
      <w:r w:rsidR="005B57E5" w:rsidRPr="004030F5">
        <w:rPr>
          <w:rFonts w:cs="Arial"/>
        </w:rPr>
        <w:t xml:space="preserve">In other words, similar m/z (molecular mass per charge) ions can be apart by elution time.  Close m/z ions within the isolation window are often segregated together during MS/MS.  This co-isolation makes peptide identification difficult. To get better coverage, the number of peptide identifications, the running time is generally extended.  In this paper, human fecal proteome study in chapter </w:t>
      </w:r>
      <w:r w:rsidR="00997BE9">
        <w:rPr>
          <w:rFonts w:cs="Arial"/>
        </w:rPr>
        <w:t>4</w:t>
      </w:r>
      <w:r w:rsidR="005B57E5" w:rsidRPr="004030F5">
        <w:rPr>
          <w:rFonts w:cs="Arial"/>
        </w:rPr>
        <w:t xml:space="preserve"> and diet study in chapter </w:t>
      </w:r>
      <w:r w:rsidR="00997BE9">
        <w:rPr>
          <w:rFonts w:cs="Arial"/>
        </w:rPr>
        <w:t>5</w:t>
      </w:r>
      <w:r w:rsidR="005B57E5" w:rsidRPr="004030F5">
        <w:rPr>
          <w:rFonts w:cs="Arial"/>
        </w:rPr>
        <w:t xml:space="preserve"> had run MS instrument for 24 hour to obtain maximum coverage.</w:t>
      </w:r>
    </w:p>
    <w:p w14:paraId="4903DEE2" w14:textId="348A4F08" w:rsidR="00731780" w:rsidRPr="004030F5" w:rsidRDefault="00E10D7E" w:rsidP="00731780">
      <w:pPr>
        <w:pStyle w:val="Footer"/>
        <w:numPr>
          <w:ilvl w:val="12"/>
          <w:numId w:val="0"/>
        </w:numPr>
        <w:tabs>
          <w:tab w:val="clear" w:pos="4320"/>
          <w:tab w:val="clear" w:pos="8640"/>
        </w:tabs>
        <w:spacing w:line="480" w:lineRule="auto"/>
        <w:ind w:firstLine="720"/>
        <w:rPr>
          <w:rFonts w:cs="Arial"/>
        </w:rPr>
      </w:pPr>
      <w:r w:rsidRPr="004030F5">
        <w:rPr>
          <w:rFonts w:cs="Arial"/>
        </w:rPr>
        <w:t xml:space="preserve">High </w:t>
      </w:r>
      <w:r w:rsidR="0049069F" w:rsidRPr="004030F5">
        <w:rPr>
          <w:rFonts w:cs="Arial"/>
        </w:rPr>
        <w:t>resolving power</w:t>
      </w:r>
      <w:r w:rsidRPr="004030F5">
        <w:rPr>
          <w:rFonts w:cs="Arial"/>
        </w:rPr>
        <w:t xml:space="preserve"> is</w:t>
      </w:r>
      <w:r w:rsidR="000C623F" w:rsidRPr="004030F5">
        <w:rPr>
          <w:rFonts w:cs="Arial"/>
        </w:rPr>
        <w:t xml:space="preserve"> an</w:t>
      </w:r>
      <w:r w:rsidR="00D678A1" w:rsidRPr="004030F5">
        <w:rPr>
          <w:rFonts w:cs="Arial"/>
        </w:rPr>
        <w:t xml:space="preserve"> important virtue of</w:t>
      </w:r>
      <w:r w:rsidRPr="004030F5">
        <w:rPr>
          <w:rFonts w:cs="Arial"/>
        </w:rPr>
        <w:t xml:space="preserve"> MS </w:t>
      </w:r>
      <w:r w:rsidR="00D678A1" w:rsidRPr="004030F5">
        <w:rPr>
          <w:rFonts w:cs="Arial"/>
        </w:rPr>
        <w:t xml:space="preserve">instrument </w:t>
      </w:r>
      <w:r w:rsidR="00925F3A" w:rsidRPr="004030F5">
        <w:rPr>
          <w:rFonts w:cs="Arial"/>
        </w:rPr>
        <w:t xml:space="preserve">for </w:t>
      </w:r>
      <w:r w:rsidR="003E0917" w:rsidRPr="004030F5">
        <w:rPr>
          <w:rFonts w:cs="Arial"/>
        </w:rPr>
        <w:t xml:space="preserve">unambiguous protein identification in </w:t>
      </w:r>
      <w:r w:rsidR="00925F3A" w:rsidRPr="004030F5">
        <w:rPr>
          <w:rFonts w:cs="Arial"/>
        </w:rPr>
        <w:t>metaproteomics</w:t>
      </w:r>
      <w:r w:rsidR="00F812B6" w:rsidRPr="004030F5">
        <w:rPr>
          <w:rFonts w:cs="Arial"/>
        </w:rPr>
        <w:t>.  T</w:t>
      </w:r>
      <w:r w:rsidRPr="004030F5">
        <w:rPr>
          <w:rFonts w:cs="Arial"/>
        </w:rPr>
        <w:t xml:space="preserve">he better mass accuracy is, the more exact peptide identification is. </w:t>
      </w:r>
      <w:r w:rsidR="006A4010" w:rsidRPr="004030F5">
        <w:rPr>
          <w:rFonts w:cs="Arial"/>
        </w:rPr>
        <w:t xml:space="preserve"> </w:t>
      </w:r>
      <w:r w:rsidR="00143B39" w:rsidRPr="004030F5">
        <w:rPr>
          <w:rFonts w:cs="Arial"/>
        </w:rPr>
        <w:t>Low-resolution</w:t>
      </w:r>
      <w:r w:rsidR="0028245E" w:rsidRPr="004030F5">
        <w:rPr>
          <w:rFonts w:cs="Arial"/>
        </w:rPr>
        <w:t xml:space="preserve"> MS </w:t>
      </w:r>
      <w:r w:rsidR="00FA0A52" w:rsidRPr="004030F5">
        <w:rPr>
          <w:rFonts w:cs="Arial"/>
        </w:rPr>
        <w:t xml:space="preserve">(LRMS) </w:t>
      </w:r>
      <w:r w:rsidR="003545CF" w:rsidRPr="004030F5">
        <w:rPr>
          <w:rFonts w:cs="Arial"/>
        </w:rPr>
        <w:t xml:space="preserve">is less expensive and relatively easy to maintain, but it </w:t>
      </w:r>
      <w:r w:rsidR="0028245E" w:rsidRPr="004030F5">
        <w:rPr>
          <w:rFonts w:cs="Arial"/>
        </w:rPr>
        <w:t>cannot provide exact mass</w:t>
      </w:r>
      <w:r w:rsidR="003545CF" w:rsidRPr="004030F5">
        <w:rPr>
          <w:rFonts w:cs="Arial"/>
        </w:rPr>
        <w:t>, while high-resolution MS</w:t>
      </w:r>
      <w:r w:rsidR="00FA0A52" w:rsidRPr="004030F5">
        <w:rPr>
          <w:rFonts w:cs="Arial"/>
        </w:rPr>
        <w:t xml:space="preserve"> (HRMS)</w:t>
      </w:r>
      <w:r w:rsidR="003545CF" w:rsidRPr="004030F5">
        <w:rPr>
          <w:rFonts w:cs="Arial"/>
        </w:rPr>
        <w:t xml:space="preserve"> </w:t>
      </w:r>
      <w:r w:rsidR="006B2396" w:rsidRPr="004030F5">
        <w:rPr>
          <w:rFonts w:cs="Arial"/>
        </w:rPr>
        <w:t xml:space="preserve">can </w:t>
      </w:r>
      <w:r w:rsidR="003545CF" w:rsidRPr="004030F5">
        <w:rPr>
          <w:rFonts w:cs="Arial"/>
        </w:rPr>
        <w:t>determine several decimal places</w:t>
      </w:r>
      <w:r w:rsidR="00FA0A52" w:rsidRPr="004030F5">
        <w:rPr>
          <w:rFonts w:cs="Arial"/>
        </w:rPr>
        <w:t xml:space="preserve">.  This </w:t>
      </w:r>
      <w:r w:rsidR="00E7000D" w:rsidRPr="004030F5">
        <w:rPr>
          <w:rFonts w:cs="Arial"/>
        </w:rPr>
        <w:t xml:space="preserve">high </w:t>
      </w:r>
      <w:r w:rsidR="00FA0A52" w:rsidRPr="004030F5">
        <w:rPr>
          <w:rFonts w:cs="Arial"/>
        </w:rPr>
        <w:t>precision of HRMS can narrow down candidate peptides to only a few possibilities</w:t>
      </w:r>
      <w:r w:rsidR="00A70CDB" w:rsidRPr="004030F5">
        <w:rPr>
          <w:rFonts w:cs="Arial"/>
        </w:rPr>
        <w:t xml:space="preserve"> (Fig. </w:t>
      </w:r>
      <w:r w:rsidR="00D132CE" w:rsidRPr="004030F5">
        <w:rPr>
          <w:rFonts w:cs="Arial"/>
        </w:rPr>
        <w:t>5</w:t>
      </w:r>
      <w:r w:rsidR="00A70CDB" w:rsidRPr="004030F5">
        <w:rPr>
          <w:rFonts w:cs="Arial"/>
        </w:rPr>
        <w:t>)</w:t>
      </w:r>
      <w:r w:rsidR="00FA0A52" w:rsidRPr="004030F5">
        <w:rPr>
          <w:rFonts w:cs="Arial"/>
        </w:rPr>
        <w:t xml:space="preserve">. </w:t>
      </w:r>
      <w:r w:rsidR="00924869" w:rsidRPr="004030F5">
        <w:rPr>
          <w:rFonts w:cs="Arial"/>
        </w:rPr>
        <w:t xml:space="preserve"> </w:t>
      </w:r>
      <w:r w:rsidR="00BD0358" w:rsidRPr="004030F5">
        <w:rPr>
          <w:rFonts w:cs="Arial"/>
        </w:rPr>
        <w:t xml:space="preserve">HRMS can give more exact parts per </w:t>
      </w:r>
      <w:r w:rsidR="00C44FBE" w:rsidRPr="004030F5">
        <w:rPr>
          <w:rFonts w:cs="Arial"/>
        </w:rPr>
        <w:t>million (</w:t>
      </w:r>
      <w:r w:rsidR="00747048" w:rsidRPr="004030F5">
        <w:rPr>
          <w:rFonts w:cs="Arial"/>
        </w:rPr>
        <w:t>PPM</w:t>
      </w:r>
      <w:r w:rsidR="00C44FBE" w:rsidRPr="004030F5">
        <w:rPr>
          <w:rFonts w:cs="Arial"/>
        </w:rPr>
        <w:t>) t</w:t>
      </w:r>
      <w:r w:rsidR="00747048" w:rsidRPr="004030F5">
        <w:rPr>
          <w:rFonts w:cs="Arial"/>
        </w:rPr>
        <w:t>han LRMS.  PPM is (((exact mass – accurate mass) / exact mass) x 10</w:t>
      </w:r>
      <w:r w:rsidR="00747048" w:rsidRPr="004030F5">
        <w:rPr>
          <w:rFonts w:cs="Arial"/>
          <w:vertAlign w:val="superscript"/>
        </w:rPr>
        <w:t>6</w:t>
      </w:r>
      <w:r w:rsidR="00747048" w:rsidRPr="004030F5">
        <w:rPr>
          <w:rFonts w:cs="Arial"/>
        </w:rPr>
        <w:t xml:space="preserve">).  Lower </w:t>
      </w:r>
      <w:r w:rsidR="00B518EA" w:rsidRPr="004030F5">
        <w:rPr>
          <w:rFonts w:cs="Arial"/>
        </w:rPr>
        <w:t>PPM</w:t>
      </w:r>
      <w:r w:rsidR="00747048" w:rsidRPr="004030F5">
        <w:rPr>
          <w:rFonts w:cs="Arial"/>
        </w:rPr>
        <w:t xml:space="preserve"> means small mass error. </w:t>
      </w:r>
      <w:r w:rsidR="000E72D4" w:rsidRPr="004030F5">
        <w:rPr>
          <w:rFonts w:cs="Arial"/>
        </w:rPr>
        <w:t xml:space="preserve"> </w:t>
      </w:r>
      <w:r w:rsidR="00747048" w:rsidRPr="004030F5">
        <w:rPr>
          <w:rFonts w:cs="Arial"/>
        </w:rPr>
        <w:t>Smaller ppm (mass difference</w:t>
      </w:r>
      <w:r w:rsidR="00315463" w:rsidRPr="004030F5">
        <w:rPr>
          <w:rFonts w:cs="Arial"/>
        </w:rPr>
        <w:t xml:space="preserve"> between observe</w:t>
      </w:r>
      <w:r w:rsidR="000E72D4" w:rsidRPr="004030F5">
        <w:rPr>
          <w:rFonts w:cs="Arial"/>
        </w:rPr>
        <w:t xml:space="preserve">d and expected mass) can reduce false matches by removing </w:t>
      </w:r>
      <w:r w:rsidR="006B696F" w:rsidRPr="004030F5">
        <w:rPr>
          <w:rFonts w:cs="Arial"/>
        </w:rPr>
        <w:t xml:space="preserve">similar weighted </w:t>
      </w:r>
      <w:r w:rsidR="00FB0C90" w:rsidRPr="004030F5">
        <w:rPr>
          <w:rFonts w:cs="Arial"/>
        </w:rPr>
        <w:t>false peptide candidates</w:t>
      </w:r>
      <w:r w:rsidR="000E72D4" w:rsidRPr="004030F5">
        <w:rPr>
          <w:rFonts w:cs="Arial"/>
        </w:rPr>
        <w:t xml:space="preserve">. </w:t>
      </w:r>
      <w:r w:rsidR="00731780" w:rsidRPr="004030F5">
        <w:rPr>
          <w:rFonts w:cs="Arial"/>
        </w:rPr>
        <w:br w:type="page"/>
      </w:r>
    </w:p>
    <w:p w14:paraId="0A51BDC4" w14:textId="3462AFED" w:rsidR="00E10D7E" w:rsidRPr="004030F5" w:rsidRDefault="00747048" w:rsidP="009971D7">
      <w:pPr>
        <w:pStyle w:val="Footer"/>
        <w:numPr>
          <w:ilvl w:val="12"/>
          <w:numId w:val="0"/>
        </w:numPr>
        <w:tabs>
          <w:tab w:val="clear" w:pos="4320"/>
          <w:tab w:val="clear" w:pos="8640"/>
        </w:tabs>
        <w:spacing w:line="480" w:lineRule="auto"/>
        <w:ind w:firstLine="720"/>
        <w:rPr>
          <w:rFonts w:cs="Arial"/>
        </w:rPr>
      </w:pPr>
      <w:r w:rsidRPr="004030F5">
        <w:rPr>
          <w:rFonts w:cs="Arial"/>
        </w:rPr>
        <w:lastRenderedPageBreak/>
        <w:t xml:space="preserve"> </w:t>
      </w:r>
    </w:p>
    <w:p w14:paraId="0C757964" w14:textId="77777777" w:rsidR="00D132CE" w:rsidRPr="004030F5" w:rsidRDefault="00D132CE" w:rsidP="00D36C22">
      <w:pPr>
        <w:pStyle w:val="Footer"/>
        <w:keepNext/>
        <w:numPr>
          <w:ilvl w:val="12"/>
          <w:numId w:val="0"/>
        </w:numPr>
        <w:tabs>
          <w:tab w:val="clear" w:pos="4320"/>
          <w:tab w:val="clear" w:pos="8640"/>
        </w:tabs>
        <w:spacing w:line="480" w:lineRule="auto"/>
        <w:rPr>
          <w:rFonts w:cs="Arial"/>
        </w:rPr>
      </w:pPr>
      <w:r w:rsidRPr="004030F5">
        <w:rPr>
          <w:rFonts w:cs="Arial"/>
          <w:noProof/>
        </w:rPr>
        <w:drawing>
          <wp:inline distT="0" distB="0" distL="0" distR="0" wp14:anchorId="59C264A3" wp14:editId="119B9EBA">
            <wp:extent cx="4994497" cy="3086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96313" cy="3087222"/>
                    </a:xfrm>
                    <a:prstGeom prst="rect">
                      <a:avLst/>
                    </a:prstGeom>
                    <a:noFill/>
                    <a:ln>
                      <a:noFill/>
                    </a:ln>
                  </pic:spPr>
                </pic:pic>
              </a:graphicData>
            </a:graphic>
          </wp:inline>
        </w:drawing>
      </w:r>
    </w:p>
    <w:p w14:paraId="11BEA4BB" w14:textId="57096C4B" w:rsidR="00D132CE" w:rsidRPr="004030F5" w:rsidRDefault="00D132CE" w:rsidP="00D132CE">
      <w:pPr>
        <w:pStyle w:val="Caption"/>
        <w:rPr>
          <w:rFonts w:cs="Arial"/>
          <w:b w:val="0"/>
        </w:rPr>
      </w:pPr>
      <w:bookmarkStart w:id="11" w:name="_Toc296333098"/>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5</w:t>
      </w:r>
      <w:r w:rsidRPr="004030F5">
        <w:rPr>
          <w:rFonts w:cs="Arial"/>
        </w:rPr>
        <w:fldChar w:fldCharType="end"/>
      </w:r>
      <w:r w:rsidRPr="004030F5">
        <w:rPr>
          <w:rFonts w:cs="Arial"/>
          <w:b w:val="0"/>
          <w:bCs w:val="0"/>
          <w:szCs w:val="24"/>
        </w:rPr>
        <w:t xml:space="preserve"> </w:t>
      </w:r>
      <w:r w:rsidRPr="004030F5">
        <w:rPr>
          <w:rFonts w:cs="Arial"/>
        </w:rPr>
        <w:t xml:space="preserve">The effect of increasing mass accuracy for unambiguous identification of compounds.  </w:t>
      </w:r>
      <w:r w:rsidRPr="004030F5">
        <w:rPr>
          <w:rFonts w:cs="Arial"/>
          <w:b w:val="0"/>
        </w:rPr>
        <w:t>PPM is a parts per million (((exact mass – accurate mass) / exact mass) x 10</w:t>
      </w:r>
      <w:r w:rsidRPr="004030F5">
        <w:rPr>
          <w:rFonts w:cs="Arial"/>
          <w:b w:val="0"/>
          <w:vertAlign w:val="superscript"/>
        </w:rPr>
        <w:t>6</w:t>
      </w:r>
      <w:r w:rsidRPr="004030F5">
        <w:rPr>
          <w:rFonts w:cs="Arial"/>
          <w:b w:val="0"/>
        </w:rPr>
        <w:t xml:space="preserve">).  Lower ppm means small mass error.  If mass accuracy is low (ppm is high), the number of candidate compounds is linearly increased.  The slope is getting steeper, while molecular weight is getting larger.  This illustration is adapted from Quenzer et al </w:t>
      </w:r>
      <w:r w:rsidRPr="004030F5">
        <w:rPr>
          <w:rFonts w:cs="Arial"/>
          <w:b w:val="0"/>
        </w:rPr>
        <w:fldChar w:fldCharType="begin"/>
      </w:r>
      <w:r w:rsidR="006B3205" w:rsidRPr="004030F5">
        <w:rPr>
          <w:rFonts w:cs="Arial"/>
          <w:b w:val="0"/>
        </w:rPr>
        <w:instrText xml:space="preserve"> ADDIN EN.CITE &lt;EndNote&gt;&lt;Cite&gt;&lt;Author&gt;Quenzer&lt;/Author&gt;&lt;Year&gt;2002&lt;/Year&gt;&lt;RecNum&gt;25&lt;/RecNum&gt;&lt;DisplayText&gt;[24]&lt;/DisplayText&gt;&lt;record&gt;&lt;rec-number&gt;25&lt;/rec-number&gt;&lt;foreign-keys&gt;&lt;key app="EN" db-id="efx2002d5f0z21etvw3x9zp7tw2axpa2eez0" timestamp="1433170093"&gt;25&lt;/key&gt;&lt;key app="ENWeb" db-id=""&gt;0&lt;/key&gt;&lt;/foreign-keys&gt;&lt;ref-type name="Conference Proceedings"&gt;10&lt;/ref-type&gt;&lt;contributors&gt;&lt;authors&gt;&lt;author&gt;Quenzer, T&lt;/author&gt;&lt;author&gt;Robinson, JM&lt;/author&gt;&lt;author&gt;Bolanios, B&lt;/author&gt;&lt;author&gt;Milgram, E&lt;/author&gt;&lt;author&gt;Greig, MJ&lt;/author&gt;&lt;/authors&gt;&lt;/contributors&gt;&lt;titles&gt;&lt;title&gt;Automated accurate mass analysis using FTICR mass spectrometry&lt;/title&gt;&lt;secondary-title&gt;Proceedings of the 50th Annual Conference on Mass Spectrometry and Allied Topics, Orlando, FL&lt;/secondary-title&gt;&lt;/titles&gt;&lt;dates&gt;&lt;year&gt;2002&lt;/year&gt;&lt;/dates&gt;&lt;urls&gt;&lt;/urls&gt;&lt;/record&gt;&lt;/Cite&gt;&lt;/EndNote&gt;</w:instrText>
      </w:r>
      <w:r w:rsidRPr="004030F5">
        <w:rPr>
          <w:rFonts w:cs="Arial"/>
          <w:b w:val="0"/>
        </w:rPr>
        <w:fldChar w:fldCharType="separate"/>
      </w:r>
      <w:r w:rsidR="006B3205" w:rsidRPr="004030F5">
        <w:rPr>
          <w:rFonts w:cs="Arial"/>
          <w:b w:val="0"/>
          <w:noProof/>
        </w:rPr>
        <w:t>[24]</w:t>
      </w:r>
      <w:r w:rsidRPr="004030F5">
        <w:rPr>
          <w:rFonts w:cs="Arial"/>
          <w:b w:val="0"/>
        </w:rPr>
        <w:fldChar w:fldCharType="end"/>
      </w:r>
      <w:r w:rsidRPr="004030F5">
        <w:rPr>
          <w:rFonts w:cs="Arial"/>
          <w:b w:val="0"/>
        </w:rPr>
        <w:t>.</w:t>
      </w:r>
      <w:bookmarkEnd w:id="11"/>
    </w:p>
    <w:p w14:paraId="50DF0B14" w14:textId="77777777" w:rsidR="00D132CE" w:rsidRPr="004030F5" w:rsidRDefault="00D132CE">
      <w:pPr>
        <w:rPr>
          <w:rFonts w:cs="Arial"/>
        </w:rPr>
      </w:pPr>
      <w:r w:rsidRPr="004030F5">
        <w:rPr>
          <w:rFonts w:cs="Arial"/>
        </w:rPr>
        <w:br w:type="page"/>
      </w:r>
    </w:p>
    <w:p w14:paraId="50E5EBDB" w14:textId="77777777" w:rsidR="00731780" w:rsidRPr="004030F5" w:rsidRDefault="00731780" w:rsidP="00731780">
      <w:pPr>
        <w:pStyle w:val="Footer"/>
        <w:numPr>
          <w:ilvl w:val="12"/>
          <w:numId w:val="0"/>
        </w:numPr>
        <w:tabs>
          <w:tab w:val="clear" w:pos="4320"/>
          <w:tab w:val="clear" w:pos="8640"/>
        </w:tabs>
        <w:spacing w:line="480" w:lineRule="auto"/>
        <w:rPr>
          <w:rFonts w:cs="Arial"/>
        </w:rPr>
      </w:pPr>
      <w:r w:rsidRPr="004030F5">
        <w:rPr>
          <w:rFonts w:cs="Arial"/>
        </w:rPr>
        <w:lastRenderedPageBreak/>
        <w:t>Since metaproteome is much more complicated than single species proteome, it requires to discern narrow down candidate peptides for the measured m/z.  Some of amino acid residues have very similar molecular weights.  Glutamate and lysine are differed by only 0.036 Da.  Phenylalanine and oxidized methionine are only 0.033 Da difference.  This little difference is another reason of employing HRMS for metaproteomics.</w:t>
      </w:r>
    </w:p>
    <w:p w14:paraId="162CF250" w14:textId="1F9600F5" w:rsidR="002C6A73" w:rsidRPr="004030F5" w:rsidRDefault="00D36C22" w:rsidP="00731780">
      <w:pPr>
        <w:pStyle w:val="Footer"/>
        <w:numPr>
          <w:ilvl w:val="12"/>
          <w:numId w:val="0"/>
        </w:numPr>
        <w:tabs>
          <w:tab w:val="clear" w:pos="4320"/>
          <w:tab w:val="clear" w:pos="8640"/>
        </w:tabs>
        <w:spacing w:line="480" w:lineRule="auto"/>
        <w:ind w:firstLine="720"/>
        <w:rPr>
          <w:rFonts w:cs="Arial"/>
        </w:rPr>
      </w:pPr>
      <w:r w:rsidRPr="004030F5">
        <w:rPr>
          <w:rFonts w:cs="Arial"/>
        </w:rPr>
        <w:t xml:space="preserve">Even though high mass accuracy can provide better resolution for peptide identification, it is not enough to identify peptides.  MS/MS is required process for exact peptide identification and sequencing.  In MS/MS step, target mass peak in a survey full-scan mass spectrum (MS1) is selected first.  </w:t>
      </w:r>
      <w:r w:rsidR="006A6130" w:rsidRPr="004030F5">
        <w:rPr>
          <w:rFonts w:cs="Arial"/>
        </w:rPr>
        <w:t xml:space="preserve">This </w:t>
      </w:r>
      <w:r w:rsidR="004F4620" w:rsidRPr="004030F5">
        <w:rPr>
          <w:rFonts w:cs="Arial"/>
        </w:rPr>
        <w:t xml:space="preserve">MS1 peak </w:t>
      </w:r>
      <w:r w:rsidR="006A6130" w:rsidRPr="004030F5">
        <w:rPr>
          <w:rFonts w:cs="Arial"/>
        </w:rPr>
        <w:t>selection can be different by acquisition approaches, data dependent acquisition (DDA) and Data independent acquisition (DIA)</w:t>
      </w:r>
      <w:r w:rsidR="00A52532" w:rsidRPr="004030F5">
        <w:rPr>
          <w:rFonts w:cs="Arial"/>
        </w:rPr>
        <w:t xml:space="preserve"> (Fig. 6</w:t>
      </w:r>
      <w:r w:rsidR="00CB7618" w:rsidRPr="004030F5">
        <w:rPr>
          <w:rFonts w:cs="Arial"/>
        </w:rPr>
        <w:t>)</w:t>
      </w:r>
      <w:r w:rsidR="006A6130" w:rsidRPr="004030F5">
        <w:rPr>
          <w:rFonts w:cs="Arial"/>
        </w:rPr>
        <w:t>.</w:t>
      </w:r>
    </w:p>
    <w:p w14:paraId="11D9AA68" w14:textId="64A67655" w:rsidR="00610995" w:rsidRPr="004030F5" w:rsidRDefault="00E33D2D" w:rsidP="00D132CE">
      <w:pPr>
        <w:pStyle w:val="Footer"/>
        <w:numPr>
          <w:ilvl w:val="12"/>
          <w:numId w:val="0"/>
        </w:numPr>
        <w:tabs>
          <w:tab w:val="clear" w:pos="4320"/>
          <w:tab w:val="clear" w:pos="8640"/>
        </w:tabs>
        <w:spacing w:line="480" w:lineRule="auto"/>
        <w:ind w:firstLine="720"/>
        <w:rPr>
          <w:rFonts w:cs="Arial"/>
        </w:rPr>
      </w:pPr>
      <w:r w:rsidRPr="004030F5">
        <w:rPr>
          <w:rFonts w:cs="Arial"/>
        </w:rPr>
        <w:t xml:space="preserve">  </w:t>
      </w:r>
      <w:r w:rsidR="00661F62" w:rsidRPr="004030F5">
        <w:rPr>
          <w:rFonts w:cs="Arial"/>
        </w:rPr>
        <w:t xml:space="preserve">In </w:t>
      </w:r>
      <w:r w:rsidR="006A6130" w:rsidRPr="004030F5">
        <w:rPr>
          <w:rFonts w:cs="Arial"/>
        </w:rPr>
        <w:t xml:space="preserve">DDA </w:t>
      </w:r>
      <w:r w:rsidR="00F105E8" w:rsidRPr="004030F5">
        <w:rPr>
          <w:rFonts w:cs="Arial"/>
        </w:rPr>
        <w:t>approach</w:t>
      </w:r>
      <w:r w:rsidR="00661F62" w:rsidRPr="004030F5">
        <w:rPr>
          <w:rFonts w:cs="Arial"/>
        </w:rPr>
        <w:t xml:space="preserve">, </w:t>
      </w:r>
      <w:r w:rsidR="002C4CD8" w:rsidRPr="004030F5">
        <w:rPr>
          <w:rFonts w:cs="Arial"/>
        </w:rPr>
        <w:t>a fixed number of</w:t>
      </w:r>
      <w:r w:rsidR="00661F62" w:rsidRPr="004030F5">
        <w:rPr>
          <w:rFonts w:cs="Arial"/>
        </w:rPr>
        <w:t xml:space="preserve"> </w:t>
      </w:r>
      <w:r w:rsidR="000B688D" w:rsidRPr="004030F5">
        <w:rPr>
          <w:rFonts w:cs="Arial"/>
        </w:rPr>
        <w:t>peaks</w:t>
      </w:r>
      <w:r w:rsidR="002C4CD8" w:rsidRPr="004030F5">
        <w:rPr>
          <w:rFonts w:cs="Arial"/>
        </w:rPr>
        <w:t xml:space="preserve"> in </w:t>
      </w:r>
      <w:r w:rsidR="00D432DB" w:rsidRPr="004030F5">
        <w:rPr>
          <w:rFonts w:cs="Arial"/>
        </w:rPr>
        <w:t>MS1</w:t>
      </w:r>
      <w:r w:rsidR="000B688D" w:rsidRPr="004030F5">
        <w:rPr>
          <w:rFonts w:cs="Arial"/>
        </w:rPr>
        <w:t xml:space="preserve"> are </w:t>
      </w:r>
      <w:r w:rsidR="00631D5A" w:rsidRPr="004030F5">
        <w:rPr>
          <w:rFonts w:cs="Arial"/>
        </w:rPr>
        <w:t>selected and subjected</w:t>
      </w:r>
      <w:r w:rsidR="000B688D" w:rsidRPr="004030F5">
        <w:rPr>
          <w:rFonts w:cs="Arial"/>
        </w:rPr>
        <w:t xml:space="preserve"> </w:t>
      </w:r>
      <w:r w:rsidR="00631D5A" w:rsidRPr="004030F5">
        <w:rPr>
          <w:rFonts w:cs="Arial"/>
        </w:rPr>
        <w:t xml:space="preserve">to </w:t>
      </w:r>
      <w:r w:rsidR="000B688D" w:rsidRPr="004030F5">
        <w:rPr>
          <w:rFonts w:cs="Arial"/>
        </w:rPr>
        <w:t>MS/MS</w:t>
      </w:r>
      <w:r w:rsidR="00631D5A" w:rsidRPr="004030F5">
        <w:rPr>
          <w:rFonts w:cs="Arial"/>
        </w:rPr>
        <w:t xml:space="preserve"> analysis</w:t>
      </w:r>
      <w:r w:rsidR="00A52532" w:rsidRPr="004030F5">
        <w:rPr>
          <w:rFonts w:cs="Arial"/>
        </w:rPr>
        <w:t xml:space="preserve">  (Fig. 6</w:t>
      </w:r>
      <w:r w:rsidR="000B20D6" w:rsidRPr="004030F5">
        <w:rPr>
          <w:rFonts w:cs="Arial"/>
        </w:rPr>
        <w:t>)</w:t>
      </w:r>
      <w:r w:rsidR="00785D03" w:rsidRPr="004030F5">
        <w:rPr>
          <w:rFonts w:cs="Arial"/>
        </w:rPr>
        <w:t xml:space="preserve">.  </w:t>
      </w:r>
      <w:r w:rsidR="001117E5" w:rsidRPr="004030F5">
        <w:rPr>
          <w:rFonts w:cs="Arial"/>
        </w:rPr>
        <w:t xml:space="preserve">This DDA is </w:t>
      </w:r>
      <w:r w:rsidR="00681539" w:rsidRPr="004030F5">
        <w:rPr>
          <w:rFonts w:cs="Arial"/>
        </w:rPr>
        <w:t>powerful and versatile, but it limits the number of peptides sampled for fragmentation regardless of dynamic range and peak capacity of MS</w:t>
      </w:r>
      <w:r w:rsidR="000804D2" w:rsidRPr="004030F5">
        <w:rPr>
          <w:rFonts w:cs="Arial"/>
        </w:rPr>
        <w:t xml:space="preserve"> </w:t>
      </w:r>
      <w:r w:rsidR="000804D2" w:rsidRPr="004030F5">
        <w:rPr>
          <w:rFonts w:cs="Arial"/>
        </w:rPr>
        <w:fldChar w:fldCharType="begin"/>
      </w:r>
      <w:r w:rsidR="006B3205" w:rsidRPr="004030F5">
        <w:rPr>
          <w:rFonts w:cs="Arial"/>
        </w:rPr>
        <w:instrText xml:space="preserve"> ADDIN EN.CITE &lt;EndNote&gt;&lt;Cite&gt;&lt;Author&gt;Egertson&lt;/Author&gt;&lt;Year&gt;2013&lt;/Year&gt;&lt;RecNum&gt;26&lt;/RecNum&gt;&lt;DisplayText&gt;[25]&lt;/DisplayText&gt;&lt;record&gt;&lt;rec-number&gt;26&lt;/rec-number&gt;&lt;foreign-keys&gt;&lt;key app="EN" db-id="efx2002d5f0z21etvw3x9zp7tw2axpa2eez0" timestamp="1433183287"&gt;26&lt;/key&gt;&lt;/foreign-keys&gt;&lt;ref-type name="Journal Article"&gt;17&lt;/ref-type&gt;&lt;contributors&gt;&lt;authors&gt;&lt;author&gt;Egertson, Jarrett D&lt;/author&gt;&lt;author&gt;Kuehn, Andreas&lt;/author&gt;&lt;author&gt;Merrihew, Gennifer E&lt;/author&gt;&lt;author&gt;Bateman, Nicholas W&lt;/author&gt;&lt;author&gt;MacLean, Brendan X&lt;/author&gt;&lt;author&gt;Ting, Ying S&lt;/author&gt;&lt;author&gt;Canterbury, Jesse D&lt;/author&gt;&lt;author&gt;Marsh, Donald M&lt;/author&gt;&lt;author&gt;Kellmann, Markus&lt;/author&gt;&lt;author&gt;Zabrouskov, Vlad&lt;/author&gt;&lt;/authors&gt;&lt;/contributors&gt;&lt;titles&gt;&lt;title&gt;Multiplexed MS/MS for improved data-independent acquisition&lt;/title&gt;&lt;secondary-title&gt;Nature methods&lt;/secondary-title&gt;&lt;/titles&gt;&lt;periodical&gt;&lt;full-title&gt;Nature methods&lt;/full-title&gt;&lt;/periodical&gt;&lt;pages&gt;744-746&lt;/pages&gt;&lt;volume&gt;10&lt;/volume&gt;&lt;number&gt;8&lt;/number&gt;&lt;dates&gt;&lt;year&gt;2013&lt;/year&gt;&lt;/dates&gt;&lt;isbn&gt;1548-7091&lt;/isbn&gt;&lt;urls&gt;&lt;/urls&gt;&lt;/record&gt;&lt;/Cite&gt;&lt;/EndNote&gt;</w:instrText>
      </w:r>
      <w:r w:rsidR="000804D2" w:rsidRPr="004030F5">
        <w:rPr>
          <w:rFonts w:cs="Arial"/>
        </w:rPr>
        <w:fldChar w:fldCharType="separate"/>
      </w:r>
      <w:r w:rsidR="006B3205" w:rsidRPr="004030F5">
        <w:rPr>
          <w:rFonts w:cs="Arial"/>
          <w:noProof/>
        </w:rPr>
        <w:t>[25]</w:t>
      </w:r>
      <w:r w:rsidR="000804D2" w:rsidRPr="004030F5">
        <w:rPr>
          <w:rFonts w:cs="Arial"/>
        </w:rPr>
        <w:fldChar w:fldCharType="end"/>
      </w:r>
      <w:r w:rsidR="00681539" w:rsidRPr="004030F5">
        <w:rPr>
          <w:rFonts w:cs="Arial"/>
        </w:rPr>
        <w:t>.</w:t>
      </w:r>
      <w:r w:rsidR="00805D41" w:rsidRPr="004030F5">
        <w:rPr>
          <w:rFonts w:cs="Arial"/>
        </w:rPr>
        <w:t xml:space="preserve">  In a complex protein mixture, up to 84% of peptides are not </w:t>
      </w:r>
      <w:r w:rsidR="0085384F" w:rsidRPr="004030F5">
        <w:rPr>
          <w:rFonts w:cs="Arial"/>
        </w:rPr>
        <w:t>sampled for MS/MS</w:t>
      </w:r>
      <w:r w:rsidR="00696FB8" w:rsidRPr="004030F5">
        <w:rPr>
          <w:rFonts w:cs="Arial"/>
        </w:rPr>
        <w:t>, while at most 30% of peptides are analyzed by MS/MS</w:t>
      </w:r>
      <w:r w:rsidR="00981EE4" w:rsidRPr="004030F5">
        <w:rPr>
          <w:rFonts w:cs="Arial"/>
        </w:rPr>
        <w:t xml:space="preserve"> </w:t>
      </w:r>
      <w:r w:rsidR="00981EE4" w:rsidRPr="004030F5">
        <w:rPr>
          <w:rFonts w:cs="Arial"/>
        </w:rPr>
        <w:fldChar w:fldCharType="begin"/>
      </w:r>
      <w:r w:rsidR="006B3205" w:rsidRPr="004030F5">
        <w:rPr>
          <w:rFonts w:cs="Arial"/>
        </w:rPr>
        <w:instrText xml:space="preserve"> ADDIN EN.CITE &lt;EndNote&gt;&lt;Cite&gt;&lt;Author&gt;Michalski&lt;/Author&gt;&lt;Year&gt;2011&lt;/Year&gt;&lt;RecNum&gt;31&lt;/RecNum&gt;&lt;DisplayText&gt;[26]&lt;/DisplayText&gt;&lt;record&gt;&lt;rec-number&gt;31&lt;/rec-number&gt;&lt;foreign-keys&gt;&lt;key app="EN" db-id="efx2002d5f0z21etvw3x9zp7tw2axpa2eez0" timestamp="1433184902"&gt;31&lt;/key&gt;&lt;/foreign-keys&gt;&lt;ref-type name="Journal Article"&gt;17&lt;/ref-type&gt;&lt;contributors&gt;&lt;authors&gt;&lt;author&gt;Michalski, Annette&lt;/author&gt;&lt;author&gt;Cox, Juergen&lt;/author&gt;&lt;author&gt;Mann, Matthias&lt;/author&gt;&lt;/authors&gt;&lt;/contributors&gt;&lt;titles&gt;&lt;title&gt;More than 100,000 detectable peptide species elute in single shotgun proteomics runs but the majority is inaccessible to data-dependent LC− MS/MS&lt;/title&gt;&lt;secondary-title&gt;Journal of proteome research&lt;/secondary-title&gt;&lt;/titles&gt;&lt;periodical&gt;&lt;full-title&gt;Journal of proteome research&lt;/full-title&gt;&lt;/periodical&gt;&lt;pages&gt;1785-1793&lt;/pages&gt;&lt;volume&gt;10&lt;/volume&gt;&lt;number&gt;4&lt;/number&gt;&lt;dates&gt;&lt;year&gt;2011&lt;/year&gt;&lt;/dates&gt;&lt;isbn&gt;1535-3893&lt;/isbn&gt;&lt;urls&gt;&lt;/urls&gt;&lt;/record&gt;&lt;/Cite&gt;&lt;/EndNote&gt;</w:instrText>
      </w:r>
      <w:r w:rsidR="00981EE4" w:rsidRPr="004030F5">
        <w:rPr>
          <w:rFonts w:cs="Arial"/>
        </w:rPr>
        <w:fldChar w:fldCharType="separate"/>
      </w:r>
      <w:r w:rsidR="006B3205" w:rsidRPr="004030F5">
        <w:rPr>
          <w:rFonts w:cs="Arial"/>
          <w:noProof/>
        </w:rPr>
        <w:t>[26]</w:t>
      </w:r>
      <w:r w:rsidR="00981EE4" w:rsidRPr="004030F5">
        <w:rPr>
          <w:rFonts w:cs="Arial"/>
        </w:rPr>
        <w:fldChar w:fldCharType="end"/>
      </w:r>
      <w:r w:rsidR="0085384F" w:rsidRPr="004030F5">
        <w:rPr>
          <w:rFonts w:cs="Arial"/>
        </w:rPr>
        <w:t xml:space="preserve">. </w:t>
      </w:r>
      <w:r w:rsidR="006A6130" w:rsidRPr="004030F5">
        <w:rPr>
          <w:rFonts w:cs="Arial"/>
        </w:rPr>
        <w:t xml:space="preserve">DIA </w:t>
      </w:r>
      <w:r w:rsidR="003201EE" w:rsidRPr="004030F5">
        <w:rPr>
          <w:rFonts w:cs="Arial"/>
        </w:rPr>
        <w:t>is an alternative way of DDA.  DIA collects all the peaks systematically and independently of status of precursor ions</w:t>
      </w:r>
      <w:r w:rsidR="00EC3531" w:rsidRPr="004030F5">
        <w:rPr>
          <w:rFonts w:cs="Arial"/>
        </w:rPr>
        <w:t xml:space="preserve"> (Fig. 6</w:t>
      </w:r>
      <w:r w:rsidR="00AA5F1B" w:rsidRPr="004030F5">
        <w:rPr>
          <w:rFonts w:cs="Arial"/>
        </w:rPr>
        <w:t>)</w:t>
      </w:r>
      <w:r w:rsidR="00076524" w:rsidRPr="004030F5">
        <w:rPr>
          <w:rFonts w:cs="Arial"/>
        </w:rPr>
        <w:t>, such as collecting MS/MS data without precursor ion selection</w:t>
      </w:r>
      <w:r w:rsidR="00AA35E1" w:rsidRPr="004030F5">
        <w:rPr>
          <w:rFonts w:cs="Arial"/>
        </w:rPr>
        <w:fldChar w:fldCharType="begin"/>
      </w:r>
      <w:r w:rsidR="006B3205" w:rsidRPr="004030F5">
        <w:rPr>
          <w:rFonts w:cs="Arial"/>
        </w:rPr>
        <w:instrText xml:space="preserve"> ADDIN EN.CITE &lt;EndNote&gt;&lt;Cite&gt;&lt;Author&gt;Purvine&lt;/Author&gt;&lt;Year&gt;2003&lt;/Year&gt;&lt;RecNum&gt;28&lt;/RecNum&gt;&lt;DisplayText&gt;[27]&lt;/DisplayText&gt;&lt;record&gt;&lt;rec-number&gt;28&lt;/rec-number&gt;&lt;foreign-keys&gt;&lt;key app="EN" db-id="efx2002d5f0z21etvw3x9zp7tw2axpa2eez0" timestamp="1433184447"&gt;28&lt;/key&gt;&lt;/foreign-keys&gt;&lt;ref-type name="Journal Article"&gt;17&lt;/ref-type&gt;&lt;contributors&gt;&lt;authors&gt;&lt;author&gt;Purvine, Samuel&lt;/author&gt;&lt;author&gt;Yi, Eugene C&lt;/author&gt;&lt;author&gt;Goodlett, David R&lt;/author&gt;&lt;/authors&gt;&lt;/contributors&gt;&lt;titles&gt;&lt;title&gt;Shotgun collision</w:instrText>
      </w:r>
      <w:r w:rsidR="006B3205" w:rsidRPr="004030F5">
        <w:rPr>
          <w:rFonts w:ascii="American Typewriter Light" w:hAnsi="American Typewriter Light" w:cs="American Typewriter Light"/>
        </w:rPr>
        <w:instrText>‐</w:instrText>
      </w:r>
      <w:r w:rsidR="006B3205" w:rsidRPr="004030F5">
        <w:rPr>
          <w:rFonts w:cs="Arial"/>
        </w:rPr>
        <w:instrText>induced dissociation of peptides using a time of flight mass analyzer&lt;/title&gt;&lt;secondary-title&gt;Proteomics&lt;/secondary-title&gt;&lt;/titles&gt;&lt;periodical&gt;&lt;full-title&gt;Proteomics&lt;/full-title&gt;&lt;/periodical&gt;&lt;pages&gt;847-850&lt;/pages&gt;&lt;volume&gt;3&lt;/volume&gt;&lt;number&gt;6&lt;/number&gt;&lt;dates&gt;&lt;year&gt;2003&lt;/year&gt;&lt;/dates&gt;&lt;isbn&gt;1615-9861&lt;/isbn&gt;&lt;urls&gt;&lt;/urls&gt;&lt;/record&gt;&lt;/Cite&gt;&lt;/EndNote&gt;</w:instrText>
      </w:r>
      <w:r w:rsidR="00AA35E1" w:rsidRPr="004030F5">
        <w:rPr>
          <w:rFonts w:cs="Arial"/>
        </w:rPr>
        <w:fldChar w:fldCharType="separate"/>
      </w:r>
      <w:r w:rsidR="006B3205" w:rsidRPr="004030F5">
        <w:rPr>
          <w:rFonts w:cs="Arial"/>
          <w:noProof/>
        </w:rPr>
        <w:t>[27]</w:t>
      </w:r>
      <w:r w:rsidR="00AA35E1" w:rsidRPr="004030F5">
        <w:rPr>
          <w:rFonts w:cs="Arial"/>
        </w:rPr>
        <w:fldChar w:fldCharType="end"/>
      </w:r>
      <w:r w:rsidR="00AA35E1" w:rsidRPr="004030F5">
        <w:rPr>
          <w:rFonts w:cs="Arial"/>
        </w:rPr>
        <w:t xml:space="preserve">, using ion mobility–collision-induced dissociation–time-of-flight mass spectrometry </w:t>
      </w:r>
      <w:r w:rsidR="00AA35E1" w:rsidRPr="004030F5">
        <w:rPr>
          <w:rFonts w:cs="Arial"/>
        </w:rPr>
        <w:fldChar w:fldCharType="begin"/>
      </w:r>
      <w:r w:rsidR="006B3205" w:rsidRPr="004030F5">
        <w:rPr>
          <w:rFonts w:cs="Arial"/>
        </w:rPr>
        <w:instrText xml:space="preserve"> ADDIN EN.CITE &lt;EndNote&gt;&lt;Cite&gt;&lt;Author&gt;Myung&lt;/Author&gt;&lt;Year&gt;2003&lt;/Year&gt;&lt;RecNum&gt;27&lt;/RecNum&gt;&lt;DisplayText&gt;[28]&lt;/DisplayText&gt;&lt;record&gt;&lt;rec-number&gt;27&lt;/rec-number&gt;&lt;foreign-keys&gt;&lt;key app="EN" db-id="efx2002d5f0z21etvw3x9zp7tw2axpa2eez0" timestamp="1433184410"&gt;27&lt;/key&gt;&lt;/foreign-keys&gt;&lt;ref-type name="Journal Article"&gt;17&lt;/ref-type&gt;&lt;contributors&gt;&lt;authors&gt;&lt;author&gt;Myung, Sunnie&lt;/author&gt;&lt;author&gt;Lee, Young Jin&lt;/author&gt;&lt;author&gt;Moon, Myeong Hee&lt;/author&gt;&lt;author&gt;Taraszka, John&lt;/author&gt;&lt;author&gt;Sowell, Rena&lt;/author&gt;&lt;author&gt;Koeniger, Stormy&lt;/author&gt;&lt;author&gt;Hilderbrand, Amy E&lt;/author&gt;&lt;author&gt;Valentine, Stephen J&lt;/author&gt;&lt;author&gt;Cherbas, Lucy&lt;/author&gt;&lt;author&gt;Cherbas, Peter&lt;/author&gt;&lt;/authors&gt;&lt;/contributors&gt;&lt;titles&gt;&lt;title&gt;Development of high-sensitivity ion trap ion mobility spectrometry time-of-flight techniques: a high-throughput nano-LC-IMS-TOF separation of peptides arising from a Drosophila protein extract&lt;/title&gt;&lt;secondary-title&gt;Analytical chemistry&lt;/secondary-title&gt;&lt;/titles&gt;&lt;periodical&gt;&lt;full-title&gt;Analytical chemistry&lt;/full-title&gt;&lt;/periodical&gt;&lt;pages&gt;5137-5145&lt;/pages&gt;&lt;volume&gt;75&lt;/volume&gt;&lt;number&gt;19&lt;/number&gt;&lt;dates&gt;&lt;year&gt;2003&lt;/year&gt;&lt;/dates&gt;&lt;isbn&gt;0003-2700&lt;/isbn&gt;&lt;urls&gt;&lt;/urls&gt;&lt;/record&gt;&lt;/Cite&gt;&lt;/EndNote&gt;</w:instrText>
      </w:r>
      <w:r w:rsidR="00AA35E1" w:rsidRPr="004030F5">
        <w:rPr>
          <w:rFonts w:cs="Arial"/>
        </w:rPr>
        <w:fldChar w:fldCharType="separate"/>
      </w:r>
      <w:r w:rsidR="006B3205" w:rsidRPr="004030F5">
        <w:rPr>
          <w:rFonts w:cs="Arial"/>
          <w:noProof/>
        </w:rPr>
        <w:t>[28]</w:t>
      </w:r>
      <w:r w:rsidR="00AA35E1" w:rsidRPr="004030F5">
        <w:rPr>
          <w:rFonts w:cs="Arial"/>
        </w:rPr>
        <w:fldChar w:fldCharType="end"/>
      </w:r>
      <w:r w:rsidR="000425C4" w:rsidRPr="004030F5">
        <w:rPr>
          <w:rFonts w:cs="Arial"/>
        </w:rPr>
        <w:t>,</w:t>
      </w:r>
      <w:r w:rsidR="00AA35E1" w:rsidRPr="004030F5">
        <w:rPr>
          <w:rFonts w:cs="Arial"/>
        </w:rPr>
        <w:t xml:space="preserve"> </w:t>
      </w:r>
      <w:r w:rsidR="000425C4" w:rsidRPr="004030F5">
        <w:rPr>
          <w:rFonts w:cs="Arial"/>
        </w:rPr>
        <w:t xml:space="preserve">using wide isolation windows </w:t>
      </w:r>
      <w:r w:rsidR="003D7626" w:rsidRPr="004030F5">
        <w:rPr>
          <w:rFonts w:cs="Arial"/>
        </w:rPr>
        <w:fldChar w:fldCharType="begin"/>
      </w:r>
      <w:r w:rsidR="006B3205" w:rsidRPr="004030F5">
        <w:rPr>
          <w:rFonts w:cs="Arial"/>
        </w:rPr>
        <w:instrText xml:space="preserve"> ADDIN EN.CITE &lt;EndNote&gt;&lt;Cite&gt;&lt;Author&gt;Venable&lt;/Author&gt;&lt;Year&gt;2004&lt;/Year&gt;&lt;RecNum&gt;30&lt;/RecNum&gt;&lt;DisplayText&gt;[29]&lt;/DisplayText&gt;&lt;record&gt;&lt;rec-number&gt;30&lt;/rec-number&gt;&lt;foreign-keys&gt;&lt;key app="EN" db-id="efx2002d5f0z21etvw3x9zp7tw2axpa2eez0" timestamp="1433184692"&gt;30&lt;/key&gt;&lt;/foreign-keys&gt;&lt;ref-type name="Journal Article"&gt;17&lt;/ref-type&gt;&lt;contributors&gt;&lt;authors&gt;&lt;author&gt;Venable, John D&lt;/author&gt;&lt;author&gt;Dong, Meng-Qiu&lt;/author&gt;&lt;author&gt;Wohlschlegel, James&lt;/author&gt;&lt;author&gt;Dillin, Andrew&lt;/author&gt;&lt;author&gt;Yates, John R&lt;/author&gt;&lt;/authors&gt;&lt;/contributors&gt;&lt;titles&gt;&lt;title&gt;Automated approach for quantitative analysis of complex peptide mixtures from tandem mass spectra&lt;/title&gt;&lt;secondary-title&gt;Nature methods&lt;/secondary-title&gt;&lt;/titles&gt;&lt;periodical&gt;&lt;full-title&gt;Nature methods&lt;/full-title&gt;&lt;/periodical&gt;&lt;pages&gt;39-45&lt;/pages&gt;&lt;volume&gt;1&lt;/volume&gt;&lt;number&gt;1&lt;/number&gt;&lt;dates&gt;&lt;year&gt;2004&lt;/year&gt;&lt;/dates&gt;&lt;isbn&gt;1548-7091&lt;/isbn&gt;&lt;urls&gt;&lt;/urls&gt;&lt;/record&gt;&lt;/Cite&gt;&lt;/EndNote&gt;</w:instrText>
      </w:r>
      <w:r w:rsidR="003D7626" w:rsidRPr="004030F5">
        <w:rPr>
          <w:rFonts w:cs="Arial"/>
        </w:rPr>
        <w:fldChar w:fldCharType="separate"/>
      </w:r>
      <w:r w:rsidR="006B3205" w:rsidRPr="004030F5">
        <w:rPr>
          <w:rFonts w:cs="Arial"/>
          <w:noProof/>
        </w:rPr>
        <w:t>[29]</w:t>
      </w:r>
      <w:r w:rsidR="003D7626" w:rsidRPr="004030F5">
        <w:rPr>
          <w:rFonts w:cs="Arial"/>
        </w:rPr>
        <w:fldChar w:fldCharType="end"/>
      </w:r>
      <w:r w:rsidR="00650920" w:rsidRPr="004030F5">
        <w:rPr>
          <w:rFonts w:cs="Arial"/>
        </w:rPr>
        <w:t xml:space="preserve">, </w:t>
      </w:r>
      <w:r w:rsidR="000425C4" w:rsidRPr="004030F5">
        <w:rPr>
          <w:rFonts w:cs="Arial"/>
        </w:rPr>
        <w:t>using</w:t>
      </w:r>
      <w:r w:rsidR="00650920" w:rsidRPr="004030F5">
        <w:rPr>
          <w:rFonts w:cs="Arial"/>
        </w:rPr>
        <w:t xml:space="preserve"> </w:t>
      </w:r>
      <w:r w:rsidR="000425C4" w:rsidRPr="004030F5">
        <w:rPr>
          <w:rFonts w:cs="Arial"/>
        </w:rPr>
        <w:t>narrow isolation window</w:t>
      </w:r>
      <w:r w:rsidR="003D7626" w:rsidRPr="004030F5">
        <w:rPr>
          <w:rFonts w:cs="Arial"/>
        </w:rPr>
        <w:t xml:space="preserve">s combined with many injections </w:t>
      </w:r>
      <w:r w:rsidR="003D7626" w:rsidRPr="004030F5">
        <w:rPr>
          <w:rFonts w:cs="Arial"/>
        </w:rPr>
        <w:fldChar w:fldCharType="begin"/>
      </w:r>
      <w:r w:rsidR="006B3205" w:rsidRPr="004030F5">
        <w:rPr>
          <w:rFonts w:cs="Arial"/>
        </w:rPr>
        <w:instrText xml:space="preserve"> ADDIN EN.CITE &lt;EndNote&gt;&lt;Cite&gt;&lt;Author&gt;Panchaud&lt;/Author&gt;&lt;Year&gt;2009&lt;/Year&gt;&lt;RecNum&gt;29&lt;/RecNum&gt;&lt;DisplayText&gt;[30]&lt;/DisplayText&gt;&lt;record&gt;&lt;rec-number&gt;29&lt;/rec-number&gt;&lt;foreign-keys&gt;&lt;key app="EN" db-id="efx2002d5f0z21etvw3x9zp7tw2axpa2eez0" timestamp="1433184622"&gt;29&lt;/key&gt;&lt;/foreign-keys&gt;&lt;ref-type name="Journal Article"&gt;17&lt;/ref-type&gt;&lt;contributors&gt;&lt;authors&gt;&lt;author&gt;Panchaud, Alexandre&lt;/author&gt;&lt;author&gt;Scherl, Alexander&lt;/author&gt;&lt;author&gt;Shaffer, Scott A&lt;/author&gt;&lt;author&gt;von Haller, Priska D&lt;/author&gt;&lt;author&gt;Kulasekara, Hemantha D&lt;/author&gt;&lt;author&gt;Miller, Samuel I&lt;/author&gt;&lt;author&gt;Goodlett, David R&lt;/author&gt;&lt;/authors&gt;&lt;/contributors&gt;&lt;titles&gt;&lt;title&gt;Precursor acquisition independent from ion count: how to dive deeper into the proteomics ocean&lt;/title&gt;&lt;secondary-title&gt;Analytical chemistry&lt;/secondary-title&gt;&lt;/titles&gt;&lt;periodical&gt;&lt;full-title&gt;Analytical chemistry&lt;/full-title&gt;&lt;/periodical&gt;&lt;pages&gt;6481-6488&lt;/pages&gt;&lt;volume&gt;81&lt;/volume&gt;&lt;number&gt;15&lt;/number&gt;&lt;dates&gt;&lt;year&gt;2009&lt;/year&gt;&lt;/dates&gt;&lt;isbn&gt;0003-2700&lt;/isbn&gt;&lt;urls&gt;&lt;/urls&gt;&lt;/record&gt;&lt;/Cite&gt;&lt;/EndNote&gt;</w:instrText>
      </w:r>
      <w:r w:rsidR="003D7626" w:rsidRPr="004030F5">
        <w:rPr>
          <w:rFonts w:cs="Arial"/>
        </w:rPr>
        <w:fldChar w:fldCharType="separate"/>
      </w:r>
      <w:r w:rsidR="006B3205" w:rsidRPr="004030F5">
        <w:rPr>
          <w:rFonts w:cs="Arial"/>
          <w:noProof/>
        </w:rPr>
        <w:t>[30]</w:t>
      </w:r>
      <w:r w:rsidR="003D7626" w:rsidRPr="004030F5">
        <w:rPr>
          <w:rFonts w:cs="Arial"/>
        </w:rPr>
        <w:fldChar w:fldCharType="end"/>
      </w:r>
      <w:r w:rsidR="00650920" w:rsidRPr="004030F5">
        <w:rPr>
          <w:rFonts w:cs="Arial"/>
        </w:rPr>
        <w:t xml:space="preserve"> and using multiplexing strategy </w:t>
      </w:r>
      <w:r w:rsidR="00650920" w:rsidRPr="004030F5">
        <w:rPr>
          <w:rFonts w:cs="Arial"/>
        </w:rPr>
        <w:fldChar w:fldCharType="begin"/>
      </w:r>
      <w:r w:rsidR="006B3205" w:rsidRPr="004030F5">
        <w:rPr>
          <w:rFonts w:cs="Arial"/>
        </w:rPr>
        <w:instrText xml:space="preserve"> ADDIN EN.CITE &lt;EndNote&gt;&lt;Cite&gt;&lt;Author&gt;Egertson&lt;/Author&gt;&lt;Year&gt;2013&lt;/Year&gt;&lt;RecNum&gt;26&lt;/RecNum&gt;&lt;DisplayText&gt;[25]&lt;/DisplayText&gt;&lt;record&gt;&lt;rec-number&gt;26&lt;/rec-number&gt;&lt;foreign-keys&gt;&lt;key app="EN" db-id="efx2002d5f0z21etvw3x9zp7tw2axpa2eez0" timestamp="1433183287"&gt;26&lt;/key&gt;&lt;/foreign-keys&gt;&lt;ref-type name="Journal Article"&gt;17&lt;/ref-type&gt;&lt;contributors&gt;&lt;authors&gt;&lt;author&gt;Egertson, Jarrett D&lt;/author&gt;&lt;author&gt;Kuehn, Andreas&lt;/author&gt;&lt;author&gt;Merrihew, Gennifer E&lt;/author&gt;&lt;author&gt;Bateman, Nicholas W&lt;/author&gt;&lt;author&gt;MacLean, Brendan X&lt;/author&gt;&lt;author&gt;Ting, Ying S&lt;/author&gt;&lt;author&gt;Canterbury, Jesse D&lt;/author&gt;&lt;author&gt;Marsh, Donald M&lt;/author&gt;&lt;author&gt;Kellmann, Markus&lt;/author&gt;&lt;author&gt;Zabrouskov, Vlad&lt;/author&gt;&lt;/authors&gt;&lt;/contributors&gt;&lt;titles&gt;&lt;title&gt;Multiplexed MS/MS for improved data-independent acquisition&lt;/title&gt;&lt;secondary-title&gt;Nature methods&lt;/secondary-title&gt;&lt;/titles&gt;&lt;periodical&gt;&lt;full-title&gt;Nature methods&lt;/full-title&gt;&lt;/periodical&gt;&lt;pages&gt;744-746&lt;/pages&gt;&lt;volume&gt;10&lt;/volume&gt;&lt;number&gt;8&lt;/number&gt;&lt;dates&gt;&lt;year&gt;2013&lt;/year&gt;&lt;/dates&gt;&lt;isbn&gt;1548-7091&lt;/isbn&gt;&lt;urls&gt;&lt;/urls&gt;&lt;/record&gt;&lt;/Cite&gt;&lt;/EndNote&gt;</w:instrText>
      </w:r>
      <w:r w:rsidR="00650920" w:rsidRPr="004030F5">
        <w:rPr>
          <w:rFonts w:cs="Arial"/>
        </w:rPr>
        <w:fldChar w:fldCharType="separate"/>
      </w:r>
      <w:r w:rsidR="006B3205" w:rsidRPr="004030F5">
        <w:rPr>
          <w:rFonts w:cs="Arial"/>
          <w:noProof/>
        </w:rPr>
        <w:t>[25]</w:t>
      </w:r>
      <w:r w:rsidR="00650920" w:rsidRPr="004030F5">
        <w:rPr>
          <w:rFonts w:cs="Arial"/>
        </w:rPr>
        <w:fldChar w:fldCharType="end"/>
      </w:r>
      <w:r w:rsidR="00926286" w:rsidRPr="004030F5">
        <w:rPr>
          <w:rFonts w:cs="Arial"/>
        </w:rPr>
        <w:t>.</w:t>
      </w:r>
      <w:r w:rsidR="002D2F7A" w:rsidRPr="004030F5">
        <w:rPr>
          <w:rFonts w:cs="Arial"/>
        </w:rPr>
        <w:t xml:space="preserve"> </w:t>
      </w:r>
      <w:r w:rsidR="00610995" w:rsidRPr="004030F5">
        <w:rPr>
          <w:rFonts w:cs="Arial"/>
        </w:rPr>
        <w:br w:type="page"/>
      </w:r>
    </w:p>
    <w:p w14:paraId="7A2DCF58" w14:textId="77777777" w:rsidR="00A007A2" w:rsidRPr="004030F5" w:rsidRDefault="00C179C8" w:rsidP="00A007A2">
      <w:pPr>
        <w:keepNext/>
        <w:rPr>
          <w:rFonts w:cs="Arial"/>
        </w:rPr>
      </w:pPr>
      <w:r w:rsidRPr="004030F5">
        <w:rPr>
          <w:rFonts w:cs="Arial"/>
          <w:noProof/>
        </w:rPr>
        <w:lastRenderedPageBreak/>
        <w:drawing>
          <wp:inline distT="0" distB="0" distL="0" distR="0" wp14:anchorId="12C01CDD" wp14:editId="49ED46AE">
            <wp:extent cx="5486400" cy="5296093"/>
            <wp:effectExtent l="0" t="0" r="0" b="127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5296093"/>
                    </a:xfrm>
                    <a:prstGeom prst="rect">
                      <a:avLst/>
                    </a:prstGeom>
                    <a:noFill/>
                    <a:ln>
                      <a:noFill/>
                    </a:ln>
                  </pic:spPr>
                </pic:pic>
              </a:graphicData>
            </a:graphic>
          </wp:inline>
        </w:drawing>
      </w:r>
    </w:p>
    <w:p w14:paraId="039F421A" w14:textId="065AB6F6" w:rsidR="00610995" w:rsidRPr="004030F5" w:rsidRDefault="00A007A2" w:rsidP="00A007A2">
      <w:pPr>
        <w:pStyle w:val="Caption"/>
        <w:jc w:val="left"/>
        <w:rPr>
          <w:rFonts w:cs="Arial"/>
          <w:b w:val="0"/>
        </w:rPr>
      </w:pPr>
      <w:bookmarkStart w:id="12" w:name="_Toc296333099"/>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6</w:t>
      </w:r>
      <w:r w:rsidRPr="004030F5">
        <w:rPr>
          <w:rFonts w:cs="Arial"/>
        </w:rPr>
        <w:fldChar w:fldCharType="end"/>
      </w:r>
      <w:r w:rsidRPr="004030F5">
        <w:rPr>
          <w:rFonts w:cs="Arial"/>
          <w:b w:val="0"/>
          <w:bCs w:val="0"/>
          <w:szCs w:val="24"/>
        </w:rPr>
        <w:t xml:space="preserve"> </w:t>
      </w:r>
      <w:r w:rsidR="00C179C8" w:rsidRPr="004030F5">
        <w:rPr>
          <w:rFonts w:cs="Arial"/>
        </w:rPr>
        <w:t>Data dependent acquisition (DDA) and data independent acquisition (DIA)</w:t>
      </w:r>
      <w:r w:rsidR="000C3E5B" w:rsidRPr="004030F5">
        <w:rPr>
          <w:rFonts w:cs="Arial"/>
        </w:rPr>
        <w:t xml:space="preserve">.  </w:t>
      </w:r>
      <w:r w:rsidR="000C3E5B" w:rsidRPr="004030F5">
        <w:rPr>
          <w:rFonts w:cs="Arial"/>
          <w:b w:val="0"/>
        </w:rPr>
        <w:t xml:space="preserve">DDA targets MS/MS scans with narrow isolation windows centered on specific precursor ion in </w:t>
      </w:r>
      <w:proofErr w:type="gramStart"/>
      <w:r w:rsidR="000C3E5B" w:rsidRPr="004030F5">
        <w:rPr>
          <w:rFonts w:cs="Arial"/>
          <w:b w:val="0"/>
        </w:rPr>
        <w:t>an</w:t>
      </w:r>
      <w:proofErr w:type="gramEnd"/>
      <w:r w:rsidR="000C3E5B" w:rsidRPr="004030F5">
        <w:rPr>
          <w:rFonts w:cs="Arial"/>
          <w:b w:val="0"/>
        </w:rPr>
        <w:t xml:space="preserve"> survey MS1 scan.  DIA </w:t>
      </w:r>
      <w:r w:rsidR="002F6AE0" w:rsidRPr="004030F5">
        <w:rPr>
          <w:rFonts w:cs="Arial"/>
          <w:b w:val="0"/>
        </w:rPr>
        <w:t xml:space="preserve">acquired MS/MS scans with </w:t>
      </w:r>
      <w:r w:rsidR="00571E89" w:rsidRPr="004030F5">
        <w:rPr>
          <w:rFonts w:cs="Arial"/>
          <w:b w:val="0"/>
        </w:rPr>
        <w:t>wide isolation</w:t>
      </w:r>
      <w:r w:rsidR="00E920E5" w:rsidRPr="004030F5">
        <w:rPr>
          <w:rFonts w:cs="Arial"/>
          <w:b w:val="0"/>
        </w:rPr>
        <w:t xml:space="preserve"> windows acquiring any peptide precursors.  </w:t>
      </w:r>
      <w:r w:rsidR="00B751EA" w:rsidRPr="004030F5">
        <w:rPr>
          <w:rFonts w:cs="Arial"/>
          <w:b w:val="0"/>
        </w:rPr>
        <w:t xml:space="preserve">Peptide precursor VLENTEIGDSIFDK++ is present in a single MS/MS spectrum in a DDA analysis, while </w:t>
      </w:r>
      <w:r w:rsidR="0048691F" w:rsidRPr="004030F5">
        <w:rPr>
          <w:rFonts w:cs="Arial"/>
          <w:b w:val="0"/>
        </w:rPr>
        <w:t>it</w:t>
      </w:r>
      <w:r w:rsidR="00686DB6" w:rsidRPr="004030F5">
        <w:rPr>
          <w:rFonts w:cs="Arial"/>
          <w:b w:val="0"/>
        </w:rPr>
        <w:t xml:space="preserve"> can be extracted from every retention times</w:t>
      </w:r>
      <w:r w:rsidR="0048691F" w:rsidRPr="004030F5">
        <w:rPr>
          <w:rFonts w:cs="Arial"/>
          <w:b w:val="0"/>
        </w:rPr>
        <w:t xml:space="preserve"> in DIA</w:t>
      </w:r>
      <w:r w:rsidR="00686DB6" w:rsidRPr="004030F5">
        <w:rPr>
          <w:rFonts w:cs="Arial"/>
          <w:b w:val="0"/>
        </w:rPr>
        <w:t>.</w:t>
      </w:r>
      <w:r w:rsidR="005661BC" w:rsidRPr="004030F5">
        <w:rPr>
          <w:rFonts w:cs="Arial"/>
          <w:b w:val="0"/>
        </w:rPr>
        <w:t xml:space="preserve">  This image was adapted from </w:t>
      </w:r>
      <w:r w:rsidR="00140D4F" w:rsidRPr="004030F5">
        <w:rPr>
          <w:rFonts w:cs="Arial"/>
          <w:b w:val="0"/>
        </w:rPr>
        <w:t xml:space="preserve">Egertson et al </w:t>
      </w:r>
      <w:r w:rsidR="00F11BF7" w:rsidRPr="004030F5">
        <w:rPr>
          <w:rFonts w:cs="Arial"/>
          <w:b w:val="0"/>
        </w:rPr>
        <w:fldChar w:fldCharType="begin"/>
      </w:r>
      <w:r w:rsidR="004A4CB1" w:rsidRPr="004030F5">
        <w:rPr>
          <w:rFonts w:cs="Arial"/>
          <w:b w:val="0"/>
        </w:rPr>
        <w:instrText xml:space="preserve"> ADDIN EN.CITE &lt;EndNote&gt;&lt;Cite&gt;&lt;Author&gt;Egertson&lt;/Author&gt;&lt;Year&gt;2015&lt;/Year&gt;&lt;RecNum&gt;54&lt;/RecNum&gt;&lt;DisplayText&gt;[31]&lt;/DisplayText&gt;&lt;record&gt;&lt;rec-number&gt;54&lt;/rec-number&gt;&lt;foreign-keys&gt;&lt;key app="EN" db-id="efx2002d5f0z21etvw3x9zp7tw2axpa2eez0" timestamp="1433357596"&gt;54&lt;/key&gt;&lt;/foreign-keys&gt;&lt;ref-type name="Journal Article"&gt;17&lt;/ref-type&gt;&lt;contributors&gt;&lt;authors&gt;&lt;author&gt;Egertson, Jarrett D&lt;/author&gt;&lt;author&gt;MacLean, Brendan&lt;/author&gt;&lt;author&gt;Johnson, Richard&lt;/author&gt;&lt;author&gt;Xuan, Yue&lt;/author&gt;&lt;author&gt;MacCoss, Michael J&lt;/author&gt;&lt;/authors&gt;&lt;/contributors&gt;&lt;titles&gt;&lt;title&gt;Multiplexed peptide analysis using data-independent acquisition and Skyline&lt;/title&gt;&lt;secondary-title&gt;Nature protocols&lt;/secondary-title&gt;&lt;/titles&gt;&lt;periodical&gt;&lt;full-title&gt;Nature protocols&lt;/full-title&gt;&lt;/periodical&gt;&lt;pages&gt;887-903&lt;/pages&gt;&lt;volume&gt;10&lt;/volume&gt;&lt;number&gt;6&lt;/number&gt;&lt;dates&gt;&lt;year&gt;2015&lt;/year&gt;&lt;/dates&gt;&lt;isbn&gt;1754-2189&lt;/isbn&gt;&lt;urls&gt;&lt;/urls&gt;&lt;/record&gt;&lt;/Cite&gt;&lt;/EndNote&gt;</w:instrText>
      </w:r>
      <w:r w:rsidR="00F11BF7" w:rsidRPr="004030F5">
        <w:rPr>
          <w:rFonts w:cs="Arial"/>
          <w:b w:val="0"/>
        </w:rPr>
        <w:fldChar w:fldCharType="separate"/>
      </w:r>
      <w:r w:rsidR="004A4CB1" w:rsidRPr="004030F5">
        <w:rPr>
          <w:rFonts w:cs="Arial"/>
          <w:b w:val="0"/>
          <w:noProof/>
        </w:rPr>
        <w:t>[31]</w:t>
      </w:r>
      <w:r w:rsidR="00F11BF7" w:rsidRPr="004030F5">
        <w:rPr>
          <w:rFonts w:cs="Arial"/>
          <w:b w:val="0"/>
        </w:rPr>
        <w:fldChar w:fldCharType="end"/>
      </w:r>
      <w:r w:rsidR="00140D4F" w:rsidRPr="004030F5">
        <w:rPr>
          <w:rFonts w:cs="Arial"/>
          <w:b w:val="0"/>
        </w:rPr>
        <w:t>.</w:t>
      </w:r>
      <w:bookmarkEnd w:id="12"/>
    </w:p>
    <w:p w14:paraId="6C2F0B14" w14:textId="402F50B0" w:rsidR="00D06044" w:rsidRPr="004030F5" w:rsidRDefault="005204F0" w:rsidP="00D06044">
      <w:pPr>
        <w:pStyle w:val="Footer"/>
        <w:numPr>
          <w:ilvl w:val="12"/>
          <w:numId w:val="0"/>
        </w:numPr>
        <w:tabs>
          <w:tab w:val="clear" w:pos="4320"/>
          <w:tab w:val="clear" w:pos="8640"/>
        </w:tabs>
        <w:spacing w:line="480" w:lineRule="auto"/>
        <w:rPr>
          <w:rFonts w:cs="Arial"/>
        </w:rPr>
      </w:pPr>
      <w:r w:rsidRPr="004030F5">
        <w:rPr>
          <w:rFonts w:cs="Arial"/>
        </w:rPr>
        <w:lastRenderedPageBreak/>
        <w:t xml:space="preserve">Even though DIA resolve limit of DDA, its data complexity is much higher than DDA because MS/MS spectrum of DIA has peaks from more than two peptides.  Traditional protein reference database search, widely used for DDA data, is not effective for DIA data due to presence of multi-peptides in MS/MS data.  There are several tools for DIA data analysis, such as Skyline </w:t>
      </w:r>
      <w:r w:rsidRPr="004030F5">
        <w:rPr>
          <w:rFonts w:cs="Arial"/>
        </w:rPr>
        <w:fldChar w:fldCharType="begin"/>
      </w:r>
      <w:r w:rsidR="004A4CB1" w:rsidRPr="004030F5">
        <w:rPr>
          <w:rFonts w:cs="Arial"/>
        </w:rPr>
        <w:instrText xml:space="preserve"> ADDIN EN.CITE &lt;EndNote&gt;&lt;Cite&gt;&lt;Author&gt;MacLean&lt;/Author&gt;&lt;Year&gt;2010&lt;/Year&gt;&lt;RecNum&gt;34&lt;/RecNum&gt;&lt;DisplayText&gt;[32]&lt;/DisplayText&gt;&lt;record&gt;&lt;rec-number&gt;34&lt;/rec-number&gt;&lt;foreign-keys&gt;&lt;key app="EN" db-id="efx2002d5f0z21etvw3x9zp7tw2axpa2eez0" timestamp="1433185778"&gt;34&lt;/key&gt;&lt;/foreign-keys&gt;&lt;ref-type name="Journal Article"&gt;17&lt;/ref-type&gt;&lt;contributors&gt;&lt;authors&gt;&lt;author&gt;MacLean, Brendan&lt;/author&gt;&lt;author&gt;Tomazela, Daniela M&lt;/author&gt;&lt;author&gt;Shulman, Nicholas&lt;/author&gt;&lt;author&gt;Chambers, Matthew&lt;/author&gt;&lt;author&gt;Finney, Gregory L&lt;/author&gt;&lt;author&gt;Frewen, Barbara&lt;/author&gt;&lt;author&gt;Kern, Randall&lt;/author&gt;&lt;author&gt;Tabb, David L&lt;/author&gt;&lt;author&gt;Liebler, Daniel C&lt;/author&gt;&lt;author&gt;MacCoss, Michael J&lt;/author&gt;&lt;/authors&gt;&lt;/contributors&gt;&lt;titles&gt;&lt;title&gt;Skyline: an open source document editor for creating and analyzing targeted proteomics experiments&lt;/title&gt;&lt;secondary-title&gt;Bioinformatics&lt;/secondary-title&gt;&lt;/titles&gt;&lt;periodical&gt;&lt;full-title&gt;Bioinformatics&lt;/full-title&gt;&lt;/periodical&gt;&lt;pages&gt;966-968&lt;/pages&gt;&lt;volume&gt;26&lt;/volume&gt;&lt;number&gt;7&lt;/number&gt;&lt;dates&gt;&lt;year&gt;2010&lt;/year&gt;&lt;/dates&gt;&lt;isbn&gt;1367-4803&lt;/isbn&gt;&lt;urls&gt;&lt;/urls&gt;&lt;/record&gt;&lt;/Cite&gt;&lt;/EndNote&gt;</w:instrText>
      </w:r>
      <w:r w:rsidRPr="004030F5">
        <w:rPr>
          <w:rFonts w:cs="Arial"/>
        </w:rPr>
        <w:fldChar w:fldCharType="separate"/>
      </w:r>
      <w:r w:rsidR="004A4CB1" w:rsidRPr="004030F5">
        <w:rPr>
          <w:rFonts w:cs="Arial"/>
          <w:noProof/>
        </w:rPr>
        <w:t>[32]</w:t>
      </w:r>
      <w:r w:rsidRPr="004030F5">
        <w:rPr>
          <w:rFonts w:cs="Arial"/>
        </w:rPr>
        <w:fldChar w:fldCharType="end"/>
      </w:r>
      <w:r w:rsidRPr="004030F5">
        <w:rPr>
          <w:rFonts w:cs="Arial"/>
        </w:rPr>
        <w:t xml:space="preserve">, OpenSWATH </w:t>
      </w:r>
      <w:r w:rsidRPr="004030F5">
        <w:rPr>
          <w:rFonts w:cs="Arial"/>
        </w:rPr>
        <w:fldChar w:fldCharType="begin"/>
      </w:r>
      <w:r w:rsidR="004A4CB1" w:rsidRPr="004030F5">
        <w:rPr>
          <w:rFonts w:cs="Arial"/>
        </w:rPr>
        <w:instrText xml:space="preserve"> ADDIN EN.CITE &lt;EndNote&gt;&lt;Cite&gt;&lt;Author&gt;Röst&lt;/Author&gt;&lt;Year&gt;2014&lt;/Year&gt;&lt;RecNum&gt;33&lt;/RecNum&gt;&lt;DisplayText&gt;[33]&lt;/DisplayText&gt;&lt;record&gt;&lt;rec-number&gt;33&lt;/rec-number&gt;&lt;foreign-keys&gt;&lt;key app="EN" db-id="efx2002d5f0z21etvw3x9zp7tw2axpa2eez0" timestamp="1433185732"&gt;33&lt;/key&gt;&lt;/foreign-keys&gt;&lt;ref-type name="Journal Article"&gt;17&lt;/ref-type&gt;&lt;contributors&gt;&lt;authors&gt;&lt;author&gt;Röst, Hannes L&lt;/author&gt;&lt;author&gt;Rosenberger, George&lt;/author&gt;&lt;author&gt;Navarro, Pedro&lt;/author&gt;&lt;author&gt;Gillet, Ludovic&lt;/author&gt;&lt;author&gt;Miladinović, Saša M&lt;/author&gt;&lt;author&gt;Schubert, Olga T&lt;/author&gt;&lt;author&gt;Wolski, Witold&lt;/author&gt;&lt;author&gt;Collins, Ben C&lt;/author&gt;&lt;author&gt;Malmström, Johan&lt;/author&gt;&lt;author&gt;Malmström, Lars&lt;/author&gt;&lt;/authors&gt;&lt;/contributors&gt;&lt;titles&gt;&lt;title&gt;OpenSWATH enables automated, targeted analysis of data-independent acquisition MS data&lt;/title&gt;&lt;secondary-title&gt;Nature biotechnology&lt;/secondary-title&gt;&lt;/titles&gt;&lt;periodical&gt;&lt;full-title&gt;Nature biotechnology&lt;/full-title&gt;&lt;/periodical&gt;&lt;pages&gt;219-223&lt;/pages&gt;&lt;volume&gt;32&lt;/volume&gt;&lt;number&gt;3&lt;/number&gt;&lt;dates&gt;&lt;year&gt;2014&lt;/year&gt;&lt;/dates&gt;&lt;isbn&gt;1087-0156&lt;/isbn&gt;&lt;urls&gt;&lt;/urls&gt;&lt;/record&gt;&lt;/Cite&gt;&lt;/EndNote&gt;</w:instrText>
      </w:r>
      <w:r w:rsidRPr="004030F5">
        <w:rPr>
          <w:rFonts w:cs="Arial"/>
        </w:rPr>
        <w:fldChar w:fldCharType="separate"/>
      </w:r>
      <w:r w:rsidR="004A4CB1" w:rsidRPr="004030F5">
        <w:rPr>
          <w:rFonts w:cs="Arial"/>
          <w:noProof/>
        </w:rPr>
        <w:t>[33]</w:t>
      </w:r>
      <w:r w:rsidRPr="004030F5">
        <w:rPr>
          <w:rFonts w:cs="Arial"/>
        </w:rPr>
        <w:fldChar w:fldCharType="end"/>
      </w:r>
      <w:r w:rsidRPr="004030F5">
        <w:rPr>
          <w:rFonts w:cs="Arial"/>
        </w:rPr>
        <w:t xml:space="preserve"> and UDMS</w:t>
      </w:r>
      <w:r w:rsidRPr="004030F5">
        <w:rPr>
          <w:rFonts w:cs="Arial"/>
          <w:vertAlign w:val="superscript"/>
        </w:rPr>
        <w:t>E</w:t>
      </w:r>
      <w:r w:rsidRPr="004030F5">
        <w:rPr>
          <w:rFonts w:cs="Arial"/>
        </w:rPr>
        <w:t xml:space="preserve"> </w:t>
      </w:r>
      <w:r w:rsidRPr="004030F5">
        <w:rPr>
          <w:rFonts w:cs="Arial"/>
        </w:rPr>
        <w:fldChar w:fldCharType="begin"/>
      </w:r>
      <w:r w:rsidR="004A4CB1" w:rsidRPr="004030F5">
        <w:rPr>
          <w:rFonts w:cs="Arial"/>
        </w:rPr>
        <w:instrText xml:space="preserve"> ADDIN EN.CITE &lt;EndNote&gt;&lt;Cite&gt;&lt;Author&gt;Distler&lt;/Author&gt;&lt;Year&gt;2014&lt;/Year&gt;&lt;RecNum&gt;35&lt;/RecNum&gt;&lt;DisplayText&gt;[34]&lt;/DisplayText&gt;&lt;record&gt;&lt;rec-number&gt;35&lt;/rec-number&gt;&lt;foreign-keys&gt;&lt;key app="EN" db-id="efx2002d5f0z21etvw3x9zp7tw2axpa2eez0" timestamp="1433186169"&gt;35&lt;/key&gt;&lt;/foreign-keys&gt;&lt;ref-type name="Journal Article"&gt;17&lt;/ref-type&gt;&lt;contributors&gt;&lt;authors&gt;&lt;author&gt;Distler, Ute&lt;/author&gt;&lt;author&gt;Kuharev, Jörg&lt;/author&gt;&lt;author&gt;Navarro, Pedro&lt;/author&gt;&lt;author&gt;Levin, Yishai&lt;/author&gt;&lt;author&gt;Schild, Hansjörg&lt;/author&gt;&lt;author&gt;Tenzer, Stefan&lt;/author&gt;&lt;/authors&gt;&lt;/contributors&gt;&lt;titles&gt;&lt;title&gt;Drift time-specific collision energies enable deep-coverage data-independent acquisition proteomics&lt;/title&gt;&lt;secondary-title&gt;Nature methods&lt;/secondary-title&gt;&lt;/titles&gt;&lt;periodical&gt;&lt;full-title&gt;Nature methods&lt;/full-title&gt;&lt;/periodical&gt;&lt;pages&gt;167-170&lt;/pages&gt;&lt;volume&gt;11&lt;/volume&gt;&lt;number&gt;2&lt;/number&gt;&lt;dates&gt;&lt;year&gt;2014&lt;/year&gt;&lt;/dates&gt;&lt;isbn&gt;1548-7091&lt;/isbn&gt;&lt;urls&gt;&lt;/urls&gt;&lt;/record&gt;&lt;/Cite&gt;&lt;/EndNote&gt;</w:instrText>
      </w:r>
      <w:r w:rsidRPr="004030F5">
        <w:rPr>
          <w:rFonts w:cs="Arial"/>
        </w:rPr>
        <w:fldChar w:fldCharType="separate"/>
      </w:r>
      <w:r w:rsidR="004A4CB1" w:rsidRPr="004030F5">
        <w:rPr>
          <w:rFonts w:cs="Arial"/>
          <w:noProof/>
        </w:rPr>
        <w:t>[34]</w:t>
      </w:r>
      <w:r w:rsidRPr="004030F5">
        <w:rPr>
          <w:rFonts w:cs="Arial"/>
        </w:rPr>
        <w:fldChar w:fldCharType="end"/>
      </w:r>
      <w:r w:rsidRPr="004030F5">
        <w:rPr>
          <w:rFonts w:cs="Arial"/>
        </w:rPr>
        <w:t xml:space="preserve">, but DIA still has a long way to go in spite of its rapid development speed </w:t>
      </w:r>
      <w:r w:rsidRPr="004030F5">
        <w:rPr>
          <w:rFonts w:cs="Arial"/>
        </w:rPr>
        <w:fldChar w:fldCharType="begin"/>
      </w:r>
      <w:r w:rsidR="004A4CB1" w:rsidRPr="004030F5">
        <w:rPr>
          <w:rFonts w:cs="Arial"/>
        </w:rPr>
        <w:instrText xml:space="preserve"> ADDIN EN.CITE &lt;EndNote&gt;&lt;Cite&gt;&lt;Author&gt;Doerr&lt;/Author&gt;&lt;Year&gt;2015&lt;/Year&gt;&lt;RecNum&gt;32&lt;/RecNum&gt;&lt;DisplayText&gt;[35]&lt;/DisplayText&gt;&lt;record&gt;&lt;rec-number&gt;32&lt;/rec-number&gt;&lt;foreign-keys&gt;&lt;key app="EN" db-id="efx2002d5f0z21etvw3x9zp7tw2axpa2eez0" timestamp="1433185653"&gt;32&lt;/key&gt;&lt;/foreign-keys&gt;&lt;ref-type name="Journal Article"&gt;17&lt;/ref-type&gt;&lt;contributors&gt;&lt;authors&gt;&lt;author&gt;Doerr, Allison&lt;/author&gt;&lt;/authors&gt;&lt;/contributors&gt;&lt;titles&gt;&lt;title&gt;DIA mass spectrometry&lt;/title&gt;&lt;secondary-title&gt;Nature Methods&lt;/secondary-title&gt;&lt;/titles&gt;&lt;periodical&gt;&lt;full-title&gt;Nature methods&lt;/full-title&gt;&lt;/periodical&gt;&lt;pages&gt;35-35&lt;/pages&gt;&lt;volume&gt;12&lt;/volume&gt;&lt;number&gt;1&lt;/number&gt;&lt;dates&gt;&lt;year&gt;2015&lt;/year&gt;&lt;/dates&gt;&lt;isbn&gt;1548-7091&lt;/isbn&gt;&lt;urls&gt;&lt;/urls&gt;&lt;/record&gt;&lt;/Cite&gt;&lt;/EndNote&gt;</w:instrText>
      </w:r>
      <w:r w:rsidRPr="004030F5">
        <w:rPr>
          <w:rFonts w:cs="Arial"/>
        </w:rPr>
        <w:fldChar w:fldCharType="separate"/>
      </w:r>
      <w:r w:rsidR="004A4CB1" w:rsidRPr="004030F5">
        <w:rPr>
          <w:rFonts w:cs="Arial"/>
          <w:noProof/>
        </w:rPr>
        <w:t>[35]</w:t>
      </w:r>
      <w:r w:rsidRPr="004030F5">
        <w:rPr>
          <w:rFonts w:cs="Arial"/>
        </w:rPr>
        <w:fldChar w:fldCharType="end"/>
      </w:r>
      <w:r w:rsidRPr="004030F5">
        <w:rPr>
          <w:rFonts w:cs="Arial"/>
        </w:rPr>
        <w:t xml:space="preserve">.  </w:t>
      </w:r>
      <w:r w:rsidR="00D06044" w:rsidRPr="004030F5">
        <w:rPr>
          <w:rFonts w:cs="Arial"/>
        </w:rPr>
        <w:t>There is no metaproteomics publication using DIA because DIA makes intricate metaproteomics data even more complicated.  However, DIA is worth to enhance depth of metaproteome if following bioinformatics can afford to analyze the higly complex data.</w:t>
      </w:r>
    </w:p>
    <w:p w14:paraId="35087443" w14:textId="13898935" w:rsidR="00A007A2" w:rsidRPr="004030F5" w:rsidRDefault="0049764E" w:rsidP="009D2A59">
      <w:pPr>
        <w:pStyle w:val="Footer"/>
        <w:numPr>
          <w:ilvl w:val="12"/>
          <w:numId w:val="0"/>
        </w:numPr>
        <w:tabs>
          <w:tab w:val="clear" w:pos="4320"/>
          <w:tab w:val="clear" w:pos="8640"/>
        </w:tabs>
        <w:spacing w:line="480" w:lineRule="auto"/>
        <w:ind w:firstLine="720"/>
        <w:rPr>
          <w:rFonts w:cs="Arial"/>
        </w:rPr>
      </w:pPr>
      <w:r w:rsidRPr="004030F5">
        <w:rPr>
          <w:rFonts w:cs="Arial"/>
        </w:rPr>
        <w:t>Quantification of proteins, the goal of metaproteomics, is</w:t>
      </w:r>
      <w:r w:rsidR="009B4DD4" w:rsidRPr="004030F5">
        <w:rPr>
          <w:rFonts w:cs="Arial"/>
        </w:rPr>
        <w:t xml:space="preserve"> directed </w:t>
      </w:r>
      <w:r w:rsidR="004C23AD" w:rsidRPr="004030F5">
        <w:rPr>
          <w:rFonts w:cs="Arial"/>
        </w:rPr>
        <w:t xml:space="preserve">at various </w:t>
      </w:r>
      <w:r w:rsidR="00564488" w:rsidRPr="004030F5">
        <w:rPr>
          <w:rFonts w:cs="Arial"/>
        </w:rPr>
        <w:t xml:space="preserve">labeling </w:t>
      </w:r>
      <w:r w:rsidR="004C23AD" w:rsidRPr="004030F5">
        <w:rPr>
          <w:rFonts w:cs="Arial"/>
        </w:rPr>
        <w:t>methods and</w:t>
      </w:r>
      <w:r w:rsidRPr="004030F5">
        <w:rPr>
          <w:rFonts w:cs="Arial"/>
        </w:rPr>
        <w:t xml:space="preserve"> limited by dynamic range and sensitivity of MS instrument</w:t>
      </w:r>
      <w:r w:rsidR="00EE18CC" w:rsidRPr="004030F5">
        <w:rPr>
          <w:rFonts w:cs="Arial"/>
        </w:rPr>
        <w:t xml:space="preserve"> </w:t>
      </w:r>
      <w:r w:rsidRPr="004030F5">
        <w:rPr>
          <w:rFonts w:cs="Arial"/>
        </w:rPr>
        <w:fldChar w:fldCharType="begin"/>
      </w:r>
      <w:r w:rsidR="006B3205" w:rsidRPr="004030F5">
        <w:rPr>
          <w:rFonts w:cs="Arial"/>
        </w:rPr>
        <w:instrText xml:space="preserve"> ADDIN EN.CITE &lt;EndNote&gt;&lt;Cite&gt;&lt;Author&gt;Bantscheff&lt;/Author&gt;&lt;Year&gt;2007&lt;/Year&gt;&lt;RecNum&gt;37&lt;/RecNum&gt;&lt;DisplayText&gt;[36]&lt;/DisplayText&gt;&lt;record&gt;&lt;rec-number&gt;37&lt;/rec-number&gt;&lt;foreign-keys&gt;&lt;key app="EN" db-id="efx2002d5f0z21etvw3x9zp7tw2axpa2eez0" timestamp="1433190226"&gt;37&lt;/key&gt;&lt;/foreign-keys&gt;&lt;ref-type name="Journal Article"&gt;17&lt;/ref-type&gt;&lt;contributors&gt;&lt;authors&gt;&lt;author&gt;Bantscheff, Marcus&lt;/author&gt;&lt;author&gt;Schirle, Markus&lt;/author&gt;&lt;author&gt;Sweetman, Gavain&lt;/author&gt;&lt;author&gt;Rick, Jens&lt;/author&gt;&lt;author&gt;Kuster, Bernhard&lt;/author&gt;&lt;/authors&gt;&lt;/contributors&gt;&lt;titles&gt;&lt;title&gt;Quantitative mass spectrometry in proteomics: a critical review&lt;/title&gt;&lt;secondary-title&gt;Analytical and bioanalytical chemistry&lt;/secondary-title&gt;&lt;/titles&gt;&lt;periodical&gt;&lt;full-title&gt;Analytical and bioanalytical chemistry&lt;/full-title&gt;&lt;/periodical&gt;&lt;pages&gt;1017-1031&lt;/pages&gt;&lt;volume&gt;389&lt;/volume&gt;&lt;number&gt;4&lt;/number&gt;&lt;dates&gt;&lt;year&gt;2007&lt;/year&gt;&lt;/dates&gt;&lt;isbn&gt;1618-2642&lt;/isbn&gt;&lt;urls&gt;&lt;/urls&gt;&lt;/record&gt;&lt;/Cite&gt;&lt;/EndNote&gt;</w:instrText>
      </w:r>
      <w:r w:rsidRPr="004030F5">
        <w:rPr>
          <w:rFonts w:cs="Arial"/>
        </w:rPr>
        <w:fldChar w:fldCharType="separate"/>
      </w:r>
      <w:r w:rsidR="006B3205" w:rsidRPr="004030F5">
        <w:rPr>
          <w:rFonts w:cs="Arial"/>
          <w:noProof/>
        </w:rPr>
        <w:t>[36]</w:t>
      </w:r>
      <w:r w:rsidRPr="004030F5">
        <w:rPr>
          <w:rFonts w:cs="Arial"/>
        </w:rPr>
        <w:fldChar w:fldCharType="end"/>
      </w:r>
      <w:r w:rsidRPr="004030F5">
        <w:rPr>
          <w:rFonts w:cs="Arial"/>
        </w:rPr>
        <w:t>.</w:t>
      </w:r>
      <w:r w:rsidR="005C4B97" w:rsidRPr="004030F5">
        <w:rPr>
          <w:rFonts w:cs="Arial"/>
        </w:rPr>
        <w:t xml:space="preserve">  The number of proteins is getting smaller and smaller while </w:t>
      </w:r>
      <w:r w:rsidR="00252C44" w:rsidRPr="004030F5">
        <w:rPr>
          <w:rFonts w:cs="Arial"/>
        </w:rPr>
        <w:t>following metaproteomics experiment steps</w:t>
      </w:r>
      <w:r w:rsidR="00AA2050" w:rsidRPr="004030F5">
        <w:rPr>
          <w:rFonts w:cs="Arial"/>
        </w:rPr>
        <w:t xml:space="preserve"> (Fig. 7</w:t>
      </w:r>
      <w:r w:rsidR="009F3977" w:rsidRPr="004030F5">
        <w:rPr>
          <w:rFonts w:cs="Arial"/>
        </w:rPr>
        <w:t>)</w:t>
      </w:r>
      <w:r w:rsidR="00252C44" w:rsidRPr="004030F5">
        <w:rPr>
          <w:rFonts w:cs="Arial"/>
        </w:rPr>
        <w:t>.</w:t>
      </w:r>
      <w:r w:rsidR="00997A31" w:rsidRPr="004030F5">
        <w:rPr>
          <w:rFonts w:cs="Arial"/>
        </w:rPr>
        <w:t xml:space="preserve">  </w:t>
      </w:r>
      <w:r w:rsidR="00343918" w:rsidRPr="004030F5">
        <w:rPr>
          <w:rFonts w:cs="Arial"/>
        </w:rPr>
        <w:t>Labeling method can be categorized into metabolic labeling</w:t>
      </w:r>
      <w:r w:rsidR="008A770B" w:rsidRPr="004030F5">
        <w:rPr>
          <w:rFonts w:cs="Arial"/>
        </w:rPr>
        <w:t xml:space="preserve"> (SILAC</w:t>
      </w:r>
      <w:r w:rsidR="00463E2B" w:rsidRPr="004030F5">
        <w:rPr>
          <w:rFonts w:cs="Arial"/>
        </w:rPr>
        <w:fldChar w:fldCharType="begin"/>
      </w:r>
      <w:r w:rsidR="006B3205" w:rsidRPr="004030F5">
        <w:rPr>
          <w:rFonts w:cs="Arial"/>
        </w:rPr>
        <w:instrText xml:space="preserve"> ADDIN EN.CITE &lt;EndNote&gt;&lt;Cite&gt;&lt;Author&gt;Ong&lt;/Author&gt;&lt;Year&gt;2002&lt;/Year&gt;&lt;RecNum&gt;47&lt;/RecNum&gt;&lt;DisplayText&gt;[37]&lt;/DisplayText&gt;&lt;record&gt;&lt;rec-number&gt;47&lt;/rec-number&gt;&lt;foreign-keys&gt;&lt;key app="EN" db-id="efx2002d5f0z21etvw3x9zp7tw2axpa2eez0" timestamp="1433211872"&gt;47&lt;/key&gt;&lt;/foreign-keys&gt;&lt;ref-type name="Journal Article"&gt;17&lt;/ref-type&gt;&lt;contributors&gt;&lt;authors&gt;&lt;author&gt;Ong, Shao-En&lt;/author&gt;&lt;author&gt;Blagoev, Blagoy&lt;/author&gt;&lt;author&gt;Kratchmarova, Irina&lt;/author&gt;&lt;author&gt;Kristensen, Dan Bach&lt;/author&gt;&lt;author&gt;Steen, Hanno&lt;/author&gt;&lt;author&gt;Pandey, Akhilesh&lt;/author&gt;&lt;author&gt;Mann, Matthias&lt;/author&gt;&lt;/authors&gt;&lt;/contributors&gt;&lt;titles&gt;&lt;title&gt;Stable isotope labeling by amino acids in cell culture, SILAC, as a simple and accurate approach to expression proteomics&lt;/title&gt;&lt;secondary-title&gt;Molecular &amp;amp; cellular proteomics&lt;/secondary-title&gt;&lt;/titles&gt;&lt;periodical&gt;&lt;full-title&gt;Molecular &amp;amp; Cellular Proteomics&lt;/full-title&gt;&lt;/periodical&gt;&lt;pages&gt;376-386&lt;/pages&gt;&lt;volume&gt;1&lt;/volume&gt;&lt;number&gt;5&lt;/number&gt;&lt;dates&gt;&lt;year&gt;2002&lt;/year&gt;&lt;/dates&gt;&lt;isbn&gt;1535-9476&lt;/isbn&gt;&lt;urls&gt;&lt;/urls&gt;&lt;/record&gt;&lt;/Cite&gt;&lt;/EndNote&gt;</w:instrText>
      </w:r>
      <w:r w:rsidR="00463E2B" w:rsidRPr="004030F5">
        <w:rPr>
          <w:rFonts w:cs="Arial"/>
        </w:rPr>
        <w:fldChar w:fldCharType="separate"/>
      </w:r>
      <w:r w:rsidR="006B3205" w:rsidRPr="004030F5">
        <w:rPr>
          <w:rFonts w:cs="Arial"/>
          <w:noProof/>
        </w:rPr>
        <w:t>[37]</w:t>
      </w:r>
      <w:r w:rsidR="00463E2B" w:rsidRPr="004030F5">
        <w:rPr>
          <w:rFonts w:cs="Arial"/>
        </w:rPr>
        <w:fldChar w:fldCharType="end"/>
      </w:r>
      <w:r w:rsidR="008A770B" w:rsidRPr="004030F5">
        <w:rPr>
          <w:rFonts w:cs="Arial"/>
        </w:rPr>
        <w:t xml:space="preserve"> and isotopes)</w:t>
      </w:r>
      <w:r w:rsidR="00343918" w:rsidRPr="004030F5">
        <w:rPr>
          <w:rFonts w:cs="Arial"/>
        </w:rPr>
        <w:t>, chemical labeling</w:t>
      </w:r>
      <w:r w:rsidR="00010707" w:rsidRPr="004030F5">
        <w:rPr>
          <w:rFonts w:cs="Arial"/>
        </w:rPr>
        <w:t xml:space="preserve"> (</w:t>
      </w:r>
      <w:r w:rsidR="003E1E97" w:rsidRPr="004030F5">
        <w:rPr>
          <w:rFonts w:cs="Arial"/>
        </w:rPr>
        <w:t>ICAT</w:t>
      </w:r>
      <w:r w:rsidR="001B1799" w:rsidRPr="004030F5">
        <w:rPr>
          <w:rFonts w:cs="Arial"/>
        </w:rPr>
        <w:t xml:space="preserve"> </w:t>
      </w:r>
      <w:r w:rsidR="001B1799" w:rsidRPr="004030F5">
        <w:rPr>
          <w:rFonts w:cs="Arial"/>
        </w:rPr>
        <w:fldChar w:fldCharType="begin"/>
      </w:r>
      <w:r w:rsidR="006B3205" w:rsidRPr="004030F5">
        <w:rPr>
          <w:rFonts w:cs="Arial"/>
        </w:rPr>
        <w:instrText xml:space="preserve"> ADDIN EN.CITE &lt;EndNote&gt;&lt;Cite&gt;&lt;Author&gt;Gygi&lt;/Author&gt;&lt;Year&gt;1999&lt;/Year&gt;&lt;RecNum&gt;48&lt;/RecNum&gt;&lt;DisplayText&gt;[38,39]&lt;/DisplayText&gt;&lt;record&gt;&lt;rec-number&gt;48&lt;/rec-number&gt;&lt;foreign-keys&gt;&lt;key app="EN" db-id="efx2002d5f0z21etvw3x9zp7tw2axpa2eez0" timestamp="1433211970"&gt;48&lt;/key&gt;&lt;/foreign-keys&gt;&lt;ref-type name="Journal Article"&gt;17&lt;/ref-type&gt;&lt;contributors&gt;&lt;authors&gt;&lt;author&gt;Gygi, Steven P&lt;/author&gt;&lt;author&gt;Rist, Beate&lt;/author&gt;&lt;author&gt;Gerber, Scott A&lt;/author&gt;&lt;author&gt;Turecek, Frantisek&lt;/author&gt;&lt;author&gt;Gelb, Michael H&lt;/author&gt;&lt;author&gt;Aebersold, Ruedi&lt;/author&gt;&lt;/authors&gt;&lt;/contributors&gt;&lt;titles&gt;&lt;title&gt;Quantitative analysis of complex protein mixtures using isotope-coded affinity tags&lt;/title&gt;&lt;secondary-title&gt;Nature biotechnology&lt;/secondary-title&gt;&lt;/titles&gt;&lt;periodical&gt;&lt;full-title&gt;Nature biotechnology&lt;/full-title&gt;&lt;/periodical&gt;&lt;pages&gt;994-999&lt;/pages&gt;&lt;volume&gt;17&lt;/volume&gt;&lt;number&gt;10&lt;/number&gt;&lt;dates&gt;&lt;year&gt;1999&lt;/year&gt;&lt;/dates&gt;&lt;isbn&gt;1087-0156&lt;/isbn&gt;&lt;urls&gt;&lt;/urls&gt;&lt;/record&gt;&lt;/Cite&gt;&lt;Cite&gt;&lt;Author&gt;Ross&lt;/Author&gt;&lt;Year&gt;2004&lt;/Year&gt;&lt;RecNum&gt;49&lt;/RecNum&gt;&lt;record&gt;&lt;rec-number&gt;49&lt;/rec-number&gt;&lt;foreign-keys&gt;&lt;key app="EN" db-id="efx2002d5f0z21etvw3x9zp7tw2axpa2eez0" timestamp="1433212026"&gt;49&lt;/key&gt;&lt;/foreign-keys&gt;&lt;ref-type name="Journal Article"&gt;17&lt;/ref-type&gt;&lt;contributors&gt;&lt;authors&gt;&lt;author&gt;Ross, Philip L&lt;/author&gt;&lt;author&gt;Huang, Yulin N&lt;/author&gt;&lt;author&gt;Marchese, Jason N&lt;/author&gt;&lt;author&gt;Williamson, Brian&lt;/author&gt;&lt;author&gt;Parker, Kenneth&lt;/author&gt;&lt;author&gt;Hattan, Stephen&lt;/author&gt;&lt;author&gt;Khainovski, Nikita&lt;/author&gt;&lt;author&gt;Pillai, Sasi&lt;/author&gt;&lt;author&gt;Dey, Subhakar&lt;/author&gt;&lt;author&gt;Daniels, Scott&lt;/author&gt;&lt;/authors&gt;&lt;/contributors&gt;&lt;titles&gt;&lt;title&gt;Multiplexed protein quantitation in Saccharomyces cerevisiae using amine-reactive isobaric tagging reagents&lt;/title&gt;&lt;secondary-title&gt;Molecular &amp;amp; cellular proteomics&lt;/secondary-title&gt;&lt;/titles&gt;&lt;periodical&gt;&lt;full-title&gt;Molecular &amp;amp; Cellular Proteomics&lt;/full-title&gt;&lt;/periodical&gt;&lt;pages&gt;1154-1169&lt;/pages&gt;&lt;volume&gt;3&lt;/volume&gt;&lt;number&gt;12&lt;/number&gt;&lt;dates&gt;&lt;year&gt;2004&lt;/year&gt;&lt;/dates&gt;&lt;isbn&gt;1535-9476&lt;/isbn&gt;&lt;urls&gt;&lt;/urls&gt;&lt;/record&gt;&lt;/Cite&gt;&lt;/EndNote&gt;</w:instrText>
      </w:r>
      <w:r w:rsidR="001B1799" w:rsidRPr="004030F5">
        <w:rPr>
          <w:rFonts w:cs="Arial"/>
        </w:rPr>
        <w:fldChar w:fldCharType="separate"/>
      </w:r>
      <w:r w:rsidR="006B3205" w:rsidRPr="004030F5">
        <w:rPr>
          <w:rFonts w:cs="Arial"/>
          <w:noProof/>
        </w:rPr>
        <w:t>[38,39]</w:t>
      </w:r>
      <w:r w:rsidR="001B1799" w:rsidRPr="004030F5">
        <w:rPr>
          <w:rFonts w:cs="Arial"/>
        </w:rPr>
        <w:fldChar w:fldCharType="end"/>
      </w:r>
      <w:r w:rsidR="003E1E97" w:rsidRPr="004030F5">
        <w:rPr>
          <w:rFonts w:cs="Arial"/>
        </w:rPr>
        <w:t xml:space="preserve">, </w:t>
      </w:r>
      <w:r w:rsidR="00010707" w:rsidRPr="004030F5">
        <w:rPr>
          <w:rFonts w:cs="Arial"/>
        </w:rPr>
        <w:t>iT</w:t>
      </w:r>
      <w:r w:rsidR="003E1E97" w:rsidRPr="004030F5">
        <w:rPr>
          <w:rFonts w:cs="Arial"/>
        </w:rPr>
        <w:t>RAQ</w:t>
      </w:r>
      <w:r w:rsidR="00D76F15" w:rsidRPr="004030F5">
        <w:rPr>
          <w:rFonts w:cs="Arial"/>
        </w:rPr>
        <w:t xml:space="preserve"> </w:t>
      </w:r>
      <w:r w:rsidR="00D76F15" w:rsidRPr="004030F5">
        <w:rPr>
          <w:rFonts w:cs="Arial"/>
        </w:rPr>
        <w:fldChar w:fldCharType="begin"/>
      </w:r>
      <w:r w:rsidR="006B3205" w:rsidRPr="004030F5">
        <w:rPr>
          <w:rFonts w:cs="Arial"/>
        </w:rPr>
        <w:instrText xml:space="preserve"> ADDIN EN.CITE &lt;EndNote&gt;&lt;Cite&gt;&lt;Author&gt;Ross&lt;/Author&gt;&lt;Year&gt;2004&lt;/Year&gt;&lt;RecNum&gt;49&lt;/RecNum&gt;&lt;DisplayText&gt;[39]&lt;/DisplayText&gt;&lt;record&gt;&lt;rec-number&gt;49&lt;/rec-number&gt;&lt;foreign-keys&gt;&lt;key app="EN" db-id="efx2002d5f0z21etvw3x9zp7tw2axpa2eez0" timestamp="1433212026"&gt;49&lt;/key&gt;&lt;/foreign-keys&gt;&lt;ref-type name="Journal Article"&gt;17&lt;/ref-type&gt;&lt;contributors&gt;&lt;authors&gt;&lt;author&gt;Ross, Philip L&lt;/author&gt;&lt;author&gt;Huang, Yulin N&lt;/author&gt;&lt;author&gt;Marchese, Jason N&lt;/author&gt;&lt;author&gt;Williamson, Brian&lt;/author&gt;&lt;author&gt;Parker, Kenneth&lt;/author&gt;&lt;author&gt;Hattan, Stephen&lt;/author&gt;&lt;author&gt;Khainovski, Nikita&lt;/author&gt;&lt;author&gt;Pillai, Sasi&lt;/author&gt;&lt;author&gt;Dey, Subhakar&lt;/author&gt;&lt;author&gt;Daniels, Scott&lt;/author&gt;&lt;/authors&gt;&lt;/contributors&gt;&lt;titles&gt;&lt;title&gt;Multiplexed protein quantitation in Saccharomyces cerevisiae using amine-reactive isobaric tagging reagents&lt;/title&gt;&lt;secondary-title&gt;Molecular &amp;amp; cellular proteomics&lt;/secondary-title&gt;&lt;/titles&gt;&lt;periodical&gt;&lt;full-title&gt;Molecular &amp;amp; Cellular Proteomics&lt;/full-title&gt;&lt;/periodical&gt;&lt;pages&gt;1154-1169&lt;/pages&gt;&lt;volume&gt;3&lt;/volume&gt;&lt;number&gt;12&lt;/number&gt;&lt;dates&gt;&lt;year&gt;2004&lt;/year&gt;&lt;/dates&gt;&lt;isbn&gt;1535-9476&lt;/isbn&gt;&lt;urls&gt;&lt;/urls&gt;&lt;/record&gt;&lt;/Cite&gt;&lt;/EndNote&gt;</w:instrText>
      </w:r>
      <w:r w:rsidR="00D76F15" w:rsidRPr="004030F5">
        <w:rPr>
          <w:rFonts w:cs="Arial"/>
        </w:rPr>
        <w:fldChar w:fldCharType="separate"/>
      </w:r>
      <w:r w:rsidR="006B3205" w:rsidRPr="004030F5">
        <w:rPr>
          <w:rFonts w:cs="Arial"/>
          <w:noProof/>
        </w:rPr>
        <w:t>[39]</w:t>
      </w:r>
      <w:r w:rsidR="00D76F15" w:rsidRPr="004030F5">
        <w:rPr>
          <w:rFonts w:cs="Arial"/>
        </w:rPr>
        <w:fldChar w:fldCharType="end"/>
      </w:r>
      <w:r w:rsidR="003E1E97" w:rsidRPr="004030F5">
        <w:rPr>
          <w:rFonts w:cs="Arial"/>
        </w:rPr>
        <w:t xml:space="preserve"> and</w:t>
      </w:r>
      <w:r w:rsidR="00010707" w:rsidRPr="004030F5">
        <w:rPr>
          <w:rFonts w:cs="Arial"/>
        </w:rPr>
        <w:t xml:space="preserve"> TMT</w:t>
      </w:r>
      <w:r w:rsidR="00D76F15" w:rsidRPr="004030F5">
        <w:rPr>
          <w:rFonts w:cs="Arial"/>
        </w:rPr>
        <w:fldChar w:fldCharType="begin"/>
      </w:r>
      <w:r w:rsidR="006B3205" w:rsidRPr="004030F5">
        <w:rPr>
          <w:rFonts w:cs="Arial"/>
        </w:rPr>
        <w:instrText xml:space="preserve"> ADDIN EN.CITE &lt;EndNote&gt;&lt;Cite&gt;&lt;Author&gt;Thompson&lt;/Author&gt;&lt;Year&gt;2003&lt;/Year&gt;&lt;RecNum&gt;50&lt;/RecNum&gt;&lt;DisplayText&gt;[40]&lt;/DisplayText&gt;&lt;record&gt;&lt;rec-number&gt;50&lt;/rec-number&gt;&lt;foreign-keys&gt;&lt;key app="EN" db-id="efx2002d5f0z21etvw3x9zp7tw2axpa2eez0" timestamp="1433212148"&gt;50&lt;/key&gt;&lt;/foreign-keys&gt;&lt;ref-type name="Journal Article"&gt;17&lt;/ref-type&gt;&lt;contributors&gt;&lt;authors&gt;&lt;author&gt;Thompson, Andrew&lt;/author&gt;&lt;author&gt;Schäfer, Jürgen&lt;/author&gt;&lt;author&gt;Kuhn, Karsten&lt;/author&gt;&lt;author&gt;Kienle, Stefan&lt;/author&gt;&lt;author&gt;Schwarz, Josef&lt;/author&gt;&lt;author&gt;Schmidt, Günter&lt;/author&gt;&lt;author&gt;Neumann, Thomas&lt;/author&gt;&lt;author&gt;Hamon, Christian&lt;/author&gt;&lt;/authors&gt;&lt;/contributors&gt;&lt;titles&gt;&lt;title&gt;Tandem mass tags: a novel quantification strategy for comparative analysis of complex protein mixtures by MS/MS&lt;/title&gt;&lt;secondary-title&gt;Analytical chemistry&lt;/secondary-title&gt;&lt;/titles&gt;&lt;periodical&gt;&lt;full-title&gt;Analytical chemistry&lt;/full-title&gt;&lt;/periodical&gt;&lt;pages&gt;1895-1904&lt;/pages&gt;&lt;volume&gt;75&lt;/volume&gt;&lt;number&gt;8&lt;/number&gt;&lt;dates&gt;&lt;year&gt;2003&lt;/year&gt;&lt;/dates&gt;&lt;isbn&gt;0003-2700&lt;/isbn&gt;&lt;urls&gt;&lt;/urls&gt;&lt;/record&gt;&lt;/Cite&gt;&lt;/EndNote&gt;</w:instrText>
      </w:r>
      <w:r w:rsidR="00D76F15" w:rsidRPr="004030F5">
        <w:rPr>
          <w:rFonts w:cs="Arial"/>
        </w:rPr>
        <w:fldChar w:fldCharType="separate"/>
      </w:r>
      <w:r w:rsidR="006B3205" w:rsidRPr="004030F5">
        <w:rPr>
          <w:rFonts w:cs="Arial"/>
          <w:noProof/>
        </w:rPr>
        <w:t>[40]</w:t>
      </w:r>
      <w:r w:rsidR="00D76F15" w:rsidRPr="004030F5">
        <w:rPr>
          <w:rFonts w:cs="Arial"/>
        </w:rPr>
        <w:fldChar w:fldCharType="end"/>
      </w:r>
      <w:r w:rsidR="00010707" w:rsidRPr="004030F5">
        <w:rPr>
          <w:rFonts w:cs="Arial"/>
        </w:rPr>
        <w:t>)</w:t>
      </w:r>
      <w:r w:rsidR="00343918" w:rsidRPr="004030F5">
        <w:rPr>
          <w:rFonts w:cs="Arial"/>
        </w:rPr>
        <w:t>, spiked proteins and counting spectra identified t</w:t>
      </w:r>
      <w:r w:rsidR="00AA2050" w:rsidRPr="004030F5">
        <w:rPr>
          <w:rFonts w:cs="Arial"/>
        </w:rPr>
        <w:t>o a peptide (Label-free) (Fig. 8</w:t>
      </w:r>
      <w:r w:rsidR="00343918" w:rsidRPr="004030F5">
        <w:rPr>
          <w:rFonts w:cs="Arial"/>
        </w:rPr>
        <w:t xml:space="preserve">).  </w:t>
      </w:r>
      <w:r w:rsidR="000C1279" w:rsidRPr="004030F5">
        <w:rPr>
          <w:rFonts w:cs="Arial"/>
        </w:rPr>
        <w:t xml:space="preserve">Since </w:t>
      </w:r>
      <w:r w:rsidR="00472B1A" w:rsidRPr="004030F5">
        <w:rPr>
          <w:rFonts w:cs="Arial"/>
        </w:rPr>
        <w:t xml:space="preserve">little quantification error is in </w:t>
      </w:r>
      <w:r w:rsidR="000C1279" w:rsidRPr="004030F5">
        <w:rPr>
          <w:rFonts w:cs="Arial"/>
        </w:rPr>
        <w:t>m</w:t>
      </w:r>
      <w:r w:rsidR="00822BD4" w:rsidRPr="004030F5">
        <w:rPr>
          <w:rFonts w:cs="Arial"/>
        </w:rPr>
        <w:t>etabolic labeling</w:t>
      </w:r>
      <w:r w:rsidR="00AA2050" w:rsidRPr="004030F5">
        <w:rPr>
          <w:rFonts w:cs="Arial"/>
        </w:rPr>
        <w:t xml:space="preserve"> (Fig. 7</w:t>
      </w:r>
      <w:r w:rsidR="00472B1A" w:rsidRPr="004030F5">
        <w:rPr>
          <w:rFonts w:cs="Arial"/>
        </w:rPr>
        <w:t>), it</w:t>
      </w:r>
      <w:r w:rsidR="00822BD4" w:rsidRPr="004030F5">
        <w:rPr>
          <w:rFonts w:cs="Arial"/>
        </w:rPr>
        <w:t xml:space="preserve"> </w:t>
      </w:r>
      <w:r w:rsidR="000C1279" w:rsidRPr="004030F5">
        <w:rPr>
          <w:rFonts w:cs="Arial"/>
        </w:rPr>
        <w:t xml:space="preserve">has good accuracy and </w:t>
      </w:r>
      <w:r w:rsidR="00472B1A" w:rsidRPr="004030F5">
        <w:rPr>
          <w:rFonts w:cs="Arial"/>
        </w:rPr>
        <w:t xml:space="preserve">medium coverage (Table 2).  </w:t>
      </w:r>
      <w:r w:rsidR="00295088" w:rsidRPr="004030F5">
        <w:rPr>
          <w:rFonts w:cs="Arial"/>
        </w:rPr>
        <w:t xml:space="preserve">Chemical labeling method targets </w:t>
      </w:r>
      <w:r w:rsidR="00D84B33" w:rsidRPr="004030F5">
        <w:rPr>
          <w:rFonts w:cs="Arial"/>
        </w:rPr>
        <w:t>specific residues (ICAT)</w:t>
      </w:r>
      <w:r w:rsidR="00295088" w:rsidRPr="004030F5">
        <w:rPr>
          <w:rFonts w:cs="Arial"/>
        </w:rPr>
        <w:t xml:space="preserve"> or </w:t>
      </w:r>
      <w:r w:rsidR="00D84B33" w:rsidRPr="004030F5">
        <w:rPr>
          <w:rFonts w:cs="Arial"/>
        </w:rPr>
        <w:t>terminus</w:t>
      </w:r>
      <w:r w:rsidR="00295088" w:rsidRPr="004030F5">
        <w:rPr>
          <w:rFonts w:cs="Arial"/>
        </w:rPr>
        <w:t xml:space="preserve"> (iTRAQ and TMT)</w:t>
      </w:r>
      <w:r w:rsidR="00266628" w:rsidRPr="004030F5">
        <w:rPr>
          <w:rFonts w:cs="Arial"/>
        </w:rPr>
        <w:t xml:space="preserve"> and </w:t>
      </w:r>
      <w:r w:rsidR="005215FA" w:rsidRPr="004030F5">
        <w:rPr>
          <w:rFonts w:cs="Arial"/>
        </w:rPr>
        <w:t>has medium accuracy and medium quantitative coverage</w:t>
      </w:r>
      <w:r w:rsidR="00AD5E7A" w:rsidRPr="004030F5">
        <w:rPr>
          <w:rFonts w:cs="Arial"/>
        </w:rPr>
        <w:t xml:space="preserve"> (Table 2).  </w:t>
      </w:r>
      <w:r w:rsidR="00664789" w:rsidRPr="004030F5">
        <w:rPr>
          <w:rFonts w:cs="Arial"/>
        </w:rPr>
        <w:t xml:space="preserve">Spiked protein method is </w:t>
      </w:r>
      <w:r w:rsidR="00C0401D" w:rsidRPr="004030F5">
        <w:rPr>
          <w:rFonts w:cs="Arial"/>
        </w:rPr>
        <w:t xml:space="preserve">to compare the fixed amount of spiked proteins and has low coverage and medium </w:t>
      </w:r>
      <w:r w:rsidR="00A66EF7" w:rsidRPr="004030F5">
        <w:rPr>
          <w:rFonts w:cs="Arial"/>
        </w:rPr>
        <w:t>accuracy</w:t>
      </w:r>
      <w:r w:rsidR="00343482" w:rsidRPr="004030F5">
        <w:rPr>
          <w:rFonts w:cs="Arial"/>
        </w:rPr>
        <w:t xml:space="preserve"> (Table 2)</w:t>
      </w:r>
      <w:r w:rsidR="00A66EF7" w:rsidRPr="004030F5">
        <w:rPr>
          <w:rFonts w:cs="Arial"/>
        </w:rPr>
        <w:t xml:space="preserve">.  </w:t>
      </w:r>
      <w:r w:rsidR="00E33351" w:rsidRPr="004030F5">
        <w:rPr>
          <w:rFonts w:cs="Arial"/>
        </w:rPr>
        <w:t>Label-free quantification</w:t>
      </w:r>
      <w:r w:rsidR="00ED097F" w:rsidRPr="004030F5">
        <w:rPr>
          <w:rFonts w:cs="Arial"/>
        </w:rPr>
        <w:t xml:space="preserve"> is good coverage, but low accuracy</w:t>
      </w:r>
      <w:r w:rsidR="003E1471" w:rsidRPr="004030F5">
        <w:rPr>
          <w:rFonts w:cs="Arial"/>
        </w:rPr>
        <w:t xml:space="preserve"> (Table 2)</w:t>
      </w:r>
      <w:r w:rsidR="00BD22E9" w:rsidRPr="004030F5">
        <w:rPr>
          <w:rFonts w:cs="Arial"/>
        </w:rPr>
        <w:t xml:space="preserve">. </w:t>
      </w:r>
      <w:r w:rsidR="001F0A28" w:rsidRPr="004030F5">
        <w:rPr>
          <w:rFonts w:cs="Arial"/>
          <w:b/>
          <w:i/>
        </w:rPr>
        <w:tab/>
      </w:r>
      <w:r w:rsidR="00CD0B90" w:rsidRPr="004030F5">
        <w:rPr>
          <w:rFonts w:cs="Arial"/>
        </w:rPr>
        <w:br w:type="page"/>
      </w:r>
      <w:r w:rsidR="001F38FF" w:rsidRPr="004030F5">
        <w:rPr>
          <w:rFonts w:cs="Arial"/>
          <w:noProof/>
        </w:rPr>
        <w:lastRenderedPageBreak/>
        <w:drawing>
          <wp:inline distT="0" distB="0" distL="0" distR="0" wp14:anchorId="50A38C3A" wp14:editId="2EBD5EF3">
            <wp:extent cx="5486400" cy="3645326"/>
            <wp:effectExtent l="0" t="0" r="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645326"/>
                    </a:xfrm>
                    <a:prstGeom prst="rect">
                      <a:avLst/>
                    </a:prstGeom>
                    <a:noFill/>
                    <a:ln>
                      <a:noFill/>
                    </a:ln>
                  </pic:spPr>
                </pic:pic>
              </a:graphicData>
            </a:graphic>
          </wp:inline>
        </w:drawing>
      </w:r>
    </w:p>
    <w:p w14:paraId="44962F5B" w14:textId="5807A69B" w:rsidR="001F38FF" w:rsidRPr="004030F5" w:rsidRDefault="00A007A2" w:rsidP="00A007A2">
      <w:pPr>
        <w:pStyle w:val="Caption"/>
        <w:rPr>
          <w:rFonts w:cs="Arial"/>
          <w:b w:val="0"/>
        </w:rPr>
      </w:pPr>
      <w:bookmarkStart w:id="13" w:name="_Toc296333100"/>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7</w:t>
      </w:r>
      <w:r w:rsidRPr="004030F5">
        <w:rPr>
          <w:rFonts w:cs="Arial"/>
        </w:rPr>
        <w:fldChar w:fldCharType="end"/>
      </w:r>
      <w:proofErr w:type="gramStart"/>
      <w:r w:rsidRPr="004030F5">
        <w:rPr>
          <w:rFonts w:cs="Arial"/>
          <w:b w:val="0"/>
          <w:bCs w:val="0"/>
          <w:szCs w:val="24"/>
        </w:rPr>
        <w:t xml:space="preserve"> </w:t>
      </w:r>
      <w:r w:rsidR="001F38FF" w:rsidRPr="004030F5">
        <w:rPr>
          <w:rFonts w:cs="Arial"/>
        </w:rPr>
        <w:t>Relative amount</w:t>
      </w:r>
      <w:proofErr w:type="gramEnd"/>
      <w:r w:rsidR="001F38FF" w:rsidRPr="004030F5">
        <w:rPr>
          <w:rFonts w:cs="Arial"/>
        </w:rPr>
        <w:t xml:space="preserve"> of proteins in original sample, in identification and quantification by metaproteome analysis.</w:t>
      </w:r>
      <w:r w:rsidR="001F38FF" w:rsidRPr="004030F5">
        <w:rPr>
          <w:rFonts w:cs="Arial"/>
          <w:b w:val="0"/>
        </w:rPr>
        <w:t xml:space="preserve">  Proteins are lost during protein extraction, digestion and LC-MS/MS steps.  Low-abundant proteins are majorly not identified due to limit of dynamic range.  Specific type of proteins is missed by protein extraction method.  Only a fraction of original proteins is reliably quantified.  This illustration was adapted from Bantscheff et al </w:t>
      </w:r>
      <w:r w:rsidR="001F38FF" w:rsidRPr="004030F5">
        <w:rPr>
          <w:rFonts w:cs="Arial"/>
          <w:b w:val="0"/>
        </w:rPr>
        <w:fldChar w:fldCharType="begin"/>
      </w:r>
      <w:r w:rsidR="006B3205" w:rsidRPr="004030F5">
        <w:rPr>
          <w:rFonts w:cs="Arial"/>
          <w:b w:val="0"/>
        </w:rPr>
        <w:instrText xml:space="preserve"> ADDIN EN.CITE &lt;EndNote&gt;&lt;Cite&gt;&lt;Author&gt;Bantscheff&lt;/Author&gt;&lt;Year&gt;2007&lt;/Year&gt;&lt;RecNum&gt;37&lt;/RecNum&gt;&lt;DisplayText&gt;[36]&lt;/DisplayText&gt;&lt;record&gt;&lt;rec-number&gt;37&lt;/rec-number&gt;&lt;foreign-keys&gt;&lt;key app="EN" db-id="efx2002d5f0z21etvw3x9zp7tw2axpa2eez0" timestamp="1433190226"&gt;37&lt;/key&gt;&lt;/foreign-keys&gt;&lt;ref-type name="Journal Article"&gt;17&lt;/ref-type&gt;&lt;contributors&gt;&lt;authors&gt;&lt;author&gt;Bantscheff, Marcus&lt;/author&gt;&lt;author&gt;Schirle, Markus&lt;/author&gt;&lt;author&gt;Sweetman, Gavain&lt;/author&gt;&lt;author&gt;Rick, Jens&lt;/author&gt;&lt;author&gt;Kuster, Bernhard&lt;/author&gt;&lt;/authors&gt;&lt;/contributors&gt;&lt;titles&gt;&lt;title&gt;Quantitative mass spectrometry in proteomics: a critical review&lt;/title&gt;&lt;secondary-title&gt;Analytical and bioanalytical chemistry&lt;/secondary-title&gt;&lt;/titles&gt;&lt;periodical&gt;&lt;full-title&gt;Analytical and bioanalytical chemistry&lt;/full-title&gt;&lt;/periodical&gt;&lt;pages&gt;1017-1031&lt;/pages&gt;&lt;volume&gt;389&lt;/volume&gt;&lt;number&gt;4&lt;/number&gt;&lt;dates&gt;&lt;year&gt;2007&lt;/year&gt;&lt;/dates&gt;&lt;isbn&gt;1618-2642&lt;/isbn&gt;&lt;urls&gt;&lt;/urls&gt;&lt;/record&gt;&lt;/Cite&gt;&lt;/EndNote&gt;</w:instrText>
      </w:r>
      <w:r w:rsidR="001F38FF" w:rsidRPr="004030F5">
        <w:rPr>
          <w:rFonts w:cs="Arial"/>
          <w:b w:val="0"/>
        </w:rPr>
        <w:fldChar w:fldCharType="separate"/>
      </w:r>
      <w:r w:rsidR="006B3205" w:rsidRPr="004030F5">
        <w:rPr>
          <w:rFonts w:cs="Arial"/>
          <w:b w:val="0"/>
          <w:noProof/>
        </w:rPr>
        <w:t>[36]</w:t>
      </w:r>
      <w:r w:rsidR="001F38FF" w:rsidRPr="004030F5">
        <w:rPr>
          <w:rFonts w:cs="Arial"/>
          <w:b w:val="0"/>
        </w:rPr>
        <w:fldChar w:fldCharType="end"/>
      </w:r>
      <w:r w:rsidR="001F38FF" w:rsidRPr="004030F5">
        <w:rPr>
          <w:rFonts w:cs="Arial"/>
          <w:b w:val="0"/>
        </w:rPr>
        <w:t>.</w:t>
      </w:r>
      <w:bookmarkEnd w:id="13"/>
    </w:p>
    <w:p w14:paraId="1D8A77C2" w14:textId="4C944304" w:rsidR="001F38FF" w:rsidRPr="004030F5" w:rsidRDefault="001F38FF">
      <w:pPr>
        <w:rPr>
          <w:rFonts w:cs="Arial"/>
        </w:rPr>
      </w:pPr>
      <w:r w:rsidRPr="004030F5">
        <w:rPr>
          <w:rFonts w:cs="Arial"/>
        </w:rPr>
        <w:br w:type="page"/>
      </w:r>
    </w:p>
    <w:p w14:paraId="6EDBD228" w14:textId="77777777" w:rsidR="00CD0B90" w:rsidRPr="004030F5" w:rsidRDefault="00CD0B90">
      <w:pPr>
        <w:rPr>
          <w:rFonts w:cs="Arial"/>
        </w:rPr>
      </w:pPr>
    </w:p>
    <w:p w14:paraId="0BFE1469" w14:textId="77777777" w:rsidR="00A007A2" w:rsidRPr="004030F5" w:rsidRDefault="00B71D14" w:rsidP="00A007A2">
      <w:pPr>
        <w:keepNext/>
        <w:rPr>
          <w:rFonts w:cs="Arial"/>
        </w:rPr>
      </w:pPr>
      <w:r w:rsidRPr="004030F5">
        <w:rPr>
          <w:rFonts w:cs="Arial"/>
          <w:noProof/>
        </w:rPr>
        <w:drawing>
          <wp:inline distT="0" distB="0" distL="0" distR="0" wp14:anchorId="1F245343" wp14:editId="31F04CAC">
            <wp:extent cx="5486400" cy="3715156"/>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3715156"/>
                    </a:xfrm>
                    <a:prstGeom prst="rect">
                      <a:avLst/>
                    </a:prstGeom>
                    <a:noFill/>
                    <a:ln>
                      <a:noFill/>
                    </a:ln>
                  </pic:spPr>
                </pic:pic>
              </a:graphicData>
            </a:graphic>
          </wp:inline>
        </w:drawing>
      </w:r>
    </w:p>
    <w:p w14:paraId="408967F4" w14:textId="4B4434F6" w:rsidR="00156A0D" w:rsidRPr="004030F5" w:rsidRDefault="00A007A2" w:rsidP="00A007A2">
      <w:pPr>
        <w:pStyle w:val="Caption"/>
        <w:jc w:val="left"/>
        <w:rPr>
          <w:rFonts w:cs="Arial"/>
          <w:b w:val="0"/>
        </w:rPr>
      </w:pPr>
      <w:bookmarkStart w:id="14" w:name="_Toc296333101"/>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8</w:t>
      </w:r>
      <w:r w:rsidRPr="004030F5">
        <w:rPr>
          <w:rFonts w:cs="Arial"/>
        </w:rPr>
        <w:fldChar w:fldCharType="end"/>
      </w:r>
      <w:r w:rsidRPr="004030F5">
        <w:rPr>
          <w:rFonts w:cs="Arial"/>
          <w:b w:val="0"/>
          <w:bCs w:val="0"/>
          <w:szCs w:val="24"/>
        </w:rPr>
        <w:t xml:space="preserve"> </w:t>
      </w:r>
      <w:r w:rsidR="00C411B6" w:rsidRPr="004030F5">
        <w:rPr>
          <w:rFonts w:cs="Arial"/>
        </w:rPr>
        <w:t>Common quantitative mass spectrometry workflows.</w:t>
      </w:r>
      <w:r w:rsidR="00C411B6" w:rsidRPr="004030F5">
        <w:rPr>
          <w:rFonts w:cs="Arial"/>
          <w:b w:val="0"/>
        </w:rPr>
        <w:t xml:space="preserve">  </w:t>
      </w:r>
      <w:r w:rsidR="00A044BF" w:rsidRPr="004030F5">
        <w:rPr>
          <w:rFonts w:cs="Arial"/>
          <w:b w:val="0"/>
        </w:rPr>
        <w:t xml:space="preserve">Boxes in blue and yellow indicate experiments to be compared.  </w:t>
      </w:r>
      <w:r w:rsidR="00425C5C" w:rsidRPr="004030F5">
        <w:rPr>
          <w:rFonts w:cs="Arial"/>
          <w:b w:val="0"/>
        </w:rPr>
        <w:t>Solid line means</w:t>
      </w:r>
      <w:r w:rsidR="005917C2" w:rsidRPr="004030F5">
        <w:rPr>
          <w:rFonts w:cs="Arial"/>
          <w:b w:val="0"/>
        </w:rPr>
        <w:t xml:space="preserve"> that</w:t>
      </w:r>
      <w:r w:rsidR="00425C5C" w:rsidRPr="004030F5">
        <w:rPr>
          <w:rFonts w:cs="Arial"/>
          <w:b w:val="0"/>
        </w:rPr>
        <w:t xml:space="preserve"> </w:t>
      </w:r>
      <w:r w:rsidR="005917C2" w:rsidRPr="004030F5">
        <w:rPr>
          <w:rFonts w:cs="Arial"/>
          <w:b w:val="0"/>
        </w:rPr>
        <w:t xml:space="preserve">labeled sample is mixed.  Dashed line means that </w:t>
      </w:r>
      <w:r w:rsidR="00E5775F" w:rsidRPr="004030F5">
        <w:rPr>
          <w:rFonts w:cs="Arial"/>
          <w:b w:val="0"/>
        </w:rPr>
        <w:t>points at experimental variation that quantification error can be occurred.</w:t>
      </w:r>
      <w:r w:rsidR="009E0473" w:rsidRPr="004030F5">
        <w:rPr>
          <w:rFonts w:cs="Arial"/>
          <w:b w:val="0"/>
        </w:rPr>
        <w:t xml:space="preserve"> </w:t>
      </w:r>
      <w:r w:rsidR="00156A0D" w:rsidRPr="004030F5">
        <w:rPr>
          <w:rFonts w:cs="Arial"/>
          <w:b w:val="0"/>
        </w:rPr>
        <w:t xml:space="preserve"> This illustration was adapted from Bantscheff et al </w:t>
      </w:r>
      <w:r w:rsidR="00156A0D" w:rsidRPr="004030F5">
        <w:rPr>
          <w:rFonts w:cs="Arial"/>
          <w:b w:val="0"/>
        </w:rPr>
        <w:fldChar w:fldCharType="begin"/>
      </w:r>
      <w:r w:rsidR="006B3205" w:rsidRPr="004030F5">
        <w:rPr>
          <w:rFonts w:cs="Arial"/>
          <w:b w:val="0"/>
        </w:rPr>
        <w:instrText xml:space="preserve"> ADDIN EN.CITE &lt;EndNote&gt;&lt;Cite&gt;&lt;Author&gt;Bantscheff&lt;/Author&gt;&lt;Year&gt;2007&lt;/Year&gt;&lt;RecNum&gt;37&lt;/RecNum&gt;&lt;DisplayText&gt;[36]&lt;/DisplayText&gt;&lt;record&gt;&lt;rec-number&gt;37&lt;/rec-number&gt;&lt;foreign-keys&gt;&lt;key app="EN" db-id="efx2002d5f0z21etvw3x9zp7tw2axpa2eez0" timestamp="1433190226"&gt;37&lt;/key&gt;&lt;/foreign-keys&gt;&lt;ref-type name="Journal Article"&gt;17&lt;/ref-type&gt;&lt;contributors&gt;&lt;authors&gt;&lt;author&gt;Bantscheff, Marcus&lt;/author&gt;&lt;author&gt;Schirle, Markus&lt;/author&gt;&lt;author&gt;Sweetman, Gavain&lt;/author&gt;&lt;author&gt;Rick, Jens&lt;/author&gt;&lt;author&gt;Kuster, Bernhard&lt;/author&gt;&lt;/authors&gt;&lt;/contributors&gt;&lt;titles&gt;&lt;title&gt;Quantitative mass spectrometry in proteomics: a critical review&lt;/title&gt;&lt;secondary-title&gt;Analytical and bioanalytical chemistry&lt;/secondary-title&gt;&lt;/titles&gt;&lt;periodical&gt;&lt;full-title&gt;Analytical and bioanalytical chemistry&lt;/full-title&gt;&lt;/periodical&gt;&lt;pages&gt;1017-1031&lt;/pages&gt;&lt;volume&gt;389&lt;/volume&gt;&lt;number&gt;4&lt;/number&gt;&lt;dates&gt;&lt;year&gt;2007&lt;/year&gt;&lt;/dates&gt;&lt;isbn&gt;1618-2642&lt;/isbn&gt;&lt;urls&gt;&lt;/urls&gt;&lt;/record&gt;&lt;/Cite&gt;&lt;/EndNote&gt;</w:instrText>
      </w:r>
      <w:r w:rsidR="00156A0D" w:rsidRPr="004030F5">
        <w:rPr>
          <w:rFonts w:cs="Arial"/>
          <w:b w:val="0"/>
        </w:rPr>
        <w:fldChar w:fldCharType="separate"/>
      </w:r>
      <w:r w:rsidR="006B3205" w:rsidRPr="004030F5">
        <w:rPr>
          <w:rFonts w:cs="Arial"/>
          <w:b w:val="0"/>
          <w:noProof/>
        </w:rPr>
        <w:t>[36]</w:t>
      </w:r>
      <w:r w:rsidR="00156A0D" w:rsidRPr="004030F5">
        <w:rPr>
          <w:rFonts w:cs="Arial"/>
          <w:b w:val="0"/>
        </w:rPr>
        <w:fldChar w:fldCharType="end"/>
      </w:r>
      <w:r w:rsidR="00156A0D" w:rsidRPr="004030F5">
        <w:rPr>
          <w:rFonts w:cs="Arial"/>
          <w:b w:val="0"/>
        </w:rPr>
        <w:t>.</w:t>
      </w:r>
      <w:bookmarkEnd w:id="14"/>
    </w:p>
    <w:p w14:paraId="114C786A" w14:textId="77777777" w:rsidR="00EA50C8" w:rsidRPr="004030F5" w:rsidRDefault="00EA50C8">
      <w:pPr>
        <w:rPr>
          <w:rFonts w:cs="Arial"/>
        </w:rPr>
      </w:pPr>
      <w:r w:rsidRPr="004030F5">
        <w:rPr>
          <w:rFonts w:cs="Arial"/>
        </w:rPr>
        <w:br w:type="page"/>
      </w:r>
    </w:p>
    <w:p w14:paraId="648A8D63" w14:textId="43027D2E" w:rsidR="00134749" w:rsidRPr="004030F5" w:rsidRDefault="00134749" w:rsidP="00134749">
      <w:pPr>
        <w:pStyle w:val="Caption"/>
        <w:keepNext/>
        <w:rPr>
          <w:rFonts w:cs="Arial"/>
        </w:rPr>
      </w:pPr>
      <w:bookmarkStart w:id="15" w:name="_Toc296333074"/>
      <w:r w:rsidRPr="004030F5">
        <w:rPr>
          <w:rFonts w:cs="Arial"/>
        </w:rPr>
        <w:lastRenderedPageBreak/>
        <w:t xml:space="preserve">Table </w:t>
      </w:r>
      <w:r w:rsidRPr="004030F5">
        <w:rPr>
          <w:rFonts w:cs="Arial"/>
        </w:rPr>
        <w:fldChar w:fldCharType="begin"/>
      </w:r>
      <w:r w:rsidRPr="004030F5">
        <w:rPr>
          <w:rFonts w:cs="Arial"/>
        </w:rPr>
        <w:instrText xml:space="preserve"> SEQ Table \* ARABIC </w:instrText>
      </w:r>
      <w:r w:rsidRPr="004030F5">
        <w:rPr>
          <w:rFonts w:cs="Arial"/>
        </w:rPr>
        <w:fldChar w:fldCharType="separate"/>
      </w:r>
      <w:r w:rsidR="0093776B">
        <w:rPr>
          <w:rFonts w:cs="Arial"/>
          <w:noProof/>
        </w:rPr>
        <w:t>2</w:t>
      </w:r>
      <w:r w:rsidRPr="004030F5">
        <w:rPr>
          <w:rFonts w:cs="Arial"/>
        </w:rPr>
        <w:fldChar w:fldCharType="end"/>
      </w:r>
      <w:r w:rsidRPr="004030F5">
        <w:rPr>
          <w:rFonts w:cs="Arial"/>
        </w:rPr>
        <w:t xml:space="preserve"> Accuracy and quantitative coverage of various labeling method in proteomics. </w:t>
      </w:r>
      <w:r w:rsidRPr="004030F5">
        <w:rPr>
          <w:rFonts w:cs="Arial"/>
          <w:b w:val="0"/>
        </w:rPr>
        <w:t xml:space="preserve"> This table was adapted from Bantscheff et al </w:t>
      </w:r>
      <w:r w:rsidRPr="004030F5">
        <w:rPr>
          <w:rFonts w:cs="Arial"/>
          <w:b w:val="0"/>
        </w:rPr>
        <w:fldChar w:fldCharType="begin"/>
      </w:r>
      <w:r w:rsidR="006B3205" w:rsidRPr="004030F5">
        <w:rPr>
          <w:rFonts w:cs="Arial"/>
          <w:b w:val="0"/>
        </w:rPr>
        <w:instrText xml:space="preserve"> ADDIN EN.CITE &lt;EndNote&gt;&lt;Cite&gt;&lt;Author&gt;Bantscheff&lt;/Author&gt;&lt;Year&gt;2007&lt;/Year&gt;&lt;RecNum&gt;37&lt;/RecNum&gt;&lt;DisplayText&gt;[36]&lt;/DisplayText&gt;&lt;record&gt;&lt;rec-number&gt;37&lt;/rec-number&gt;&lt;foreign-keys&gt;&lt;key app="EN" db-id="efx2002d5f0z21etvw3x9zp7tw2axpa2eez0" timestamp="1433190226"&gt;37&lt;/key&gt;&lt;/foreign-keys&gt;&lt;ref-type name="Journal Article"&gt;17&lt;/ref-type&gt;&lt;contributors&gt;&lt;authors&gt;&lt;author&gt;Bantscheff, Marcus&lt;/author&gt;&lt;author&gt;Schirle, Markus&lt;/author&gt;&lt;author&gt;Sweetman, Gavain&lt;/author&gt;&lt;author&gt;Rick, Jens&lt;/author&gt;&lt;author&gt;Kuster, Bernhard&lt;/author&gt;&lt;/authors&gt;&lt;/contributors&gt;&lt;titles&gt;&lt;title&gt;Quantitative mass spectrometry in proteomics: a critical review&lt;/title&gt;&lt;secondary-title&gt;Analytical and bioanalytical chemistry&lt;/secondary-title&gt;&lt;/titles&gt;&lt;periodical&gt;&lt;full-title&gt;Analytical and bioanalytical chemistry&lt;/full-title&gt;&lt;/periodical&gt;&lt;pages&gt;1017-1031&lt;/pages&gt;&lt;volume&gt;389&lt;/volume&gt;&lt;number&gt;4&lt;/number&gt;&lt;dates&gt;&lt;year&gt;2007&lt;/year&gt;&lt;/dates&gt;&lt;isbn&gt;1618-2642&lt;/isbn&gt;&lt;urls&gt;&lt;/urls&gt;&lt;/record&gt;&lt;/Cite&gt;&lt;/EndNote&gt;</w:instrText>
      </w:r>
      <w:r w:rsidRPr="004030F5">
        <w:rPr>
          <w:rFonts w:cs="Arial"/>
          <w:b w:val="0"/>
        </w:rPr>
        <w:fldChar w:fldCharType="separate"/>
      </w:r>
      <w:r w:rsidR="006B3205" w:rsidRPr="004030F5">
        <w:rPr>
          <w:rFonts w:cs="Arial"/>
          <w:b w:val="0"/>
          <w:noProof/>
        </w:rPr>
        <w:t>[36]</w:t>
      </w:r>
      <w:r w:rsidRPr="004030F5">
        <w:rPr>
          <w:rFonts w:cs="Arial"/>
          <w:b w:val="0"/>
        </w:rPr>
        <w:fldChar w:fldCharType="end"/>
      </w:r>
      <w:r w:rsidRPr="004030F5">
        <w:rPr>
          <w:rFonts w:cs="Arial"/>
          <w:b w:val="0"/>
        </w:rPr>
        <w:t>.</w:t>
      </w:r>
      <w:bookmarkEnd w:id="15"/>
    </w:p>
    <w:tbl>
      <w:tblPr>
        <w:tblW w:w="8712" w:type="dxa"/>
        <w:tblLook w:val="04A0" w:firstRow="1" w:lastRow="0" w:firstColumn="1" w:lastColumn="0" w:noHBand="0" w:noVBand="1"/>
      </w:tblPr>
      <w:tblGrid>
        <w:gridCol w:w="4172"/>
        <w:gridCol w:w="1411"/>
        <w:gridCol w:w="1758"/>
        <w:gridCol w:w="1371"/>
      </w:tblGrid>
      <w:tr w:rsidR="007C3F6A" w:rsidRPr="004030F5" w14:paraId="35C3ECD2" w14:textId="77777777" w:rsidTr="00A65273">
        <w:tc>
          <w:tcPr>
            <w:tcW w:w="4172" w:type="dxa"/>
          </w:tcPr>
          <w:p w14:paraId="61ED5A54" w14:textId="77777777" w:rsidR="007C3F6A" w:rsidRPr="004030F5" w:rsidRDefault="007C3F6A" w:rsidP="007C3F6A">
            <w:pPr>
              <w:jc w:val="center"/>
              <w:rPr>
                <w:rFonts w:cs="Arial"/>
              </w:rPr>
            </w:pPr>
          </w:p>
        </w:tc>
        <w:tc>
          <w:tcPr>
            <w:tcW w:w="1411" w:type="dxa"/>
          </w:tcPr>
          <w:p w14:paraId="53388978" w14:textId="77777777" w:rsidR="007C3F6A" w:rsidRPr="004030F5" w:rsidRDefault="007C3F6A" w:rsidP="007C3F6A">
            <w:pPr>
              <w:rPr>
                <w:rFonts w:cs="Arial"/>
              </w:rPr>
            </w:pPr>
            <w:r w:rsidRPr="004030F5">
              <w:rPr>
                <w:rFonts w:cs="Arial"/>
              </w:rPr>
              <w:t>Accuracy</w:t>
            </w:r>
          </w:p>
          <w:p w14:paraId="69AF390E" w14:textId="3AFE9018" w:rsidR="007C3F6A" w:rsidRPr="004030F5" w:rsidRDefault="007C3F6A" w:rsidP="007C3F6A">
            <w:pPr>
              <w:rPr>
                <w:rFonts w:cs="Arial"/>
              </w:rPr>
            </w:pPr>
            <w:r w:rsidRPr="004030F5">
              <w:rPr>
                <w:rFonts w:cs="Arial"/>
              </w:rPr>
              <w:t>(</w:t>
            </w:r>
            <w:proofErr w:type="gramStart"/>
            <w:r w:rsidRPr="004030F5">
              <w:rPr>
                <w:rFonts w:cs="Arial"/>
              </w:rPr>
              <w:t>process</w:t>
            </w:r>
            <w:proofErr w:type="gramEnd"/>
            <w:r w:rsidRPr="004030F5">
              <w:rPr>
                <w:rFonts w:cs="Arial"/>
              </w:rPr>
              <w:t>)</w:t>
            </w:r>
          </w:p>
        </w:tc>
        <w:tc>
          <w:tcPr>
            <w:tcW w:w="1758" w:type="dxa"/>
          </w:tcPr>
          <w:p w14:paraId="72CB6EF3" w14:textId="77777777" w:rsidR="007C3F6A" w:rsidRPr="004030F5" w:rsidRDefault="007C3F6A" w:rsidP="007C3F6A">
            <w:pPr>
              <w:rPr>
                <w:rFonts w:cs="Arial"/>
              </w:rPr>
            </w:pPr>
            <w:r w:rsidRPr="004030F5">
              <w:rPr>
                <w:rFonts w:cs="Arial"/>
              </w:rPr>
              <w:t xml:space="preserve">Quantitative </w:t>
            </w:r>
          </w:p>
          <w:p w14:paraId="5D6CCCF1" w14:textId="77777777" w:rsidR="007C3F6A" w:rsidRPr="004030F5" w:rsidRDefault="007C3F6A" w:rsidP="007C3F6A">
            <w:pPr>
              <w:rPr>
                <w:rFonts w:cs="Arial"/>
              </w:rPr>
            </w:pPr>
            <w:proofErr w:type="gramStart"/>
            <w:r w:rsidRPr="004030F5">
              <w:rPr>
                <w:rFonts w:cs="Arial"/>
              </w:rPr>
              <w:t>proteome</w:t>
            </w:r>
            <w:proofErr w:type="gramEnd"/>
            <w:r w:rsidRPr="004030F5">
              <w:rPr>
                <w:rFonts w:cs="Arial"/>
              </w:rPr>
              <w:t xml:space="preserve"> </w:t>
            </w:r>
          </w:p>
          <w:p w14:paraId="022CC78C" w14:textId="31FF2094" w:rsidR="007C3F6A" w:rsidRPr="004030F5" w:rsidRDefault="007C3F6A" w:rsidP="007C3F6A">
            <w:pPr>
              <w:rPr>
                <w:rFonts w:cs="Arial"/>
              </w:rPr>
            </w:pPr>
            <w:proofErr w:type="gramStart"/>
            <w:r w:rsidRPr="004030F5">
              <w:rPr>
                <w:rFonts w:cs="Arial"/>
              </w:rPr>
              <w:t>coverage</w:t>
            </w:r>
            <w:proofErr w:type="gramEnd"/>
          </w:p>
        </w:tc>
        <w:tc>
          <w:tcPr>
            <w:tcW w:w="1371" w:type="dxa"/>
          </w:tcPr>
          <w:p w14:paraId="31575321" w14:textId="77777777" w:rsidR="007C3F6A" w:rsidRPr="004030F5" w:rsidRDefault="007C3F6A" w:rsidP="007C3F6A">
            <w:pPr>
              <w:rPr>
                <w:rFonts w:cs="Arial"/>
              </w:rPr>
            </w:pPr>
            <w:r w:rsidRPr="004030F5">
              <w:rPr>
                <w:rFonts w:cs="Arial"/>
              </w:rPr>
              <w:t xml:space="preserve">Linear </w:t>
            </w:r>
          </w:p>
          <w:p w14:paraId="3377DBE9" w14:textId="77777777" w:rsidR="007C3F6A" w:rsidRPr="004030F5" w:rsidRDefault="007C3F6A" w:rsidP="007C3F6A">
            <w:pPr>
              <w:rPr>
                <w:rFonts w:cs="Arial"/>
              </w:rPr>
            </w:pPr>
            <w:proofErr w:type="gramStart"/>
            <w:r w:rsidRPr="004030F5">
              <w:rPr>
                <w:rFonts w:cs="Arial"/>
              </w:rPr>
              <w:t>dynamic</w:t>
            </w:r>
            <w:proofErr w:type="gramEnd"/>
            <w:r w:rsidRPr="004030F5">
              <w:rPr>
                <w:rFonts w:cs="Arial"/>
              </w:rPr>
              <w:t xml:space="preserve"> </w:t>
            </w:r>
          </w:p>
          <w:p w14:paraId="0AF00A33" w14:textId="183C53F0" w:rsidR="007C3F6A" w:rsidRPr="004030F5" w:rsidRDefault="007C3F6A" w:rsidP="007C3F6A">
            <w:pPr>
              <w:rPr>
                <w:rFonts w:cs="Arial"/>
              </w:rPr>
            </w:pPr>
            <w:proofErr w:type="gramStart"/>
            <w:r w:rsidRPr="004030F5">
              <w:rPr>
                <w:rFonts w:cs="Arial"/>
              </w:rPr>
              <w:t>range</w:t>
            </w:r>
            <w:proofErr w:type="gramEnd"/>
          </w:p>
        </w:tc>
      </w:tr>
      <w:tr w:rsidR="007C3F6A" w:rsidRPr="004030F5" w14:paraId="1797918E" w14:textId="77777777" w:rsidTr="00A65273">
        <w:tc>
          <w:tcPr>
            <w:tcW w:w="4172" w:type="dxa"/>
          </w:tcPr>
          <w:p w14:paraId="3860F7CA" w14:textId="1C26BBCA" w:rsidR="007C3F6A" w:rsidRPr="004030F5" w:rsidRDefault="007C3F6A" w:rsidP="007C3F6A">
            <w:pPr>
              <w:rPr>
                <w:rFonts w:cs="Arial"/>
              </w:rPr>
            </w:pPr>
            <w:r w:rsidRPr="004030F5">
              <w:rPr>
                <w:rFonts w:cs="Arial"/>
              </w:rPr>
              <w:t>Metabolic protein labeling</w:t>
            </w:r>
          </w:p>
        </w:tc>
        <w:tc>
          <w:tcPr>
            <w:tcW w:w="1411" w:type="dxa"/>
          </w:tcPr>
          <w:p w14:paraId="7B0EE42F" w14:textId="21272923" w:rsidR="007C3F6A" w:rsidRPr="004030F5" w:rsidRDefault="00967059" w:rsidP="007C3F6A">
            <w:pPr>
              <w:jc w:val="center"/>
              <w:rPr>
                <w:rFonts w:cs="Arial"/>
              </w:rPr>
            </w:pPr>
            <w:r w:rsidRPr="004030F5">
              <w:rPr>
                <w:rFonts w:cs="Arial"/>
              </w:rPr>
              <w:t>+++</w:t>
            </w:r>
          </w:p>
        </w:tc>
        <w:tc>
          <w:tcPr>
            <w:tcW w:w="1758" w:type="dxa"/>
          </w:tcPr>
          <w:p w14:paraId="0554DD2F" w14:textId="57242834" w:rsidR="007C3F6A" w:rsidRPr="004030F5" w:rsidRDefault="00967059" w:rsidP="007C3F6A">
            <w:pPr>
              <w:jc w:val="center"/>
              <w:rPr>
                <w:rFonts w:cs="Arial"/>
              </w:rPr>
            </w:pPr>
            <w:r w:rsidRPr="004030F5">
              <w:rPr>
                <w:rFonts w:cs="Arial"/>
              </w:rPr>
              <w:t>++</w:t>
            </w:r>
          </w:p>
        </w:tc>
        <w:tc>
          <w:tcPr>
            <w:tcW w:w="1371" w:type="dxa"/>
          </w:tcPr>
          <w:p w14:paraId="23B5FC2A" w14:textId="26F34B29" w:rsidR="007C3F6A" w:rsidRPr="004030F5" w:rsidRDefault="007C3F6A" w:rsidP="007C3F6A">
            <w:pPr>
              <w:jc w:val="center"/>
              <w:rPr>
                <w:rFonts w:cs="Arial"/>
              </w:rPr>
            </w:pPr>
            <w:r w:rsidRPr="004030F5">
              <w:rPr>
                <w:rFonts w:cs="Arial"/>
              </w:rPr>
              <w:t>1-2 logs</w:t>
            </w:r>
          </w:p>
        </w:tc>
      </w:tr>
      <w:tr w:rsidR="007C3F6A" w:rsidRPr="004030F5" w14:paraId="42AB3D8A" w14:textId="77777777" w:rsidTr="00A65273">
        <w:tc>
          <w:tcPr>
            <w:tcW w:w="4172" w:type="dxa"/>
          </w:tcPr>
          <w:p w14:paraId="2CB7B434" w14:textId="14FEF367" w:rsidR="007C3F6A" w:rsidRPr="004030F5" w:rsidRDefault="007C3F6A" w:rsidP="007C3F6A">
            <w:pPr>
              <w:rPr>
                <w:rFonts w:cs="Arial"/>
              </w:rPr>
            </w:pPr>
            <w:r w:rsidRPr="004030F5">
              <w:rPr>
                <w:rFonts w:cs="Arial"/>
              </w:rPr>
              <w:t>Chemical protein labeling (MS)</w:t>
            </w:r>
          </w:p>
        </w:tc>
        <w:tc>
          <w:tcPr>
            <w:tcW w:w="1411" w:type="dxa"/>
          </w:tcPr>
          <w:p w14:paraId="1E88EA89" w14:textId="7661D9CF" w:rsidR="007C3F6A" w:rsidRPr="004030F5" w:rsidRDefault="00967059" w:rsidP="007C3F6A">
            <w:pPr>
              <w:jc w:val="center"/>
              <w:rPr>
                <w:rFonts w:cs="Arial"/>
              </w:rPr>
            </w:pPr>
            <w:r w:rsidRPr="004030F5">
              <w:rPr>
                <w:rFonts w:cs="Arial"/>
              </w:rPr>
              <w:t>+++</w:t>
            </w:r>
          </w:p>
        </w:tc>
        <w:tc>
          <w:tcPr>
            <w:tcW w:w="1758" w:type="dxa"/>
          </w:tcPr>
          <w:p w14:paraId="059A53BA" w14:textId="08AFB0F4" w:rsidR="007C3F6A" w:rsidRPr="004030F5" w:rsidRDefault="00967059" w:rsidP="007C3F6A">
            <w:pPr>
              <w:jc w:val="center"/>
              <w:rPr>
                <w:rFonts w:cs="Arial"/>
              </w:rPr>
            </w:pPr>
            <w:r w:rsidRPr="004030F5">
              <w:rPr>
                <w:rFonts w:cs="Arial"/>
              </w:rPr>
              <w:t>++</w:t>
            </w:r>
          </w:p>
        </w:tc>
        <w:tc>
          <w:tcPr>
            <w:tcW w:w="1371" w:type="dxa"/>
          </w:tcPr>
          <w:p w14:paraId="0C8AC4C4" w14:textId="5CE4400A" w:rsidR="007C3F6A" w:rsidRPr="004030F5" w:rsidRDefault="007C3F6A" w:rsidP="007C3F6A">
            <w:pPr>
              <w:jc w:val="center"/>
              <w:rPr>
                <w:rFonts w:cs="Arial"/>
              </w:rPr>
            </w:pPr>
            <w:r w:rsidRPr="004030F5">
              <w:rPr>
                <w:rFonts w:cs="Arial"/>
              </w:rPr>
              <w:t>1-2 logs</w:t>
            </w:r>
          </w:p>
        </w:tc>
      </w:tr>
      <w:tr w:rsidR="007C3F6A" w:rsidRPr="004030F5" w14:paraId="155C4982" w14:textId="77777777" w:rsidTr="00A65273">
        <w:tc>
          <w:tcPr>
            <w:tcW w:w="4172" w:type="dxa"/>
          </w:tcPr>
          <w:p w14:paraId="3E64A2A9" w14:textId="13CC60AE" w:rsidR="007C3F6A" w:rsidRPr="004030F5" w:rsidRDefault="007C3F6A" w:rsidP="007C3F6A">
            <w:pPr>
              <w:rPr>
                <w:rFonts w:cs="Arial"/>
              </w:rPr>
            </w:pPr>
            <w:r w:rsidRPr="004030F5">
              <w:rPr>
                <w:rFonts w:cs="Arial"/>
              </w:rPr>
              <w:t>Chemical peptide labeling (MS)</w:t>
            </w:r>
          </w:p>
        </w:tc>
        <w:tc>
          <w:tcPr>
            <w:tcW w:w="1411" w:type="dxa"/>
          </w:tcPr>
          <w:p w14:paraId="35C10AD5" w14:textId="22EDDFF3" w:rsidR="007C3F6A" w:rsidRPr="004030F5" w:rsidRDefault="00967059" w:rsidP="007C3F6A">
            <w:pPr>
              <w:jc w:val="center"/>
              <w:rPr>
                <w:rFonts w:cs="Arial"/>
              </w:rPr>
            </w:pPr>
            <w:r w:rsidRPr="004030F5">
              <w:rPr>
                <w:rFonts w:cs="Arial"/>
              </w:rPr>
              <w:t>++</w:t>
            </w:r>
          </w:p>
        </w:tc>
        <w:tc>
          <w:tcPr>
            <w:tcW w:w="1758" w:type="dxa"/>
          </w:tcPr>
          <w:p w14:paraId="49C95443" w14:textId="45F5FB1F" w:rsidR="007C3F6A" w:rsidRPr="004030F5" w:rsidRDefault="00967059" w:rsidP="007C3F6A">
            <w:pPr>
              <w:jc w:val="center"/>
              <w:rPr>
                <w:rFonts w:cs="Arial"/>
              </w:rPr>
            </w:pPr>
            <w:r w:rsidRPr="004030F5">
              <w:rPr>
                <w:rFonts w:cs="Arial"/>
              </w:rPr>
              <w:t>++</w:t>
            </w:r>
          </w:p>
        </w:tc>
        <w:tc>
          <w:tcPr>
            <w:tcW w:w="1371" w:type="dxa"/>
          </w:tcPr>
          <w:p w14:paraId="4BB261BC" w14:textId="0C0CAA0C" w:rsidR="007C3F6A" w:rsidRPr="004030F5" w:rsidRDefault="007C3F6A" w:rsidP="007C3F6A">
            <w:pPr>
              <w:jc w:val="center"/>
              <w:rPr>
                <w:rFonts w:cs="Arial"/>
              </w:rPr>
            </w:pPr>
            <w:r w:rsidRPr="004030F5">
              <w:rPr>
                <w:rFonts w:cs="Arial"/>
              </w:rPr>
              <w:t>2 logs</w:t>
            </w:r>
          </w:p>
        </w:tc>
      </w:tr>
      <w:tr w:rsidR="007C3F6A" w:rsidRPr="004030F5" w14:paraId="73D20774" w14:textId="77777777" w:rsidTr="00A65273">
        <w:tc>
          <w:tcPr>
            <w:tcW w:w="4172" w:type="dxa"/>
          </w:tcPr>
          <w:p w14:paraId="107CBC66" w14:textId="22A5B7C6" w:rsidR="007C3F6A" w:rsidRPr="004030F5" w:rsidRDefault="007C3F6A" w:rsidP="007C3F6A">
            <w:pPr>
              <w:rPr>
                <w:rFonts w:cs="Arial"/>
              </w:rPr>
            </w:pPr>
            <w:r w:rsidRPr="004030F5">
              <w:rPr>
                <w:rFonts w:cs="Arial"/>
              </w:rPr>
              <w:t>Chemical peptide labeling (MS/MS)</w:t>
            </w:r>
          </w:p>
        </w:tc>
        <w:tc>
          <w:tcPr>
            <w:tcW w:w="1411" w:type="dxa"/>
          </w:tcPr>
          <w:p w14:paraId="1C544310" w14:textId="1AB52999" w:rsidR="007C3F6A" w:rsidRPr="004030F5" w:rsidRDefault="00967059" w:rsidP="007C3F6A">
            <w:pPr>
              <w:jc w:val="center"/>
              <w:rPr>
                <w:rFonts w:cs="Arial"/>
              </w:rPr>
            </w:pPr>
            <w:r w:rsidRPr="004030F5">
              <w:rPr>
                <w:rFonts w:cs="Arial"/>
              </w:rPr>
              <w:t>++</w:t>
            </w:r>
          </w:p>
        </w:tc>
        <w:tc>
          <w:tcPr>
            <w:tcW w:w="1758" w:type="dxa"/>
          </w:tcPr>
          <w:p w14:paraId="679D8484" w14:textId="1C355B22" w:rsidR="007C3F6A" w:rsidRPr="004030F5" w:rsidRDefault="00967059" w:rsidP="007C3F6A">
            <w:pPr>
              <w:jc w:val="center"/>
              <w:rPr>
                <w:rFonts w:cs="Arial"/>
              </w:rPr>
            </w:pPr>
            <w:r w:rsidRPr="004030F5">
              <w:rPr>
                <w:rFonts w:cs="Arial"/>
              </w:rPr>
              <w:t>++</w:t>
            </w:r>
          </w:p>
        </w:tc>
        <w:tc>
          <w:tcPr>
            <w:tcW w:w="1371" w:type="dxa"/>
          </w:tcPr>
          <w:p w14:paraId="20F1B5A4" w14:textId="0230251E" w:rsidR="007C3F6A" w:rsidRPr="004030F5" w:rsidRDefault="007C3F6A" w:rsidP="007C3F6A">
            <w:pPr>
              <w:jc w:val="center"/>
              <w:rPr>
                <w:rFonts w:cs="Arial"/>
              </w:rPr>
            </w:pPr>
            <w:r w:rsidRPr="004030F5">
              <w:rPr>
                <w:rFonts w:cs="Arial"/>
              </w:rPr>
              <w:t>2 logs</w:t>
            </w:r>
          </w:p>
        </w:tc>
      </w:tr>
      <w:tr w:rsidR="007C3F6A" w:rsidRPr="004030F5" w14:paraId="1FA23B1F" w14:textId="77777777" w:rsidTr="00A65273">
        <w:tc>
          <w:tcPr>
            <w:tcW w:w="4172" w:type="dxa"/>
          </w:tcPr>
          <w:p w14:paraId="5B74D3CB" w14:textId="08FB03D5" w:rsidR="007C3F6A" w:rsidRPr="004030F5" w:rsidRDefault="007C3F6A" w:rsidP="007C3F6A">
            <w:pPr>
              <w:rPr>
                <w:rFonts w:cs="Arial"/>
              </w:rPr>
            </w:pPr>
            <w:r w:rsidRPr="004030F5">
              <w:rPr>
                <w:rFonts w:cs="Arial"/>
              </w:rPr>
              <w:t>Enzymatic labeling (MS)</w:t>
            </w:r>
          </w:p>
        </w:tc>
        <w:tc>
          <w:tcPr>
            <w:tcW w:w="1411" w:type="dxa"/>
          </w:tcPr>
          <w:p w14:paraId="2BEDE6E4" w14:textId="33098E87" w:rsidR="007C3F6A" w:rsidRPr="004030F5" w:rsidRDefault="00967059" w:rsidP="007C3F6A">
            <w:pPr>
              <w:jc w:val="center"/>
              <w:rPr>
                <w:rFonts w:cs="Arial"/>
              </w:rPr>
            </w:pPr>
            <w:r w:rsidRPr="004030F5">
              <w:rPr>
                <w:rFonts w:cs="Arial"/>
              </w:rPr>
              <w:t>++</w:t>
            </w:r>
          </w:p>
        </w:tc>
        <w:tc>
          <w:tcPr>
            <w:tcW w:w="1758" w:type="dxa"/>
          </w:tcPr>
          <w:p w14:paraId="60BF91FE" w14:textId="5FE2D5EA" w:rsidR="007C3F6A" w:rsidRPr="004030F5" w:rsidRDefault="00967059" w:rsidP="007C3F6A">
            <w:pPr>
              <w:jc w:val="center"/>
              <w:rPr>
                <w:rFonts w:cs="Arial"/>
              </w:rPr>
            </w:pPr>
            <w:r w:rsidRPr="004030F5">
              <w:rPr>
                <w:rFonts w:cs="Arial"/>
              </w:rPr>
              <w:t>++</w:t>
            </w:r>
          </w:p>
        </w:tc>
        <w:tc>
          <w:tcPr>
            <w:tcW w:w="1371" w:type="dxa"/>
          </w:tcPr>
          <w:p w14:paraId="30509CF5" w14:textId="39B8D0D4" w:rsidR="007C3F6A" w:rsidRPr="004030F5" w:rsidRDefault="007C3F6A" w:rsidP="007C3F6A">
            <w:pPr>
              <w:jc w:val="center"/>
              <w:rPr>
                <w:rFonts w:cs="Arial"/>
              </w:rPr>
            </w:pPr>
            <w:r w:rsidRPr="004030F5">
              <w:rPr>
                <w:rFonts w:cs="Arial"/>
              </w:rPr>
              <w:t>1-2 logs</w:t>
            </w:r>
          </w:p>
        </w:tc>
      </w:tr>
      <w:tr w:rsidR="007C3F6A" w:rsidRPr="004030F5" w14:paraId="7CDCE61F" w14:textId="77777777" w:rsidTr="00A65273">
        <w:trPr>
          <w:trHeight w:val="305"/>
        </w:trPr>
        <w:tc>
          <w:tcPr>
            <w:tcW w:w="4172" w:type="dxa"/>
          </w:tcPr>
          <w:p w14:paraId="2DC2DF1E" w14:textId="20CEB6FB" w:rsidR="007C3F6A" w:rsidRPr="004030F5" w:rsidRDefault="007C3F6A" w:rsidP="007C3F6A">
            <w:pPr>
              <w:rPr>
                <w:rFonts w:cs="Arial"/>
              </w:rPr>
            </w:pPr>
            <w:r w:rsidRPr="004030F5">
              <w:rPr>
                <w:rFonts w:cs="Arial"/>
              </w:rPr>
              <w:t>Spiked peptides</w:t>
            </w:r>
          </w:p>
        </w:tc>
        <w:tc>
          <w:tcPr>
            <w:tcW w:w="1411" w:type="dxa"/>
          </w:tcPr>
          <w:p w14:paraId="27F646FC" w14:textId="50B51E88" w:rsidR="007C3F6A" w:rsidRPr="004030F5" w:rsidRDefault="00967059" w:rsidP="007C3F6A">
            <w:pPr>
              <w:jc w:val="center"/>
              <w:rPr>
                <w:rFonts w:cs="Arial"/>
              </w:rPr>
            </w:pPr>
            <w:r w:rsidRPr="004030F5">
              <w:rPr>
                <w:rFonts w:cs="Arial"/>
              </w:rPr>
              <w:t>++</w:t>
            </w:r>
          </w:p>
        </w:tc>
        <w:tc>
          <w:tcPr>
            <w:tcW w:w="1758" w:type="dxa"/>
          </w:tcPr>
          <w:p w14:paraId="2E0DF728" w14:textId="4F61395F" w:rsidR="007C3F6A" w:rsidRPr="004030F5" w:rsidRDefault="00967059" w:rsidP="007C3F6A">
            <w:pPr>
              <w:jc w:val="center"/>
              <w:rPr>
                <w:rFonts w:cs="Arial"/>
              </w:rPr>
            </w:pPr>
            <w:r w:rsidRPr="004030F5">
              <w:rPr>
                <w:rFonts w:cs="Arial"/>
              </w:rPr>
              <w:t>+</w:t>
            </w:r>
          </w:p>
        </w:tc>
        <w:tc>
          <w:tcPr>
            <w:tcW w:w="1371" w:type="dxa"/>
          </w:tcPr>
          <w:p w14:paraId="68CF898D" w14:textId="07B80587" w:rsidR="007C3F6A" w:rsidRPr="004030F5" w:rsidRDefault="007C3F6A" w:rsidP="007C3F6A">
            <w:pPr>
              <w:jc w:val="center"/>
              <w:rPr>
                <w:rFonts w:cs="Arial"/>
              </w:rPr>
            </w:pPr>
            <w:r w:rsidRPr="004030F5">
              <w:rPr>
                <w:rFonts w:cs="Arial"/>
              </w:rPr>
              <w:t>2 logs</w:t>
            </w:r>
          </w:p>
        </w:tc>
      </w:tr>
      <w:tr w:rsidR="007C3F6A" w:rsidRPr="004030F5" w14:paraId="5F2AE8B1" w14:textId="77777777" w:rsidTr="00A65273">
        <w:tc>
          <w:tcPr>
            <w:tcW w:w="4172" w:type="dxa"/>
          </w:tcPr>
          <w:p w14:paraId="417535C9" w14:textId="354E824B" w:rsidR="007C3F6A" w:rsidRPr="004030F5" w:rsidRDefault="007C3F6A" w:rsidP="007C3F6A">
            <w:pPr>
              <w:rPr>
                <w:rFonts w:cs="Arial"/>
              </w:rPr>
            </w:pPr>
            <w:r w:rsidRPr="004030F5">
              <w:rPr>
                <w:rFonts w:cs="Arial"/>
              </w:rPr>
              <w:t>Label free (ion intensity)</w:t>
            </w:r>
          </w:p>
        </w:tc>
        <w:tc>
          <w:tcPr>
            <w:tcW w:w="1411" w:type="dxa"/>
          </w:tcPr>
          <w:p w14:paraId="489D4A0B" w14:textId="1FE9392F" w:rsidR="007C3F6A" w:rsidRPr="004030F5" w:rsidRDefault="007C3F6A" w:rsidP="007C3F6A">
            <w:pPr>
              <w:jc w:val="center"/>
              <w:rPr>
                <w:rFonts w:cs="Arial"/>
              </w:rPr>
            </w:pPr>
            <w:r w:rsidRPr="004030F5">
              <w:rPr>
                <w:rFonts w:cs="Arial"/>
              </w:rPr>
              <w:t>+</w:t>
            </w:r>
          </w:p>
        </w:tc>
        <w:tc>
          <w:tcPr>
            <w:tcW w:w="1758" w:type="dxa"/>
          </w:tcPr>
          <w:p w14:paraId="552E62A9" w14:textId="514393EB" w:rsidR="007C3F6A" w:rsidRPr="004030F5" w:rsidRDefault="007C3F6A" w:rsidP="007C3F6A">
            <w:pPr>
              <w:jc w:val="center"/>
              <w:rPr>
                <w:rFonts w:cs="Arial"/>
              </w:rPr>
            </w:pPr>
            <w:r w:rsidRPr="004030F5">
              <w:rPr>
                <w:rFonts w:cs="Arial"/>
              </w:rPr>
              <w:t>+++</w:t>
            </w:r>
          </w:p>
        </w:tc>
        <w:tc>
          <w:tcPr>
            <w:tcW w:w="1371" w:type="dxa"/>
          </w:tcPr>
          <w:p w14:paraId="6F8BBEFD" w14:textId="288E8207" w:rsidR="007C3F6A" w:rsidRPr="004030F5" w:rsidRDefault="007C3F6A" w:rsidP="007C3F6A">
            <w:pPr>
              <w:jc w:val="center"/>
              <w:rPr>
                <w:rFonts w:cs="Arial"/>
              </w:rPr>
            </w:pPr>
            <w:r w:rsidRPr="004030F5">
              <w:rPr>
                <w:rFonts w:cs="Arial"/>
              </w:rPr>
              <w:t>2-3 logs</w:t>
            </w:r>
          </w:p>
        </w:tc>
      </w:tr>
      <w:tr w:rsidR="007C3F6A" w:rsidRPr="004030F5" w14:paraId="47128589" w14:textId="77777777" w:rsidTr="00A65273">
        <w:tc>
          <w:tcPr>
            <w:tcW w:w="4172" w:type="dxa"/>
          </w:tcPr>
          <w:p w14:paraId="009123BF" w14:textId="7C10826B" w:rsidR="007C3F6A" w:rsidRPr="004030F5" w:rsidRDefault="007C3F6A" w:rsidP="007C3F6A">
            <w:pPr>
              <w:rPr>
                <w:rFonts w:cs="Arial"/>
              </w:rPr>
            </w:pPr>
            <w:r w:rsidRPr="004030F5">
              <w:rPr>
                <w:rFonts w:cs="Arial"/>
              </w:rPr>
              <w:t>Label free (spectrum counting)</w:t>
            </w:r>
          </w:p>
        </w:tc>
        <w:tc>
          <w:tcPr>
            <w:tcW w:w="1411" w:type="dxa"/>
          </w:tcPr>
          <w:p w14:paraId="5B14F9C0" w14:textId="2068348A" w:rsidR="007C3F6A" w:rsidRPr="004030F5" w:rsidRDefault="007C3F6A" w:rsidP="007C3F6A">
            <w:pPr>
              <w:jc w:val="center"/>
              <w:rPr>
                <w:rFonts w:cs="Arial"/>
              </w:rPr>
            </w:pPr>
            <w:r w:rsidRPr="004030F5">
              <w:rPr>
                <w:rFonts w:cs="Arial"/>
              </w:rPr>
              <w:t>+</w:t>
            </w:r>
          </w:p>
        </w:tc>
        <w:tc>
          <w:tcPr>
            <w:tcW w:w="1758" w:type="dxa"/>
          </w:tcPr>
          <w:p w14:paraId="4EBE30C3" w14:textId="58B45ABD" w:rsidR="007C3F6A" w:rsidRPr="004030F5" w:rsidRDefault="007C3F6A" w:rsidP="007C3F6A">
            <w:pPr>
              <w:jc w:val="center"/>
              <w:rPr>
                <w:rFonts w:cs="Arial"/>
              </w:rPr>
            </w:pPr>
            <w:r w:rsidRPr="004030F5">
              <w:rPr>
                <w:rFonts w:cs="Arial"/>
              </w:rPr>
              <w:t>+++</w:t>
            </w:r>
          </w:p>
        </w:tc>
        <w:tc>
          <w:tcPr>
            <w:tcW w:w="1371" w:type="dxa"/>
          </w:tcPr>
          <w:p w14:paraId="7161915D" w14:textId="1A09DEE0" w:rsidR="007C3F6A" w:rsidRPr="004030F5" w:rsidRDefault="007C3F6A" w:rsidP="007C3F6A">
            <w:pPr>
              <w:jc w:val="center"/>
              <w:rPr>
                <w:rFonts w:cs="Arial"/>
              </w:rPr>
            </w:pPr>
            <w:r w:rsidRPr="004030F5">
              <w:rPr>
                <w:rFonts w:cs="Arial"/>
              </w:rPr>
              <w:t>2-3 logs</w:t>
            </w:r>
          </w:p>
        </w:tc>
      </w:tr>
    </w:tbl>
    <w:p w14:paraId="29CC8077" w14:textId="77777777" w:rsidR="00C003BD" w:rsidRPr="004030F5" w:rsidRDefault="00C003BD" w:rsidP="00360A7B">
      <w:pPr>
        <w:rPr>
          <w:rFonts w:cs="Arial"/>
        </w:rPr>
      </w:pPr>
    </w:p>
    <w:p w14:paraId="2FD6B46B" w14:textId="2E7A5524" w:rsidR="00D0707A" w:rsidRPr="004030F5" w:rsidRDefault="00D0707A" w:rsidP="00360A7B">
      <w:pPr>
        <w:spacing w:line="480" w:lineRule="auto"/>
        <w:rPr>
          <w:rFonts w:cs="Arial"/>
        </w:rPr>
      </w:pPr>
      <w:r w:rsidRPr="004030F5">
        <w:rPr>
          <w:rFonts w:cs="Arial"/>
        </w:rPr>
        <w:br w:type="page"/>
      </w:r>
    </w:p>
    <w:p w14:paraId="5C035E6E" w14:textId="30FA056A" w:rsidR="00D97ACC" w:rsidRPr="004030F5" w:rsidRDefault="00D97ACC" w:rsidP="00B13E86">
      <w:pPr>
        <w:pStyle w:val="Footer"/>
        <w:numPr>
          <w:ilvl w:val="12"/>
          <w:numId w:val="0"/>
        </w:numPr>
        <w:tabs>
          <w:tab w:val="clear" w:pos="4320"/>
          <w:tab w:val="clear" w:pos="8640"/>
        </w:tabs>
        <w:spacing w:line="480" w:lineRule="auto"/>
        <w:rPr>
          <w:rFonts w:cs="Arial"/>
        </w:rPr>
      </w:pPr>
      <w:r w:rsidRPr="004030F5">
        <w:rPr>
          <w:rFonts w:cs="Arial"/>
        </w:rPr>
        <w:lastRenderedPageBreak/>
        <w:t xml:space="preserve">Label-free quantification is majorly used in metaproteomics and extensive isotopic labeling of an environmental sample is recently demonstrated </w:t>
      </w:r>
      <w:r w:rsidRPr="004030F5">
        <w:rPr>
          <w:rFonts w:cs="Arial"/>
        </w:rPr>
        <w:fldChar w:fldCharType="begin">
          <w:fldData xml:space="preserve">PEVuZE5vdGU+PENpdGU+PEF1dGhvcj5CZWxuYXA8L0F1dGhvcj48WWVhcj4yMDExPC9ZZWFyPjxS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==
</w:fldData>
        </w:fldChar>
      </w:r>
      <w:r w:rsidRPr="004030F5">
        <w:rPr>
          <w:rFonts w:cs="Arial"/>
        </w:rPr>
        <w:instrText xml:space="preserve"> ADDIN EN.CITE </w:instrText>
      </w:r>
      <w:r w:rsidRPr="004030F5">
        <w:rPr>
          <w:rFonts w:cs="Arial"/>
        </w:rPr>
        <w:fldChar w:fldCharType="begin">
          <w:fldData xml:space="preserve">PEVuZE5vdGU+PENpdGU+PEF1dGhvcj5CZWxuYXA8L0F1dGhvcj48WWVhcj4yMDExPC9ZZWFyPjxS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==
</w:fldData>
        </w:fldChar>
      </w:r>
      <w:r w:rsidRPr="004030F5">
        <w:rPr>
          <w:rFonts w:cs="Arial"/>
        </w:rPr>
        <w:instrText xml:space="preserve"> ADDIN EN.CITE.DATA </w:instrText>
      </w:r>
      <w:r w:rsidRPr="004030F5">
        <w:rPr>
          <w:rFonts w:cs="Arial"/>
        </w:rPr>
      </w:r>
      <w:r w:rsidRPr="004030F5">
        <w:rPr>
          <w:rFonts w:cs="Arial"/>
        </w:rPr>
        <w:fldChar w:fldCharType="end"/>
      </w:r>
      <w:r w:rsidRPr="004030F5">
        <w:rPr>
          <w:rFonts w:cs="Arial"/>
        </w:rPr>
      </w:r>
      <w:r w:rsidRPr="004030F5">
        <w:rPr>
          <w:rFonts w:cs="Arial"/>
        </w:rPr>
        <w:fldChar w:fldCharType="separate"/>
      </w:r>
      <w:r w:rsidRPr="004030F5">
        <w:rPr>
          <w:rFonts w:cs="Arial"/>
          <w:noProof/>
        </w:rPr>
        <w:t>[41-44]</w:t>
      </w:r>
      <w:r w:rsidRPr="004030F5">
        <w:rPr>
          <w:rFonts w:cs="Arial"/>
        </w:rPr>
        <w:fldChar w:fldCharType="end"/>
      </w:r>
      <w:r w:rsidRPr="004030F5">
        <w:rPr>
          <w:rFonts w:cs="Arial"/>
        </w:rPr>
        <w:t xml:space="preserve">.  </w:t>
      </w:r>
    </w:p>
    <w:p w14:paraId="330CD802" w14:textId="77777777" w:rsidR="00B80C04" w:rsidRPr="004030F5" w:rsidRDefault="00B80C04" w:rsidP="00B13E86">
      <w:pPr>
        <w:pStyle w:val="Footer"/>
        <w:numPr>
          <w:ilvl w:val="12"/>
          <w:numId w:val="0"/>
        </w:numPr>
        <w:tabs>
          <w:tab w:val="clear" w:pos="4320"/>
          <w:tab w:val="clear" w:pos="8640"/>
        </w:tabs>
        <w:spacing w:line="480" w:lineRule="auto"/>
        <w:rPr>
          <w:rFonts w:cs="Arial"/>
        </w:rPr>
      </w:pPr>
    </w:p>
    <w:p w14:paraId="7FB1A716" w14:textId="04F66C41" w:rsidR="00974BB4" w:rsidRPr="004030F5" w:rsidRDefault="00974BB4" w:rsidP="00B80C04">
      <w:pPr>
        <w:pStyle w:val="Heading2"/>
      </w:pPr>
      <w:bookmarkStart w:id="16" w:name="_Toc296333701"/>
      <w:r w:rsidRPr="004030F5">
        <w:t xml:space="preserve">Bioinformatics </w:t>
      </w:r>
      <w:r w:rsidR="00CC61A8" w:rsidRPr="004030F5">
        <w:t>for</w:t>
      </w:r>
      <w:r w:rsidRPr="004030F5">
        <w:t xml:space="preserve"> metaproteom</w:t>
      </w:r>
      <w:r w:rsidR="00CC61A8" w:rsidRPr="004030F5">
        <w:t>ics</w:t>
      </w:r>
      <w:bookmarkEnd w:id="16"/>
    </w:p>
    <w:p w14:paraId="4CF31F27" w14:textId="77777777" w:rsidR="00937311" w:rsidRPr="004030F5" w:rsidRDefault="00937311" w:rsidP="00937311">
      <w:pPr>
        <w:rPr>
          <w:rFonts w:cs="Arial"/>
        </w:rPr>
      </w:pPr>
    </w:p>
    <w:p w14:paraId="7DEAC823" w14:textId="61E08F5D" w:rsidR="00B80C04" w:rsidRPr="004030F5" w:rsidRDefault="003A3F48" w:rsidP="00937311">
      <w:pPr>
        <w:pStyle w:val="Heading3"/>
      </w:pPr>
      <w:bookmarkStart w:id="17" w:name="_Toc296333702"/>
      <w:r w:rsidRPr="004030F5">
        <w:t>Peptide-s</w:t>
      </w:r>
      <w:r w:rsidR="00430002" w:rsidRPr="004030F5">
        <w:t xml:space="preserve">pectrum </w:t>
      </w:r>
      <w:r w:rsidR="00604197" w:rsidRPr="004030F5">
        <w:t>search</w:t>
      </w:r>
      <w:bookmarkEnd w:id="17"/>
    </w:p>
    <w:p w14:paraId="5CFB42E9" w14:textId="77777777" w:rsidR="00974BB4" w:rsidRPr="004030F5" w:rsidRDefault="00974BB4" w:rsidP="00974BB4">
      <w:pPr>
        <w:pStyle w:val="Footer"/>
        <w:numPr>
          <w:ilvl w:val="12"/>
          <w:numId w:val="0"/>
        </w:numPr>
        <w:tabs>
          <w:tab w:val="clear" w:pos="4320"/>
          <w:tab w:val="clear" w:pos="8640"/>
        </w:tabs>
        <w:spacing w:line="480" w:lineRule="auto"/>
        <w:rPr>
          <w:rFonts w:cs="Arial"/>
        </w:rPr>
      </w:pPr>
      <w:r w:rsidRPr="004030F5">
        <w:rPr>
          <w:rFonts w:cs="Arial"/>
        </w:rPr>
        <w:tab/>
        <w:t xml:space="preserve">Bioinformatics analysis is conducted to identify peptides from MS/MS spectra and reconstruct and quantify proteins.  Bioinformatics analysis is the most challenging in all the steps of metaproteomics.  This difficulty of computational analysis is caused by particularly intricate data structure of metaproteome and lack of prior information about microbial communities. </w:t>
      </w:r>
    </w:p>
    <w:p w14:paraId="3FA73967" w14:textId="4DD32CB4" w:rsidR="000E1E68" w:rsidRPr="004030F5" w:rsidRDefault="00810CA4" w:rsidP="00974BB4">
      <w:pPr>
        <w:pStyle w:val="Footer"/>
        <w:numPr>
          <w:ilvl w:val="12"/>
          <w:numId w:val="0"/>
        </w:numPr>
        <w:tabs>
          <w:tab w:val="clear" w:pos="4320"/>
          <w:tab w:val="clear" w:pos="8640"/>
        </w:tabs>
        <w:spacing w:line="480" w:lineRule="auto"/>
        <w:ind w:firstLine="720"/>
        <w:rPr>
          <w:rFonts w:cs="Arial"/>
        </w:rPr>
      </w:pPr>
      <w:r w:rsidRPr="004030F5">
        <w:rPr>
          <w:rFonts w:cs="Arial"/>
        </w:rPr>
        <w:t>S</w:t>
      </w:r>
      <w:r w:rsidR="00535F7B" w:rsidRPr="004030F5">
        <w:rPr>
          <w:rFonts w:cs="Arial"/>
        </w:rPr>
        <w:t>pecies cohabiting in a community</w:t>
      </w:r>
      <w:r w:rsidR="00CB7709" w:rsidRPr="004030F5">
        <w:rPr>
          <w:rFonts w:cs="Arial"/>
        </w:rPr>
        <w:t xml:space="preserve"> is not known, which means</w:t>
      </w:r>
      <w:r w:rsidR="00D0707A" w:rsidRPr="004030F5">
        <w:rPr>
          <w:rFonts w:cs="Arial"/>
        </w:rPr>
        <w:t xml:space="preserve"> that </w:t>
      </w:r>
      <w:r w:rsidR="005267AF" w:rsidRPr="004030F5">
        <w:rPr>
          <w:rFonts w:cs="Arial"/>
        </w:rPr>
        <w:t>we can’</w:t>
      </w:r>
      <w:r w:rsidR="00190FB2" w:rsidRPr="004030F5">
        <w:rPr>
          <w:rFonts w:cs="Arial"/>
        </w:rPr>
        <w:t>t construct protein database</w:t>
      </w:r>
      <w:r w:rsidR="002B7349" w:rsidRPr="004030F5">
        <w:rPr>
          <w:rFonts w:cs="Arial"/>
        </w:rPr>
        <w:t xml:space="preserve"> collected from </w:t>
      </w:r>
      <w:r w:rsidR="00166EF1" w:rsidRPr="004030F5">
        <w:rPr>
          <w:rFonts w:cs="Arial"/>
        </w:rPr>
        <w:t>reference databases</w:t>
      </w:r>
      <w:r w:rsidR="00C57E1B" w:rsidRPr="004030F5">
        <w:rPr>
          <w:rFonts w:cs="Arial"/>
        </w:rPr>
        <w:t xml:space="preserve"> (DB)</w:t>
      </w:r>
      <w:r w:rsidR="00166EF1" w:rsidRPr="004030F5">
        <w:rPr>
          <w:rFonts w:cs="Arial"/>
        </w:rPr>
        <w:t>, such as RefSeq</w:t>
      </w:r>
      <w:r w:rsidR="007628AB" w:rsidRPr="004030F5">
        <w:rPr>
          <w:rFonts w:cs="Arial"/>
        </w:rPr>
        <w:fldChar w:fldCharType="begin"/>
      </w:r>
      <w:r w:rsidR="006B3205" w:rsidRPr="004030F5">
        <w:rPr>
          <w:rFonts w:cs="Arial"/>
        </w:rPr>
        <w:instrText xml:space="preserve"> ADDIN EN.CITE &lt;EndNote&gt;&lt;Cite&gt;&lt;Author&gt;Pruitt&lt;/Author&gt;&lt;Year&gt;2007&lt;/Year&gt;&lt;RecNum&gt;51&lt;/RecNum&gt;&lt;DisplayText&gt;[45]&lt;/DisplayText&gt;&lt;record&gt;&lt;rec-number&gt;51&lt;/rec-number&gt;&lt;foreign-keys&gt;&lt;key app="EN" db-id="efx2002d5f0z21etvw3x9zp7tw2axpa2eez0" timestamp="1433354634"&gt;51&lt;/key&gt;&lt;/foreign-keys&gt;&lt;ref-type name="Journal Article"&gt;17&lt;/ref-type&gt;&lt;contributors&gt;&lt;authors&gt;&lt;author&gt;Pruitt, Kim D&lt;/author&gt;&lt;author&gt;Tatusova, Tatiana&lt;/author&gt;&lt;author&gt;Maglott, Donna R&lt;/author&gt;&lt;/authors&gt;&lt;/contributors&gt;&lt;titles&gt;&lt;title&gt;NCBI reference sequences (RefSeq): a curated non-redundant sequence database of genomes, transcripts and proteins&lt;/title&gt;&lt;secondary-title&gt;Nucleic acids research&lt;/secondary-title&gt;&lt;/titles&gt;&lt;periodical&gt;&lt;full-title&gt;Nucleic acids research&lt;/full-title&gt;&lt;/periodical&gt;&lt;pages&gt;D61-D65&lt;/pages&gt;&lt;volume&gt;35&lt;/volume&gt;&lt;number&gt;suppl 1&lt;/number&gt;&lt;dates&gt;&lt;year&gt;2007&lt;/year&gt;&lt;/dates&gt;&lt;isbn&gt;0305-1048&lt;/isbn&gt;&lt;urls&gt;&lt;/urls&gt;&lt;/record&gt;&lt;/Cite&gt;&lt;/EndNote&gt;</w:instrText>
      </w:r>
      <w:r w:rsidR="007628AB" w:rsidRPr="004030F5">
        <w:rPr>
          <w:rFonts w:cs="Arial"/>
        </w:rPr>
        <w:fldChar w:fldCharType="separate"/>
      </w:r>
      <w:r w:rsidR="006B3205" w:rsidRPr="004030F5">
        <w:rPr>
          <w:rFonts w:cs="Arial"/>
          <w:noProof/>
        </w:rPr>
        <w:t>[45]</w:t>
      </w:r>
      <w:r w:rsidR="007628AB" w:rsidRPr="004030F5">
        <w:rPr>
          <w:rFonts w:cs="Arial"/>
        </w:rPr>
        <w:fldChar w:fldCharType="end"/>
      </w:r>
      <w:r w:rsidR="00166EF1" w:rsidRPr="004030F5">
        <w:rPr>
          <w:rFonts w:cs="Arial"/>
        </w:rPr>
        <w:t>, UniProt</w:t>
      </w:r>
      <w:r w:rsidR="007628AB" w:rsidRPr="004030F5">
        <w:rPr>
          <w:rFonts w:cs="Arial"/>
        </w:rPr>
        <w:fldChar w:fldCharType="begin"/>
      </w:r>
      <w:r w:rsidR="006B3205" w:rsidRPr="004030F5">
        <w:rPr>
          <w:rFonts w:cs="Arial"/>
        </w:rPr>
        <w:instrText xml:space="preserve"> ADDIN EN.CITE &lt;EndNote&gt;&lt;Cite&gt;&lt;Author&gt;Consortium&lt;/Author&gt;&lt;Year&gt;2008&lt;/Year&gt;&lt;RecNum&gt;52&lt;/RecNum&gt;&lt;DisplayText&gt;[46]&lt;/DisplayText&gt;&lt;record&gt;&lt;rec-number&gt;52&lt;/rec-number&gt;&lt;foreign-keys&gt;&lt;key app="EN" db-id="efx2002d5f0z21etvw3x9zp7tw2axpa2eez0" timestamp="1433354672"&gt;52&lt;/key&gt;&lt;/foreign-keys&gt;&lt;ref-type name="Journal Article"&gt;17&lt;/ref-type&gt;&lt;contributors&gt;&lt;authors&gt;&lt;author&gt;UniProt Consortium&lt;/author&gt;&lt;/authors&gt;&lt;/contributors&gt;&lt;titles&gt;&lt;title&gt;The universal protein resource (UniProt)&lt;/title&gt;&lt;secondary-title&gt;Nucleic acids research&lt;/secondary-title&gt;&lt;/titles&gt;&lt;periodical&gt;&lt;full-title&gt;Nucleic acids research&lt;/full-title&gt;&lt;/periodical&gt;&lt;pages&gt;D190-D195&lt;/pages&gt;&lt;volume&gt;36&lt;/volume&gt;&lt;number&gt;suppl 1&lt;/number&gt;&lt;dates&gt;&lt;year&gt;2008&lt;/year&gt;&lt;/dates&gt;&lt;isbn&gt;0305-1048&lt;/isbn&gt;&lt;urls&gt;&lt;/urls&gt;&lt;/record&gt;&lt;/Cite&gt;&lt;/EndNote&gt;</w:instrText>
      </w:r>
      <w:r w:rsidR="007628AB" w:rsidRPr="004030F5">
        <w:rPr>
          <w:rFonts w:cs="Arial"/>
        </w:rPr>
        <w:fldChar w:fldCharType="separate"/>
      </w:r>
      <w:r w:rsidR="006B3205" w:rsidRPr="004030F5">
        <w:rPr>
          <w:rFonts w:cs="Arial"/>
          <w:noProof/>
        </w:rPr>
        <w:t>[46]</w:t>
      </w:r>
      <w:r w:rsidR="007628AB" w:rsidRPr="004030F5">
        <w:rPr>
          <w:rFonts w:cs="Arial"/>
        </w:rPr>
        <w:fldChar w:fldCharType="end"/>
      </w:r>
      <w:r w:rsidR="007628AB" w:rsidRPr="004030F5">
        <w:rPr>
          <w:rFonts w:cs="Arial"/>
        </w:rPr>
        <w:t xml:space="preserve"> and IMG</w:t>
      </w:r>
      <w:r w:rsidR="007628AB" w:rsidRPr="004030F5">
        <w:rPr>
          <w:rFonts w:cs="Arial"/>
        </w:rPr>
        <w:fldChar w:fldCharType="begin"/>
      </w:r>
      <w:r w:rsidR="006B3205" w:rsidRPr="004030F5">
        <w:rPr>
          <w:rFonts w:cs="Arial"/>
        </w:rPr>
        <w:instrText xml:space="preserve"> ADDIN EN.CITE &lt;EndNote&gt;&lt;Cite&gt;&lt;Author&gt;Markowitz&lt;/Author&gt;&lt;Year&gt;2012&lt;/Year&gt;&lt;RecNum&gt;53&lt;/RecNum&gt;&lt;DisplayText&gt;[47]&lt;/DisplayText&gt;&lt;record&gt;&lt;rec-number&gt;53&lt;/rec-number&gt;&lt;foreign-keys&gt;&lt;key app="EN" db-id="efx2002d5f0z21etvw3x9zp7tw2axpa2eez0" timestamp="1433354699"&gt;53&lt;/key&gt;&lt;/foreign-keys&gt;&lt;ref-type name="Journal Article"&gt;17&lt;/ref-type&gt;&lt;contributors&gt;&lt;authors&gt;&lt;author&gt;Markowitz, Victor M&lt;/author&gt;&lt;author&gt;Chen, I-Min A&lt;/author&gt;&lt;author&gt;Palaniappan, Krishna&lt;/author&gt;&lt;author&gt;Chu, Ken&lt;/author&gt;&lt;author&gt;Szeto, Ernest&lt;/author&gt;&lt;author&gt;Grechkin, Yuri&lt;/author&gt;&lt;author&gt;Ratner, Anna&lt;/author&gt;&lt;author&gt;Jacob, Biju&lt;/author&gt;&lt;author&gt;Huang, Jinghua&lt;/author&gt;&lt;author&gt;Williams, Peter&lt;/author&gt;&lt;/authors&gt;&lt;/contributors&gt;&lt;titles&gt;&lt;title&gt;IMG: the integrated microbial genomes database and comparative analysis system&lt;/title&gt;&lt;secondary-title&gt;Nucleic acids research&lt;/secondary-title&gt;&lt;/titles&gt;&lt;periodical&gt;&lt;full-title&gt;Nucleic acids research&lt;/full-title&gt;&lt;/periodical&gt;&lt;pages&gt;D115-D122&lt;/pages&gt;&lt;volume&gt;40&lt;/volume&gt;&lt;number&gt;D1&lt;/number&gt;&lt;dates&gt;&lt;year&gt;2012&lt;/year&gt;&lt;/dates&gt;&lt;isbn&gt;0305-1048&lt;/isbn&gt;&lt;urls&gt;&lt;/urls&gt;&lt;/record&gt;&lt;/Cite&gt;&lt;/EndNote&gt;</w:instrText>
      </w:r>
      <w:r w:rsidR="007628AB" w:rsidRPr="004030F5">
        <w:rPr>
          <w:rFonts w:cs="Arial"/>
        </w:rPr>
        <w:fldChar w:fldCharType="separate"/>
      </w:r>
      <w:r w:rsidR="006B3205" w:rsidRPr="004030F5">
        <w:rPr>
          <w:rFonts w:cs="Arial"/>
          <w:noProof/>
        </w:rPr>
        <w:t>[47]</w:t>
      </w:r>
      <w:r w:rsidR="007628AB" w:rsidRPr="004030F5">
        <w:rPr>
          <w:rFonts w:cs="Arial"/>
        </w:rPr>
        <w:fldChar w:fldCharType="end"/>
      </w:r>
      <w:r w:rsidR="00190FB2" w:rsidRPr="004030F5">
        <w:rPr>
          <w:rFonts w:cs="Arial"/>
        </w:rPr>
        <w:t>.</w:t>
      </w:r>
      <w:r w:rsidR="00201EA9" w:rsidRPr="004030F5">
        <w:rPr>
          <w:rFonts w:cs="Arial"/>
        </w:rPr>
        <w:t xml:space="preserve">  </w:t>
      </w:r>
      <w:r w:rsidR="00461C4E" w:rsidRPr="004030F5">
        <w:rPr>
          <w:rFonts w:cs="Arial"/>
        </w:rPr>
        <w:t xml:space="preserve">Even though </w:t>
      </w:r>
      <w:r w:rsidR="00C56228" w:rsidRPr="004030F5">
        <w:rPr>
          <w:rFonts w:cs="Arial"/>
        </w:rPr>
        <w:t xml:space="preserve">Metagenome sequencing </w:t>
      </w:r>
      <w:r w:rsidR="00461C4E" w:rsidRPr="004030F5">
        <w:rPr>
          <w:rFonts w:cs="Arial"/>
        </w:rPr>
        <w:t xml:space="preserve">can replace </w:t>
      </w:r>
      <w:r w:rsidR="00C56228" w:rsidRPr="004030F5">
        <w:rPr>
          <w:rFonts w:cs="Arial"/>
        </w:rPr>
        <w:t>reference DB</w:t>
      </w:r>
      <w:r w:rsidR="00461C4E" w:rsidRPr="004030F5">
        <w:rPr>
          <w:rFonts w:cs="Arial"/>
        </w:rPr>
        <w:t>, we don’t know what it is</w:t>
      </w:r>
      <w:r w:rsidR="00C56228" w:rsidRPr="004030F5">
        <w:rPr>
          <w:rFonts w:cs="Arial"/>
        </w:rPr>
        <w:t xml:space="preserve">.  </w:t>
      </w:r>
      <w:r w:rsidR="001146FB" w:rsidRPr="004030F5">
        <w:rPr>
          <w:rFonts w:cs="Arial"/>
        </w:rPr>
        <w:t>Since</w:t>
      </w:r>
      <w:r w:rsidR="006108E7" w:rsidRPr="004030F5">
        <w:rPr>
          <w:rFonts w:cs="Arial"/>
        </w:rPr>
        <w:t xml:space="preserve"> identification</w:t>
      </w:r>
      <w:r w:rsidR="006C08D6" w:rsidRPr="004030F5">
        <w:rPr>
          <w:rFonts w:cs="Arial"/>
        </w:rPr>
        <w:t xml:space="preserve"> of MS/MS</w:t>
      </w:r>
      <w:r w:rsidR="00086938" w:rsidRPr="004030F5">
        <w:rPr>
          <w:rFonts w:cs="Arial"/>
        </w:rPr>
        <w:t xml:space="preserve"> spectrum is </w:t>
      </w:r>
      <w:r w:rsidR="00E23A74" w:rsidRPr="004030F5">
        <w:rPr>
          <w:rFonts w:cs="Arial"/>
        </w:rPr>
        <w:t xml:space="preserve">based on reference protein sequences, </w:t>
      </w:r>
      <w:r w:rsidR="00C57E1B" w:rsidRPr="004030F5">
        <w:rPr>
          <w:rFonts w:cs="Arial"/>
        </w:rPr>
        <w:t>deficiency of reference DB</w:t>
      </w:r>
      <w:r w:rsidR="00327820" w:rsidRPr="004030F5">
        <w:rPr>
          <w:rFonts w:cs="Arial"/>
        </w:rPr>
        <w:t xml:space="preserve"> limits exact protein identification.</w:t>
      </w:r>
      <w:r w:rsidR="00BB458F" w:rsidRPr="004030F5">
        <w:rPr>
          <w:rFonts w:cs="Arial"/>
        </w:rPr>
        <w:t xml:space="preserve">  If </w:t>
      </w:r>
      <w:r w:rsidR="0050534E" w:rsidRPr="004030F5">
        <w:rPr>
          <w:rFonts w:cs="Arial"/>
        </w:rPr>
        <w:t>appropriate</w:t>
      </w:r>
      <w:r w:rsidR="00592AC1" w:rsidRPr="004030F5">
        <w:rPr>
          <w:rFonts w:cs="Arial"/>
        </w:rPr>
        <w:t xml:space="preserve"> </w:t>
      </w:r>
      <w:r w:rsidR="0050534E" w:rsidRPr="004030F5">
        <w:rPr>
          <w:rFonts w:cs="Arial"/>
        </w:rPr>
        <w:t xml:space="preserve">reference </w:t>
      </w:r>
      <w:r w:rsidR="000E3628" w:rsidRPr="004030F5">
        <w:rPr>
          <w:rFonts w:cs="Arial"/>
        </w:rPr>
        <w:t xml:space="preserve">protein DB is unavailable, </w:t>
      </w:r>
      <w:r w:rsidR="000E3628" w:rsidRPr="004030F5">
        <w:rPr>
          <w:rFonts w:cs="Arial"/>
          <w:i/>
        </w:rPr>
        <w:t xml:space="preserve">de novo </w:t>
      </w:r>
      <w:r w:rsidR="000E3628" w:rsidRPr="004030F5">
        <w:rPr>
          <w:rFonts w:cs="Arial"/>
        </w:rPr>
        <w:t xml:space="preserve">sequencing can be alternative way </w:t>
      </w:r>
      <w:r w:rsidR="00924646" w:rsidRPr="004030F5">
        <w:rPr>
          <w:rFonts w:cs="Arial"/>
        </w:rPr>
        <w:t>for</w:t>
      </w:r>
      <w:r w:rsidR="000E3628" w:rsidRPr="004030F5">
        <w:rPr>
          <w:rFonts w:cs="Arial"/>
        </w:rPr>
        <w:t xml:space="preserve"> identification of MS/MS</w:t>
      </w:r>
      <w:r w:rsidR="006713D2" w:rsidRPr="004030F5">
        <w:rPr>
          <w:rFonts w:cs="Arial"/>
        </w:rPr>
        <w:t>.</w:t>
      </w:r>
      <w:r w:rsidR="001E73D3" w:rsidRPr="004030F5">
        <w:rPr>
          <w:rFonts w:cs="Arial"/>
        </w:rPr>
        <w:t xml:space="preserve">  </w:t>
      </w:r>
      <w:r w:rsidR="006E6F60" w:rsidRPr="004030F5">
        <w:rPr>
          <w:rFonts w:cs="Arial"/>
        </w:rPr>
        <w:t>However, de novo sequ</w:t>
      </w:r>
      <w:r w:rsidR="001D77A0" w:rsidRPr="004030F5">
        <w:rPr>
          <w:rFonts w:cs="Arial"/>
        </w:rPr>
        <w:t xml:space="preserve">encing based MS/MS search is </w:t>
      </w:r>
      <w:r w:rsidR="00741AC2" w:rsidRPr="004030F5">
        <w:rPr>
          <w:rFonts w:cs="Arial"/>
        </w:rPr>
        <w:t>difficult</w:t>
      </w:r>
      <w:r w:rsidR="006E6F60" w:rsidRPr="004030F5">
        <w:rPr>
          <w:rFonts w:cs="Arial"/>
        </w:rPr>
        <w:t>.</w:t>
      </w:r>
    </w:p>
    <w:p w14:paraId="0BC4EAFF" w14:textId="1C1C78DB" w:rsidR="00B27F25" w:rsidRPr="004030F5" w:rsidRDefault="007B00E9" w:rsidP="00724A5D">
      <w:pPr>
        <w:pStyle w:val="Footer"/>
        <w:numPr>
          <w:ilvl w:val="12"/>
          <w:numId w:val="0"/>
        </w:numPr>
        <w:tabs>
          <w:tab w:val="clear" w:pos="4320"/>
          <w:tab w:val="clear" w:pos="8640"/>
        </w:tabs>
        <w:spacing w:line="480" w:lineRule="auto"/>
        <w:ind w:firstLine="720"/>
        <w:rPr>
          <w:rFonts w:cs="Arial"/>
        </w:rPr>
      </w:pPr>
      <w:r w:rsidRPr="004030F5">
        <w:rPr>
          <w:rFonts w:cs="Arial"/>
        </w:rPr>
        <w:t>De novo sequencing does not require any prior information.</w:t>
      </w:r>
      <w:r w:rsidR="001A5BBE" w:rsidRPr="004030F5">
        <w:rPr>
          <w:rFonts w:cs="Arial"/>
        </w:rPr>
        <w:t xml:space="preserve">  </w:t>
      </w:r>
      <w:r w:rsidR="006F1D67" w:rsidRPr="004030F5">
        <w:rPr>
          <w:rFonts w:cs="Arial"/>
        </w:rPr>
        <w:t xml:space="preserve">MS/MS spectrum </w:t>
      </w:r>
      <w:r w:rsidR="00792963" w:rsidRPr="004030F5">
        <w:rPr>
          <w:rFonts w:cs="Arial"/>
        </w:rPr>
        <w:t xml:space="preserve">is collection of ions derived by fragmentation of </w:t>
      </w:r>
      <w:r w:rsidR="002B14CA" w:rsidRPr="004030F5">
        <w:rPr>
          <w:rFonts w:cs="Arial"/>
        </w:rPr>
        <w:t xml:space="preserve">a </w:t>
      </w:r>
      <w:r w:rsidR="00792963" w:rsidRPr="004030F5">
        <w:rPr>
          <w:rFonts w:cs="Arial"/>
        </w:rPr>
        <w:t>precursor peak</w:t>
      </w:r>
      <w:r w:rsidR="002B14CA" w:rsidRPr="004030F5">
        <w:rPr>
          <w:rFonts w:cs="Arial"/>
        </w:rPr>
        <w:t xml:space="preserve"> (sometimes, more tha</w:t>
      </w:r>
      <w:r w:rsidR="00B524EE" w:rsidRPr="004030F5">
        <w:rPr>
          <w:rFonts w:cs="Arial"/>
        </w:rPr>
        <w:t xml:space="preserve">n two peaks).  </w:t>
      </w:r>
      <w:r w:rsidR="00A44091" w:rsidRPr="004030F5">
        <w:rPr>
          <w:rFonts w:cs="Arial"/>
        </w:rPr>
        <w:t>Fragmented ions are varied by fragmentation methods.  Collision induced dis</w:t>
      </w:r>
      <w:r w:rsidR="00A63D83" w:rsidRPr="004030F5">
        <w:rPr>
          <w:rFonts w:cs="Arial"/>
        </w:rPr>
        <w:t xml:space="preserve">sociation (CID) and higher-energy </w:t>
      </w:r>
      <w:r w:rsidR="00A63D83" w:rsidRPr="004030F5">
        <w:rPr>
          <w:rFonts w:cs="Arial"/>
        </w:rPr>
        <w:lastRenderedPageBreak/>
        <w:t>collision dissociation (HCD) produce</w:t>
      </w:r>
      <w:r w:rsidR="00A44091" w:rsidRPr="004030F5">
        <w:rPr>
          <w:rFonts w:cs="Arial"/>
        </w:rPr>
        <w:t xml:space="preserve"> b and y ions</w:t>
      </w:r>
      <w:r w:rsidR="00A63D83" w:rsidRPr="004030F5">
        <w:rPr>
          <w:rFonts w:cs="Arial"/>
        </w:rPr>
        <w:t>, while electron-transfer dissociation (ETD) generates c and z ions.</w:t>
      </w:r>
      <w:r w:rsidR="0044790E" w:rsidRPr="004030F5">
        <w:rPr>
          <w:rFonts w:cs="Arial"/>
        </w:rPr>
        <w:t xml:space="preserve"> </w:t>
      </w:r>
      <w:r w:rsidR="00724A5D" w:rsidRPr="004030F5">
        <w:rPr>
          <w:rFonts w:cs="Arial"/>
        </w:rPr>
        <w:t xml:space="preserve"> </w:t>
      </w:r>
      <w:r w:rsidR="00E308C2" w:rsidRPr="004030F5">
        <w:rPr>
          <w:rFonts w:cs="Arial"/>
        </w:rPr>
        <w:t xml:space="preserve">For example, when it comes to MS/MS fragmented by CID and HCD, </w:t>
      </w:r>
      <w:r w:rsidR="00E308C2" w:rsidRPr="004030F5">
        <w:rPr>
          <w:rFonts w:cs="Arial"/>
          <w:i/>
        </w:rPr>
        <w:t>de novo</w:t>
      </w:r>
      <w:r w:rsidR="00E308C2" w:rsidRPr="004030F5">
        <w:rPr>
          <w:rFonts w:cs="Arial"/>
        </w:rPr>
        <w:t xml:space="preserve"> peptide sequencing starts from finding b and y ions that are differed by molecular mass of amino acid residues.  By comparing ion mass, sequence order is determined (Fig. 9).  </w:t>
      </w:r>
      <w:r w:rsidR="00066EA3" w:rsidRPr="004030F5">
        <w:rPr>
          <w:rFonts w:cs="Arial"/>
        </w:rPr>
        <w:t xml:space="preserve">However, </w:t>
      </w:r>
      <w:r w:rsidR="00066EA3" w:rsidRPr="004030F5">
        <w:rPr>
          <w:rFonts w:cs="Arial"/>
          <w:i/>
        </w:rPr>
        <w:t>de novo</w:t>
      </w:r>
      <w:r w:rsidR="00066EA3" w:rsidRPr="004030F5">
        <w:rPr>
          <w:rFonts w:cs="Arial"/>
        </w:rPr>
        <w:t xml:space="preserve"> sequencing from MS/MS spectrum is generally not successful for the following reasons: 1. Low ion intensity causes incomplete detection of sequence ions, 2. Many peptide sequences cannot have sufficient set of sequence ions and 3. Unusual amino acid and uncommon covalent modifications can prevent sequencing </w:t>
      </w:r>
      <w:r w:rsidR="00066EA3" w:rsidRPr="004030F5">
        <w:rPr>
          <w:rFonts w:cs="Arial"/>
        </w:rPr>
        <w:fldChar w:fldCharType="begin"/>
      </w:r>
      <w:r w:rsidR="006B3205" w:rsidRPr="004030F5">
        <w:rPr>
          <w:rFonts w:cs="Arial"/>
        </w:rPr>
        <w:instrText xml:space="preserve"> ADDIN EN.CITE &lt;EndNote&gt;&lt;Cite&gt;&lt;Author&gt;Seidler&lt;/Author&gt;&lt;Year&gt;2010&lt;/Year&gt;&lt;RecNum&gt;21&lt;/RecNum&gt;&lt;DisplayText&gt;[48]&lt;/DisplayText&gt;&lt;record&gt;&lt;rec-number&gt;21&lt;/rec-number&gt;&lt;foreign-keys&gt;&lt;key app="EN" db-id="efx2002d5f0z21etvw3x9zp7tw2axpa2eez0" timestamp="1432932208"&gt;21&lt;/key&gt;&lt;/foreign-keys&gt;&lt;ref-type name="Journal Article"&gt;17&lt;/ref-type&gt;&lt;contributors&gt;&lt;authors&gt;&lt;author&gt;Seidler, Joerg&lt;/author&gt;&lt;author&gt;Zinn, Nico&lt;/author&gt;&lt;author&gt;Boehm, Martin E&lt;/author&gt;&lt;author&gt;Lehmann, Wolf D&lt;/author&gt;&lt;/authors&gt;&lt;/contributors&gt;&lt;titles&gt;&lt;title&gt;De novo sequencing of peptides by MS/MS&lt;/title&gt;&lt;secondary-title&gt;Proteomics&lt;/secondary-title&gt;&lt;/titles&gt;&lt;periodical&gt;&lt;full-title&gt;Proteomics&lt;/full-title&gt;&lt;/periodical&gt;&lt;pages&gt;634-649&lt;/pages&gt;&lt;volume&gt;10&lt;/volume&gt;&lt;number&gt;4&lt;/number&gt;&lt;dates&gt;&lt;year&gt;2010&lt;/year&gt;&lt;/dates&gt;&lt;isbn&gt;1615-9861&lt;/isbn&gt;&lt;urls&gt;&lt;/urls&gt;&lt;/record&gt;&lt;/Cite&gt;&lt;/EndNote&gt;</w:instrText>
      </w:r>
      <w:r w:rsidR="00066EA3" w:rsidRPr="004030F5">
        <w:rPr>
          <w:rFonts w:cs="Arial"/>
        </w:rPr>
        <w:fldChar w:fldCharType="separate"/>
      </w:r>
      <w:r w:rsidR="006B3205" w:rsidRPr="004030F5">
        <w:rPr>
          <w:rFonts w:cs="Arial"/>
          <w:noProof/>
        </w:rPr>
        <w:t>[48]</w:t>
      </w:r>
      <w:r w:rsidR="00066EA3" w:rsidRPr="004030F5">
        <w:rPr>
          <w:rFonts w:cs="Arial"/>
        </w:rPr>
        <w:fldChar w:fldCharType="end"/>
      </w:r>
      <w:r w:rsidR="00066EA3" w:rsidRPr="004030F5">
        <w:rPr>
          <w:rFonts w:cs="Arial"/>
        </w:rPr>
        <w:t xml:space="preserve">.  </w:t>
      </w:r>
      <w:r w:rsidR="00066EA3" w:rsidRPr="004030F5">
        <w:rPr>
          <w:rFonts w:cs="Arial"/>
          <w:i/>
        </w:rPr>
        <w:t>De novo</w:t>
      </w:r>
      <w:r w:rsidR="00066EA3" w:rsidRPr="004030F5">
        <w:rPr>
          <w:rFonts w:cs="Arial"/>
        </w:rPr>
        <w:t xml:space="preserve"> sequencing is the ideal way to identify MS/MS, but is dependent on charge state of precursor ions and fragmentation efficiency. </w:t>
      </w:r>
      <w:r w:rsidR="00B27F25" w:rsidRPr="004030F5">
        <w:rPr>
          <w:rFonts w:cs="Arial"/>
        </w:rPr>
        <w:t>De novo sequencing is often used to support and improve DB-based MS/MS search (DB search).</w:t>
      </w:r>
    </w:p>
    <w:p w14:paraId="61078EC3" w14:textId="0CDB6276" w:rsidR="00B80C04" w:rsidRPr="004030F5" w:rsidRDefault="00D018A7" w:rsidP="002A6207">
      <w:pPr>
        <w:pStyle w:val="Footer"/>
        <w:numPr>
          <w:ilvl w:val="12"/>
          <w:numId w:val="0"/>
        </w:numPr>
        <w:tabs>
          <w:tab w:val="clear" w:pos="4320"/>
          <w:tab w:val="clear" w:pos="8640"/>
        </w:tabs>
        <w:spacing w:line="480" w:lineRule="auto"/>
        <w:ind w:firstLine="720"/>
        <w:rPr>
          <w:rFonts w:cs="Arial"/>
        </w:rPr>
      </w:pPr>
      <w:r w:rsidRPr="004030F5">
        <w:rPr>
          <w:rFonts w:cs="Arial"/>
        </w:rPr>
        <w:t>DB</w:t>
      </w:r>
      <w:r w:rsidR="00FD056D" w:rsidRPr="004030F5">
        <w:rPr>
          <w:rFonts w:cs="Arial"/>
        </w:rPr>
        <w:t xml:space="preserve"> </w:t>
      </w:r>
      <w:r w:rsidRPr="004030F5">
        <w:rPr>
          <w:rFonts w:cs="Arial"/>
        </w:rPr>
        <w:t>search is majorly employed for MS/MS identification in proteomics studies.</w:t>
      </w:r>
      <w:r w:rsidR="003465C1" w:rsidRPr="004030F5">
        <w:rPr>
          <w:rFonts w:cs="Arial"/>
        </w:rPr>
        <w:t xml:space="preserve">  </w:t>
      </w:r>
      <w:r w:rsidRPr="004030F5">
        <w:rPr>
          <w:rFonts w:cs="Arial"/>
        </w:rPr>
        <w:t>Most widely used MS</w:t>
      </w:r>
      <w:r w:rsidR="0015285B" w:rsidRPr="004030F5">
        <w:rPr>
          <w:rFonts w:cs="Arial"/>
        </w:rPr>
        <w:t>/MS</w:t>
      </w:r>
      <w:r w:rsidRPr="004030F5">
        <w:rPr>
          <w:rFonts w:cs="Arial"/>
        </w:rPr>
        <w:t xml:space="preserve"> search engines, such as SEQUEST</w:t>
      </w:r>
      <w:r w:rsidRPr="004030F5">
        <w:rPr>
          <w:rFonts w:cs="Arial"/>
        </w:rPr>
        <w:fldChar w:fldCharType="begin"/>
      </w:r>
      <w:r w:rsidR="006B3205" w:rsidRPr="004030F5">
        <w:rPr>
          <w:rFonts w:cs="Arial"/>
        </w:rPr>
        <w:instrText xml:space="preserve"> ADDIN EN.CITE &lt;EndNote&gt;&lt;Cite&gt;&lt;Author&gt;Eng&lt;/Author&gt;&lt;Year&gt;1994&lt;/Year&gt;&lt;RecNum&gt;38&lt;/RecNum&gt;&lt;DisplayText&gt;[49]&lt;/DisplayText&gt;&lt;record&gt;&lt;rec-number&gt;38&lt;/rec-number&gt;&lt;foreign-keys&gt;&lt;key app="EN" db-id="efx2002d5f0z21etvw3x9zp7tw2axpa2eez0" timestamp="1433192839"&gt;38&lt;/key&gt;&lt;/foreign-keys&gt;&lt;ref-type name="Journal Article"&gt;17&lt;/ref-type&gt;&lt;contributors&gt;&lt;authors&gt;&lt;author&gt;Eng, Jimmy K&lt;/author&gt;&lt;author&gt;McCormack, Ashley L&lt;/author&gt;&lt;author&gt;Yates, John R&lt;/author&gt;&lt;/authors&gt;&lt;/contributors&gt;&lt;titles&gt;&lt;title&gt;An approach to correlate tandem mass spectral data of peptides with amino acid sequences in a protein database&lt;/title&gt;&lt;secondary-title&gt;Journal of the American Society for Mass Spectrometry&lt;/secondary-title&gt;&lt;/titles&gt;&lt;periodical&gt;&lt;full-title&gt;Journal of the American Society for Mass Spectrometry&lt;/full-title&gt;&lt;/periodical&gt;&lt;pages&gt;976-989&lt;/pages&gt;&lt;volume&gt;5&lt;/volume&gt;&lt;number&gt;11&lt;/number&gt;&lt;dates&gt;&lt;year&gt;1994&lt;/year&gt;&lt;/dates&gt;&lt;isbn&gt;1044-0305&lt;/isbn&gt;&lt;urls&gt;&lt;/urls&gt;&lt;/record&gt;&lt;/Cite&gt;&lt;/EndNote&gt;</w:instrText>
      </w:r>
      <w:r w:rsidRPr="004030F5">
        <w:rPr>
          <w:rFonts w:cs="Arial"/>
        </w:rPr>
        <w:fldChar w:fldCharType="separate"/>
      </w:r>
      <w:r w:rsidR="006B3205" w:rsidRPr="004030F5">
        <w:rPr>
          <w:rFonts w:cs="Arial"/>
          <w:noProof/>
        </w:rPr>
        <w:t>[49]</w:t>
      </w:r>
      <w:r w:rsidRPr="004030F5">
        <w:rPr>
          <w:rFonts w:cs="Arial"/>
        </w:rPr>
        <w:fldChar w:fldCharType="end"/>
      </w:r>
      <w:r w:rsidRPr="004030F5">
        <w:rPr>
          <w:rFonts w:cs="Arial"/>
        </w:rPr>
        <w:t>, MASCOT</w:t>
      </w:r>
      <w:r w:rsidRPr="004030F5">
        <w:rPr>
          <w:rFonts w:cs="Arial"/>
        </w:rPr>
        <w:fldChar w:fldCharType="begin"/>
      </w:r>
      <w:r w:rsidR="006B3205" w:rsidRPr="004030F5">
        <w:rPr>
          <w:rFonts w:cs="Arial"/>
        </w:rPr>
        <w:instrText xml:space="preserve"> ADDIN EN.CITE &lt;EndNote&gt;&lt;Cite&gt;&lt;Author&gt;Cottrell&lt;/Author&gt;&lt;Year&gt;1999&lt;/Year&gt;&lt;RecNum&gt;39&lt;/RecNum&gt;&lt;DisplayText&gt;[50]&lt;/DisplayText&gt;&lt;record&gt;&lt;rec-number&gt;39&lt;/rec-number&gt;&lt;foreign-keys&gt;&lt;key app="EN" db-id="efx2002d5f0z21etvw3x9zp7tw2axpa2eez0" timestamp="1433192880"&gt;39&lt;/key&gt;&lt;/foreign-keys&gt;&lt;ref-type name="Journal Article"&gt;17&lt;/ref-type&gt;&lt;contributors&gt;&lt;authors&gt;&lt;author&gt;Cottrell, John S&lt;/author&gt;&lt;author&gt;London, U&lt;/author&gt;&lt;/authors&gt;&lt;/contributors&gt;&lt;titles&gt;&lt;title&gt;Probability-based protein identification by searching sequence databases using mass spectrometry data&lt;/title&gt;&lt;secondary-title&gt;electrophoresis&lt;/secondary-title&gt;&lt;/titles&gt;&lt;periodical&gt;&lt;full-title&gt;electrophoresis&lt;/full-title&gt;&lt;/periodical&gt;&lt;pages&gt;3551-3567&lt;/pages&gt;&lt;volume&gt;20&lt;/volume&gt;&lt;number&gt;18&lt;/number&gt;&lt;dates&gt;&lt;year&gt;1999&lt;/year&gt;&lt;/dates&gt;&lt;urls&gt;&lt;/urls&gt;&lt;/record&gt;&lt;/Cite&gt;&lt;/EndNote&gt;</w:instrText>
      </w:r>
      <w:r w:rsidRPr="004030F5">
        <w:rPr>
          <w:rFonts w:cs="Arial"/>
        </w:rPr>
        <w:fldChar w:fldCharType="separate"/>
      </w:r>
      <w:r w:rsidR="006B3205" w:rsidRPr="004030F5">
        <w:rPr>
          <w:rFonts w:cs="Arial"/>
          <w:noProof/>
        </w:rPr>
        <w:t>[50]</w:t>
      </w:r>
      <w:r w:rsidRPr="004030F5">
        <w:rPr>
          <w:rFonts w:cs="Arial"/>
        </w:rPr>
        <w:fldChar w:fldCharType="end"/>
      </w:r>
      <w:r w:rsidRPr="004030F5">
        <w:rPr>
          <w:rFonts w:cs="Arial"/>
        </w:rPr>
        <w:t>, X!Tandem</w:t>
      </w:r>
      <w:r w:rsidRPr="004030F5">
        <w:rPr>
          <w:rFonts w:cs="Arial"/>
        </w:rPr>
        <w:fldChar w:fldCharType="begin"/>
      </w:r>
      <w:r w:rsidR="006B3205" w:rsidRPr="004030F5">
        <w:rPr>
          <w:rFonts w:cs="Arial"/>
        </w:rPr>
        <w:instrText xml:space="preserve"> ADDIN EN.CITE &lt;EndNote&gt;&lt;Cite&gt;&lt;Author&gt;Craig&lt;/Author&gt;&lt;Year&gt;2004&lt;/Year&gt;&lt;RecNum&gt;41&lt;/RecNum&gt;&lt;DisplayText&gt;[51]&lt;/DisplayText&gt;&lt;record&gt;&lt;rec-number&gt;41&lt;/rec-number&gt;&lt;foreign-keys&gt;&lt;key app="EN" db-id="efx2002d5f0z21etvw3x9zp7tw2axpa2eez0" timestamp="1433192952"&gt;41&lt;/key&gt;&lt;/foreign-keys&gt;&lt;ref-type name="Journal Article"&gt;17&lt;/ref-type&gt;&lt;contributors&gt;&lt;authors&gt;&lt;author&gt;Craig, Robertson&lt;/author&gt;&lt;author&gt;Beavis, Ronald C&lt;/author&gt;&lt;/authors&gt;&lt;/contributors&gt;&lt;titles&gt;&lt;title&gt;TANDEM: matching proteins with tandem mass spectra&lt;/title&gt;&lt;secondary-title&gt;Bioinformatics&lt;/secondary-title&gt;&lt;/titles&gt;&lt;periodical&gt;&lt;full-title&gt;Bioinformatics&lt;/full-title&gt;&lt;/periodical&gt;&lt;pages&gt;1466-1467&lt;/pages&gt;&lt;volume&gt;20&lt;/volume&gt;&lt;number&gt;9&lt;/number&gt;&lt;dates&gt;&lt;year&gt;2004&lt;/year&gt;&lt;/dates&gt;&lt;isbn&gt;1367-4803&lt;/isbn&gt;&lt;urls&gt;&lt;/urls&gt;&lt;/record&gt;&lt;/Cite&gt;&lt;/EndNote&gt;</w:instrText>
      </w:r>
      <w:r w:rsidRPr="004030F5">
        <w:rPr>
          <w:rFonts w:cs="Arial"/>
        </w:rPr>
        <w:fldChar w:fldCharType="separate"/>
      </w:r>
      <w:r w:rsidR="006B3205" w:rsidRPr="004030F5">
        <w:rPr>
          <w:rFonts w:cs="Arial"/>
          <w:noProof/>
        </w:rPr>
        <w:t>[51]</w:t>
      </w:r>
      <w:r w:rsidRPr="004030F5">
        <w:rPr>
          <w:rFonts w:cs="Arial"/>
        </w:rPr>
        <w:fldChar w:fldCharType="end"/>
      </w:r>
      <w:r w:rsidRPr="004030F5">
        <w:rPr>
          <w:rFonts w:cs="Arial"/>
        </w:rPr>
        <w:t xml:space="preserve">, </w:t>
      </w:r>
      <w:r w:rsidR="00A748F9" w:rsidRPr="004030F5">
        <w:rPr>
          <w:rFonts w:cs="Arial"/>
        </w:rPr>
        <w:t>OMSSA</w:t>
      </w:r>
      <w:r w:rsidR="00A748F9" w:rsidRPr="004030F5">
        <w:rPr>
          <w:rFonts w:cs="Arial"/>
        </w:rPr>
        <w:fldChar w:fldCharType="begin"/>
      </w:r>
      <w:r w:rsidR="006B3205" w:rsidRPr="004030F5">
        <w:rPr>
          <w:rFonts w:cs="Arial"/>
        </w:rPr>
        <w:instrText xml:space="preserve"> ADDIN EN.CITE &lt;EndNote&gt;&lt;Cite&gt;&lt;Author&gt;Geer&lt;/Author&gt;&lt;Year&gt;2004&lt;/Year&gt;&lt;RecNum&gt;40&lt;/RecNum&gt;&lt;DisplayText&gt;[52]&lt;/DisplayText&gt;&lt;record&gt;&lt;rec-number&gt;40&lt;/rec-number&gt;&lt;foreign-keys&gt;&lt;key app="EN" db-id="efx2002d5f0z21etvw3x9zp7tw2axpa2eez0" timestamp="1433192915"&gt;40&lt;/key&gt;&lt;/foreign-keys&gt;&lt;ref-type name="Journal Article"&gt;17&lt;/ref-type&gt;&lt;contributors&gt;&lt;authors&gt;&lt;author&gt;Geer, Lewis Y&lt;/author&gt;&lt;author&gt;Markey, Sanford P&lt;/author&gt;&lt;author&gt;Kowalak, Jeffrey A&lt;/author&gt;&lt;author&gt;Wagner, Lukas&lt;/author&gt;&lt;author&gt;Xu, Ming&lt;/author&gt;&lt;author&gt;Maynard, Dawn M&lt;/author&gt;&lt;author&gt;Yang, Xiaoyu&lt;/author&gt;&lt;author&gt;Shi, Wenyao&lt;/author&gt;&lt;author&gt;Bryant, Stephen H&lt;/author&gt;&lt;/authors&gt;&lt;/contributors&gt;&lt;titles&gt;&lt;title&gt;Open mass spectrometry search algorithm&lt;/title&gt;&lt;secondary-title&gt;Journal of proteome research&lt;/secondary-title&gt;&lt;/titles&gt;&lt;periodical&gt;&lt;full-title&gt;Journal of proteome research&lt;/full-title&gt;&lt;/periodical&gt;&lt;pages&gt;958-964&lt;/pages&gt;&lt;volume&gt;3&lt;/volume&gt;&lt;number&gt;5&lt;/number&gt;&lt;dates&gt;&lt;year&gt;2004&lt;/year&gt;&lt;/dates&gt;&lt;isbn&gt;1535-3893&lt;/isbn&gt;&lt;urls&gt;&lt;/urls&gt;&lt;/record&gt;&lt;/Cite&gt;&lt;/EndNote&gt;</w:instrText>
      </w:r>
      <w:r w:rsidR="00A748F9" w:rsidRPr="004030F5">
        <w:rPr>
          <w:rFonts w:cs="Arial"/>
        </w:rPr>
        <w:fldChar w:fldCharType="separate"/>
      </w:r>
      <w:r w:rsidR="006B3205" w:rsidRPr="004030F5">
        <w:rPr>
          <w:rFonts w:cs="Arial"/>
          <w:noProof/>
        </w:rPr>
        <w:t>[52]</w:t>
      </w:r>
      <w:r w:rsidR="00A748F9" w:rsidRPr="004030F5">
        <w:rPr>
          <w:rFonts w:cs="Arial"/>
        </w:rPr>
        <w:fldChar w:fldCharType="end"/>
      </w:r>
      <w:r w:rsidR="00A748F9" w:rsidRPr="004030F5">
        <w:rPr>
          <w:rFonts w:cs="Arial"/>
        </w:rPr>
        <w:t xml:space="preserve">, </w:t>
      </w:r>
      <w:r w:rsidRPr="004030F5">
        <w:rPr>
          <w:rFonts w:cs="Arial"/>
        </w:rPr>
        <w:t>MyriMatch</w:t>
      </w:r>
      <w:r w:rsidRPr="004030F5">
        <w:rPr>
          <w:rFonts w:cs="Arial"/>
        </w:rPr>
        <w:fldChar w:fldCharType="begin"/>
      </w:r>
      <w:r w:rsidR="006B3205" w:rsidRPr="004030F5">
        <w:rPr>
          <w:rFonts w:cs="Arial"/>
        </w:rPr>
        <w:instrText xml:space="preserve"> ADDIN EN.CITE &lt;EndNote&gt;&lt;Cite&gt;&lt;Author&gt;Tabb&lt;/Author&gt;&lt;Year&gt;2007&lt;/Year&gt;&lt;RecNum&gt;42&lt;/RecNum&gt;&lt;DisplayText&gt;[53]&lt;/DisplayText&gt;&lt;record&gt;&lt;rec-number&gt;42&lt;/rec-number&gt;&lt;foreign-keys&gt;&lt;key app="EN" db-id="efx2002d5f0z21etvw3x9zp7tw2axpa2eez0" timestamp="1433192977"&gt;42&lt;/key&gt;&lt;/foreign-keys&gt;&lt;ref-type name="Journal Article"&gt;17&lt;/ref-type&gt;&lt;contributors&gt;&lt;authors&gt;&lt;author&gt;Tabb, David L&lt;/author&gt;&lt;author&gt;Fernando, Christopher G&lt;/author&gt;&lt;author&gt;Chambers, Matthew C&lt;/author&gt;&lt;/authors&gt;&lt;/contributors&gt;&lt;titles&gt;&lt;title&gt;MyriMatch: highly accurate tandem mass spectral peptide identification by multivariate hypergeometric analysis&lt;/title&gt;&lt;secondary-title&gt;Journal of proteome research&lt;/secondary-title&gt;&lt;/titles&gt;&lt;periodical&gt;&lt;full-title&gt;Journal of proteome research&lt;/full-title&gt;&lt;/periodical&gt;&lt;pages&gt;654-661&lt;/pages&gt;&lt;volume&gt;6&lt;/volume&gt;&lt;number&gt;2&lt;/number&gt;&lt;dates&gt;&lt;year&gt;2007&lt;/year&gt;&lt;/dates&gt;&lt;isbn&gt;1535-3893&lt;/isbn&gt;&lt;urls&gt;&lt;/urls&gt;&lt;/record&gt;&lt;/Cite&gt;&lt;/EndNote&gt;</w:instrText>
      </w:r>
      <w:r w:rsidRPr="004030F5">
        <w:rPr>
          <w:rFonts w:cs="Arial"/>
        </w:rPr>
        <w:fldChar w:fldCharType="separate"/>
      </w:r>
      <w:r w:rsidR="006B3205" w:rsidRPr="004030F5">
        <w:rPr>
          <w:rFonts w:cs="Arial"/>
          <w:noProof/>
        </w:rPr>
        <w:t>[53]</w:t>
      </w:r>
      <w:r w:rsidRPr="004030F5">
        <w:rPr>
          <w:rFonts w:cs="Arial"/>
        </w:rPr>
        <w:fldChar w:fldCharType="end"/>
      </w:r>
      <w:r w:rsidRPr="004030F5">
        <w:rPr>
          <w:rFonts w:cs="Arial"/>
        </w:rPr>
        <w:t xml:space="preserve"> and</w:t>
      </w:r>
      <w:r w:rsidR="00A748F9" w:rsidRPr="004030F5">
        <w:rPr>
          <w:rFonts w:cs="Arial"/>
        </w:rPr>
        <w:t xml:space="preserve"> MS-GF+</w:t>
      </w:r>
      <w:r w:rsidR="00A748F9" w:rsidRPr="004030F5">
        <w:rPr>
          <w:rFonts w:cs="Arial"/>
        </w:rPr>
        <w:fldChar w:fldCharType="begin"/>
      </w:r>
      <w:r w:rsidR="006B3205" w:rsidRPr="004030F5">
        <w:rPr>
          <w:rFonts w:cs="Arial"/>
        </w:rPr>
        <w:instrText xml:space="preserve"> ADDIN EN.CITE &lt;EndNote&gt;&lt;Cite&gt;&lt;Author&gt;Kim&lt;/Author&gt;&lt;Year&gt;2014&lt;/Year&gt;&lt;RecNum&gt;55&lt;/RecNum&gt;&lt;DisplayText&gt;[54]&lt;/DisplayText&gt;&lt;record&gt;&lt;rec-number&gt;55&lt;/rec-number&gt;&lt;foreign-keys&gt;&lt;key app="EN" db-id="efx2002d5f0z21etvw3x9zp7tw2axpa2eez0" timestamp="1433369378"&gt;55&lt;/key&gt;&lt;/foreign-keys&gt;&lt;ref-type name="Journal Article"&gt;17&lt;/ref-type&gt;&lt;contributors&gt;&lt;authors&gt;&lt;author&gt;Kim, Sangtae&lt;/author&gt;&lt;author&gt;Pevzner, Pavel A&lt;/author&gt;&lt;/authors&gt;&lt;/contributors&gt;&lt;titles&gt;&lt;title&gt;MS-GF+ makes progress towards a universal database search tool for proteomics&lt;/title&gt;&lt;secondary-title&gt;Nature communications&lt;/secondary-title&gt;&lt;/titles&gt;&lt;periodical&gt;&lt;full-title&gt;Nature communications&lt;/full-title&gt;&lt;/periodical&gt;&lt;volume&gt;5&lt;/volume&gt;&lt;dates&gt;&lt;year&gt;2014&lt;/year&gt;&lt;/dates&gt;&lt;urls&gt;&lt;/urls&gt;&lt;/record&gt;&lt;/Cite&gt;&lt;/EndNote&gt;</w:instrText>
      </w:r>
      <w:r w:rsidR="00A748F9" w:rsidRPr="004030F5">
        <w:rPr>
          <w:rFonts w:cs="Arial"/>
        </w:rPr>
        <w:fldChar w:fldCharType="separate"/>
      </w:r>
      <w:r w:rsidR="006B3205" w:rsidRPr="004030F5">
        <w:rPr>
          <w:rFonts w:cs="Arial"/>
          <w:noProof/>
        </w:rPr>
        <w:t>[54]</w:t>
      </w:r>
      <w:r w:rsidR="00A748F9" w:rsidRPr="004030F5">
        <w:rPr>
          <w:rFonts w:cs="Arial"/>
        </w:rPr>
        <w:fldChar w:fldCharType="end"/>
      </w:r>
      <w:r w:rsidRPr="004030F5">
        <w:rPr>
          <w:rFonts w:cs="Arial"/>
        </w:rPr>
        <w:t>, use protein DB for peptide identification.</w:t>
      </w:r>
      <w:r w:rsidR="00560C36" w:rsidRPr="004030F5">
        <w:rPr>
          <w:rFonts w:cs="Arial"/>
        </w:rPr>
        <w:t xml:space="preserve">  </w:t>
      </w:r>
      <w:r w:rsidR="00100173" w:rsidRPr="004030F5">
        <w:rPr>
          <w:rFonts w:cs="Arial"/>
        </w:rPr>
        <w:t xml:space="preserve">These </w:t>
      </w:r>
      <w:r w:rsidR="003D1BB6" w:rsidRPr="004030F5">
        <w:rPr>
          <w:rFonts w:cs="Arial"/>
        </w:rPr>
        <w:t>are al</w:t>
      </w:r>
      <w:r w:rsidR="009434F3" w:rsidRPr="004030F5">
        <w:rPr>
          <w:rFonts w:cs="Arial"/>
        </w:rPr>
        <w:t>l comparing MS/MS with peptides</w:t>
      </w:r>
      <w:r w:rsidR="00D30549" w:rsidRPr="004030F5">
        <w:rPr>
          <w:rFonts w:cs="Arial"/>
        </w:rPr>
        <w:t xml:space="preserve"> </w:t>
      </w:r>
      <w:r w:rsidR="00F13E0F" w:rsidRPr="004030F5">
        <w:rPr>
          <w:rFonts w:cs="Arial"/>
        </w:rPr>
        <w:t>ge</w:t>
      </w:r>
      <w:r w:rsidR="00BC190B" w:rsidRPr="004030F5">
        <w:rPr>
          <w:rFonts w:cs="Arial"/>
        </w:rPr>
        <w:t>nerated from protein DB</w:t>
      </w:r>
      <w:r w:rsidR="008018E1" w:rsidRPr="004030F5">
        <w:rPr>
          <w:rFonts w:cs="Arial"/>
        </w:rPr>
        <w:t>,</w:t>
      </w:r>
      <w:r w:rsidR="00BC190B" w:rsidRPr="004030F5">
        <w:rPr>
          <w:rFonts w:cs="Arial"/>
        </w:rPr>
        <w:t xml:space="preserve"> </w:t>
      </w:r>
      <w:r w:rsidR="008018E1" w:rsidRPr="004030F5">
        <w:rPr>
          <w:rFonts w:cs="Arial"/>
        </w:rPr>
        <w:t>but</w:t>
      </w:r>
      <w:r w:rsidR="00BC190B" w:rsidRPr="004030F5">
        <w:rPr>
          <w:rFonts w:cs="Arial"/>
        </w:rPr>
        <w:t xml:space="preserve"> use different scoring system</w:t>
      </w:r>
      <w:r w:rsidR="00AD7A17" w:rsidRPr="004030F5">
        <w:rPr>
          <w:rFonts w:cs="Arial"/>
        </w:rPr>
        <w:t xml:space="preserve">  (Fig. 10</w:t>
      </w:r>
      <w:r w:rsidR="00D76FC1" w:rsidRPr="004030F5">
        <w:rPr>
          <w:rFonts w:cs="Arial"/>
        </w:rPr>
        <w:t>)</w:t>
      </w:r>
      <w:r w:rsidR="0055587F" w:rsidRPr="004030F5">
        <w:rPr>
          <w:rFonts w:cs="Arial"/>
        </w:rPr>
        <w:t xml:space="preserve">.  First, search engines </w:t>
      </w:r>
      <w:r w:rsidR="00B34648" w:rsidRPr="004030F5">
        <w:rPr>
          <w:rFonts w:cs="Arial"/>
        </w:rPr>
        <w:t xml:space="preserve">generate all the possible peptides from protein DB </w:t>
      </w:r>
      <w:r w:rsidR="00547C12" w:rsidRPr="004030F5">
        <w:rPr>
          <w:rFonts w:cs="Arial"/>
        </w:rPr>
        <w:t xml:space="preserve">given the number of allowed miss-cleavage and </w:t>
      </w:r>
      <w:r w:rsidR="003552EA" w:rsidRPr="004030F5">
        <w:rPr>
          <w:rFonts w:cs="Arial"/>
        </w:rPr>
        <w:t>digestion enzyme.</w:t>
      </w:r>
      <w:r w:rsidR="003C1650" w:rsidRPr="004030F5">
        <w:rPr>
          <w:rFonts w:cs="Arial"/>
        </w:rPr>
        <w:t xml:space="preserve">  </w:t>
      </w:r>
      <w:r w:rsidR="007F0A36" w:rsidRPr="004030F5">
        <w:rPr>
          <w:rFonts w:cs="Arial"/>
        </w:rPr>
        <w:t xml:space="preserve">Then, </w:t>
      </w:r>
      <w:r w:rsidR="00F461FC" w:rsidRPr="004030F5">
        <w:rPr>
          <w:rFonts w:cs="Arial"/>
        </w:rPr>
        <w:t>candidate peptides are selected from peptide library</w:t>
      </w:r>
      <w:r w:rsidR="0018355E" w:rsidRPr="004030F5">
        <w:rPr>
          <w:rFonts w:cs="Arial"/>
        </w:rPr>
        <w:t xml:space="preserve"> using mass of precursor ion</w:t>
      </w:r>
      <w:r w:rsidR="00580D99" w:rsidRPr="004030F5">
        <w:rPr>
          <w:rFonts w:cs="Arial"/>
        </w:rPr>
        <w:t xml:space="preserve">.  </w:t>
      </w:r>
      <w:r w:rsidR="001544B0" w:rsidRPr="004030F5">
        <w:rPr>
          <w:rFonts w:cs="Arial"/>
        </w:rPr>
        <w:t xml:space="preserve">Next step is calculation of scores, probability, correlation coefficient or </w:t>
      </w:r>
      <w:r w:rsidR="009A6205" w:rsidRPr="004030F5">
        <w:rPr>
          <w:rFonts w:cs="Arial"/>
        </w:rPr>
        <w:t xml:space="preserve">similarity, </w:t>
      </w:r>
      <w:r w:rsidR="00764185" w:rsidRPr="004030F5">
        <w:rPr>
          <w:rFonts w:cs="Arial"/>
        </w:rPr>
        <w:t>between candidat</w:t>
      </w:r>
      <w:r w:rsidR="008254A2" w:rsidRPr="004030F5">
        <w:rPr>
          <w:rFonts w:cs="Arial"/>
        </w:rPr>
        <w:t>e peptides and MS/MS spectrum.</w:t>
      </w:r>
      <w:r w:rsidR="00B80C04" w:rsidRPr="004030F5">
        <w:rPr>
          <w:rFonts w:cs="Arial"/>
        </w:rPr>
        <w:br w:type="page"/>
      </w:r>
    </w:p>
    <w:p w14:paraId="7485E868" w14:textId="77777777" w:rsidR="00B80C04" w:rsidRPr="004030F5" w:rsidRDefault="00B80C04" w:rsidP="00B80C04">
      <w:pPr>
        <w:keepNext/>
        <w:rPr>
          <w:rFonts w:cs="Arial"/>
        </w:rPr>
      </w:pPr>
      <w:r w:rsidRPr="004030F5">
        <w:rPr>
          <w:rFonts w:cs="Arial"/>
          <w:noProof/>
        </w:rPr>
        <w:lastRenderedPageBreak/>
        <w:drawing>
          <wp:inline distT="0" distB="0" distL="0" distR="0" wp14:anchorId="20F062D2" wp14:editId="410BD4AD">
            <wp:extent cx="5486400" cy="3701751"/>
            <wp:effectExtent l="0" t="0" r="0" b="6985"/>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3701751"/>
                    </a:xfrm>
                    <a:prstGeom prst="rect">
                      <a:avLst/>
                    </a:prstGeom>
                    <a:noFill/>
                    <a:ln>
                      <a:noFill/>
                    </a:ln>
                  </pic:spPr>
                </pic:pic>
              </a:graphicData>
            </a:graphic>
          </wp:inline>
        </w:drawing>
      </w:r>
    </w:p>
    <w:p w14:paraId="5031C8C7" w14:textId="77777777" w:rsidR="00B80C04" w:rsidRPr="004030F5" w:rsidRDefault="00B80C04" w:rsidP="00B80C04">
      <w:pPr>
        <w:pStyle w:val="Caption"/>
        <w:jc w:val="left"/>
        <w:rPr>
          <w:rFonts w:cs="Arial"/>
          <w:b w:val="0"/>
        </w:rPr>
      </w:pPr>
      <w:bookmarkStart w:id="18" w:name="_Toc296333102"/>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9</w:t>
      </w:r>
      <w:r w:rsidRPr="004030F5">
        <w:rPr>
          <w:rFonts w:cs="Arial"/>
        </w:rPr>
        <w:fldChar w:fldCharType="end"/>
      </w:r>
      <w:r w:rsidRPr="004030F5">
        <w:rPr>
          <w:rFonts w:cs="Arial"/>
          <w:b w:val="0"/>
          <w:bCs w:val="0"/>
          <w:szCs w:val="24"/>
        </w:rPr>
        <w:t xml:space="preserve"> </w:t>
      </w:r>
      <w:r w:rsidRPr="004030F5">
        <w:rPr>
          <w:rFonts w:cs="Arial"/>
        </w:rPr>
        <w:t xml:space="preserve">Example of </w:t>
      </w:r>
      <w:r w:rsidRPr="004030F5">
        <w:rPr>
          <w:rFonts w:cs="Arial"/>
          <w:i/>
        </w:rPr>
        <w:t>de novo</w:t>
      </w:r>
      <w:r w:rsidRPr="004030F5">
        <w:rPr>
          <w:rFonts w:cs="Arial"/>
        </w:rPr>
        <w:t xml:space="preserve"> sequencing from MS/MS spectrum.</w:t>
      </w:r>
      <w:r w:rsidRPr="004030F5">
        <w:rPr>
          <w:rFonts w:cs="Arial"/>
          <w:b w:val="0"/>
        </w:rPr>
        <w:t xml:space="preserve">  This is tandem mass spectrum of the [M+2H]+2 ion m/z 955.03 in LC/ESI/MS analyses of tryptic peptides from a </w:t>
      </w:r>
      <w:proofErr w:type="gramStart"/>
      <w:r w:rsidRPr="004030F5">
        <w:rPr>
          <w:rFonts w:cs="Arial"/>
          <w:b w:val="0"/>
        </w:rPr>
        <w:t>70 kDa</w:t>
      </w:r>
      <w:proofErr w:type="gramEnd"/>
      <w:r w:rsidRPr="004030F5">
        <w:rPr>
          <w:rFonts w:cs="Arial"/>
          <w:b w:val="0"/>
        </w:rPr>
        <w:t xml:space="preserve"> iPLA2 digest.  This illustration was borrowed from </w:t>
      </w:r>
      <w:hyperlink r:id="rId25" w:history="1">
        <w:r w:rsidRPr="004030F5">
          <w:rPr>
            <w:rStyle w:val="Hyperlink"/>
            <w:rFonts w:cs="Arial"/>
            <w:b w:val="0"/>
          </w:rPr>
          <w:t>http://msr.dom.wustl.edu/ms-peptide-mapping/</w:t>
        </w:r>
      </w:hyperlink>
      <w:r w:rsidRPr="004030F5">
        <w:rPr>
          <w:rFonts w:cs="Arial"/>
          <w:b w:val="0"/>
        </w:rPr>
        <w:t>.</w:t>
      </w:r>
      <w:bookmarkEnd w:id="18"/>
    </w:p>
    <w:p w14:paraId="369F027B" w14:textId="77777777" w:rsidR="00C577FD" w:rsidRPr="004030F5" w:rsidRDefault="00C577FD" w:rsidP="00B80C04">
      <w:pPr>
        <w:pStyle w:val="Footer"/>
        <w:numPr>
          <w:ilvl w:val="12"/>
          <w:numId w:val="0"/>
        </w:numPr>
        <w:tabs>
          <w:tab w:val="clear" w:pos="4320"/>
          <w:tab w:val="clear" w:pos="8640"/>
        </w:tabs>
        <w:spacing w:line="480" w:lineRule="auto"/>
        <w:rPr>
          <w:rFonts w:cs="Arial"/>
        </w:rPr>
      </w:pPr>
    </w:p>
    <w:p w14:paraId="6514A740" w14:textId="69C87BA2" w:rsidR="00BE6BFE" w:rsidRPr="004030F5" w:rsidRDefault="00772CC6" w:rsidP="00D75B82">
      <w:pPr>
        <w:pStyle w:val="Footer"/>
        <w:numPr>
          <w:ilvl w:val="12"/>
          <w:numId w:val="0"/>
        </w:numPr>
        <w:tabs>
          <w:tab w:val="clear" w:pos="4320"/>
          <w:tab w:val="clear" w:pos="8640"/>
        </w:tabs>
        <w:spacing w:line="480" w:lineRule="auto"/>
        <w:ind w:firstLine="720"/>
        <w:rPr>
          <w:rFonts w:cs="Arial"/>
        </w:rPr>
      </w:pPr>
      <w:r w:rsidRPr="004030F5">
        <w:rPr>
          <w:rFonts w:cs="Arial"/>
        </w:rPr>
        <w:br w:type="page"/>
      </w:r>
    </w:p>
    <w:p w14:paraId="529AFE99" w14:textId="77777777" w:rsidR="00720E42" w:rsidRPr="004030F5" w:rsidRDefault="0055587F" w:rsidP="008A4C59">
      <w:pPr>
        <w:pStyle w:val="Footer"/>
        <w:keepNext/>
        <w:numPr>
          <w:ilvl w:val="12"/>
          <w:numId w:val="0"/>
        </w:numPr>
        <w:tabs>
          <w:tab w:val="clear" w:pos="4320"/>
          <w:tab w:val="clear" w:pos="8640"/>
        </w:tabs>
        <w:spacing w:line="480" w:lineRule="auto"/>
        <w:rPr>
          <w:rFonts w:cs="Arial"/>
        </w:rPr>
      </w:pPr>
      <w:r w:rsidRPr="004030F5">
        <w:rPr>
          <w:rFonts w:cs="Arial"/>
          <w:noProof/>
        </w:rPr>
        <w:lastRenderedPageBreak/>
        <w:drawing>
          <wp:inline distT="0" distB="0" distL="0" distR="0" wp14:anchorId="6D7FAD95" wp14:editId="467DB5ED">
            <wp:extent cx="5080000" cy="3352800"/>
            <wp:effectExtent l="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0000" cy="3352800"/>
                    </a:xfrm>
                    <a:prstGeom prst="rect">
                      <a:avLst/>
                    </a:prstGeom>
                    <a:noFill/>
                    <a:ln>
                      <a:noFill/>
                    </a:ln>
                  </pic:spPr>
                </pic:pic>
              </a:graphicData>
            </a:graphic>
          </wp:inline>
        </w:drawing>
      </w:r>
    </w:p>
    <w:p w14:paraId="39695CFD" w14:textId="11FAAF8F" w:rsidR="0082702D" w:rsidRPr="004030F5" w:rsidRDefault="00720E42" w:rsidP="00720E42">
      <w:pPr>
        <w:pStyle w:val="Caption"/>
        <w:rPr>
          <w:rFonts w:cs="Arial"/>
          <w:b w:val="0"/>
        </w:rPr>
      </w:pPr>
      <w:bookmarkStart w:id="19" w:name="_Toc296333103"/>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10</w:t>
      </w:r>
      <w:r w:rsidRPr="004030F5">
        <w:rPr>
          <w:rFonts w:cs="Arial"/>
        </w:rPr>
        <w:fldChar w:fldCharType="end"/>
      </w:r>
      <w:r w:rsidRPr="004030F5">
        <w:rPr>
          <w:rFonts w:cs="Arial"/>
          <w:b w:val="0"/>
          <w:bCs w:val="0"/>
          <w:szCs w:val="24"/>
        </w:rPr>
        <w:t xml:space="preserve"> </w:t>
      </w:r>
      <w:r w:rsidR="00830057" w:rsidRPr="004030F5">
        <w:rPr>
          <w:rFonts w:cs="Arial"/>
        </w:rPr>
        <w:t>Schematic diagram of DB search.</w:t>
      </w:r>
      <w:r w:rsidR="00830057" w:rsidRPr="004030F5">
        <w:rPr>
          <w:rFonts w:cs="Arial"/>
          <w:b w:val="0"/>
        </w:rPr>
        <w:t xml:space="preserve">  </w:t>
      </w:r>
      <w:r w:rsidR="00FF7B34" w:rsidRPr="004030F5">
        <w:rPr>
          <w:rFonts w:cs="Arial"/>
          <w:b w:val="0"/>
        </w:rPr>
        <w:t xml:space="preserve">This diagram is based on </w:t>
      </w:r>
      <w:r w:rsidR="005553D0" w:rsidRPr="004030F5">
        <w:rPr>
          <w:rFonts w:cs="Arial"/>
          <w:b w:val="0"/>
        </w:rPr>
        <w:t>SEQUEST</w:t>
      </w:r>
      <w:r w:rsidR="00FF7B34" w:rsidRPr="004030F5">
        <w:rPr>
          <w:rFonts w:cs="Arial"/>
          <w:b w:val="0"/>
        </w:rPr>
        <w:t xml:space="preserve">, but </w:t>
      </w:r>
      <w:r w:rsidR="00647C69" w:rsidRPr="004030F5">
        <w:rPr>
          <w:rFonts w:cs="Arial"/>
          <w:b w:val="0"/>
        </w:rPr>
        <w:t>other engines have</w:t>
      </w:r>
      <w:r w:rsidR="00FF7B34" w:rsidRPr="004030F5">
        <w:rPr>
          <w:rFonts w:cs="Arial"/>
          <w:b w:val="0"/>
        </w:rPr>
        <w:t xml:space="preserve"> </w:t>
      </w:r>
      <w:r w:rsidR="00647C69" w:rsidRPr="004030F5">
        <w:rPr>
          <w:rFonts w:cs="Arial"/>
          <w:b w:val="0"/>
        </w:rPr>
        <w:t>very similar structure</w:t>
      </w:r>
      <w:r w:rsidR="00CC08A0" w:rsidRPr="004030F5">
        <w:rPr>
          <w:rFonts w:cs="Arial"/>
          <w:b w:val="0"/>
        </w:rPr>
        <w:t>.</w:t>
      </w:r>
      <w:r w:rsidR="0055587F" w:rsidRPr="004030F5">
        <w:rPr>
          <w:rFonts w:cs="Arial"/>
          <w:b w:val="0"/>
        </w:rPr>
        <w:t xml:space="preserve"> </w:t>
      </w:r>
      <w:r w:rsidR="00B45E3A" w:rsidRPr="004030F5">
        <w:rPr>
          <w:rFonts w:cs="Arial"/>
          <w:b w:val="0"/>
        </w:rPr>
        <w:t xml:space="preserve"> First, search engines generate all the possible peptides from protein DB given the number of allowed miss-cleavage and digestion enzyme.  Then, candidate peptides are selected from peptide library using mass of precursor ion.  Next step is calculation of scores, probability, correlation coefficient or similarity, between candidate peptides and MS/MS spectrum.  The engines report top 10 or 20 peptides for given MS/MS.  </w:t>
      </w:r>
      <w:r w:rsidR="00024F50" w:rsidRPr="004030F5">
        <w:rPr>
          <w:rFonts w:cs="Arial"/>
          <w:b w:val="0"/>
        </w:rPr>
        <w:t xml:space="preserve">This illustration was adapted from </w:t>
      </w:r>
      <w:r w:rsidR="00044FEE" w:rsidRPr="004030F5">
        <w:rPr>
          <w:rFonts w:cs="Arial"/>
          <w:b w:val="0"/>
        </w:rPr>
        <w:t xml:space="preserve">McHugh et al </w:t>
      </w:r>
      <w:r w:rsidR="00AA1ED8" w:rsidRPr="004030F5">
        <w:rPr>
          <w:rFonts w:cs="Arial"/>
          <w:b w:val="0"/>
        </w:rPr>
        <w:fldChar w:fldCharType="begin"/>
      </w:r>
      <w:r w:rsidR="006B3205" w:rsidRPr="004030F5">
        <w:rPr>
          <w:rFonts w:cs="Arial"/>
          <w:b w:val="0"/>
        </w:rPr>
        <w:instrText xml:space="preserve"> ADDIN EN.CITE &lt;EndNote&gt;&lt;Cite&gt;&lt;Author&gt;McHugh&lt;/Author&gt;&lt;Year&gt;2008&lt;/Year&gt;&lt;RecNum&gt;57&lt;/RecNum&gt;&lt;DisplayText&gt;[55]&lt;/DisplayText&gt;&lt;record&gt;&lt;rec-number&gt;57&lt;/rec-number&gt;&lt;foreign-keys&gt;&lt;key app="EN" db-id="efx2002d5f0z21etvw3x9zp7tw2axpa2eez0" timestamp="1433445544"&gt;57&lt;/key&gt;&lt;/foreign-keys&gt;&lt;ref-type name="Journal Article"&gt;17&lt;/ref-type&gt;&lt;contributors&gt;&lt;authors&gt;&lt;author&gt;McHugh, Leo&lt;/author&gt;&lt;author&gt;Arthur, Jonathan W&lt;/author&gt;&lt;/authors&gt;&lt;/contributors&gt;&lt;titles&gt;&lt;title&gt;Computational methods for protein identification from mass spectrometry data&lt;/title&gt;&lt;secondary-title&gt;PLoS computational biology&lt;/secondary-title&gt;&lt;/titles&gt;&lt;periodical&gt;&lt;full-title&gt;PLoS computational biology&lt;/full-title&gt;&lt;/periodical&gt;&lt;pages&gt;e12&lt;/pages&gt;&lt;volume&gt;4&lt;/volume&gt;&lt;number&gt;2&lt;/number&gt;&lt;dates&gt;&lt;year&gt;2008&lt;/year&gt;&lt;/dates&gt;&lt;isbn&gt;1553-7358&lt;/isbn&gt;&lt;urls&gt;&lt;/urls&gt;&lt;/record&gt;&lt;/Cite&gt;&lt;/EndNote&gt;</w:instrText>
      </w:r>
      <w:r w:rsidR="00AA1ED8" w:rsidRPr="004030F5">
        <w:rPr>
          <w:rFonts w:cs="Arial"/>
          <w:b w:val="0"/>
        </w:rPr>
        <w:fldChar w:fldCharType="separate"/>
      </w:r>
      <w:r w:rsidR="006B3205" w:rsidRPr="004030F5">
        <w:rPr>
          <w:rFonts w:cs="Arial"/>
          <w:b w:val="0"/>
          <w:noProof/>
        </w:rPr>
        <w:t>[55]</w:t>
      </w:r>
      <w:r w:rsidR="00AA1ED8" w:rsidRPr="004030F5">
        <w:rPr>
          <w:rFonts w:cs="Arial"/>
          <w:b w:val="0"/>
        </w:rPr>
        <w:fldChar w:fldCharType="end"/>
      </w:r>
      <w:r w:rsidR="00044FEE" w:rsidRPr="004030F5">
        <w:rPr>
          <w:rFonts w:cs="Arial"/>
          <w:b w:val="0"/>
        </w:rPr>
        <w:t>.</w:t>
      </w:r>
      <w:bookmarkEnd w:id="19"/>
    </w:p>
    <w:p w14:paraId="2906158C" w14:textId="77777777" w:rsidR="0082702D" w:rsidRPr="004030F5" w:rsidRDefault="0082702D" w:rsidP="00436941">
      <w:pPr>
        <w:spacing w:line="480" w:lineRule="auto"/>
        <w:rPr>
          <w:rFonts w:cs="Arial"/>
        </w:rPr>
      </w:pPr>
      <w:r w:rsidRPr="004030F5">
        <w:rPr>
          <w:rFonts w:cs="Arial"/>
        </w:rPr>
        <w:br w:type="page"/>
      </w:r>
    </w:p>
    <w:p w14:paraId="3B4201C2" w14:textId="77777777" w:rsidR="001A17D0" w:rsidRPr="004030F5" w:rsidRDefault="001A17D0" w:rsidP="001A17D0">
      <w:pPr>
        <w:pStyle w:val="Footer"/>
        <w:numPr>
          <w:ilvl w:val="12"/>
          <w:numId w:val="0"/>
        </w:numPr>
        <w:tabs>
          <w:tab w:val="clear" w:pos="4320"/>
          <w:tab w:val="clear" w:pos="8640"/>
        </w:tabs>
        <w:spacing w:line="480" w:lineRule="auto"/>
        <w:rPr>
          <w:rFonts w:cs="Arial"/>
        </w:rPr>
      </w:pPr>
      <w:r w:rsidRPr="004030F5">
        <w:rPr>
          <w:rFonts w:cs="Arial"/>
        </w:rPr>
        <w:lastRenderedPageBreak/>
        <w:t xml:space="preserve">The engines report top 10 or 20 peptides for given MS/MS. </w:t>
      </w:r>
    </w:p>
    <w:p w14:paraId="4759D8C9" w14:textId="54F6D8CB" w:rsidR="0076747A" w:rsidRPr="004030F5" w:rsidRDefault="00E30A2A" w:rsidP="003526DF">
      <w:pPr>
        <w:pStyle w:val="Footer"/>
        <w:numPr>
          <w:ilvl w:val="12"/>
          <w:numId w:val="0"/>
        </w:numPr>
        <w:tabs>
          <w:tab w:val="clear" w:pos="4320"/>
          <w:tab w:val="clear" w:pos="8640"/>
        </w:tabs>
        <w:spacing w:line="480" w:lineRule="auto"/>
        <w:ind w:firstLine="720"/>
        <w:rPr>
          <w:rFonts w:cs="Arial"/>
        </w:rPr>
      </w:pPr>
      <w:r w:rsidRPr="004030F5">
        <w:rPr>
          <w:rFonts w:cs="Arial"/>
        </w:rPr>
        <w:t>Since SEQUEST is developed in 1994, many algorithms for MS/MS identification were developed, such as MASCOT in 1999, X</w:t>
      </w:r>
      <w:proofErr w:type="gramStart"/>
      <w:r w:rsidRPr="004030F5">
        <w:rPr>
          <w:rFonts w:cs="Arial"/>
        </w:rPr>
        <w:t>!Tandem</w:t>
      </w:r>
      <w:proofErr w:type="gramEnd"/>
      <w:r w:rsidRPr="004030F5">
        <w:rPr>
          <w:rFonts w:cs="Arial"/>
        </w:rPr>
        <w:t xml:space="preserve"> in 2004, OMSSA in 2004, MyriMatch in 2007 and MS-GF+ in 2014.  SEQUEST is the frontier of DB search engine and commercialized now.  </w:t>
      </w:r>
      <w:r w:rsidR="00B67BCB" w:rsidRPr="004030F5">
        <w:rPr>
          <w:rFonts w:cs="Arial"/>
        </w:rPr>
        <w:t xml:space="preserve">It calculates cross-correlation coefficient (XCorr), similarity score between </w:t>
      </w:r>
      <w:r w:rsidR="00B67BCB" w:rsidRPr="004030F5">
        <w:rPr>
          <w:rFonts w:cs="Arial"/>
          <w:lang w:eastAsia="ko-KR"/>
        </w:rPr>
        <w:t>theoretically</w:t>
      </w:r>
      <w:r w:rsidR="00B67BCB" w:rsidRPr="004030F5">
        <w:rPr>
          <w:rFonts w:cs="Arial"/>
        </w:rPr>
        <w:t xml:space="preserve"> generated peaks and query MS/MS spectrum, and deltaCn, difference of XCorr from next candidate following initial screening using Sp score.  MASCOT is based on MOWSE algorithm, first probaibility-based score for mass finger printing, and provides probability of observed match between query MS/MS and peptide library by change.  </w:t>
      </w:r>
      <w:r w:rsidR="00DF254B" w:rsidRPr="004030F5">
        <w:rPr>
          <w:rFonts w:cs="Arial"/>
        </w:rPr>
        <w:t xml:space="preserve">Even though MASCOT and SEQUEST were released more than 15 years ago, those two are still major DB search engine in proteomics because those were upgraded to follow technological advances.  </w:t>
      </w:r>
      <w:r w:rsidR="0076747A" w:rsidRPr="004030F5">
        <w:rPr>
          <w:rFonts w:cs="Arial"/>
        </w:rPr>
        <w:t xml:space="preserve">However, basic design of scoring system in SEQUEST and MASCOT is for traditional CID and low-resolution MS </w:t>
      </w:r>
      <w:r w:rsidR="0076747A" w:rsidRPr="004030F5">
        <w:rPr>
          <w:rFonts w:cs="Arial"/>
        </w:rPr>
        <w:fldChar w:fldCharType="begin"/>
      </w:r>
      <w:r w:rsidR="006B3205" w:rsidRPr="004030F5">
        <w:rPr>
          <w:rFonts w:cs="Arial"/>
        </w:rPr>
        <w:instrText xml:space="preserve"> ADDIN EN.CITE &lt;EndNote&gt;&lt;Cite&gt;&lt;Author&gt;Kim&lt;/Author&gt;&lt;Year&gt;2014&lt;/Year&gt;&lt;RecNum&gt;55&lt;/RecNum&gt;&lt;DisplayText&gt;[54]&lt;/DisplayText&gt;&lt;record&gt;&lt;rec-number&gt;55&lt;/rec-number&gt;&lt;foreign-keys&gt;&lt;key app="EN" db-id="efx2002d5f0z21etvw3x9zp7tw2axpa2eez0" timestamp="1433369378"&gt;55&lt;/key&gt;&lt;/foreign-keys&gt;&lt;ref-type name="Journal Article"&gt;17&lt;/ref-type&gt;&lt;contributors&gt;&lt;authors&gt;&lt;author&gt;Kim, Sangtae&lt;/author&gt;&lt;author&gt;Pevzner, Pavel A&lt;/author&gt;&lt;/authors&gt;&lt;/contributors&gt;&lt;titles&gt;&lt;title&gt;MS-GF+ makes progress towards a universal database search tool for proteomics&lt;/title&gt;&lt;secondary-title&gt;Nature communications&lt;/secondary-title&gt;&lt;/titles&gt;&lt;periodical&gt;&lt;full-title&gt;Nature communications&lt;/full-title&gt;&lt;/periodical&gt;&lt;volume&gt;5&lt;/volume&gt;&lt;dates&gt;&lt;year&gt;2014&lt;/year&gt;&lt;/dates&gt;&lt;urls&gt;&lt;/urls&gt;&lt;/record&gt;&lt;/Cite&gt;&lt;/EndNote&gt;</w:instrText>
      </w:r>
      <w:r w:rsidR="0076747A" w:rsidRPr="004030F5">
        <w:rPr>
          <w:rFonts w:cs="Arial"/>
        </w:rPr>
        <w:fldChar w:fldCharType="separate"/>
      </w:r>
      <w:r w:rsidR="006B3205" w:rsidRPr="004030F5">
        <w:rPr>
          <w:rFonts w:cs="Arial"/>
          <w:noProof/>
        </w:rPr>
        <w:t>[54]</w:t>
      </w:r>
      <w:r w:rsidR="0076747A" w:rsidRPr="004030F5">
        <w:rPr>
          <w:rFonts w:cs="Arial"/>
        </w:rPr>
        <w:fldChar w:fldCharType="end"/>
      </w:r>
      <w:r w:rsidR="0076747A" w:rsidRPr="004030F5">
        <w:rPr>
          <w:rFonts w:cs="Arial"/>
        </w:rPr>
        <w:t>.</w:t>
      </w:r>
    </w:p>
    <w:p w14:paraId="5CDE7979" w14:textId="77777777" w:rsidR="0076747A" w:rsidRPr="004030F5" w:rsidRDefault="0076747A" w:rsidP="0076747A">
      <w:pPr>
        <w:spacing w:line="480" w:lineRule="auto"/>
        <w:rPr>
          <w:rFonts w:cs="Arial"/>
        </w:rPr>
      </w:pPr>
      <w:r w:rsidRPr="004030F5">
        <w:rPr>
          <w:rFonts w:cs="Arial"/>
        </w:rPr>
        <w:tab/>
        <w:t>Since SEQUEST and MASCOT are old and commercialized, there were a number of attempts to develop engines more accurate, faster and open source, such as X</w:t>
      </w:r>
      <w:proofErr w:type="gramStart"/>
      <w:r w:rsidRPr="004030F5">
        <w:rPr>
          <w:rFonts w:cs="Arial"/>
        </w:rPr>
        <w:t>!Tandem</w:t>
      </w:r>
      <w:proofErr w:type="gramEnd"/>
      <w:r w:rsidRPr="004030F5">
        <w:rPr>
          <w:rFonts w:cs="Arial"/>
        </w:rPr>
        <w:t>, OMSSA, MyriMatch and MS-GF+.  OMSSA has a probability-based scoring system like MASCOT.  OMSSA employed Poisson distribution because the number of spectrum matches is distributed like Poisson distribution.  OMSSA is faster and much cheaper due to open source tool than MASCOT.  X</w:t>
      </w:r>
      <w:proofErr w:type="gramStart"/>
      <w:r w:rsidRPr="004030F5">
        <w:rPr>
          <w:rFonts w:cs="Arial"/>
        </w:rPr>
        <w:t>!Tandem</w:t>
      </w:r>
      <w:proofErr w:type="gramEnd"/>
      <w:r w:rsidRPr="004030F5">
        <w:rPr>
          <w:rFonts w:cs="Arial"/>
        </w:rPr>
        <w:t xml:space="preserve"> is another engine that has probability-based score (hyperscore), combination of hypergeometric distribution and dot product.  </w:t>
      </w:r>
      <w:r w:rsidRPr="004030F5">
        <w:rPr>
          <w:rFonts w:cs="Arial"/>
        </w:rPr>
        <w:lastRenderedPageBreak/>
        <w:t>X</w:t>
      </w:r>
      <w:proofErr w:type="gramStart"/>
      <w:r w:rsidRPr="004030F5">
        <w:rPr>
          <w:rFonts w:cs="Arial"/>
        </w:rPr>
        <w:t>!Tandem</w:t>
      </w:r>
      <w:proofErr w:type="gramEnd"/>
      <w:r w:rsidRPr="004030F5">
        <w:rPr>
          <w:rFonts w:cs="Arial"/>
        </w:rPr>
        <w:t xml:space="preserve"> collects common MS/MS peaks between theoretical peaks and actual query peaks filtered by the expected intensities, then do dot product.  </w:t>
      </w:r>
      <w:proofErr w:type="gramStart"/>
      <w:r w:rsidRPr="004030F5">
        <w:rPr>
          <w:rFonts w:cs="Arial"/>
        </w:rPr>
        <w:t>This dot product result is modified by multiplying by N factorial for the assigned b and y ions</w:t>
      </w:r>
      <w:proofErr w:type="gramEnd"/>
      <w:r w:rsidRPr="004030F5">
        <w:rPr>
          <w:rFonts w:cs="Arial"/>
        </w:rPr>
        <w:t>.  The factorial modification is based on hypergeometric distribution.  X</w:t>
      </w:r>
      <w:proofErr w:type="gramStart"/>
      <w:r w:rsidRPr="004030F5">
        <w:rPr>
          <w:rFonts w:cs="Arial"/>
        </w:rPr>
        <w:t>!Tandem</w:t>
      </w:r>
      <w:proofErr w:type="gramEnd"/>
      <w:r w:rsidRPr="004030F5">
        <w:rPr>
          <w:rFonts w:cs="Arial"/>
        </w:rPr>
        <w:t xml:space="preserve"> calculates E-value, by extrapolating the linear regression line of the log histogram (the number of results), to measure how different the top hit is from the following hit.  This E-value plays same role to DeltaCn of SEQUEST.  MyriMatch hired multivariate hypergeometric distribution (MVH) to calculate probability of matches between query and DB by chance.</w:t>
      </w:r>
    </w:p>
    <w:p w14:paraId="64521270" w14:textId="1AE38152" w:rsidR="00F27333" w:rsidRPr="004030F5" w:rsidRDefault="0076747A" w:rsidP="00F15FA5">
      <w:pPr>
        <w:spacing w:line="480" w:lineRule="auto"/>
        <w:rPr>
          <w:rFonts w:cs="Arial"/>
        </w:rPr>
      </w:pPr>
      <w:r w:rsidRPr="004030F5">
        <w:rPr>
          <w:rFonts w:cs="Arial"/>
        </w:rPr>
        <w:tab/>
        <w:t xml:space="preserve">MS-GF+ has different approach from </w:t>
      </w:r>
      <w:r w:rsidR="00AD7A17" w:rsidRPr="004030F5">
        <w:rPr>
          <w:rFonts w:cs="Arial"/>
        </w:rPr>
        <w:t>other DB search engines (Fig. 11</w:t>
      </w:r>
      <w:r w:rsidRPr="004030F5">
        <w:rPr>
          <w:rFonts w:cs="Arial"/>
        </w:rPr>
        <w:t>).  General DB search engines compares one spectrum to all the candidate peptides filtered from the library by preliminary score, such as Sp of SEQUEST and noise filter of X</w:t>
      </w:r>
      <w:proofErr w:type="gramStart"/>
      <w:r w:rsidRPr="004030F5">
        <w:rPr>
          <w:rFonts w:cs="Arial"/>
        </w:rPr>
        <w:t>!Tandem</w:t>
      </w:r>
      <w:proofErr w:type="gramEnd"/>
      <w:r w:rsidRPr="004030F5">
        <w:rPr>
          <w:rFonts w:cs="Arial"/>
        </w:rPr>
        <w:t>.  However, MS-GF+ generates</w:t>
      </w:r>
      <w:r w:rsidR="000D2839" w:rsidRPr="004030F5">
        <w:rPr>
          <w:rFonts w:cs="Arial"/>
        </w:rPr>
        <w:t xml:space="preserve"> peptide dictionary</w:t>
      </w:r>
      <w:r w:rsidR="001903C9" w:rsidRPr="004030F5">
        <w:rPr>
          <w:rFonts w:cs="Arial"/>
        </w:rPr>
        <w:t xml:space="preserve"> that is</w:t>
      </w:r>
      <w:r w:rsidRPr="004030F5">
        <w:rPr>
          <w:rFonts w:cs="Arial"/>
        </w:rPr>
        <w:t xml:space="preserve"> all the possible </w:t>
      </w:r>
      <w:r w:rsidRPr="004030F5">
        <w:rPr>
          <w:rFonts w:cs="Arial"/>
          <w:i/>
        </w:rPr>
        <w:t>de novo</w:t>
      </w:r>
      <w:r w:rsidRPr="004030F5">
        <w:rPr>
          <w:rFonts w:cs="Arial"/>
        </w:rPr>
        <w:t xml:space="preserve"> sequence</w:t>
      </w:r>
      <w:r w:rsidR="00E121FC" w:rsidRPr="004030F5">
        <w:rPr>
          <w:rFonts w:cs="Arial"/>
        </w:rPr>
        <w:t xml:space="preserve">s from a MS/MS spectrum and </w:t>
      </w:r>
      <w:r w:rsidR="005F5DEB" w:rsidRPr="004030F5">
        <w:rPr>
          <w:rFonts w:cs="Arial"/>
        </w:rPr>
        <w:t>search their presence in the peptide library</w:t>
      </w:r>
      <w:r w:rsidR="002637A5" w:rsidRPr="004030F5">
        <w:rPr>
          <w:rFonts w:cs="Arial"/>
        </w:rPr>
        <w:t xml:space="preserve"> </w:t>
      </w:r>
      <w:r w:rsidR="006602A9" w:rsidRPr="004030F5">
        <w:rPr>
          <w:rFonts w:cs="Arial"/>
        </w:rPr>
        <w:fldChar w:fldCharType="begin"/>
      </w:r>
      <w:r w:rsidR="006B3205" w:rsidRPr="004030F5">
        <w:rPr>
          <w:rFonts w:cs="Arial"/>
        </w:rPr>
        <w:instrText xml:space="preserve"> ADDIN EN.CITE &lt;EndNote&gt;&lt;Cite&gt;&lt;Author&gt;Kim&lt;/Author&gt;&lt;Year&gt;2009&lt;/Year&gt;&lt;RecNum&gt;58&lt;/RecNum&gt;&lt;DisplayText&gt;[56]&lt;/DisplayText&gt;&lt;record&gt;&lt;rec-number&gt;58&lt;/rec-number&gt;&lt;foreign-keys&gt;&lt;key app="EN" db-id="efx2002d5f0z21etvw3x9zp7tw2axpa2eez0" timestamp="1433446945"&gt;58&lt;/key&gt;&lt;/foreign-keys&gt;&lt;ref-type name="Journal Article"&gt;17&lt;/ref-type&gt;&lt;contributors&gt;&lt;authors&gt;&lt;author&gt;Kim, Sangtae&lt;/author&gt;&lt;author&gt;Gupta, Nitin&lt;/author&gt;&lt;author&gt;Bandeira, Nuno&lt;/author&gt;&lt;author&gt;Pevzner, Pavel A&lt;/author&gt;&lt;/authors&gt;&lt;/contributors&gt;&lt;titles&gt;&lt;title&gt;Spectral dictionaries integrating de novo peptide sequencing with database search of tandem mass spectra&lt;/title&gt;&lt;secondary-title&gt;Molecular &amp;amp; Cellular Proteomics&lt;/secondary-title&gt;&lt;/titles&gt;&lt;periodical&gt;&lt;full-title&gt;Molecular &amp;amp; Cellular Proteomics&lt;/full-title&gt;&lt;/periodical&gt;&lt;pages&gt;53-69&lt;/pages&gt;&lt;volume&gt;8&lt;/volume&gt;&lt;number&gt;1&lt;/number&gt;&lt;dates&gt;&lt;year&gt;2009&lt;/year&gt;&lt;/dates&gt;&lt;isbn&gt;1535-9476&lt;/isbn&gt;&lt;urls&gt;&lt;/urls&gt;&lt;/record&gt;&lt;/Cite&gt;&lt;/EndNote&gt;</w:instrText>
      </w:r>
      <w:r w:rsidR="006602A9" w:rsidRPr="004030F5">
        <w:rPr>
          <w:rFonts w:cs="Arial"/>
        </w:rPr>
        <w:fldChar w:fldCharType="separate"/>
      </w:r>
      <w:r w:rsidR="006B3205" w:rsidRPr="004030F5">
        <w:rPr>
          <w:rFonts w:cs="Arial"/>
          <w:noProof/>
        </w:rPr>
        <w:t>[56]</w:t>
      </w:r>
      <w:r w:rsidR="006602A9" w:rsidRPr="004030F5">
        <w:rPr>
          <w:rFonts w:cs="Arial"/>
        </w:rPr>
        <w:fldChar w:fldCharType="end"/>
      </w:r>
      <w:r w:rsidR="005F5DEB" w:rsidRPr="004030F5">
        <w:rPr>
          <w:rFonts w:cs="Arial"/>
        </w:rPr>
        <w:t>.</w:t>
      </w:r>
      <w:r w:rsidR="0034098C" w:rsidRPr="004030F5">
        <w:rPr>
          <w:rFonts w:cs="Arial"/>
        </w:rPr>
        <w:t xml:space="preserve">  </w:t>
      </w:r>
      <w:r w:rsidRPr="004030F5">
        <w:rPr>
          <w:rFonts w:cs="Arial"/>
        </w:rPr>
        <w:t xml:space="preserve">MS-GF+ compares log likelihood ratio of </w:t>
      </w:r>
      <w:r w:rsidR="00472B8E" w:rsidRPr="004030F5">
        <w:rPr>
          <w:rFonts w:cs="Arial"/>
        </w:rPr>
        <w:t>vectors of peptides and spectra and calculate E-value to find the best hit.</w:t>
      </w:r>
      <w:r w:rsidR="00C8583E" w:rsidRPr="004030F5">
        <w:rPr>
          <w:rFonts w:cs="Arial"/>
        </w:rPr>
        <w:t xml:space="preserve">  While traditional DB searches should compare every spectrum against every </w:t>
      </w:r>
      <w:r w:rsidR="00C55AFC" w:rsidRPr="004030F5">
        <w:rPr>
          <w:rFonts w:cs="Arial"/>
        </w:rPr>
        <w:t>peptide</w:t>
      </w:r>
      <w:r w:rsidR="00C8583E" w:rsidRPr="004030F5">
        <w:rPr>
          <w:rFonts w:cs="Arial"/>
        </w:rPr>
        <w:t xml:space="preserve"> in the library (running time is linearly increased by size of the library), </w:t>
      </w:r>
      <w:r w:rsidR="00121182" w:rsidRPr="004030F5">
        <w:rPr>
          <w:rFonts w:cs="Arial"/>
        </w:rPr>
        <w:t xml:space="preserve">MS-GF+ </w:t>
      </w:r>
      <w:r w:rsidR="0085662B" w:rsidRPr="004030F5">
        <w:rPr>
          <w:rFonts w:cs="Arial"/>
        </w:rPr>
        <w:t xml:space="preserve">execution time is not dependent on DB size.  </w:t>
      </w:r>
      <w:r w:rsidR="00C55AFC" w:rsidRPr="004030F5">
        <w:rPr>
          <w:rFonts w:cs="Arial"/>
        </w:rPr>
        <w:t>This is very important advantage to metaproteomics because metaproteomics has much larger protein DB than single species proteomics.</w:t>
      </w:r>
      <w:r w:rsidR="00D0600E" w:rsidRPr="004030F5">
        <w:rPr>
          <w:rFonts w:cs="Arial"/>
        </w:rPr>
        <w:t xml:space="preserve">  In addition to being independent on DB size, since MS-GF+ is based on </w:t>
      </w:r>
      <w:r w:rsidR="00D0600E" w:rsidRPr="004030F5">
        <w:rPr>
          <w:rFonts w:cs="Arial"/>
          <w:i/>
        </w:rPr>
        <w:t>de novo</w:t>
      </w:r>
      <w:r w:rsidR="00D0600E" w:rsidRPr="004030F5">
        <w:rPr>
          <w:rFonts w:cs="Arial"/>
        </w:rPr>
        <w:t xml:space="preserve"> sequencing, it can provide more sequences that are not found in the reference DB. </w:t>
      </w:r>
      <w:r w:rsidR="00F27333" w:rsidRPr="004030F5">
        <w:rPr>
          <w:rFonts w:cs="Arial"/>
        </w:rPr>
        <w:br w:type="page"/>
      </w:r>
    </w:p>
    <w:p w14:paraId="6FCD53D1" w14:textId="77777777" w:rsidR="00F27333" w:rsidRPr="004030F5" w:rsidRDefault="00F27333" w:rsidP="00F27333">
      <w:pPr>
        <w:pStyle w:val="Footer"/>
        <w:keepNext/>
        <w:numPr>
          <w:ilvl w:val="12"/>
          <w:numId w:val="0"/>
        </w:numPr>
        <w:tabs>
          <w:tab w:val="clear" w:pos="4320"/>
          <w:tab w:val="clear" w:pos="8640"/>
        </w:tabs>
        <w:spacing w:line="480" w:lineRule="auto"/>
        <w:rPr>
          <w:rFonts w:cs="Arial"/>
        </w:rPr>
      </w:pPr>
      <w:r w:rsidRPr="004030F5">
        <w:rPr>
          <w:rFonts w:cs="Arial"/>
          <w:noProof/>
        </w:rPr>
        <w:lastRenderedPageBreak/>
        <w:drawing>
          <wp:inline distT="0" distB="0" distL="0" distR="0" wp14:anchorId="4416586D" wp14:editId="46EFF137">
            <wp:extent cx="5485765" cy="3982720"/>
            <wp:effectExtent l="0" t="0" r="635" b="508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b="-1393"/>
                    <a:stretch/>
                  </pic:blipFill>
                  <pic:spPr bwMode="auto">
                    <a:xfrm>
                      <a:off x="0" y="0"/>
                      <a:ext cx="5486400" cy="3983181"/>
                    </a:xfrm>
                    <a:prstGeom prst="rect">
                      <a:avLst/>
                    </a:prstGeom>
                    <a:noFill/>
                    <a:ln>
                      <a:noFill/>
                    </a:ln>
                    <a:extLst>
                      <a:ext uri="{53640926-AAD7-44d8-BBD7-CCE9431645EC}">
                        <a14:shadowObscured xmlns:a14="http://schemas.microsoft.com/office/drawing/2010/main"/>
                      </a:ext>
                    </a:extLst>
                  </pic:spPr>
                </pic:pic>
              </a:graphicData>
            </a:graphic>
          </wp:inline>
        </w:drawing>
      </w:r>
    </w:p>
    <w:p w14:paraId="4894A00C" w14:textId="41779A12" w:rsidR="001900A6" w:rsidRPr="004030F5" w:rsidRDefault="00F27333" w:rsidP="000D6B27">
      <w:pPr>
        <w:pStyle w:val="Caption"/>
        <w:rPr>
          <w:rFonts w:cs="Arial"/>
          <w:b w:val="0"/>
        </w:rPr>
      </w:pPr>
      <w:bookmarkStart w:id="20" w:name="_Toc296333104"/>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11</w:t>
      </w:r>
      <w:r w:rsidRPr="004030F5">
        <w:rPr>
          <w:rFonts w:cs="Arial"/>
        </w:rPr>
        <w:fldChar w:fldCharType="end"/>
      </w:r>
      <w:r w:rsidRPr="004030F5">
        <w:rPr>
          <w:rFonts w:cs="Arial"/>
        </w:rPr>
        <w:t xml:space="preserve"> DB search of MS-GF+.  </w:t>
      </w:r>
      <w:r w:rsidRPr="004030F5">
        <w:rPr>
          <w:rFonts w:cs="Arial"/>
          <w:b w:val="0"/>
        </w:rPr>
        <w:t xml:space="preserve">MS GF+ </w:t>
      </w:r>
      <w:r w:rsidR="00BD2A4A" w:rsidRPr="004030F5">
        <w:rPr>
          <w:rFonts w:cs="Arial"/>
          <w:b w:val="0"/>
        </w:rPr>
        <w:t xml:space="preserve">is updated version of Spectral Dictionary </w:t>
      </w:r>
      <w:r w:rsidR="00B1246F" w:rsidRPr="004030F5">
        <w:rPr>
          <w:rFonts w:cs="Arial"/>
          <w:b w:val="0"/>
        </w:rPr>
        <w:fldChar w:fldCharType="begin"/>
      </w:r>
      <w:r w:rsidR="006B3205" w:rsidRPr="004030F5">
        <w:rPr>
          <w:rFonts w:cs="Arial"/>
          <w:b w:val="0"/>
        </w:rPr>
        <w:instrText xml:space="preserve"> ADDIN EN.CITE &lt;EndNote&gt;&lt;Cite&gt;&lt;Author&gt;Kim&lt;/Author&gt;&lt;Year&gt;2009&lt;/Year&gt;&lt;RecNum&gt;58&lt;/RecNum&gt;&lt;DisplayText&gt;[56]&lt;/DisplayText&gt;&lt;record&gt;&lt;rec-number&gt;58&lt;/rec-number&gt;&lt;foreign-keys&gt;&lt;key app="EN" db-id="efx2002d5f0z21etvw3x9zp7tw2axpa2eez0" timestamp="1433446945"&gt;58&lt;/key&gt;&lt;/foreign-keys&gt;&lt;ref-type name="Journal Article"&gt;17&lt;/ref-type&gt;&lt;contributors&gt;&lt;authors&gt;&lt;author&gt;Kim, Sangtae&lt;/author&gt;&lt;author&gt;Gupta, Nitin&lt;/author&gt;&lt;author&gt;Bandeira, Nuno&lt;/author&gt;&lt;author&gt;Pevzner, Pavel A&lt;/author&gt;&lt;/authors&gt;&lt;/contributors&gt;&lt;titles&gt;&lt;title&gt;Spectral dictionaries integrating de novo peptide sequencing with database search of tandem mass spectra&lt;/title&gt;&lt;secondary-title&gt;Molecular &amp;amp; Cellular Proteomics&lt;/secondary-title&gt;&lt;/titles&gt;&lt;periodical&gt;&lt;full-title&gt;Molecular &amp;amp; Cellular Proteomics&lt;/full-title&gt;&lt;/periodical&gt;&lt;pages&gt;53-69&lt;/pages&gt;&lt;volume&gt;8&lt;/volume&gt;&lt;number&gt;1&lt;/number&gt;&lt;dates&gt;&lt;year&gt;2009&lt;/year&gt;&lt;/dates&gt;&lt;isbn&gt;1535-9476&lt;/isbn&gt;&lt;urls&gt;&lt;/urls&gt;&lt;/record&gt;&lt;/Cite&gt;&lt;/EndNote&gt;</w:instrText>
      </w:r>
      <w:r w:rsidR="00B1246F" w:rsidRPr="004030F5">
        <w:rPr>
          <w:rFonts w:cs="Arial"/>
          <w:b w:val="0"/>
        </w:rPr>
        <w:fldChar w:fldCharType="separate"/>
      </w:r>
      <w:r w:rsidR="006B3205" w:rsidRPr="004030F5">
        <w:rPr>
          <w:rFonts w:cs="Arial"/>
          <w:b w:val="0"/>
          <w:noProof/>
        </w:rPr>
        <w:t>[56]</w:t>
      </w:r>
      <w:r w:rsidR="00B1246F" w:rsidRPr="004030F5">
        <w:rPr>
          <w:rFonts w:cs="Arial"/>
          <w:b w:val="0"/>
        </w:rPr>
        <w:fldChar w:fldCharType="end"/>
      </w:r>
      <w:r w:rsidR="00B1246F" w:rsidRPr="004030F5">
        <w:rPr>
          <w:rFonts w:cs="Arial"/>
          <w:b w:val="0"/>
        </w:rPr>
        <w:t xml:space="preserve">.  </w:t>
      </w:r>
      <w:r w:rsidR="00585700" w:rsidRPr="004030F5">
        <w:rPr>
          <w:rFonts w:cs="Arial"/>
          <w:b w:val="0"/>
        </w:rPr>
        <w:t xml:space="preserve">Red line </w:t>
      </w:r>
      <w:r w:rsidR="00C92A60" w:rsidRPr="004030F5">
        <w:rPr>
          <w:rFonts w:cs="Arial"/>
          <w:b w:val="0"/>
        </w:rPr>
        <w:t xml:space="preserve">is traditional DB search comparing spectra against the peptide library generated from protein DB.  Blue line is the </w:t>
      </w:r>
      <w:r w:rsidR="00C92A60" w:rsidRPr="004030F5">
        <w:rPr>
          <w:rFonts w:cs="Arial"/>
          <w:b w:val="0"/>
          <w:i/>
        </w:rPr>
        <w:t>de novo</w:t>
      </w:r>
      <w:r w:rsidR="00C92A60" w:rsidRPr="004030F5">
        <w:rPr>
          <w:rFonts w:cs="Arial"/>
          <w:b w:val="0"/>
        </w:rPr>
        <w:t xml:space="preserve"> based DB search</w:t>
      </w:r>
      <w:r w:rsidR="0046560F" w:rsidRPr="004030F5">
        <w:rPr>
          <w:rFonts w:cs="Arial"/>
          <w:b w:val="0"/>
        </w:rPr>
        <w:t xml:space="preserve"> constructing all the possible </w:t>
      </w:r>
      <w:r w:rsidR="0046560F" w:rsidRPr="004030F5">
        <w:rPr>
          <w:rFonts w:cs="Arial"/>
          <w:b w:val="0"/>
          <w:i/>
        </w:rPr>
        <w:t xml:space="preserve">de novo </w:t>
      </w:r>
      <w:r w:rsidR="0046560F" w:rsidRPr="004030F5">
        <w:rPr>
          <w:rFonts w:cs="Arial"/>
          <w:b w:val="0"/>
        </w:rPr>
        <w:t xml:space="preserve">sequences from a MS/MS spectrum.  </w:t>
      </w:r>
      <w:r w:rsidR="007048F4" w:rsidRPr="004030F5">
        <w:rPr>
          <w:rFonts w:cs="Arial"/>
          <w:b w:val="0"/>
        </w:rPr>
        <w:t xml:space="preserve">This illustration was adapted from </w:t>
      </w:r>
      <w:r w:rsidR="006E6A52" w:rsidRPr="004030F5">
        <w:rPr>
          <w:rFonts w:cs="Arial"/>
          <w:b w:val="0"/>
        </w:rPr>
        <w:t xml:space="preserve">Kim et al </w:t>
      </w:r>
      <w:r w:rsidR="006E6A52" w:rsidRPr="004030F5">
        <w:rPr>
          <w:rFonts w:cs="Arial"/>
          <w:b w:val="0"/>
        </w:rPr>
        <w:fldChar w:fldCharType="begin"/>
      </w:r>
      <w:r w:rsidR="006B3205" w:rsidRPr="004030F5">
        <w:rPr>
          <w:rFonts w:cs="Arial"/>
          <w:b w:val="0"/>
        </w:rPr>
        <w:instrText xml:space="preserve"> ADDIN EN.CITE &lt;EndNote&gt;&lt;Cite&gt;&lt;Author&gt;Kim&lt;/Author&gt;&lt;Year&gt;2009&lt;/Year&gt;&lt;RecNum&gt;58&lt;/RecNum&gt;&lt;DisplayText&gt;[56]&lt;/DisplayText&gt;&lt;record&gt;&lt;rec-number&gt;58&lt;/rec-number&gt;&lt;foreign-keys&gt;&lt;key app="EN" db-id="efx2002d5f0z21etvw3x9zp7tw2axpa2eez0" timestamp="1433446945"&gt;58&lt;/key&gt;&lt;/foreign-keys&gt;&lt;ref-type name="Journal Article"&gt;17&lt;/ref-type&gt;&lt;contributors&gt;&lt;authors&gt;&lt;author&gt;Kim, Sangtae&lt;/author&gt;&lt;author&gt;Gupta, Nitin&lt;/author&gt;&lt;author&gt;Bandeira, Nuno&lt;/author&gt;&lt;author&gt;Pevzner, Pavel A&lt;/author&gt;&lt;/authors&gt;&lt;/contributors&gt;&lt;titles&gt;&lt;title&gt;Spectral dictionaries integrating de novo peptide sequencing with database search of tandem mass spectra&lt;/title&gt;&lt;secondary-title&gt;Molecular &amp;amp; Cellular Proteomics&lt;/secondary-title&gt;&lt;/titles&gt;&lt;periodical&gt;&lt;full-title&gt;Molecular &amp;amp; Cellular Proteomics&lt;/full-title&gt;&lt;/periodical&gt;&lt;pages&gt;53-69&lt;/pages&gt;&lt;volume&gt;8&lt;/volume&gt;&lt;number&gt;1&lt;/number&gt;&lt;dates&gt;&lt;year&gt;2009&lt;/year&gt;&lt;/dates&gt;&lt;isbn&gt;1535-9476&lt;/isbn&gt;&lt;urls&gt;&lt;/urls&gt;&lt;/record&gt;&lt;/Cite&gt;&lt;/EndNote&gt;</w:instrText>
      </w:r>
      <w:r w:rsidR="006E6A52" w:rsidRPr="004030F5">
        <w:rPr>
          <w:rFonts w:cs="Arial"/>
          <w:b w:val="0"/>
        </w:rPr>
        <w:fldChar w:fldCharType="separate"/>
      </w:r>
      <w:r w:rsidR="006B3205" w:rsidRPr="004030F5">
        <w:rPr>
          <w:rFonts w:cs="Arial"/>
          <w:b w:val="0"/>
          <w:noProof/>
        </w:rPr>
        <w:t>[56]</w:t>
      </w:r>
      <w:r w:rsidR="006E6A52" w:rsidRPr="004030F5">
        <w:rPr>
          <w:rFonts w:cs="Arial"/>
          <w:b w:val="0"/>
        </w:rPr>
        <w:fldChar w:fldCharType="end"/>
      </w:r>
      <w:r w:rsidR="006E6A52" w:rsidRPr="004030F5">
        <w:rPr>
          <w:rFonts w:cs="Arial"/>
          <w:b w:val="0"/>
        </w:rPr>
        <w:t>.</w:t>
      </w:r>
      <w:bookmarkEnd w:id="20"/>
    </w:p>
    <w:p w14:paraId="062398F8" w14:textId="77777777" w:rsidR="001900A6" w:rsidRPr="004030F5" w:rsidRDefault="001900A6">
      <w:pPr>
        <w:rPr>
          <w:rFonts w:cs="Arial"/>
          <w:bCs/>
          <w:szCs w:val="20"/>
        </w:rPr>
      </w:pPr>
      <w:r w:rsidRPr="004030F5">
        <w:rPr>
          <w:rFonts w:cs="Arial"/>
          <w:b/>
        </w:rPr>
        <w:br w:type="page"/>
      </w:r>
    </w:p>
    <w:p w14:paraId="24E4EF19" w14:textId="77777777" w:rsidR="00F15FA5" w:rsidRPr="004030F5" w:rsidRDefault="00F15FA5" w:rsidP="00F15FA5">
      <w:pPr>
        <w:spacing w:line="480" w:lineRule="auto"/>
        <w:rPr>
          <w:rFonts w:cs="Arial"/>
        </w:rPr>
      </w:pPr>
      <w:r w:rsidRPr="004030F5">
        <w:rPr>
          <w:rFonts w:cs="Arial"/>
        </w:rPr>
        <w:lastRenderedPageBreak/>
        <w:t xml:space="preserve">This </w:t>
      </w:r>
      <w:r w:rsidRPr="004030F5">
        <w:rPr>
          <w:rFonts w:cs="Arial"/>
          <w:i/>
        </w:rPr>
        <w:t>de novo</w:t>
      </w:r>
      <w:r w:rsidRPr="004030F5">
        <w:rPr>
          <w:rFonts w:cs="Arial"/>
        </w:rPr>
        <w:t xml:space="preserve"> sequencing based approach can benefit metaproteomics studies because unknown species in a microbial community is not in protein DB. </w:t>
      </w:r>
    </w:p>
    <w:p w14:paraId="7EE8C46A" w14:textId="43FB66E7" w:rsidR="00614AFC" w:rsidRPr="004030F5" w:rsidRDefault="00F15FA5" w:rsidP="00F15FA5">
      <w:pPr>
        <w:spacing w:line="480" w:lineRule="auto"/>
        <w:rPr>
          <w:rFonts w:cs="Arial"/>
        </w:rPr>
      </w:pPr>
      <w:r w:rsidRPr="004030F5">
        <w:rPr>
          <w:rFonts w:cs="Arial"/>
        </w:rPr>
        <w:tab/>
        <w:t xml:space="preserve">In addition to different scoring metrics, every DB search engines has pre-processing step prior to compute scoring matrix.  This filtering step is to remove noise peaks and collect valid b and y ions, but this step can introduce problems.  </w:t>
      </w:r>
      <w:r w:rsidR="009C3023" w:rsidRPr="004030F5">
        <w:rPr>
          <w:rFonts w:cs="Arial"/>
        </w:rPr>
        <w:t>If the filtering threshold is too low, noisy matches will hinder true matches; if it is too high, peaks observed fragment ion may be lost.  These different preprocessing approaches in different DB search engines can result in different peptide identification output.</w:t>
      </w:r>
    </w:p>
    <w:p w14:paraId="767B6683" w14:textId="782CA762" w:rsidR="00AC0345" w:rsidRPr="004030F5" w:rsidRDefault="00417400" w:rsidP="00AC0345">
      <w:pPr>
        <w:spacing w:line="480" w:lineRule="auto"/>
        <w:rPr>
          <w:rFonts w:cs="Arial"/>
        </w:rPr>
      </w:pPr>
      <w:r w:rsidRPr="004030F5">
        <w:rPr>
          <w:rFonts w:cs="Arial"/>
        </w:rPr>
        <w:tab/>
      </w:r>
      <w:r w:rsidR="00AD0208" w:rsidRPr="004030F5">
        <w:rPr>
          <w:rFonts w:cs="Arial"/>
        </w:rPr>
        <w:t xml:space="preserve">Speed of MS/MS search is </w:t>
      </w:r>
      <w:r w:rsidR="002575E1" w:rsidRPr="004030F5">
        <w:rPr>
          <w:rFonts w:cs="Arial"/>
        </w:rPr>
        <w:t>a critical</w:t>
      </w:r>
      <w:r w:rsidR="00AD0208" w:rsidRPr="004030F5">
        <w:rPr>
          <w:rFonts w:cs="Arial"/>
        </w:rPr>
        <w:t xml:space="preserve"> issue besides accuracy of peptide identification because metaproteome data has complicated structure.</w:t>
      </w:r>
      <w:r w:rsidR="003E348E" w:rsidRPr="004030F5">
        <w:rPr>
          <w:rFonts w:cs="Arial"/>
        </w:rPr>
        <w:t xml:space="preserve">  </w:t>
      </w:r>
      <w:r w:rsidR="00976F51" w:rsidRPr="004030F5">
        <w:rPr>
          <w:rFonts w:cs="Arial"/>
        </w:rPr>
        <w:t>MS-GF+ has advan</w:t>
      </w:r>
      <w:r w:rsidR="00DE00E6" w:rsidRPr="004030F5">
        <w:rPr>
          <w:rFonts w:cs="Arial"/>
        </w:rPr>
        <w:t>tage on this issue</w:t>
      </w:r>
      <w:r w:rsidR="00976F51" w:rsidRPr="004030F5">
        <w:rPr>
          <w:rFonts w:cs="Arial"/>
        </w:rPr>
        <w:t xml:space="preserve"> because its search speed is not lowered by protein DB size.  </w:t>
      </w:r>
      <w:r w:rsidR="00DE00E6" w:rsidRPr="004030F5">
        <w:rPr>
          <w:rFonts w:cs="Arial"/>
        </w:rPr>
        <w:t xml:space="preserve">However, </w:t>
      </w:r>
      <w:r w:rsidR="00A346EB" w:rsidRPr="004030F5">
        <w:rPr>
          <w:rFonts w:cs="Arial"/>
        </w:rPr>
        <w:t>s</w:t>
      </w:r>
      <w:r w:rsidR="006D1C38" w:rsidRPr="004030F5">
        <w:rPr>
          <w:rFonts w:cs="Arial"/>
        </w:rPr>
        <w:t>ince MS/MS search is embarrassingly par</w:t>
      </w:r>
      <w:r w:rsidR="00491937" w:rsidRPr="004030F5">
        <w:rPr>
          <w:rFonts w:cs="Arial"/>
        </w:rPr>
        <w:t>allel</w:t>
      </w:r>
      <w:r w:rsidR="00EA558B" w:rsidRPr="004030F5">
        <w:rPr>
          <w:rFonts w:cs="Arial"/>
        </w:rPr>
        <w:t>, which means easily dividable into small pieces</w:t>
      </w:r>
      <w:r w:rsidR="00727B4C" w:rsidRPr="004030F5">
        <w:rPr>
          <w:rFonts w:cs="Arial"/>
        </w:rPr>
        <w:t xml:space="preserve">, </w:t>
      </w:r>
      <w:r w:rsidR="006934C6" w:rsidRPr="004030F5">
        <w:rPr>
          <w:rFonts w:cs="Arial"/>
        </w:rPr>
        <w:t xml:space="preserve">other </w:t>
      </w:r>
      <w:r w:rsidR="00C07740" w:rsidRPr="004030F5">
        <w:rPr>
          <w:rFonts w:cs="Arial"/>
        </w:rPr>
        <w:t xml:space="preserve">MS search </w:t>
      </w:r>
      <w:r w:rsidR="006934C6" w:rsidRPr="004030F5">
        <w:rPr>
          <w:rFonts w:cs="Arial"/>
        </w:rPr>
        <w:t xml:space="preserve">engines </w:t>
      </w:r>
      <w:r w:rsidR="00790B92" w:rsidRPr="004030F5">
        <w:rPr>
          <w:rFonts w:cs="Arial"/>
        </w:rPr>
        <w:t>can</w:t>
      </w:r>
      <w:r w:rsidR="00DC6F5B" w:rsidRPr="004030F5">
        <w:rPr>
          <w:rFonts w:cs="Arial"/>
        </w:rPr>
        <w:t xml:space="preserve"> process MS/MS search</w:t>
      </w:r>
      <w:r w:rsidR="00F512A0" w:rsidRPr="004030F5">
        <w:rPr>
          <w:rFonts w:cs="Arial"/>
        </w:rPr>
        <w:t xml:space="preserve"> by </w:t>
      </w:r>
      <w:r w:rsidR="00790B92" w:rsidRPr="004030F5">
        <w:rPr>
          <w:rFonts w:cs="Arial"/>
        </w:rPr>
        <w:t>be</w:t>
      </w:r>
      <w:r w:rsidR="00F512A0" w:rsidRPr="004030F5">
        <w:rPr>
          <w:rFonts w:cs="Arial"/>
        </w:rPr>
        <w:t>ing</w:t>
      </w:r>
      <w:r w:rsidR="00790B92" w:rsidRPr="004030F5">
        <w:rPr>
          <w:rFonts w:cs="Arial"/>
        </w:rPr>
        <w:t xml:space="preserve"> </w:t>
      </w:r>
      <w:r w:rsidR="005A3DA0" w:rsidRPr="004030F5">
        <w:rPr>
          <w:rFonts w:cs="Arial"/>
        </w:rPr>
        <w:t>run simultaneously at cl</w:t>
      </w:r>
      <w:r w:rsidR="00124F70" w:rsidRPr="004030F5">
        <w:rPr>
          <w:rFonts w:cs="Arial"/>
        </w:rPr>
        <w:t xml:space="preserve">uster server or supercomputer.  Briefly, </w:t>
      </w:r>
      <w:r w:rsidR="00072CEF" w:rsidRPr="004030F5">
        <w:rPr>
          <w:rFonts w:cs="Arial"/>
        </w:rPr>
        <w:t>one</w:t>
      </w:r>
      <w:r w:rsidR="00F6376F" w:rsidRPr="004030F5">
        <w:rPr>
          <w:rFonts w:cs="Arial"/>
        </w:rPr>
        <w:t xml:space="preserve"> LC-MS/MS run</w:t>
      </w:r>
      <w:r w:rsidR="00072CEF" w:rsidRPr="004030F5">
        <w:rPr>
          <w:rFonts w:cs="Arial"/>
        </w:rPr>
        <w:t xml:space="preserve"> </w:t>
      </w:r>
      <w:r w:rsidR="00F6376F" w:rsidRPr="004030F5">
        <w:rPr>
          <w:rFonts w:cs="Arial"/>
        </w:rPr>
        <w:t>(</w:t>
      </w:r>
      <w:r w:rsidR="00072CEF" w:rsidRPr="004030F5">
        <w:rPr>
          <w:rFonts w:cs="Arial"/>
        </w:rPr>
        <w:t>MS run</w:t>
      </w:r>
      <w:r w:rsidR="00F6376F" w:rsidRPr="004030F5">
        <w:rPr>
          <w:rFonts w:cs="Arial"/>
        </w:rPr>
        <w:t>)</w:t>
      </w:r>
      <w:r w:rsidR="00072CEF" w:rsidRPr="004030F5">
        <w:rPr>
          <w:rFonts w:cs="Arial"/>
        </w:rPr>
        <w:t xml:space="preserve"> consists of many of MS/M</w:t>
      </w:r>
      <w:r w:rsidR="00E02023" w:rsidRPr="004030F5">
        <w:rPr>
          <w:rFonts w:cs="Arial"/>
        </w:rPr>
        <w:t xml:space="preserve">S spectra, so if we have 1,000,000 CPUs in a supercomputer, we can </w:t>
      </w:r>
      <w:r w:rsidR="00DC433A" w:rsidRPr="004030F5">
        <w:rPr>
          <w:rFonts w:cs="Arial"/>
        </w:rPr>
        <w:t>search</w:t>
      </w:r>
      <w:r w:rsidR="00E02023" w:rsidRPr="004030F5">
        <w:rPr>
          <w:rFonts w:cs="Arial"/>
        </w:rPr>
        <w:t xml:space="preserve"> a million MS/MS spectra at the same time</w:t>
      </w:r>
      <w:r w:rsidR="006D2D2C" w:rsidRPr="004030F5">
        <w:rPr>
          <w:rFonts w:cs="Arial"/>
        </w:rPr>
        <w:t xml:space="preserve">, which means that </w:t>
      </w:r>
      <w:r w:rsidR="00A13475" w:rsidRPr="004030F5">
        <w:rPr>
          <w:rFonts w:cs="Arial"/>
        </w:rPr>
        <w:t xml:space="preserve">a million spectra can be processed </w:t>
      </w:r>
      <w:r w:rsidR="00451432" w:rsidRPr="004030F5">
        <w:rPr>
          <w:rFonts w:cs="Arial"/>
        </w:rPr>
        <w:t>within</w:t>
      </w:r>
      <w:r w:rsidR="002665C1" w:rsidRPr="004030F5">
        <w:rPr>
          <w:rFonts w:cs="Arial"/>
        </w:rPr>
        <w:t xml:space="preserve"> time for one </w:t>
      </w:r>
      <w:r w:rsidR="005E2225" w:rsidRPr="004030F5">
        <w:rPr>
          <w:rFonts w:cs="Arial"/>
        </w:rPr>
        <w:t>spectrum search</w:t>
      </w:r>
      <w:r w:rsidR="001B7CC7" w:rsidRPr="004030F5">
        <w:rPr>
          <w:rFonts w:cs="Arial"/>
        </w:rPr>
        <w:t xml:space="preserve"> theoretically</w:t>
      </w:r>
      <w:r w:rsidR="00E02023" w:rsidRPr="004030F5">
        <w:rPr>
          <w:rFonts w:cs="Arial"/>
        </w:rPr>
        <w:t>.</w:t>
      </w:r>
      <w:r w:rsidR="002E2E94" w:rsidRPr="004030F5">
        <w:rPr>
          <w:rFonts w:cs="Arial"/>
        </w:rPr>
        <w:t xml:space="preserve">  </w:t>
      </w:r>
      <w:r w:rsidR="006B3205" w:rsidRPr="004030F5">
        <w:rPr>
          <w:rFonts w:cs="Arial"/>
        </w:rPr>
        <w:t>For this purpose, there are several ways to parallelize MS/MS peak search engines, such as X!</w:t>
      </w:r>
      <w:proofErr w:type="gramStart"/>
      <w:r w:rsidR="006B3205" w:rsidRPr="004030F5">
        <w:rPr>
          <w:rFonts w:cs="Arial"/>
        </w:rPr>
        <w:t>!</w:t>
      </w:r>
      <w:proofErr w:type="gramEnd"/>
      <w:r w:rsidR="006B3205" w:rsidRPr="004030F5">
        <w:rPr>
          <w:rFonts w:cs="Arial"/>
        </w:rPr>
        <w:t>Tandem</w:t>
      </w:r>
      <w:r w:rsidR="006B3205" w:rsidRPr="004030F5">
        <w:rPr>
          <w:rFonts w:cs="Arial"/>
        </w:rPr>
        <w:fldChar w:fldCharType="begin"/>
      </w:r>
      <w:r w:rsidR="006B3205" w:rsidRPr="004030F5">
        <w:rPr>
          <w:rFonts w:cs="Arial"/>
        </w:rPr>
        <w:instrText xml:space="preserve"> ADDIN EN.CITE &lt;EndNote&gt;&lt;Cite&gt;&lt;Author&gt;Bjornson&lt;/Author&gt;&lt;Year&gt;2007&lt;/Year&gt;&lt;RecNum&gt;59&lt;/RecNum&gt;&lt;DisplayText&gt;[57]&lt;/DisplayText&gt;&lt;record&gt;&lt;rec-number&gt;59&lt;/rec-number&gt;&lt;foreign-keys&gt;&lt;key app="EN" db-id="efx2002d5f0z21etvw3x9zp7tw2axpa2eez0" timestamp="1433456087"&gt;59&lt;/key&gt;&lt;/foreign-keys&gt;&lt;ref-type name="Journal Article"&gt;17&lt;/ref-type&gt;&lt;contributors&gt;&lt;authors&gt;&lt;author&gt;Bjornson, Robert D&lt;/author&gt;&lt;author&gt;Carriero, Nicholas J&lt;/author&gt;&lt;author&gt;Colangelo, Christopher&lt;/author&gt;&lt;author&gt;Shifman, Mark&lt;/author&gt;&lt;author&gt;Cheung, Kei-Hoi&lt;/author&gt;&lt;author&gt;Miller, Perry L&lt;/author&gt;&lt;author&gt;Williams, Kenneth&lt;/author&gt;&lt;/authors&gt;&lt;/contributors&gt;&lt;titles&gt;&lt;title&gt;X!! Tandem, an improved method for running X! tandem in parallel on collections of commodity computers&lt;/title&gt;&lt;secondary-title&gt;The Journal of Proteome Research&lt;/secondary-title&gt;&lt;/titles&gt;&lt;periodical&gt;&lt;full-title&gt;The Journal of Proteome Research&lt;/full-title&gt;&lt;/periodical&gt;&lt;pages&gt;293-299&lt;/pages&gt;&lt;volume&gt;7&lt;/volume&gt;&lt;number&gt;1&lt;/number&gt;&lt;dates&gt;&lt;year&gt;2007&lt;/year&gt;&lt;/dates&gt;&lt;isbn&gt;1535-3893&lt;/isbn&gt;&lt;urls&gt;&lt;/urls&gt;&lt;/record&gt;&lt;/Cite&gt;&lt;/EndNote&gt;</w:instrText>
      </w:r>
      <w:r w:rsidR="006B3205" w:rsidRPr="004030F5">
        <w:rPr>
          <w:rFonts w:cs="Arial"/>
        </w:rPr>
        <w:fldChar w:fldCharType="separate"/>
      </w:r>
      <w:r w:rsidR="006B3205" w:rsidRPr="004030F5">
        <w:rPr>
          <w:rFonts w:cs="Arial"/>
          <w:noProof/>
        </w:rPr>
        <w:t>[57]</w:t>
      </w:r>
      <w:r w:rsidR="006B3205" w:rsidRPr="004030F5">
        <w:rPr>
          <w:rFonts w:cs="Arial"/>
        </w:rPr>
        <w:fldChar w:fldCharType="end"/>
      </w:r>
      <w:r w:rsidR="006B3205" w:rsidRPr="004030F5">
        <w:rPr>
          <w:rFonts w:cs="Arial"/>
        </w:rPr>
        <w:t>, wrapper for MS</w:t>
      </w:r>
      <w:r w:rsidR="0057371A" w:rsidRPr="004030F5">
        <w:rPr>
          <w:rFonts w:cs="Arial"/>
        </w:rPr>
        <w:fldChar w:fldCharType="begin"/>
      </w:r>
      <w:r w:rsidR="0057371A" w:rsidRPr="004030F5">
        <w:rPr>
          <w:rFonts w:cs="Arial"/>
        </w:rPr>
        <w:instrText xml:space="preserve"> ADDIN EN.CITE &lt;EndNote&gt;&lt;Cite&gt;&lt;Author&gt;Mohammed&lt;/Author&gt;&lt;Year&gt;2012&lt;/Year&gt;&lt;RecNum&gt;60&lt;/RecNum&gt;&lt;DisplayText&gt;[58]&lt;/DisplayText&gt;&lt;record&gt;&lt;rec-number&gt;60&lt;/rec-number&gt;&lt;foreign-keys&gt;&lt;key app="EN" db-id="efx2002d5f0z21etvw3x9zp7tw2axpa2eez0" timestamp="1433456166"&gt;60&lt;/key&gt;&lt;/foreign-keys&gt;&lt;ref-type name="Journal Article"&gt;17&lt;/ref-type&gt;&lt;contributors&gt;&lt;authors&gt;&lt;author&gt;Mohammed, Yassene&lt;/author&gt;&lt;author&gt;Mostovenko, Ekaterina&lt;/author&gt;&lt;author&gt;Henneman, Alex A&lt;/author&gt;&lt;author&gt;Marissen, Rob J&lt;/author&gt;&lt;author&gt;Deelder, André M&lt;/author&gt;&lt;author&gt;Palmblad, Magnus&lt;/author&gt;&lt;/authors&gt;&lt;/contributors&gt;&lt;titles&gt;&lt;title&gt;Cloud parallel processing of tandem mass spectrometry based proteomics data&lt;/title&gt;&lt;secondary-title&gt;Journal of proteome research&lt;/secondary-title&gt;&lt;/titles&gt;&lt;periodical&gt;&lt;full-title&gt;Journal of proteome research&lt;/full-title&gt;&lt;/periodical&gt;&lt;pages&gt;5101-5108&lt;/pages&gt;&lt;volume&gt;11&lt;/volume&gt;&lt;number&gt;10&lt;/number&gt;&lt;dates&gt;&lt;year&gt;2012&lt;/year&gt;&lt;/dates&gt;&lt;isbn&gt;1535-3893&lt;/isbn&gt;&lt;urls&gt;&lt;/urls&gt;&lt;/record&gt;&lt;/Cite&gt;&lt;/EndNote&gt;</w:instrText>
      </w:r>
      <w:r w:rsidR="0057371A" w:rsidRPr="004030F5">
        <w:rPr>
          <w:rFonts w:cs="Arial"/>
        </w:rPr>
        <w:fldChar w:fldCharType="separate"/>
      </w:r>
      <w:r w:rsidR="0057371A" w:rsidRPr="004030F5">
        <w:rPr>
          <w:rFonts w:cs="Arial"/>
          <w:noProof/>
        </w:rPr>
        <w:t>[58]</w:t>
      </w:r>
      <w:r w:rsidR="0057371A" w:rsidRPr="004030F5">
        <w:rPr>
          <w:rFonts w:cs="Arial"/>
        </w:rPr>
        <w:fldChar w:fldCharType="end"/>
      </w:r>
      <w:r w:rsidR="006B3205" w:rsidRPr="004030F5">
        <w:rPr>
          <w:rFonts w:cs="Arial"/>
        </w:rPr>
        <w:t xml:space="preserve"> </w:t>
      </w:r>
      <w:r w:rsidR="0057371A" w:rsidRPr="004030F5">
        <w:rPr>
          <w:rFonts w:cs="Arial"/>
        </w:rPr>
        <w:t xml:space="preserve"> and Myrimatch</w:t>
      </w:r>
      <w:r w:rsidR="00B24036" w:rsidRPr="004030F5">
        <w:rPr>
          <w:rFonts w:cs="Arial"/>
        </w:rPr>
        <w:fldChar w:fldCharType="begin"/>
      </w:r>
      <w:r w:rsidR="00B24036" w:rsidRPr="004030F5">
        <w:rPr>
          <w:rFonts w:cs="Arial"/>
        </w:rPr>
        <w:instrText xml:space="preserve"> ADDIN EN.CITE &lt;EndNote&gt;&lt;Cite&gt;&lt;Author&gt;Tabb&lt;/Author&gt;&lt;Year&gt;2007&lt;/Year&gt;&lt;RecNum&gt;42&lt;/RecNum&gt;&lt;DisplayText&gt;[53]&lt;/DisplayText&gt;&lt;record&gt;&lt;rec-number&gt;42&lt;/rec-number&gt;&lt;foreign-keys&gt;&lt;key app="EN" db-id="efx2002d5f0z21etvw3x9zp7tw2axpa2eez0" timestamp="1433192977"&gt;42&lt;/key&gt;&lt;/foreign-keys&gt;&lt;ref-type name="Journal Article"&gt;17&lt;/ref-type&gt;&lt;contributors&gt;&lt;authors&gt;&lt;author&gt;Tabb, David L&lt;/author&gt;&lt;author&gt;Fernando, Christopher G&lt;/author&gt;&lt;author&gt;Chambers, Matthew C&lt;/author&gt;&lt;/authors&gt;&lt;/contributors&gt;&lt;titles&gt;&lt;title&gt;MyriMatch: highly accurate tandem mass spectral peptide identification by multivariate hypergeometric analysis&lt;/title&gt;&lt;secondary-title&gt;Journal of proteome research&lt;/secondary-title&gt;&lt;/titles&gt;&lt;periodical&gt;&lt;full-title&gt;Journal of proteome research&lt;/full-title&gt;&lt;/periodical&gt;&lt;pages&gt;654-661&lt;/pages&gt;&lt;volume&gt;6&lt;/volume&gt;&lt;number&gt;2&lt;/number&gt;&lt;dates&gt;&lt;year&gt;2007&lt;/year&gt;&lt;/dates&gt;&lt;isbn&gt;1535-3893&lt;/isbn&gt;&lt;urls&gt;&lt;/urls&gt;&lt;/record&gt;&lt;/Cite&gt;&lt;/EndNote&gt;</w:instrText>
      </w:r>
      <w:r w:rsidR="00B24036" w:rsidRPr="004030F5">
        <w:rPr>
          <w:rFonts w:cs="Arial"/>
        </w:rPr>
        <w:fldChar w:fldCharType="separate"/>
      </w:r>
      <w:r w:rsidR="00B24036" w:rsidRPr="004030F5">
        <w:rPr>
          <w:rFonts w:cs="Arial"/>
          <w:noProof/>
        </w:rPr>
        <w:t>[53]</w:t>
      </w:r>
      <w:r w:rsidR="00B24036" w:rsidRPr="004030F5">
        <w:rPr>
          <w:rFonts w:cs="Arial"/>
        </w:rPr>
        <w:fldChar w:fldCharType="end"/>
      </w:r>
      <w:r w:rsidR="006B3205" w:rsidRPr="004030F5">
        <w:rPr>
          <w:rFonts w:cs="Arial"/>
        </w:rPr>
        <w:t>.</w:t>
      </w:r>
      <w:r w:rsidR="00B24036" w:rsidRPr="004030F5">
        <w:rPr>
          <w:rFonts w:cs="Arial"/>
        </w:rPr>
        <w:t xml:space="preserve">  </w:t>
      </w:r>
      <w:r w:rsidR="00912EE1" w:rsidRPr="004030F5">
        <w:rPr>
          <w:rFonts w:cs="Arial"/>
        </w:rPr>
        <w:t>In contrast to others, MyriMatch does not re</w:t>
      </w:r>
      <w:r w:rsidR="00580333" w:rsidRPr="004030F5">
        <w:rPr>
          <w:rFonts w:cs="Arial"/>
        </w:rPr>
        <w:t xml:space="preserve">quire additional install to work in parallel environment.  </w:t>
      </w:r>
      <w:r w:rsidR="002176C7" w:rsidRPr="004030F5">
        <w:rPr>
          <w:rFonts w:cs="Arial"/>
        </w:rPr>
        <w:t xml:space="preserve">It can utilize available cores by simple option when it is executed.  </w:t>
      </w:r>
      <w:r w:rsidR="00AC73CA" w:rsidRPr="004030F5">
        <w:rPr>
          <w:rFonts w:cs="Arial"/>
        </w:rPr>
        <w:t xml:space="preserve">MASCOT also has a platform for multi-core </w:t>
      </w:r>
      <w:r w:rsidR="00AC73CA" w:rsidRPr="004030F5">
        <w:rPr>
          <w:rFonts w:cs="Arial"/>
        </w:rPr>
        <w:lastRenderedPageBreak/>
        <w:t xml:space="preserve">environment and </w:t>
      </w:r>
      <w:r w:rsidR="00CB70B7" w:rsidRPr="004030F5">
        <w:rPr>
          <w:rFonts w:cs="Arial"/>
        </w:rPr>
        <w:t>it is same</w:t>
      </w:r>
      <w:r w:rsidR="002B632C" w:rsidRPr="004030F5">
        <w:rPr>
          <w:rFonts w:cs="Arial"/>
        </w:rPr>
        <w:t xml:space="preserve"> to SEQUEST.</w:t>
      </w:r>
      <w:r w:rsidR="00124943" w:rsidRPr="004030F5">
        <w:rPr>
          <w:rFonts w:cs="Arial"/>
        </w:rPr>
        <w:t xml:space="preserve">  For this reason, parallel environment is recommended for bioinformatics analysis in metaproteomics.</w:t>
      </w:r>
    </w:p>
    <w:p w14:paraId="04B263CD" w14:textId="49BA6A55" w:rsidR="004B1748" w:rsidRPr="004030F5" w:rsidRDefault="004B1748" w:rsidP="00AC0345">
      <w:pPr>
        <w:spacing w:line="480" w:lineRule="auto"/>
        <w:rPr>
          <w:rFonts w:cs="Arial"/>
        </w:rPr>
      </w:pPr>
      <w:r w:rsidRPr="004030F5">
        <w:rPr>
          <w:rFonts w:cs="Arial"/>
        </w:rPr>
        <w:tab/>
        <w:t>Target-decoy search strategy revolutionized peptide and protein iden</w:t>
      </w:r>
      <w:r w:rsidR="009523E7" w:rsidRPr="004030F5">
        <w:rPr>
          <w:rFonts w:cs="Arial"/>
        </w:rPr>
        <w:t xml:space="preserve">tification of proteomics area.  </w:t>
      </w:r>
      <w:r w:rsidR="00025E71" w:rsidRPr="004030F5">
        <w:rPr>
          <w:rFonts w:cs="Arial"/>
        </w:rPr>
        <w:t>Elias et al suggested generating decoy database, have same characteristics to protein DB, but never be found in a sample, and competing target DB and decoy DB during MS/MS search</w:t>
      </w:r>
      <w:r w:rsidR="00F770D2" w:rsidRPr="004030F5">
        <w:rPr>
          <w:rFonts w:cs="Arial"/>
        </w:rPr>
        <w:t xml:space="preserve"> </w:t>
      </w:r>
      <w:r w:rsidR="00F770D2" w:rsidRPr="004030F5">
        <w:rPr>
          <w:rFonts w:cs="Arial"/>
        </w:rPr>
        <w:fldChar w:fldCharType="begin"/>
      </w:r>
      <w:r w:rsidR="000F277D">
        <w:rPr>
          <w:rFonts w:cs="Arial"/>
        </w:rPr>
        <w:instrText xml:space="preserve"> ADDIN EN.CITE &lt;EndNote&gt;&lt;Cite&gt;&lt;Author&gt;Elias&lt;/Author&gt;&lt;Year&gt;2007&lt;/Year&gt;&lt;RecNum&gt;66&lt;/RecNum&gt;&lt;DisplayText&gt;[59]&lt;/DisplayText&gt;&lt;record&gt;&lt;rec-number&gt;66&lt;/rec-number&gt;&lt;foreign-keys&gt;&lt;key app="EN" db-id="efx2002d5f0z21etvw3x9zp7tw2axpa2eez0" timestamp="1433522171"&gt;66&lt;/key&gt;&lt;/foreign-keys&gt;&lt;ref-type name="Journal Article"&gt;17&lt;/ref-type&gt;&lt;contributors&gt;&lt;authors&gt;&lt;author&gt;Elias, Joshua E&lt;/author&gt;&lt;author&gt;Gygi, Steven P&lt;/author&gt;&lt;/authors&gt;&lt;/contributors&gt;&lt;titles&gt;&lt;title&gt;Target-decoy search strategy for increased confidence in large-scale protein identifications by mass spectrometry&lt;/title&gt;&lt;secondary-title&gt;Nature methods&lt;/secondary-title&gt;&lt;/titles&gt;&lt;periodical&gt;&lt;full-title&gt;Nature methods&lt;/full-title&gt;&lt;/periodical&gt;&lt;pages&gt;207-214&lt;/pages&gt;&lt;volume&gt;4&lt;/volume&gt;&lt;number&gt;3&lt;/number&gt;&lt;dates&gt;&lt;year&gt;2007&lt;/year&gt;&lt;/dates&gt;&lt;isbn&gt;1548-7091&lt;/isbn&gt;&lt;urls&gt;&lt;/urls&gt;&lt;/record&gt;&lt;/Cite&gt;&lt;/EndNote&gt;</w:instrText>
      </w:r>
      <w:r w:rsidR="00F770D2" w:rsidRPr="004030F5">
        <w:rPr>
          <w:rFonts w:cs="Arial"/>
        </w:rPr>
        <w:fldChar w:fldCharType="separate"/>
      </w:r>
      <w:r w:rsidR="000F277D">
        <w:rPr>
          <w:rFonts w:cs="Arial"/>
          <w:noProof/>
        </w:rPr>
        <w:t>[59]</w:t>
      </w:r>
      <w:r w:rsidR="00F770D2" w:rsidRPr="004030F5">
        <w:rPr>
          <w:rFonts w:cs="Arial"/>
        </w:rPr>
        <w:fldChar w:fldCharType="end"/>
      </w:r>
      <w:r w:rsidR="00F30709" w:rsidRPr="004030F5">
        <w:rPr>
          <w:rFonts w:cs="Arial"/>
        </w:rPr>
        <w:t xml:space="preserve">.  Decoy DB is generally </w:t>
      </w:r>
      <w:r w:rsidR="00CF4365" w:rsidRPr="004030F5">
        <w:rPr>
          <w:rFonts w:cs="Arial"/>
        </w:rPr>
        <w:t>engineered by reversing protein sequences of target DB (original protein DB).</w:t>
      </w:r>
      <w:r w:rsidR="00AE054A" w:rsidRPr="004030F5">
        <w:rPr>
          <w:rFonts w:cs="Arial"/>
        </w:rPr>
        <w:t xml:space="preserve">  By reversing sequences, decoy proteins have </w:t>
      </w:r>
      <w:r w:rsidR="007219D6" w:rsidRPr="004030F5">
        <w:rPr>
          <w:rFonts w:cs="Arial"/>
        </w:rPr>
        <w:t xml:space="preserve">same characteristics </w:t>
      </w:r>
      <w:r w:rsidR="00983B93" w:rsidRPr="004030F5">
        <w:rPr>
          <w:rFonts w:cs="Arial"/>
        </w:rPr>
        <w:t>to target DB</w:t>
      </w:r>
      <w:r w:rsidR="00D52491" w:rsidRPr="004030F5">
        <w:rPr>
          <w:rFonts w:cs="Arial"/>
        </w:rPr>
        <w:t xml:space="preserve"> in terms of digested peptides and mono-isotopic mass</w:t>
      </w:r>
      <w:r w:rsidR="00983B93" w:rsidRPr="004030F5">
        <w:rPr>
          <w:rFonts w:cs="Arial"/>
        </w:rPr>
        <w:t xml:space="preserve"> (Fig. 12)</w:t>
      </w:r>
      <w:r w:rsidR="008405A1" w:rsidRPr="004030F5">
        <w:rPr>
          <w:rFonts w:cs="Arial"/>
        </w:rPr>
        <w:t xml:space="preserve">.  </w:t>
      </w:r>
      <w:r w:rsidR="00066C02" w:rsidRPr="004030F5">
        <w:rPr>
          <w:rFonts w:cs="Arial"/>
        </w:rPr>
        <w:t xml:space="preserve">Since decoy sequences are not in a sample, if it is included in the peptide identifications, it is </w:t>
      </w:r>
      <w:r w:rsidR="00EA0E73" w:rsidRPr="004030F5">
        <w:rPr>
          <w:rFonts w:cs="Arial"/>
        </w:rPr>
        <w:t>considered as false positive.  Counting the false positives from decoy hits, false discovery rate (FDR) is calculated as described below</w:t>
      </w:r>
      <w:r w:rsidR="00D90AE6" w:rsidRPr="004030F5">
        <w:rPr>
          <w:rFonts w:cs="Arial"/>
        </w:rPr>
        <w:t xml:space="preserve"> if MS/MS search is done against concatenated target and decoy DB</w:t>
      </w:r>
      <w:r w:rsidR="00EA0E73" w:rsidRPr="004030F5">
        <w:rPr>
          <w:rFonts w:cs="Arial"/>
        </w:rPr>
        <w:t>.</w:t>
      </w:r>
    </w:p>
    <w:p w14:paraId="7D17B9B9" w14:textId="0C0F93A6" w:rsidR="00EA0E73" w:rsidRPr="004030F5" w:rsidRDefault="00553E35" w:rsidP="00AC0345">
      <w:pPr>
        <w:spacing w:line="480" w:lineRule="auto"/>
        <w:rPr>
          <w:rFonts w:cs="Arial"/>
        </w:rPr>
      </w:pPr>
      <m:oMathPara>
        <m:oMath>
          <m:r>
            <w:rPr>
              <w:rFonts w:ascii="Cambria Math" w:hAnsi="Cambria Math" w:cs="Arial"/>
            </w:rPr>
            <m:t>FDR=</m:t>
          </m:r>
          <m:f>
            <m:fPr>
              <m:ctrlPr>
                <w:rPr>
                  <w:rFonts w:ascii="Cambria Math" w:hAnsi="Cambria Math" w:cs="Arial"/>
                  <w:i/>
                </w:rPr>
              </m:ctrlPr>
            </m:fPr>
            <m:num>
              <m:r>
                <w:rPr>
                  <w:rFonts w:ascii="Cambria Math" w:hAnsi="Cambria Math" w:cs="Arial"/>
                </w:rPr>
                <m:t>2×Decoy hits (FP)</m:t>
              </m:r>
            </m:num>
            <m:den>
              <m:r>
                <w:rPr>
                  <w:rFonts w:ascii="Cambria Math" w:hAnsi="Cambria Math" w:cs="Arial"/>
                </w:rPr>
                <m:t>Decoy hits (FP)+Target this (TP)</m:t>
              </m:r>
            </m:den>
          </m:f>
        </m:oMath>
      </m:oMathPara>
    </w:p>
    <w:p w14:paraId="4743FB1B" w14:textId="77777777" w:rsidR="00474A8D" w:rsidRPr="004030F5" w:rsidRDefault="00474A8D" w:rsidP="0074657D">
      <w:pPr>
        <w:spacing w:line="480" w:lineRule="auto"/>
        <w:rPr>
          <w:rFonts w:cs="Arial"/>
        </w:rPr>
      </w:pPr>
    </w:p>
    <w:p w14:paraId="3DA6327C" w14:textId="47CA10B2" w:rsidR="0074657D" w:rsidRPr="004030F5" w:rsidRDefault="0074657D" w:rsidP="0074657D">
      <w:pPr>
        <w:spacing w:line="480" w:lineRule="auto"/>
        <w:rPr>
          <w:rFonts w:cs="Arial"/>
        </w:rPr>
      </w:pPr>
      <w:r w:rsidRPr="004030F5">
        <w:rPr>
          <w:rFonts w:cs="Arial"/>
        </w:rPr>
        <w:t xml:space="preserve">Generally, 5% FDR is threshold of publishable MS/MS search.  FDR formula is different by different tools.  PeptideProphet, MASCOT and Percolator have their modified own FDR formulas.  After decoy search approach is employed, FDR calculation is necessary for proteomics studies.  However, artificially decoy can’t cover all the possible false positives, so there are worries about using FDR as gold standard method for MS/MS search assessment </w:t>
      </w:r>
      <w:r w:rsidRPr="004030F5">
        <w:rPr>
          <w:rFonts w:cs="Arial"/>
        </w:rPr>
        <w:fldChar w:fldCharType="begin"/>
      </w:r>
      <w:r w:rsidR="000F277D">
        <w:rPr>
          <w:rFonts w:cs="Arial"/>
        </w:rPr>
        <w:instrText xml:space="preserve"> ADDIN EN.CITE &lt;EndNote&gt;&lt;Cite&gt;&lt;Author&gt;Gupta&lt;/Author&gt;&lt;Year&gt;2011&lt;/Year&gt;&lt;RecNum&gt;67&lt;/RecNum&gt;&lt;DisplayText&gt;[60]&lt;/DisplayText&gt;&lt;record&gt;&lt;rec-number&gt;67&lt;/rec-number&gt;&lt;foreign-keys&gt;&lt;key app="EN" db-id="efx2002d5f0z21etvw3x9zp7tw2axpa2eez0" timestamp="1433523469"&gt;67&lt;/key&gt;&lt;/foreign-keys&gt;&lt;ref-type name="Journal Article"&gt;17&lt;/ref-type&gt;&lt;contributors&gt;&lt;authors&gt;&lt;author&gt;Gupta, Nitin&lt;/author&gt;&lt;author&gt;Bandeira, Nuno&lt;/author&gt;&lt;author&gt;Keich, Uri&lt;/author&gt;&lt;author&gt;Pevzner, Pavel A&lt;/author&gt;&lt;/authors&gt;&lt;/contributors&gt;&lt;titles&gt;&lt;title&gt;Target-decoy approach and false discovery rate: when things may go wrong&lt;/title&gt;&lt;secondary-title&gt;Journal of the American Society for Mass Spectrometry&lt;/secondary-title&gt;&lt;/titles&gt;&lt;periodical&gt;&lt;full-title&gt;Journal of the American Society for Mass Spectrometry&lt;/full-title&gt;&lt;/periodical&gt;&lt;pages&gt;1111-1120&lt;/pages&gt;&lt;volume&gt;22&lt;/volume&gt;&lt;number&gt;7&lt;/number&gt;&lt;dates&gt;&lt;year&gt;2011&lt;/year&gt;&lt;/dates&gt;&lt;isbn&gt;1044-0305&lt;/isbn&gt;&lt;urls&gt;&lt;/urls&gt;&lt;/record&gt;&lt;/Cite&gt;&lt;/EndNote&gt;</w:instrText>
      </w:r>
      <w:r w:rsidRPr="004030F5">
        <w:rPr>
          <w:rFonts w:cs="Arial"/>
        </w:rPr>
        <w:fldChar w:fldCharType="separate"/>
      </w:r>
      <w:r w:rsidR="000F277D">
        <w:rPr>
          <w:rFonts w:cs="Arial"/>
          <w:noProof/>
        </w:rPr>
        <w:t>[60]</w:t>
      </w:r>
      <w:r w:rsidRPr="004030F5">
        <w:rPr>
          <w:rFonts w:cs="Arial"/>
        </w:rPr>
        <w:fldChar w:fldCharType="end"/>
      </w:r>
      <w:r w:rsidRPr="004030F5">
        <w:rPr>
          <w:rFonts w:cs="Arial"/>
        </w:rPr>
        <w:t>.</w:t>
      </w:r>
    </w:p>
    <w:p w14:paraId="08DCCC1E" w14:textId="1453364D" w:rsidR="008B6343" w:rsidRPr="004030F5" w:rsidRDefault="00495BE2" w:rsidP="00A17621">
      <w:pPr>
        <w:rPr>
          <w:rFonts w:cs="Arial"/>
        </w:rPr>
      </w:pPr>
      <w:r w:rsidRPr="004030F5">
        <w:rPr>
          <w:rFonts w:cs="Arial"/>
        </w:rPr>
        <w:br w:type="page"/>
      </w:r>
    </w:p>
    <w:p w14:paraId="38A90493" w14:textId="05A9FFCB" w:rsidR="005D7C15" w:rsidRPr="004030F5" w:rsidRDefault="00FA55C1" w:rsidP="005D7C15">
      <w:pPr>
        <w:keepNext/>
        <w:rPr>
          <w:rFonts w:cs="Arial"/>
        </w:rPr>
      </w:pPr>
      <w:r w:rsidRPr="004030F5">
        <w:rPr>
          <w:rFonts w:cs="Arial"/>
          <w:noProof/>
        </w:rPr>
        <w:lastRenderedPageBreak/>
        <mc:AlternateContent>
          <mc:Choice Requires="wps">
            <w:drawing>
              <wp:anchor distT="0" distB="0" distL="114300" distR="114300" simplePos="0" relativeHeight="251672576" behindDoc="0" locked="0" layoutInCell="1" allowOverlap="1" wp14:anchorId="00A25D83" wp14:editId="44DC08E2">
                <wp:simplePos x="0" y="0"/>
                <wp:positionH relativeFrom="column">
                  <wp:posOffset>2493645</wp:posOffset>
                </wp:positionH>
                <wp:positionV relativeFrom="paragraph">
                  <wp:posOffset>777875</wp:posOffset>
                </wp:positionV>
                <wp:extent cx="356235" cy="251251"/>
                <wp:effectExtent l="0" t="0" r="0" b="3175"/>
                <wp:wrapNone/>
                <wp:docPr id="34" name="Text Box 34"/>
                <wp:cNvGraphicFramePr/>
                <a:graphic xmlns:a="http://schemas.openxmlformats.org/drawingml/2006/main">
                  <a:graphicData uri="http://schemas.microsoft.com/office/word/2010/wordprocessingShape">
                    <wps:wsp>
                      <wps:cNvSpPr txBox="1"/>
                      <wps:spPr>
                        <a:xfrm>
                          <a:off x="0" y="0"/>
                          <a:ext cx="356235" cy="25125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AF3736" w14:textId="2742FB0E" w:rsidR="008864ED" w:rsidRPr="00FA55C1" w:rsidRDefault="008864ED" w:rsidP="000964B1">
                            <w:pPr>
                              <w:rPr>
                                <w:rFonts w:cs="Arial"/>
                                <w:b/>
                              </w:rPr>
                            </w:pPr>
                            <w:r w:rsidRPr="00FA55C1">
                              <w:rPr>
                                <w:rFonts w:cs="Arial"/>
                                <w:b/>
                              </w:rPr>
                              <w:t>C)</w:t>
                            </w:r>
                            <w:r w:rsidRPr="00FA55C1">
                              <w:rPr>
                                <w:b/>
                                <w:sz w:val="32"/>
                              </w:rPr>
                              <w:t xml:space="preserve"> </w:t>
                            </w:r>
                            <w:r w:rsidRPr="00FA55C1">
                              <w:rPr>
                                <w:rFonts w:cs="Arial"/>
                                <w:b/>
                                <w:noProof/>
                              </w:rPr>
                              <w:drawing>
                                <wp:inline distT="0" distB="0" distL="0" distR="0" wp14:anchorId="393CA433" wp14:editId="6674148A">
                                  <wp:extent cx="173355" cy="260033"/>
                                  <wp:effectExtent l="0" t="0" r="4445" b="0"/>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 cy="260033"/>
                                          </a:xfrm>
                                          <a:prstGeom prst="rect">
                                            <a:avLst/>
                                          </a:prstGeom>
                                          <a:noFill/>
                                          <a:ln>
                                            <a:noFill/>
                                          </a:ln>
                                        </pic:spPr>
                                      </pic:pic>
                                    </a:graphicData>
                                  </a:graphic>
                                </wp:inline>
                              </w:drawing>
                            </w:r>
                            <w:r w:rsidRPr="00FA55C1">
                              <w:rPr>
                                <w:rFonts w:cs="Arial"/>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27" type="#_x0000_t202" style="position:absolute;left:0;text-align:left;margin-left:196.35pt;margin-top:61.25pt;width:28.05pt;height:19.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" filled="f" stroked="f">
                <v:textbox>
                  <w:txbxContent>
                    <w:p w14:paraId="5CAF3736" w14:textId="2742FB0E" w:rsidR="008864ED" w:rsidRPr="00FA55C1" w:rsidRDefault="008864ED" w:rsidP="000964B1">
                      <w:pPr>
                        <w:rPr>
                          <w:rFonts w:cs="Arial"/>
                          <w:b/>
                        </w:rPr>
                      </w:pPr>
                      <w:r w:rsidRPr="00FA55C1">
                        <w:rPr>
                          <w:rFonts w:cs="Arial"/>
                          <w:b/>
                        </w:rPr>
                        <w:t>C)</w:t>
                      </w:r>
                      <w:r w:rsidRPr="00FA55C1">
                        <w:rPr>
                          <w:b/>
                          <w:sz w:val="32"/>
                        </w:rPr>
                        <w:t xml:space="preserve"> </w:t>
                      </w:r>
                      <w:r w:rsidRPr="00FA55C1">
                        <w:rPr>
                          <w:rFonts w:cs="Arial"/>
                          <w:b/>
                          <w:noProof/>
                        </w:rPr>
                        <w:drawing>
                          <wp:inline distT="0" distB="0" distL="0" distR="0" wp14:anchorId="393CA433" wp14:editId="6674148A">
                            <wp:extent cx="173355" cy="260033"/>
                            <wp:effectExtent l="0" t="0" r="4445" b="0"/>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 cy="260033"/>
                                    </a:xfrm>
                                    <a:prstGeom prst="rect">
                                      <a:avLst/>
                                    </a:prstGeom>
                                    <a:noFill/>
                                    <a:ln>
                                      <a:noFill/>
                                    </a:ln>
                                  </pic:spPr>
                                </pic:pic>
                              </a:graphicData>
                            </a:graphic>
                          </wp:inline>
                        </w:drawing>
                      </w:r>
                      <w:r w:rsidRPr="00FA55C1">
                        <w:rPr>
                          <w:rFonts w:cs="Arial"/>
                          <w:b/>
                        </w:rPr>
                        <w:t>)</w:t>
                      </w:r>
                    </w:p>
                  </w:txbxContent>
                </v:textbox>
              </v:shape>
            </w:pict>
          </mc:Fallback>
        </mc:AlternateContent>
      </w:r>
      <w:r w:rsidRPr="004030F5">
        <w:rPr>
          <w:rFonts w:cs="Arial"/>
          <w:noProof/>
        </w:rPr>
        <mc:AlternateContent>
          <mc:Choice Requires="wps">
            <w:drawing>
              <wp:anchor distT="0" distB="0" distL="114300" distR="114300" simplePos="0" relativeHeight="251668480" behindDoc="0" locked="0" layoutInCell="1" allowOverlap="1" wp14:anchorId="3D4D2741" wp14:editId="00C8CA87">
                <wp:simplePos x="0" y="0"/>
                <wp:positionH relativeFrom="column">
                  <wp:posOffset>0</wp:posOffset>
                </wp:positionH>
                <wp:positionV relativeFrom="paragraph">
                  <wp:posOffset>-47625</wp:posOffset>
                </wp:positionV>
                <wp:extent cx="356235" cy="276376"/>
                <wp:effectExtent l="0" t="0" r="0" b="3175"/>
                <wp:wrapNone/>
                <wp:docPr id="31" name="Text Box 31"/>
                <wp:cNvGraphicFramePr/>
                <a:graphic xmlns:a="http://schemas.openxmlformats.org/drawingml/2006/main">
                  <a:graphicData uri="http://schemas.microsoft.com/office/word/2010/wordprocessingShape">
                    <wps:wsp>
                      <wps:cNvSpPr txBox="1"/>
                      <wps:spPr>
                        <a:xfrm>
                          <a:off x="0" y="0"/>
                          <a:ext cx="356235" cy="27637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211688" w14:textId="716109B0" w:rsidR="008864ED" w:rsidRPr="00FA55C1" w:rsidRDefault="008864ED">
                            <w:pPr>
                              <w:rPr>
                                <w:rFonts w:cs="Arial"/>
                                <w:b/>
                              </w:rPr>
                            </w:pPr>
                            <w:r w:rsidRPr="00FA55C1">
                              <w:rPr>
                                <w:rFonts w:cs="Arial"/>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028" type="#_x0000_t202" style="position:absolute;left:0;text-align:left;margin-left:0;margin-top:-3.7pt;width:28.05pt;height:21.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" filled="f" stroked="f">
                <v:textbox>
                  <w:txbxContent>
                    <w:p w14:paraId="7F211688" w14:textId="716109B0" w:rsidR="008864ED" w:rsidRPr="00FA55C1" w:rsidRDefault="008864ED">
                      <w:pPr>
                        <w:rPr>
                          <w:rFonts w:cs="Arial"/>
                          <w:b/>
                        </w:rPr>
                      </w:pPr>
                      <w:r w:rsidRPr="00FA55C1">
                        <w:rPr>
                          <w:rFonts w:cs="Arial"/>
                          <w:b/>
                        </w:rPr>
                        <w:t>A)</w:t>
                      </w:r>
                    </w:p>
                  </w:txbxContent>
                </v:textbox>
              </v:shape>
            </w:pict>
          </mc:Fallback>
        </mc:AlternateContent>
      </w:r>
      <w:r w:rsidRPr="004030F5">
        <w:rPr>
          <w:rFonts w:cs="Arial"/>
          <w:noProof/>
        </w:rPr>
        <mc:AlternateContent>
          <mc:Choice Requires="wps">
            <w:drawing>
              <wp:anchor distT="0" distB="0" distL="114300" distR="114300" simplePos="0" relativeHeight="251670528" behindDoc="0" locked="0" layoutInCell="1" allowOverlap="1" wp14:anchorId="61A7015E" wp14:editId="65C6AF90">
                <wp:simplePos x="0" y="0"/>
                <wp:positionH relativeFrom="column">
                  <wp:posOffset>0</wp:posOffset>
                </wp:positionH>
                <wp:positionV relativeFrom="paragraph">
                  <wp:posOffset>1904365</wp:posOffset>
                </wp:positionV>
                <wp:extent cx="356235" cy="304267"/>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356235" cy="30426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EFB515" w14:textId="10DC974C" w:rsidR="008864ED" w:rsidRPr="00FA55C1" w:rsidRDefault="008864ED" w:rsidP="000964B1">
                            <w:pPr>
                              <w:rPr>
                                <w:rFonts w:cs="Arial"/>
                                <w:b/>
                              </w:rPr>
                            </w:pPr>
                            <w:r w:rsidRPr="00FA55C1">
                              <w:rPr>
                                <w:rFonts w:cs="Arial"/>
                                <w:b/>
                              </w:rPr>
                              <w:t>B)</w:t>
                            </w:r>
                            <w:r w:rsidRPr="00FA55C1">
                              <w:rPr>
                                <w:b/>
                                <w:sz w:val="32"/>
                              </w:rPr>
                              <w:t xml:space="preserve"> </w:t>
                            </w:r>
                            <w:r w:rsidRPr="00FA55C1">
                              <w:rPr>
                                <w:rFonts w:cs="Arial"/>
                                <w:b/>
                                <w:noProof/>
                              </w:rPr>
                              <w:drawing>
                                <wp:inline distT="0" distB="0" distL="0" distR="0" wp14:anchorId="401EC7A7" wp14:editId="1CEB0CB4">
                                  <wp:extent cx="173355" cy="260033"/>
                                  <wp:effectExtent l="0" t="0" r="4445" b="0"/>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 cy="260033"/>
                                          </a:xfrm>
                                          <a:prstGeom prst="rect">
                                            <a:avLst/>
                                          </a:prstGeom>
                                          <a:noFill/>
                                          <a:ln>
                                            <a:noFill/>
                                          </a:ln>
                                        </pic:spPr>
                                      </pic:pic>
                                    </a:graphicData>
                                  </a:graphic>
                                </wp:inline>
                              </w:drawing>
                            </w:r>
                            <w:r w:rsidRPr="00FA55C1">
                              <w:rPr>
                                <w:rFonts w:cs="Arial"/>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 o:spid="_x0000_s1029" type="#_x0000_t202" style="position:absolute;left:0;text-align:left;margin-left:0;margin-top:149.95pt;width:28.05pt;height:23.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" filled="f" stroked="f">
                <v:textbox>
                  <w:txbxContent>
                    <w:p w14:paraId="49EFB515" w14:textId="10DC974C" w:rsidR="008864ED" w:rsidRPr="00FA55C1" w:rsidRDefault="008864ED" w:rsidP="000964B1">
                      <w:pPr>
                        <w:rPr>
                          <w:rFonts w:cs="Arial"/>
                          <w:b/>
                        </w:rPr>
                      </w:pPr>
                      <w:r w:rsidRPr="00FA55C1">
                        <w:rPr>
                          <w:rFonts w:cs="Arial"/>
                          <w:b/>
                        </w:rPr>
                        <w:t>B)</w:t>
                      </w:r>
                      <w:r w:rsidRPr="00FA55C1">
                        <w:rPr>
                          <w:b/>
                          <w:sz w:val="32"/>
                        </w:rPr>
                        <w:t xml:space="preserve"> </w:t>
                      </w:r>
                      <w:r w:rsidRPr="00FA55C1">
                        <w:rPr>
                          <w:rFonts w:cs="Arial"/>
                          <w:b/>
                          <w:noProof/>
                        </w:rPr>
                        <w:drawing>
                          <wp:inline distT="0" distB="0" distL="0" distR="0" wp14:anchorId="401EC7A7" wp14:editId="1CEB0CB4">
                            <wp:extent cx="173355" cy="260033"/>
                            <wp:effectExtent l="0" t="0" r="4445" b="0"/>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355" cy="260033"/>
                                    </a:xfrm>
                                    <a:prstGeom prst="rect">
                                      <a:avLst/>
                                    </a:prstGeom>
                                    <a:noFill/>
                                    <a:ln>
                                      <a:noFill/>
                                    </a:ln>
                                  </pic:spPr>
                                </pic:pic>
                              </a:graphicData>
                            </a:graphic>
                          </wp:inline>
                        </w:drawing>
                      </w:r>
                      <w:r w:rsidRPr="00FA55C1">
                        <w:rPr>
                          <w:rFonts w:cs="Arial"/>
                          <w:b/>
                        </w:rPr>
                        <w:t>)</w:t>
                      </w:r>
                    </w:p>
                  </w:txbxContent>
                </v:textbox>
              </v:shape>
            </w:pict>
          </mc:Fallback>
        </mc:AlternateContent>
      </w:r>
      <w:r w:rsidR="005D7C15" w:rsidRPr="004030F5">
        <w:rPr>
          <w:rFonts w:cs="Arial"/>
          <w:noProof/>
        </w:rPr>
        <w:drawing>
          <wp:inline distT="0" distB="0" distL="0" distR="0" wp14:anchorId="4A96712E" wp14:editId="4EF40A08">
            <wp:extent cx="5486400" cy="4114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2.jpg"/>
                    <pic:cNvPicPr/>
                  </pic:nvPicPr>
                  <pic:blipFill>
                    <a:blip r:embed="rId29">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0331BA83" w14:textId="462E5E69" w:rsidR="005D7C15" w:rsidRPr="004030F5" w:rsidRDefault="005D7C15" w:rsidP="00C91E76">
      <w:pPr>
        <w:pStyle w:val="Caption"/>
        <w:rPr>
          <w:rFonts w:cs="Arial"/>
          <w:b w:val="0"/>
        </w:rPr>
      </w:pPr>
      <w:bookmarkStart w:id="21" w:name="_Toc296333105"/>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12</w:t>
      </w:r>
      <w:r w:rsidRPr="004030F5">
        <w:rPr>
          <w:rFonts w:cs="Arial"/>
        </w:rPr>
        <w:fldChar w:fldCharType="end"/>
      </w:r>
      <w:r w:rsidRPr="004030F5">
        <w:rPr>
          <w:rFonts w:cs="Arial"/>
        </w:rPr>
        <w:t xml:space="preserve"> Target-decoy DB comparison.  </w:t>
      </w:r>
      <w:r w:rsidR="000964B1" w:rsidRPr="004030F5">
        <w:rPr>
          <w:rFonts w:cs="Arial"/>
          <w:b w:val="0"/>
        </w:rPr>
        <w:t xml:space="preserve">The number of trypsin-derived peptides over calculated monoisotopic mass of A) target DB and B) decoy DB from </w:t>
      </w:r>
      <w:r w:rsidR="000964B1" w:rsidRPr="004030F5">
        <w:rPr>
          <w:rFonts w:cs="Arial"/>
          <w:b w:val="0"/>
          <w:i/>
        </w:rPr>
        <w:t xml:space="preserve">in silico </w:t>
      </w:r>
      <w:r w:rsidR="000964B1" w:rsidRPr="004030F5">
        <w:rPr>
          <w:rFonts w:cs="Arial"/>
          <w:b w:val="0"/>
        </w:rPr>
        <w:t>trypsin digestion of IPI human protein DB.</w:t>
      </w:r>
      <w:r w:rsidR="002129B9" w:rsidRPr="004030F5">
        <w:rPr>
          <w:rFonts w:cs="Arial"/>
          <w:b w:val="0"/>
        </w:rPr>
        <w:t xml:space="preserve">  C) The number of trypsin-derived peptides</w:t>
      </w:r>
      <w:r w:rsidR="00862126" w:rsidRPr="004030F5">
        <w:rPr>
          <w:rFonts w:cs="Arial"/>
          <w:b w:val="0"/>
        </w:rPr>
        <w:t xml:space="preserve"> is</w:t>
      </w:r>
      <w:r w:rsidR="002129B9" w:rsidRPr="004030F5">
        <w:rPr>
          <w:rFonts w:cs="Arial"/>
          <w:b w:val="0"/>
        </w:rPr>
        <w:t xml:space="preserve"> in target (blue line) and decoy (blue line)</w:t>
      </w:r>
      <w:r w:rsidR="00862126" w:rsidRPr="004030F5">
        <w:rPr>
          <w:rFonts w:cs="Arial"/>
          <w:b w:val="0"/>
        </w:rPr>
        <w:t xml:space="preserve"> DB</w:t>
      </w:r>
      <w:r w:rsidR="002129B9" w:rsidRPr="004030F5">
        <w:rPr>
          <w:rFonts w:cs="Arial"/>
          <w:b w:val="0"/>
        </w:rPr>
        <w:t>.</w:t>
      </w:r>
      <w:r w:rsidR="0007272B" w:rsidRPr="004030F5">
        <w:rPr>
          <w:rFonts w:cs="Arial"/>
          <w:b w:val="0"/>
        </w:rPr>
        <w:t xml:space="preserve"> Green line is intersection between those two, target and decoy.</w:t>
      </w:r>
      <w:bookmarkEnd w:id="21"/>
    </w:p>
    <w:p w14:paraId="4815221F" w14:textId="25CCF2C2" w:rsidR="00AB4F38" w:rsidRPr="004030F5" w:rsidRDefault="00AB4F38">
      <w:pPr>
        <w:rPr>
          <w:rFonts w:cs="Arial"/>
        </w:rPr>
      </w:pPr>
      <w:r w:rsidRPr="004030F5">
        <w:rPr>
          <w:rFonts w:cs="Arial"/>
        </w:rPr>
        <w:br w:type="page"/>
      </w:r>
    </w:p>
    <w:p w14:paraId="298EA953" w14:textId="38027F0B" w:rsidR="006C0ACB" w:rsidRPr="004030F5" w:rsidRDefault="006C0ACB" w:rsidP="006C0ACB">
      <w:pPr>
        <w:spacing w:line="480" w:lineRule="auto"/>
        <w:ind w:firstLine="720"/>
        <w:rPr>
          <w:rFonts w:cs="Arial"/>
        </w:rPr>
      </w:pPr>
      <w:r w:rsidRPr="004030F5">
        <w:rPr>
          <w:rFonts w:cs="Arial"/>
        </w:rPr>
        <w:lastRenderedPageBreak/>
        <w:t>As peptide-spectrum matches (PSM) are accumulated by number of laboratories, spectral library is constructed by nature in order to reduce DB search time and not to repeat searching same post-translational modifications (PTM) and same peptides.  The National Institute for Standards and Technology (NIST) and the Global Proteome Machine (GPM) provides spectral libraries for proteomics studies.  PSM search against spectral libraries is mediated by X</w:t>
      </w:r>
      <w:proofErr w:type="gramStart"/>
      <w:r w:rsidRPr="004030F5">
        <w:rPr>
          <w:rFonts w:cs="Arial"/>
        </w:rPr>
        <w:t>!Hunter</w:t>
      </w:r>
      <w:proofErr w:type="gramEnd"/>
      <w:r w:rsidRPr="004030F5">
        <w:rPr>
          <w:rFonts w:cs="Arial"/>
        </w:rPr>
        <w:fldChar w:fldCharType="begin"/>
      </w:r>
      <w:r w:rsidR="000F277D">
        <w:rPr>
          <w:rFonts w:cs="Arial"/>
        </w:rPr>
        <w:instrText xml:space="preserve"> ADDIN EN.CITE &lt;EndNote&gt;&lt;Cite&gt;&lt;Author&gt;Craig&lt;/Author&gt;&lt;Year&gt;2006&lt;/Year&gt;&lt;RecNum&gt;83&lt;/RecNum&gt;&lt;DisplayText&gt;[61]&lt;/DisplayText&gt;&lt;record&gt;&lt;rec-number&gt;83&lt;/rec-number&gt;&lt;foreign-keys&gt;&lt;key app="EN" db-id="efx2002d5f0z21etvw3x9zp7tw2axpa2eez0" timestamp="1433620436"&gt;83&lt;/key&gt;&lt;/foreign-keys&gt;&lt;ref-type name="Journal Article"&gt;17&lt;/ref-type&gt;&lt;contributors&gt;&lt;authors&gt;&lt;author&gt;Craig, Robertson&lt;/author&gt;&lt;author&gt;Cortens, JC&lt;/author&gt;&lt;author&gt;Fenyo, David&lt;/author&gt;&lt;author&gt;Beavis, Ronald C&lt;/author&gt;&lt;/authors&gt;&lt;/contributors&gt;&lt;titles&gt;&lt;title&gt;Using annotated peptide mass spectrum libraries for protein identification&lt;/title&gt;&lt;secondary-title&gt;Journal of proteome research&lt;/secondary-title&gt;&lt;/titles&gt;&lt;periodical&gt;&lt;full-title&gt;Journal of proteome research&lt;/full-title&gt;&lt;/periodical&gt;&lt;pages&gt;1843-1849&lt;/pages&gt;&lt;volume&gt;5&lt;/volume&gt;&lt;number&gt;8&lt;/number&gt;&lt;dates&gt;&lt;year&gt;2006&lt;/year&gt;&lt;/dates&gt;&lt;isbn&gt;1535-3893&lt;/isbn&gt;&lt;urls&gt;&lt;/urls&gt;&lt;/record&gt;&lt;/Cite&gt;&lt;/EndNote&gt;</w:instrText>
      </w:r>
      <w:r w:rsidRPr="004030F5">
        <w:rPr>
          <w:rFonts w:cs="Arial"/>
        </w:rPr>
        <w:fldChar w:fldCharType="separate"/>
      </w:r>
      <w:r w:rsidR="000F277D">
        <w:rPr>
          <w:rFonts w:cs="Arial"/>
          <w:noProof/>
        </w:rPr>
        <w:t>[61]</w:t>
      </w:r>
      <w:r w:rsidRPr="004030F5">
        <w:rPr>
          <w:rFonts w:cs="Arial"/>
        </w:rPr>
        <w:fldChar w:fldCharType="end"/>
      </w:r>
      <w:r w:rsidRPr="004030F5">
        <w:rPr>
          <w:rFonts w:cs="Arial"/>
        </w:rPr>
        <w:t>, Spec2Spec</w:t>
      </w:r>
      <w:r w:rsidRPr="004030F5">
        <w:rPr>
          <w:rFonts w:cs="Arial"/>
        </w:rPr>
        <w:fldChar w:fldCharType="begin"/>
      </w:r>
      <w:r w:rsidR="000F277D">
        <w:rPr>
          <w:rFonts w:cs="Arial"/>
        </w:rPr>
        <w:instrText xml:space="preserve"> ADDIN EN.CITE &lt;EndNote&gt;&lt;Cite&gt;&lt;Author&gt;Yen&lt;/Author&gt;&lt;Year&gt;2011&lt;/Year&gt;&lt;RecNum&gt;84&lt;/RecNum&gt;&lt;DisplayText&gt;[62]&lt;/DisplayText&gt;&lt;record&gt;&lt;rec-number&gt;84&lt;/rec-number&gt;&lt;foreign-keys&gt;&lt;key app="EN" db-id="efx2002d5f0z21etvw3x9zp7tw2axpa2eez0" timestamp="1433620476"&gt;84&lt;/key&gt;&lt;/foreign-keys&gt;&lt;ref-type name="Journal Article"&gt;17&lt;/ref-type&gt;&lt;contributors&gt;&lt;authors&gt;&lt;author&gt;Yen, Chia-Yu&lt;/author&gt;&lt;author&gt;Houel, Stephane&lt;/author&gt;&lt;author&gt;Ahn, Natalie G&lt;/author&gt;&lt;author&gt;Old, William M&lt;/author&gt;&lt;/authors&gt;&lt;/contributors&gt;&lt;titles&gt;&lt;title&gt;Spectrum-to-spectrum searching using a proteome-wide spectral library&lt;/title&gt;&lt;secondary-title&gt;Molecular &amp;amp; Cellular Proteomics&lt;/secondary-title&gt;&lt;/titles&gt;&lt;periodical&gt;&lt;full-title&gt;Molecular &amp;amp; Cellular Proteomics&lt;/full-title&gt;&lt;/periodical&gt;&lt;pages&gt;M111. 007666&lt;/pages&gt;&lt;volume&gt;10&lt;/volume&gt;&lt;number&gt;7&lt;/number&gt;&lt;dates&gt;&lt;year&gt;2011&lt;/year&gt;&lt;/dates&gt;&lt;isbn&gt;1535-9476&lt;/isbn&gt;&lt;urls&gt;&lt;/urls&gt;&lt;/record&gt;&lt;/Cite&gt;&lt;/EndNote&gt;</w:instrText>
      </w:r>
      <w:r w:rsidRPr="004030F5">
        <w:rPr>
          <w:rFonts w:cs="Arial"/>
        </w:rPr>
        <w:fldChar w:fldCharType="separate"/>
      </w:r>
      <w:r w:rsidR="000F277D">
        <w:rPr>
          <w:rFonts w:cs="Arial"/>
          <w:noProof/>
        </w:rPr>
        <w:t>[62]</w:t>
      </w:r>
      <w:r w:rsidRPr="004030F5">
        <w:rPr>
          <w:rFonts w:cs="Arial"/>
        </w:rPr>
        <w:fldChar w:fldCharType="end"/>
      </w:r>
      <w:r w:rsidRPr="004030F5">
        <w:rPr>
          <w:rFonts w:cs="Arial"/>
        </w:rPr>
        <w:t xml:space="preserve"> and Pepitome</w:t>
      </w:r>
      <w:r w:rsidRPr="004030F5">
        <w:rPr>
          <w:rFonts w:cs="Arial"/>
        </w:rPr>
        <w:fldChar w:fldCharType="begin"/>
      </w:r>
      <w:r w:rsidR="000F277D">
        <w:rPr>
          <w:rFonts w:cs="Arial"/>
        </w:rPr>
        <w:instrText xml:space="preserve"> ADDIN EN.CITE &lt;EndNote&gt;&lt;Cite&gt;&lt;Author&gt;Dasari&lt;/Author&gt;&lt;Year&gt;2012&lt;/Year&gt;&lt;RecNum&gt;85&lt;/RecNum&gt;&lt;DisplayText&gt;[63]&lt;/DisplayText&gt;&lt;record&gt;&lt;rec-number&gt;85&lt;/rec-number&gt;&lt;foreign-keys&gt;&lt;key app="EN" db-id="efx2002d5f0z21etvw3x9zp7tw2axpa2eez0" timestamp="1433620519"&gt;85&lt;/key&gt;&lt;/foreign-keys&gt;&lt;ref-type name="Journal Article"&gt;17&lt;/ref-type&gt;&lt;contributors&gt;&lt;authors&gt;&lt;author&gt;Dasari, Surendra&lt;/author&gt;&lt;author&gt;Chambers, Matthew C&lt;/author&gt;&lt;author&gt;Martinez, Misti A&lt;/author&gt;&lt;author&gt;Carpenter, Kristin L&lt;/author&gt;&lt;author&gt;Ham, Amy-Joan L&lt;/author&gt;&lt;author&gt;Vega-Montoto, Lorenzo J&lt;/author&gt;&lt;author&gt;Tabb, David L&lt;/author&gt;&lt;/authors&gt;&lt;/contributors&gt;&lt;titles&gt;&lt;title&gt;Pepitome: evaluating improved spectral library search for identification complementarity and quality assessment&lt;/title&gt;&lt;secondary-title&gt;Journal of proteome research&lt;/secondary-title&gt;&lt;/titles&gt;&lt;periodical&gt;&lt;full-title&gt;Journal of proteome research&lt;/full-title&gt;&lt;/periodical&gt;&lt;pages&gt;1686-1695&lt;/pages&gt;&lt;volume&gt;11&lt;/volume&gt;&lt;number&gt;3&lt;/number&gt;&lt;dates&gt;&lt;year&gt;2012&lt;/year&gt;&lt;/dates&gt;&lt;isbn&gt;1535-3893&lt;/isbn&gt;&lt;urls&gt;&lt;/urls&gt;&lt;/record&gt;&lt;/Cite&gt;&lt;/EndNote&gt;</w:instrText>
      </w:r>
      <w:r w:rsidRPr="004030F5">
        <w:rPr>
          <w:rFonts w:cs="Arial"/>
        </w:rPr>
        <w:fldChar w:fldCharType="separate"/>
      </w:r>
      <w:r w:rsidR="000F277D">
        <w:rPr>
          <w:rFonts w:cs="Arial"/>
          <w:noProof/>
        </w:rPr>
        <w:t>[63]</w:t>
      </w:r>
      <w:r w:rsidRPr="004030F5">
        <w:rPr>
          <w:rFonts w:cs="Arial"/>
        </w:rPr>
        <w:fldChar w:fldCharType="end"/>
      </w:r>
      <w:r w:rsidRPr="004030F5">
        <w:rPr>
          <w:rFonts w:cs="Arial"/>
        </w:rPr>
        <w:t xml:space="preserve"> that don’t need to generate theoretical MS/MS spectrum.  However, spectral library search is not appropriate method to metaproteomics because spectral library is used for what we already know, while metaproteomics studies what we never know.</w:t>
      </w:r>
    </w:p>
    <w:p w14:paraId="2ACCB16E" w14:textId="78C5F7B9" w:rsidR="00044EFB" w:rsidRPr="004030F5" w:rsidRDefault="00044EFB" w:rsidP="00044EFB">
      <w:pPr>
        <w:pStyle w:val="Heading3"/>
      </w:pPr>
      <w:bookmarkStart w:id="22" w:name="_Toc296333703"/>
      <w:r w:rsidRPr="004030F5">
        <w:t>Post-process of PSM search results</w:t>
      </w:r>
      <w:bookmarkEnd w:id="22"/>
    </w:p>
    <w:p w14:paraId="79CE54AC" w14:textId="4D4D7D58" w:rsidR="00477D72" w:rsidRPr="004030F5" w:rsidRDefault="00733634" w:rsidP="00FC17BE">
      <w:pPr>
        <w:spacing w:line="480" w:lineRule="auto"/>
        <w:ind w:firstLine="720"/>
        <w:rPr>
          <w:rFonts w:cs="Arial"/>
        </w:rPr>
      </w:pPr>
      <w:r w:rsidRPr="004030F5">
        <w:rPr>
          <w:rFonts w:cs="Arial"/>
        </w:rPr>
        <w:t xml:space="preserve">After PSM search, post-processing is required to have valid PSMs and assemble appropriate proteins from PSMs.  </w:t>
      </w:r>
      <w:r w:rsidR="00477D72" w:rsidRPr="004030F5">
        <w:rPr>
          <w:rFonts w:cs="Arial"/>
        </w:rPr>
        <w:t xml:space="preserve">Assessing of MS/MS identification is always an important issue of </w:t>
      </w:r>
      <w:r w:rsidRPr="004030F5">
        <w:rPr>
          <w:rFonts w:cs="Arial"/>
        </w:rPr>
        <w:t>PSM</w:t>
      </w:r>
      <w:r w:rsidR="00477D72" w:rsidRPr="004030F5">
        <w:rPr>
          <w:rFonts w:cs="Arial"/>
        </w:rPr>
        <w:t xml:space="preserve"> search.  What threshold of scoring metrics can give reliable peptide identification is ambiguous.  Since MS/MS search engine is developed first in 1994, evaluation of peptide identification has been hot.  DTASelect </w:t>
      </w:r>
      <w:r w:rsidR="00477D72" w:rsidRPr="004030F5">
        <w:rPr>
          <w:rFonts w:cs="Arial"/>
        </w:rPr>
        <w:fldChar w:fldCharType="begin"/>
      </w:r>
      <w:r w:rsidR="000F277D">
        <w:rPr>
          <w:rFonts w:cs="Arial"/>
        </w:rPr>
        <w:instrText xml:space="preserve"> ADDIN EN.CITE &lt;EndNote&gt;&lt;Cite&gt;&lt;Author&gt;Tabb&lt;/Author&gt;&lt;Year&gt;2002&lt;/Year&gt;&lt;RecNum&gt;62&lt;/RecNum&gt;&lt;DisplayText&gt;[64]&lt;/DisplayText&gt;&lt;record&gt;&lt;rec-number&gt;62&lt;/rec-number&gt;&lt;foreign-keys&gt;&lt;key app="EN" db-id="efx2002d5f0z21etvw3x9zp7tw2axpa2eez0" timestamp="1433476045"&gt;62&lt;/key&gt;&lt;/foreign-keys&gt;&lt;ref-type name="Journal Article"&gt;17&lt;/ref-type&gt;&lt;contributors&gt;&lt;authors&gt;&lt;author&gt;Tabb, David L&lt;/author&gt;&lt;author&gt;McDonald, W Hayes&lt;/author&gt;&lt;author&gt;Yates, John R&lt;/author&gt;&lt;/authors&gt;&lt;/contributors&gt;&lt;titles&gt;&lt;title&gt;DTASelect and Contrast: tools for assembling and comparing protein identifications from shotgun proteomics&lt;/title&gt;&lt;secondary-title&gt;Journal of proteome research&lt;/secondary-title&gt;&lt;/titles&gt;&lt;periodical&gt;&lt;full-title&gt;Journal of proteome research&lt;/full-title&gt;&lt;/periodical&gt;&lt;pages&gt;21-26&lt;/pages&gt;&lt;volume&gt;1&lt;/volume&gt;&lt;number&gt;1&lt;/number&gt;&lt;dates&gt;&lt;year&gt;2002&lt;/year&gt;&lt;/dates&gt;&lt;isbn&gt;1535-3893&lt;/isbn&gt;&lt;urls&gt;&lt;/urls&gt;&lt;/record&gt;&lt;/Cite&gt;&lt;/EndNote&gt;</w:instrText>
      </w:r>
      <w:r w:rsidR="00477D72" w:rsidRPr="004030F5">
        <w:rPr>
          <w:rFonts w:cs="Arial"/>
        </w:rPr>
        <w:fldChar w:fldCharType="separate"/>
      </w:r>
      <w:r w:rsidR="000F277D">
        <w:rPr>
          <w:rFonts w:cs="Arial"/>
          <w:noProof/>
        </w:rPr>
        <w:t>[64]</w:t>
      </w:r>
      <w:r w:rsidR="00477D72" w:rsidRPr="004030F5">
        <w:rPr>
          <w:rFonts w:cs="Arial"/>
        </w:rPr>
        <w:fldChar w:fldCharType="end"/>
      </w:r>
      <w:r w:rsidR="00477D72" w:rsidRPr="004030F5">
        <w:rPr>
          <w:rFonts w:cs="Arial"/>
        </w:rPr>
        <w:t xml:space="preserve">, developed in 2002 and widely used for protein assemble of SEQUEST result, suggested good guideline for SEQUEST search; &gt; 1.8 XCorr for +1 charged ion, &gt; 2.5 XCorr for +2 charged ion, &gt; 3.5 XCorr for +3 charged ion and &gt; 0.08 DeltCN for every charged ions.  By providing above filters and simple protein assembly, report all the possible protein existence, DTASelect had been widely used for SEQUEST search.  Protein Prophet </w:t>
      </w:r>
      <w:r w:rsidR="00477D72" w:rsidRPr="004030F5">
        <w:rPr>
          <w:rFonts w:cs="Arial"/>
        </w:rPr>
        <w:fldChar w:fldCharType="begin"/>
      </w:r>
      <w:r w:rsidR="000F277D">
        <w:rPr>
          <w:rFonts w:cs="Arial"/>
        </w:rPr>
        <w:instrText xml:space="preserve"> ADDIN EN.CITE &lt;EndNote&gt;&lt;Cite&gt;&lt;Author&gt;Keller&lt;/Author&gt;&lt;Year&gt;2002&lt;/Year&gt;&lt;RecNum&gt;64&lt;/RecNum&gt;&lt;DisplayText&gt;[65]&lt;/DisplayText&gt;&lt;record&gt;&lt;rec-number&gt;64&lt;/rec-number&gt;&lt;foreign-keys&gt;&lt;key app="EN" db-id="efx2002d5f0z21etvw3x9zp7tw2axpa2eez0" timestamp="1433518745"&gt;64&lt;/key&gt;&lt;/foreign-keys&gt;&lt;ref-type name="Journal Article"&gt;17&lt;/ref-type&gt;&lt;contributors&gt;&lt;authors&gt;&lt;author&gt;Keller, Andrew&lt;/author&gt;&lt;author&gt;Nesvizhskii, Alexey I&lt;/author&gt;&lt;author&gt;Kolker, Eugene&lt;/author&gt;&lt;author&gt;Aebersold, Ruedi&lt;/author&gt;&lt;/authors&gt;&lt;/contributors&gt;&lt;titles&gt;&lt;title&gt;Empirical statistical model to estimate the accuracy of peptide identifications made by MS/MS and database search&lt;/title&gt;&lt;secondary-title&gt;Analytical chemistry&lt;/secondary-title&gt;&lt;/titles&gt;&lt;periodical&gt;&lt;full-title&gt;Analytical chemistry&lt;/full-title&gt;&lt;/periodical&gt;&lt;pages&gt;5383-5392&lt;/pages&gt;&lt;volume&gt;74&lt;/volume&gt;&lt;number&gt;20&lt;/number&gt;&lt;dates&gt;&lt;year&gt;2002&lt;/year&gt;&lt;/dates&gt;&lt;isbn&gt;0003-2700&lt;/isbn&gt;&lt;urls&gt;&lt;/urls&gt;&lt;/record&gt;&lt;/Cite&gt;&lt;/EndNote&gt;</w:instrText>
      </w:r>
      <w:r w:rsidR="00477D72" w:rsidRPr="004030F5">
        <w:rPr>
          <w:rFonts w:cs="Arial"/>
        </w:rPr>
        <w:fldChar w:fldCharType="separate"/>
      </w:r>
      <w:r w:rsidR="000F277D">
        <w:rPr>
          <w:rFonts w:cs="Arial"/>
          <w:noProof/>
        </w:rPr>
        <w:t>[65]</w:t>
      </w:r>
      <w:r w:rsidR="00477D72" w:rsidRPr="004030F5">
        <w:rPr>
          <w:rFonts w:cs="Arial"/>
        </w:rPr>
        <w:fldChar w:fldCharType="end"/>
      </w:r>
      <w:r w:rsidR="00477D72" w:rsidRPr="004030F5">
        <w:rPr>
          <w:rFonts w:cs="Arial"/>
        </w:rPr>
        <w:t xml:space="preserve">, developed in 2002 </w:t>
      </w:r>
      <w:r w:rsidR="00477D72" w:rsidRPr="004030F5">
        <w:rPr>
          <w:rFonts w:cs="Arial"/>
        </w:rPr>
        <w:lastRenderedPageBreak/>
        <w:t xml:space="preserve">and incorporated to trans plant pipeline (TPP), calculates probability, based on mixture model EM method using Bayesian approach, of MS/MS identification.  Protein Prophet gives statistical guideline for assessing correct and incorrect peptide assignment and estimation of likelihood for the presence of proteins corresponding to those peptides in a sample.  To maximize peptide identification, Scaffold </w:t>
      </w:r>
      <w:r w:rsidR="00477D72" w:rsidRPr="004030F5">
        <w:rPr>
          <w:rFonts w:cs="Arial"/>
        </w:rPr>
        <w:fldChar w:fldCharType="begin"/>
      </w:r>
      <w:r w:rsidR="000F277D">
        <w:rPr>
          <w:rFonts w:cs="Arial"/>
        </w:rPr>
        <w:instrText xml:space="preserve"> ADDIN EN.CITE &lt;EndNote&gt;&lt;Cite&gt;&lt;Author&gt;Searle&lt;/Author&gt;&lt;Year&gt;2010&lt;/Year&gt;&lt;RecNum&gt;65&lt;/RecNum&gt;&lt;DisplayText&gt;[66]&lt;/DisplayText&gt;&lt;record&gt;&lt;rec-number&gt;65&lt;/rec-number&gt;&lt;foreign-keys&gt;&lt;key app="EN" db-id="efx2002d5f0z21etvw3x9zp7tw2axpa2eez0" timestamp="1433521783"&gt;65&lt;/key&gt;&lt;/foreign-keys&gt;&lt;ref-type name="Journal Article"&gt;17&lt;/ref-type&gt;&lt;contributors&gt;&lt;authors&gt;&lt;author&gt;Searle, Brian C&lt;/author&gt;&lt;/authors&gt;&lt;/contributors&gt;&lt;titles&gt;&lt;title&gt;Scaffold: a bioinformatic tool for validating MS/MS</w:instrText>
      </w:r>
      <w:r w:rsidR="000F277D">
        <w:rPr>
          <w:rFonts w:ascii="American Typewriter Light" w:hAnsi="American Typewriter Light" w:cs="American Typewriter Light"/>
        </w:rPr>
        <w:instrText>‐</w:instrText>
      </w:r>
      <w:r w:rsidR="000F277D">
        <w:rPr>
          <w:rFonts w:cs="Arial"/>
        </w:rPr>
        <w:instrText>based proteomic studies&lt;/title&gt;&lt;secondary-title&gt;Proteomics&lt;/secondary-title&gt;&lt;/titles&gt;&lt;periodical&gt;&lt;full-title&gt;Proteomics&lt;/full-title&gt;&lt;/periodical&gt;&lt;pages&gt;1265-1269&lt;/pages&gt;&lt;volume&gt;10&lt;/volume&gt;&lt;number&gt;6&lt;/number&gt;&lt;dates&gt;&lt;year&gt;2010&lt;/year&gt;&lt;/dates&gt;&lt;isbn&gt;1615-9861&lt;/isbn&gt;&lt;urls&gt;&lt;/urls&gt;&lt;/record&gt;&lt;/Cite&gt;&lt;/EndNote&gt;</w:instrText>
      </w:r>
      <w:r w:rsidR="00477D72" w:rsidRPr="004030F5">
        <w:rPr>
          <w:rFonts w:cs="Arial"/>
        </w:rPr>
        <w:fldChar w:fldCharType="separate"/>
      </w:r>
      <w:r w:rsidR="000F277D">
        <w:rPr>
          <w:rFonts w:cs="Arial"/>
          <w:noProof/>
        </w:rPr>
        <w:t>[66]</w:t>
      </w:r>
      <w:r w:rsidR="00477D72" w:rsidRPr="004030F5">
        <w:rPr>
          <w:rFonts w:cs="Arial"/>
        </w:rPr>
        <w:fldChar w:fldCharType="end"/>
      </w:r>
      <w:r w:rsidR="00477D72" w:rsidRPr="004030F5">
        <w:rPr>
          <w:rFonts w:cs="Arial"/>
        </w:rPr>
        <w:t xml:space="preserve"> employs various search engines and integrates results from them using Protein Prophet.  Scaffold obtains MS/MS search results from SEQUEST, MASCOT, OMSSA, X</w:t>
      </w:r>
      <w:proofErr w:type="gramStart"/>
      <w:r w:rsidR="00477D72" w:rsidRPr="004030F5">
        <w:rPr>
          <w:rFonts w:cs="Arial"/>
        </w:rPr>
        <w:t>!Tandem</w:t>
      </w:r>
      <w:proofErr w:type="gramEnd"/>
      <w:r w:rsidR="00477D72" w:rsidRPr="004030F5">
        <w:rPr>
          <w:rFonts w:cs="Arial"/>
        </w:rPr>
        <w:t xml:space="preserve"> and etc.  Then, it evaluates peptide identifications of each engines using Protein Prophet.  These results are aggregated and re-evaluated by Protein Prophet.  By aggregation and multiple evaluations, Scaffold provides platform-independent result and maximized peptide identifications.</w:t>
      </w:r>
    </w:p>
    <w:p w14:paraId="3094371F" w14:textId="62AFD03B" w:rsidR="00F13ECE" w:rsidRPr="004030F5" w:rsidRDefault="00965EF1" w:rsidP="00965EF1">
      <w:pPr>
        <w:spacing w:line="480" w:lineRule="auto"/>
        <w:ind w:firstLine="720"/>
        <w:rPr>
          <w:rFonts w:cs="Arial"/>
        </w:rPr>
      </w:pPr>
      <w:r w:rsidRPr="004030F5">
        <w:rPr>
          <w:rFonts w:cs="Arial"/>
        </w:rPr>
        <w:t xml:space="preserve">Protein assembly is challenging step following peptide identification of MS/MS.  Generally, assembly is more difficult than disassemble because some parts dissociated from different two can have confusing shape.  Those components are actually same in peptide world, which means same amino acid sequence.  Redundant peptide, found in more than two proteins, makes protein reconstruction and quantification difficult.  The probability of the shared peptides is much higher than one looks due to existence of orthologous, similar sequences in different sequences, and paralogous, duplicated in the same species, proteins.  </w:t>
      </w:r>
    </w:p>
    <w:p w14:paraId="295D9450" w14:textId="3D390035" w:rsidR="00D930FF" w:rsidRPr="004030F5" w:rsidRDefault="00522FA5" w:rsidP="007520AA">
      <w:pPr>
        <w:spacing w:line="480" w:lineRule="auto"/>
        <w:ind w:firstLine="720"/>
        <w:rPr>
          <w:rFonts w:cs="Arial"/>
        </w:rPr>
      </w:pPr>
      <w:r w:rsidRPr="004030F5">
        <w:rPr>
          <w:rFonts w:cs="Arial"/>
        </w:rPr>
        <w:t>Meyer-Arendt et al demonstrated</w:t>
      </w:r>
      <w:r w:rsidR="00F33C04" w:rsidRPr="004030F5">
        <w:rPr>
          <w:rFonts w:cs="Arial"/>
        </w:rPr>
        <w:t xml:space="preserve"> using human proteins</w:t>
      </w:r>
      <w:r w:rsidRPr="004030F5">
        <w:rPr>
          <w:rFonts w:cs="Arial"/>
        </w:rPr>
        <w:t xml:space="preserve"> that </w:t>
      </w:r>
      <w:r w:rsidR="00C640CE" w:rsidRPr="004030F5">
        <w:rPr>
          <w:rFonts w:cs="Arial"/>
        </w:rPr>
        <w:t>89,486</w:t>
      </w:r>
      <w:r w:rsidR="00A1441B" w:rsidRPr="004030F5">
        <w:rPr>
          <w:rFonts w:cs="Arial"/>
        </w:rPr>
        <w:t xml:space="preserve"> </w:t>
      </w:r>
      <w:r w:rsidRPr="004030F5">
        <w:rPr>
          <w:rFonts w:cs="Arial"/>
        </w:rPr>
        <w:t xml:space="preserve">entries in </w:t>
      </w:r>
      <w:r w:rsidR="004F4B65" w:rsidRPr="004030F5">
        <w:rPr>
          <w:rFonts w:cs="Arial"/>
        </w:rPr>
        <w:t xml:space="preserve">international </w:t>
      </w:r>
      <w:r w:rsidRPr="004030F5">
        <w:rPr>
          <w:rFonts w:cs="Arial"/>
        </w:rPr>
        <w:t>protein index (IPI) DB</w:t>
      </w:r>
      <w:r w:rsidR="002C44FE" w:rsidRPr="004030F5">
        <w:rPr>
          <w:rFonts w:cs="Arial"/>
        </w:rPr>
        <w:t xml:space="preserve"> </w:t>
      </w:r>
      <w:r w:rsidR="00474075" w:rsidRPr="004030F5">
        <w:rPr>
          <w:rFonts w:cs="Arial"/>
        </w:rPr>
        <w:t>v3.</w:t>
      </w:r>
      <w:r w:rsidR="002C44FE" w:rsidRPr="004030F5">
        <w:rPr>
          <w:rFonts w:cs="Arial"/>
        </w:rPr>
        <w:t>75</w:t>
      </w:r>
      <w:r w:rsidR="00F062FB" w:rsidRPr="004030F5">
        <w:rPr>
          <w:rFonts w:cs="Arial"/>
        </w:rPr>
        <w:t xml:space="preserve"> </w:t>
      </w:r>
      <w:r w:rsidR="00474075" w:rsidRPr="004030F5">
        <w:rPr>
          <w:rFonts w:cs="Arial"/>
        </w:rPr>
        <w:t>could</w:t>
      </w:r>
      <w:r w:rsidR="00F062FB" w:rsidRPr="004030F5">
        <w:rPr>
          <w:rFonts w:cs="Arial"/>
        </w:rPr>
        <w:t xml:space="preserve"> have almost 2 million</w:t>
      </w:r>
      <w:r w:rsidR="00FC786E" w:rsidRPr="004030F5">
        <w:rPr>
          <w:rFonts w:cs="Arial"/>
        </w:rPr>
        <w:t xml:space="preserve"> </w:t>
      </w:r>
      <w:r w:rsidR="00474075" w:rsidRPr="004030F5">
        <w:rPr>
          <w:rFonts w:cs="Arial"/>
        </w:rPr>
        <w:t xml:space="preserve">shared peptides over 4 million </w:t>
      </w:r>
      <w:r w:rsidR="00350346" w:rsidRPr="004030F5">
        <w:rPr>
          <w:rFonts w:cs="Arial"/>
        </w:rPr>
        <w:t xml:space="preserve">of </w:t>
      </w:r>
      <w:r w:rsidR="00FC786E" w:rsidRPr="004030F5">
        <w:rPr>
          <w:rFonts w:cs="Arial"/>
        </w:rPr>
        <w:t xml:space="preserve">trypsin-derived peptides (length &gt; 7 amino acids </w:t>
      </w:r>
      <w:r w:rsidR="00FC786E" w:rsidRPr="004030F5">
        <w:rPr>
          <w:rFonts w:cs="Arial"/>
        </w:rPr>
        <w:lastRenderedPageBreak/>
        <w:t>allowing up to 2 miss-cleavages)</w:t>
      </w:r>
      <w:r w:rsidR="003414FE" w:rsidRPr="004030F5">
        <w:rPr>
          <w:rFonts w:cs="Arial"/>
        </w:rPr>
        <w:t xml:space="preserve"> </w:t>
      </w:r>
      <w:r w:rsidR="00D530D6" w:rsidRPr="004030F5">
        <w:rPr>
          <w:rFonts w:cs="Arial"/>
        </w:rPr>
        <w:fldChar w:fldCharType="begin"/>
      </w:r>
      <w:r w:rsidR="00A2095B" w:rsidRPr="004030F5">
        <w:rPr>
          <w:rFonts w:cs="Arial"/>
        </w:rPr>
        <w:instrText xml:space="preserve"> ADDIN EN.CITE &lt;EndNote&gt;&lt;Cite&gt;&lt;Author&gt;Meyer-Arendt&lt;/Author&gt;&lt;Year&gt;2011&lt;/Year&gt;&lt;RecNum&gt;61&lt;/RecNum&gt;&lt;DisplayText&gt;[67]&lt;/DisplayText&gt;&lt;record&gt;&lt;rec-number&gt;61&lt;/rec-number&gt;&lt;foreign-keys&gt;&lt;key app="EN" db-id="efx2002d5f0z21etvw3x9zp7tw2axpa2eez0" timestamp="1433474151"&gt;61&lt;/key&gt;&lt;/foreign-keys&gt;&lt;ref-type name="Journal Article"&gt;17&lt;/ref-type&gt;&lt;contributors&gt;&lt;authors&gt;&lt;author&gt;Meyer-Arendt, Karen&lt;/author&gt;&lt;author&gt;Old, William M&lt;/author&gt;&lt;author&gt;Houel, Stephane&lt;/author&gt;&lt;author&gt;Renganathan, Kutralanathan&lt;/author&gt;&lt;author&gt;Eichelberger, Brian&lt;/author&gt;&lt;author&gt;Resing, Katheryn A&lt;/author&gt;&lt;author&gt;Ahn, Natalie G&lt;/author&gt;&lt;/authors&gt;&lt;/contributors&gt;&lt;titles&gt;&lt;title&gt;IsoformResolver: A peptide-centric algorithm for protein inference&lt;/title&gt;&lt;secondary-title&gt;Journal of proteome research&lt;/secondary-title&gt;&lt;/titles&gt;&lt;periodical&gt;&lt;full-title&gt;Journal of proteome research&lt;/full-title&gt;&lt;/periodical&gt;&lt;pages&gt;3060-3075&lt;/pages&gt;&lt;volume&gt;10&lt;/volume&gt;&lt;number&gt;7&lt;/number&gt;&lt;dates&gt;&lt;year&gt;2011&lt;/year&gt;&lt;/dates&gt;&lt;isbn&gt;1535-3893&lt;/isbn&gt;&lt;urls&gt;&lt;/urls&gt;&lt;/record&gt;&lt;/Cite&gt;&lt;/EndNote&gt;</w:instrText>
      </w:r>
      <w:r w:rsidR="00D530D6" w:rsidRPr="004030F5">
        <w:rPr>
          <w:rFonts w:cs="Arial"/>
        </w:rPr>
        <w:fldChar w:fldCharType="separate"/>
      </w:r>
      <w:r w:rsidR="00A2095B" w:rsidRPr="004030F5">
        <w:rPr>
          <w:rFonts w:cs="Arial"/>
          <w:noProof/>
        </w:rPr>
        <w:t>[67]</w:t>
      </w:r>
      <w:r w:rsidR="00D530D6" w:rsidRPr="004030F5">
        <w:rPr>
          <w:rFonts w:cs="Arial"/>
        </w:rPr>
        <w:fldChar w:fldCharType="end"/>
      </w:r>
      <w:r w:rsidR="00FC786E" w:rsidRPr="004030F5">
        <w:rPr>
          <w:rFonts w:cs="Arial"/>
        </w:rPr>
        <w:t>.</w:t>
      </w:r>
      <w:r w:rsidR="00591D8A" w:rsidRPr="004030F5">
        <w:rPr>
          <w:rFonts w:cs="Arial"/>
        </w:rPr>
        <w:t xml:space="preserve">  </w:t>
      </w:r>
      <w:r w:rsidR="00DD246B" w:rsidRPr="004030F5">
        <w:rPr>
          <w:rFonts w:cs="Arial"/>
        </w:rPr>
        <w:t>More</w:t>
      </w:r>
      <w:r w:rsidR="00857420" w:rsidRPr="004030F5">
        <w:rPr>
          <w:rFonts w:cs="Arial"/>
        </w:rPr>
        <w:t>over, metaproteome has a number of microbial species</w:t>
      </w:r>
      <w:r w:rsidR="00DD246B" w:rsidRPr="004030F5">
        <w:rPr>
          <w:rFonts w:cs="Arial"/>
        </w:rPr>
        <w:t xml:space="preserve">, which means being likely to have </w:t>
      </w:r>
      <w:r w:rsidR="00D44CE4" w:rsidRPr="004030F5">
        <w:rPr>
          <w:rFonts w:cs="Arial"/>
        </w:rPr>
        <w:t>higher</w:t>
      </w:r>
      <w:r w:rsidR="00DD246B" w:rsidRPr="004030F5">
        <w:rPr>
          <w:rFonts w:cs="Arial"/>
        </w:rPr>
        <w:t xml:space="preserve"> chance of </w:t>
      </w:r>
      <w:r w:rsidR="00D44CE4" w:rsidRPr="004030F5">
        <w:rPr>
          <w:rFonts w:cs="Arial"/>
        </w:rPr>
        <w:t>ov</w:t>
      </w:r>
      <w:r w:rsidR="00B337F9" w:rsidRPr="004030F5">
        <w:rPr>
          <w:rFonts w:cs="Arial"/>
        </w:rPr>
        <w:t>erlapping peptides</w:t>
      </w:r>
      <w:r w:rsidR="00F63441" w:rsidRPr="004030F5">
        <w:rPr>
          <w:rFonts w:cs="Arial"/>
        </w:rPr>
        <w:t xml:space="preserve"> than Meyer-Arendt’s human only example.</w:t>
      </w:r>
      <w:r w:rsidR="009651D4" w:rsidRPr="004030F5">
        <w:rPr>
          <w:rFonts w:cs="Arial"/>
        </w:rPr>
        <w:t xml:space="preserve">  Therefore, metaproteome has </w:t>
      </w:r>
      <w:r w:rsidR="0060717E" w:rsidRPr="004030F5">
        <w:rPr>
          <w:rFonts w:cs="Arial"/>
        </w:rPr>
        <w:t>many shared peptides making ambiguous protein identifications.</w:t>
      </w:r>
    </w:p>
    <w:p w14:paraId="4564DDBC" w14:textId="7347CAAC" w:rsidR="00D9467F" w:rsidRPr="004030F5" w:rsidRDefault="0003648C" w:rsidP="007F0066">
      <w:pPr>
        <w:spacing w:line="480" w:lineRule="auto"/>
        <w:ind w:firstLine="720"/>
        <w:rPr>
          <w:rFonts w:cs="Arial"/>
        </w:rPr>
      </w:pPr>
      <w:r w:rsidRPr="004030F5">
        <w:rPr>
          <w:rFonts w:cs="Arial"/>
        </w:rPr>
        <w:t xml:space="preserve">Handling ambiguous protein identifications </w:t>
      </w:r>
      <w:r w:rsidR="00912894" w:rsidRPr="004030F5">
        <w:rPr>
          <w:rFonts w:cs="Arial"/>
        </w:rPr>
        <w:t>directly affects on</w:t>
      </w:r>
      <w:r w:rsidR="00883B8F" w:rsidRPr="004030F5">
        <w:rPr>
          <w:rFonts w:cs="Arial"/>
        </w:rPr>
        <w:t xml:space="preserve"> final protein identification.  If peptide A is identified and </w:t>
      </w:r>
      <w:r w:rsidR="00091332" w:rsidRPr="004030F5">
        <w:rPr>
          <w:rFonts w:cs="Arial"/>
        </w:rPr>
        <w:t xml:space="preserve">can be </w:t>
      </w:r>
      <w:r w:rsidR="00BB1662" w:rsidRPr="004030F5">
        <w:rPr>
          <w:rFonts w:cs="Arial"/>
        </w:rPr>
        <w:t>generated</w:t>
      </w:r>
      <w:r w:rsidR="003B6E4E" w:rsidRPr="004030F5">
        <w:rPr>
          <w:rFonts w:cs="Arial"/>
        </w:rPr>
        <w:t xml:space="preserve"> from protein 1, 2 and 3</w:t>
      </w:r>
      <w:r w:rsidR="00784C9C" w:rsidRPr="004030F5">
        <w:rPr>
          <w:rFonts w:cs="Arial"/>
        </w:rPr>
        <w:t xml:space="preserve"> in protein DB, </w:t>
      </w:r>
      <w:r w:rsidR="00A971B6" w:rsidRPr="004030F5">
        <w:rPr>
          <w:rFonts w:cs="Arial"/>
        </w:rPr>
        <w:t xml:space="preserve">in actual sample </w:t>
      </w:r>
      <w:r w:rsidR="00C66357" w:rsidRPr="004030F5">
        <w:rPr>
          <w:rFonts w:cs="Arial"/>
        </w:rPr>
        <w:t xml:space="preserve">peptide A may be derived only from 1, from 1 and 3 together or from 1, 2, and 3 </w:t>
      </w:r>
      <w:r w:rsidR="00EE35BB" w:rsidRPr="004030F5">
        <w:rPr>
          <w:rFonts w:cs="Arial"/>
        </w:rPr>
        <w:t>at the same time. Source of peptide A is not uncertai</w:t>
      </w:r>
      <w:r w:rsidR="0087630A" w:rsidRPr="004030F5">
        <w:rPr>
          <w:rFonts w:cs="Arial"/>
        </w:rPr>
        <w:t>n due to lack of information, different final protein identifications are possible by how to handle ambi</w:t>
      </w:r>
      <w:r w:rsidR="00EF5AD7" w:rsidRPr="004030F5">
        <w:rPr>
          <w:rFonts w:cs="Arial"/>
        </w:rPr>
        <w:t xml:space="preserve">guous protein identifications.  </w:t>
      </w:r>
      <w:r w:rsidR="00E6782B" w:rsidRPr="004030F5">
        <w:rPr>
          <w:rFonts w:cs="Arial"/>
        </w:rPr>
        <w:t xml:space="preserve">DTASelect, developed in 2002 and widely used for </w:t>
      </w:r>
      <w:r w:rsidR="00014AE2" w:rsidRPr="004030F5">
        <w:rPr>
          <w:rFonts w:cs="Arial"/>
        </w:rPr>
        <w:t xml:space="preserve">protein assemble of SEQUEST result, includes </w:t>
      </w:r>
      <w:r w:rsidR="009C4B2B" w:rsidRPr="004030F5">
        <w:rPr>
          <w:rFonts w:cs="Arial"/>
        </w:rPr>
        <w:t xml:space="preserve">all the possible proteins, such as protein 1, 2 and 3 of above example.  However, </w:t>
      </w:r>
      <w:r w:rsidR="00D45108" w:rsidRPr="004030F5">
        <w:rPr>
          <w:rFonts w:cs="Arial"/>
        </w:rPr>
        <w:t>IDPicker</w:t>
      </w:r>
      <w:r w:rsidR="00D45108" w:rsidRPr="004030F5">
        <w:rPr>
          <w:rFonts w:cs="Arial"/>
        </w:rPr>
        <w:fldChar w:fldCharType="begin"/>
      </w:r>
      <w:r w:rsidR="00A2095B" w:rsidRPr="004030F5">
        <w:rPr>
          <w:rFonts w:cs="Arial"/>
        </w:rPr>
        <w:instrText xml:space="preserve"> ADDIN EN.CITE &lt;EndNote&gt;&lt;Cite&gt;&lt;Author&gt;Zhang&lt;/Author&gt;&lt;Year&gt;2007&lt;/Year&gt;&lt;RecNum&gt;63&lt;/RecNum&gt;&lt;DisplayText&gt;[68]&lt;/DisplayText&gt;&lt;record&gt;&lt;rec-number&gt;63&lt;/rec-number&gt;&lt;foreign-keys&gt;&lt;key app="EN" db-id="efx2002d5f0z21etvw3x9zp7tw2axpa2eez0" timestamp="1433476321"&gt;63&lt;/key&gt;&lt;/foreign-keys&gt;&lt;ref-type name="Journal Article"&gt;17&lt;/ref-type&gt;&lt;contributors&gt;&lt;authors&gt;&lt;author&gt;Zhang, Bing&lt;/author&gt;&lt;author&gt;Chambers, Matthew C&lt;/author&gt;&lt;author&gt;Tabb, David L&lt;/author&gt;&lt;/authors&gt;&lt;/contributors&gt;&lt;titles&gt;&lt;title&gt;Proteomic parsimony through bipartite graph analysis improves accuracy and transparency&lt;/title&gt;&lt;secondary-title&gt;Journal of proteome research&lt;/secondary-title&gt;&lt;/titles&gt;&lt;periodical&gt;&lt;full-title&gt;Journal of proteome research&lt;/full-title&gt;&lt;/periodical&gt;&lt;pages&gt;3549-3557&lt;/pages&gt;&lt;volume&gt;6&lt;/volume&gt;&lt;number&gt;9&lt;/number&gt;&lt;dates&gt;&lt;year&gt;2007&lt;/year&gt;&lt;/dates&gt;&lt;isbn&gt;1535-3893&lt;/isbn&gt;&lt;urls&gt;&lt;/urls&gt;&lt;/record&gt;&lt;/Cite&gt;&lt;/EndNote&gt;</w:instrText>
      </w:r>
      <w:r w:rsidR="00D45108" w:rsidRPr="004030F5">
        <w:rPr>
          <w:rFonts w:cs="Arial"/>
        </w:rPr>
        <w:fldChar w:fldCharType="separate"/>
      </w:r>
      <w:r w:rsidR="00A2095B" w:rsidRPr="004030F5">
        <w:rPr>
          <w:rFonts w:cs="Arial"/>
          <w:noProof/>
        </w:rPr>
        <w:t>[68]</w:t>
      </w:r>
      <w:r w:rsidR="00D45108" w:rsidRPr="004030F5">
        <w:rPr>
          <w:rFonts w:cs="Arial"/>
        </w:rPr>
        <w:fldChar w:fldCharType="end"/>
      </w:r>
      <w:r w:rsidR="00D45108" w:rsidRPr="004030F5">
        <w:rPr>
          <w:rFonts w:cs="Arial"/>
        </w:rPr>
        <w:t xml:space="preserve">, developed in 2007 and basically linked to MyriMatch, </w:t>
      </w:r>
      <w:r w:rsidR="0064400F" w:rsidRPr="004030F5">
        <w:rPr>
          <w:rFonts w:cs="Arial"/>
        </w:rPr>
        <w:t xml:space="preserve">reports </w:t>
      </w:r>
      <w:r w:rsidR="00BD2544" w:rsidRPr="004030F5">
        <w:rPr>
          <w:rFonts w:cs="Arial"/>
        </w:rPr>
        <w:t xml:space="preserve">minimal protein list.  </w:t>
      </w:r>
      <w:r w:rsidR="00080D0D" w:rsidRPr="004030F5">
        <w:rPr>
          <w:rFonts w:cs="Arial"/>
        </w:rPr>
        <w:t>Protein assembly</w:t>
      </w:r>
      <w:r w:rsidR="000E2C1C" w:rsidRPr="004030F5">
        <w:rPr>
          <w:rFonts w:cs="Arial"/>
        </w:rPr>
        <w:t xml:space="preserve"> of IDPic</w:t>
      </w:r>
      <w:r w:rsidR="00795544" w:rsidRPr="004030F5">
        <w:rPr>
          <w:rFonts w:cs="Arial"/>
        </w:rPr>
        <w:t>ker is based on bipartite graph and greedy algorithm</w:t>
      </w:r>
      <w:r w:rsidR="007F0066" w:rsidRPr="004030F5">
        <w:rPr>
          <w:rFonts w:cs="Arial"/>
        </w:rPr>
        <w:t xml:space="preserve"> (Fig. 13</w:t>
      </w:r>
      <w:r w:rsidR="00080D0D" w:rsidRPr="004030F5">
        <w:rPr>
          <w:rFonts w:cs="Arial"/>
        </w:rPr>
        <w:t>)</w:t>
      </w:r>
      <w:r w:rsidR="00795544" w:rsidRPr="004030F5">
        <w:rPr>
          <w:rFonts w:cs="Arial"/>
        </w:rPr>
        <w:t xml:space="preserve">.  </w:t>
      </w:r>
      <w:r w:rsidR="004C4A57" w:rsidRPr="004030F5">
        <w:rPr>
          <w:rFonts w:cs="Arial"/>
        </w:rPr>
        <w:t xml:space="preserve">First, IDPicker </w:t>
      </w:r>
      <w:r w:rsidR="00B90F28" w:rsidRPr="004030F5">
        <w:rPr>
          <w:rFonts w:cs="Arial"/>
        </w:rPr>
        <w:t>connects peptides and protei</w:t>
      </w:r>
      <w:r w:rsidR="007F0066" w:rsidRPr="004030F5">
        <w:rPr>
          <w:rFonts w:cs="Arial"/>
        </w:rPr>
        <w:t>ns in a bipartite graph (Fig. 13</w:t>
      </w:r>
      <w:r w:rsidR="00B90F28" w:rsidRPr="004030F5">
        <w:rPr>
          <w:rFonts w:cs="Arial"/>
        </w:rPr>
        <w:t xml:space="preserve">A).  Next, indistinguishable peptides and proteins are </w:t>
      </w:r>
      <w:r w:rsidR="007F0066" w:rsidRPr="004030F5">
        <w:rPr>
          <w:rFonts w:cs="Arial"/>
        </w:rPr>
        <w:t>collapsed (Fig. 13</w:t>
      </w:r>
      <w:r w:rsidR="00416BFF" w:rsidRPr="004030F5">
        <w:rPr>
          <w:rFonts w:cs="Arial"/>
        </w:rPr>
        <w:t xml:space="preserve">B).  </w:t>
      </w:r>
      <w:r w:rsidR="00FC19C0" w:rsidRPr="004030F5">
        <w:rPr>
          <w:rFonts w:cs="Arial"/>
        </w:rPr>
        <w:t xml:space="preserve">The collapsed bipartite graph is decomposed to separate protein clusters with </w:t>
      </w:r>
      <w:r w:rsidR="007F0066" w:rsidRPr="004030F5">
        <w:rPr>
          <w:rFonts w:cs="Arial"/>
        </w:rPr>
        <w:t>connected peptides (Fig. 13</w:t>
      </w:r>
      <w:r w:rsidR="00E06DD2" w:rsidRPr="004030F5">
        <w:rPr>
          <w:rFonts w:cs="Arial"/>
        </w:rPr>
        <w:t xml:space="preserve">C).  Proteins that have uniquely matched peptides or supported by </w:t>
      </w:r>
      <w:r w:rsidR="007B4388" w:rsidRPr="004030F5">
        <w:rPr>
          <w:rFonts w:cs="Arial"/>
        </w:rPr>
        <w:t>more than two different peptide groups are identified and added to the m</w:t>
      </w:r>
      <w:r w:rsidR="00632804" w:rsidRPr="004030F5">
        <w:rPr>
          <w:rFonts w:cs="Arial"/>
        </w:rPr>
        <w:t>inimal pr</w:t>
      </w:r>
      <w:r w:rsidR="007F0066" w:rsidRPr="004030F5">
        <w:rPr>
          <w:rFonts w:cs="Arial"/>
        </w:rPr>
        <w:t>otein list (Fig. 13</w:t>
      </w:r>
      <w:r w:rsidR="00632804" w:rsidRPr="004030F5">
        <w:rPr>
          <w:rFonts w:cs="Arial"/>
        </w:rPr>
        <w:t xml:space="preserve">D).  </w:t>
      </w:r>
      <w:r w:rsidR="00B80549" w:rsidRPr="004030F5">
        <w:rPr>
          <w:rFonts w:cs="Arial"/>
        </w:rPr>
        <w:t xml:space="preserve">IsoformResolver </w:t>
      </w:r>
      <w:r w:rsidR="00B80549" w:rsidRPr="004030F5">
        <w:rPr>
          <w:rFonts w:cs="Arial"/>
        </w:rPr>
        <w:fldChar w:fldCharType="begin"/>
      </w:r>
      <w:r w:rsidR="00B80549" w:rsidRPr="004030F5">
        <w:rPr>
          <w:rFonts w:cs="Arial"/>
        </w:rPr>
        <w:instrText xml:space="preserve"> ADDIN EN.CITE &lt;EndNote&gt;&lt;Cite&gt;&lt;Author&gt;Meyer-Arendt&lt;/Author&gt;&lt;Year&gt;2011&lt;/Year&gt;&lt;RecNum&gt;61&lt;/RecNum&gt;&lt;DisplayText&gt;[67]&lt;/DisplayText&gt;&lt;record&gt;&lt;rec-number&gt;61&lt;/rec-number&gt;&lt;foreign-keys&gt;&lt;key app="EN" db-id="efx2002d5f0z21etvw3x9zp7tw2axpa2eez0" timestamp="1433474151"&gt;61&lt;/key&gt;&lt;/foreign-keys&gt;&lt;ref-type name="Journal Article"&gt;17&lt;/ref-type&gt;&lt;contributors&gt;&lt;authors&gt;&lt;author&gt;Meyer-Arendt, Karen&lt;/author&gt;&lt;author&gt;Old, William M&lt;/author&gt;&lt;author&gt;Houel, Stephane&lt;/author&gt;&lt;author&gt;Renganathan, Kutralanathan&lt;/author&gt;&lt;author&gt;Eichelberger, Brian&lt;/author&gt;&lt;author&gt;Resing, Katheryn A&lt;/author&gt;&lt;author&gt;Ahn, Natalie G&lt;/author&gt;&lt;/authors&gt;&lt;/contributors&gt;&lt;titles&gt;&lt;title&gt;IsoformResolver: A peptide-centric algorithm for protein inference&lt;/title&gt;&lt;secondary-title&gt;Journal of proteome research&lt;/secondary-title&gt;&lt;/titles&gt;&lt;periodical&gt;&lt;full-title&gt;Journal of proteome research&lt;/full-title&gt;&lt;/periodical&gt;&lt;pages&gt;3060-3075&lt;/pages&gt;&lt;volume&gt;10&lt;/volume&gt;&lt;number&gt;7&lt;/number&gt;&lt;dates&gt;&lt;year&gt;2011&lt;/year&gt;&lt;/dates&gt;&lt;isbn&gt;1535-3893&lt;/isbn&gt;&lt;urls&gt;&lt;/urls&gt;&lt;/record&gt;&lt;/Cite&gt;&lt;/EndNote&gt;</w:instrText>
      </w:r>
      <w:r w:rsidR="00B80549" w:rsidRPr="004030F5">
        <w:rPr>
          <w:rFonts w:cs="Arial"/>
        </w:rPr>
        <w:fldChar w:fldCharType="separate"/>
      </w:r>
      <w:r w:rsidR="00B80549" w:rsidRPr="004030F5">
        <w:rPr>
          <w:rFonts w:cs="Arial"/>
          <w:noProof/>
        </w:rPr>
        <w:t>[67]</w:t>
      </w:r>
      <w:r w:rsidR="00B80549" w:rsidRPr="004030F5">
        <w:rPr>
          <w:rFonts w:cs="Arial"/>
        </w:rPr>
        <w:fldChar w:fldCharType="end"/>
      </w:r>
      <w:r w:rsidR="00B80549" w:rsidRPr="004030F5">
        <w:rPr>
          <w:rFonts w:cs="Arial"/>
        </w:rPr>
        <w:t xml:space="preserve"> access to the shared peptides differently, peptide-centric approach.  This peptide-centric approach is similar to algorithm of MS-GF+ generating all the possible </w:t>
      </w:r>
      <w:r w:rsidR="00B80549" w:rsidRPr="004030F5">
        <w:rPr>
          <w:rFonts w:cs="Arial"/>
          <w:i/>
        </w:rPr>
        <w:t xml:space="preserve">de novo </w:t>
      </w:r>
      <w:r w:rsidR="00B80549" w:rsidRPr="004030F5">
        <w:rPr>
          <w:rFonts w:cs="Arial"/>
        </w:rPr>
        <w:t>sequences.</w:t>
      </w:r>
    </w:p>
    <w:p w14:paraId="10AF894E" w14:textId="77777777" w:rsidR="008B28C0" w:rsidRPr="004030F5" w:rsidRDefault="008B28C0" w:rsidP="008B28C0">
      <w:pPr>
        <w:keepNext/>
        <w:spacing w:line="480" w:lineRule="auto"/>
        <w:rPr>
          <w:rFonts w:cs="Arial"/>
        </w:rPr>
      </w:pPr>
      <w:r w:rsidRPr="004030F5">
        <w:rPr>
          <w:rFonts w:eastAsia="Times New Roman" w:cs="Arial"/>
          <w:noProof/>
        </w:rPr>
        <w:lastRenderedPageBreak/>
        <w:drawing>
          <wp:inline distT="0" distB="0" distL="0" distR="0" wp14:anchorId="372617F5" wp14:editId="5E937A0E">
            <wp:extent cx="5457190" cy="6705512"/>
            <wp:effectExtent l="0" t="0" r="3810" b="635"/>
            <wp:docPr id="27" name="Picture 8" descr="n external file that holds a picture, illustration, etc.&#10;Object name is nihms168858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 external file that holds a picture, illustration, etc.&#10;Object name is nihms168858f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58883" cy="6707593"/>
                    </a:xfrm>
                    <a:prstGeom prst="rect">
                      <a:avLst/>
                    </a:prstGeom>
                    <a:noFill/>
                    <a:ln>
                      <a:noFill/>
                    </a:ln>
                  </pic:spPr>
                </pic:pic>
              </a:graphicData>
            </a:graphic>
          </wp:inline>
        </w:drawing>
      </w:r>
    </w:p>
    <w:p w14:paraId="3C52B8A8" w14:textId="5C16DE2B" w:rsidR="00FB6155" w:rsidRPr="004030F5" w:rsidRDefault="008B28C0" w:rsidP="00FB6155">
      <w:pPr>
        <w:pStyle w:val="Caption"/>
        <w:rPr>
          <w:rFonts w:cs="Arial"/>
          <w:bCs w:val="0"/>
        </w:rPr>
      </w:pPr>
      <w:bookmarkStart w:id="23" w:name="_Toc296333106"/>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13</w:t>
      </w:r>
      <w:r w:rsidRPr="004030F5">
        <w:rPr>
          <w:rFonts w:cs="Arial"/>
        </w:rPr>
        <w:fldChar w:fldCharType="end"/>
      </w:r>
      <w:r w:rsidRPr="004030F5">
        <w:rPr>
          <w:rFonts w:cs="Arial"/>
        </w:rPr>
        <w:t xml:space="preserve"> Overview of bipartite graph model and analysis procedure of protein assembly in IDPicker.  </w:t>
      </w:r>
      <w:r w:rsidR="007E6563" w:rsidRPr="004030F5">
        <w:rPr>
          <w:rFonts w:cs="Arial"/>
          <w:b w:val="0"/>
        </w:rPr>
        <w:t>Pro: protein,</w:t>
      </w:r>
      <w:r w:rsidR="00797C65" w:rsidRPr="004030F5">
        <w:rPr>
          <w:rFonts w:cs="Arial"/>
          <w:b w:val="0"/>
        </w:rPr>
        <w:t xml:space="preserve"> pep: peptide.</w:t>
      </w:r>
      <w:r w:rsidR="00E70862" w:rsidRPr="004030F5">
        <w:rPr>
          <w:rFonts w:cs="Arial"/>
          <w:b w:val="0"/>
        </w:rPr>
        <w:t xml:space="preserve">  This figure was adapted from Zhang et al</w:t>
      </w:r>
      <w:r w:rsidR="00976FEF" w:rsidRPr="004030F5">
        <w:rPr>
          <w:rFonts w:cs="Arial"/>
          <w:b w:val="0"/>
        </w:rPr>
        <w:t xml:space="preserve"> </w:t>
      </w:r>
      <w:r w:rsidR="00976FEF" w:rsidRPr="004030F5">
        <w:rPr>
          <w:rFonts w:cs="Arial"/>
          <w:b w:val="0"/>
        </w:rPr>
        <w:fldChar w:fldCharType="begin"/>
      </w:r>
      <w:r w:rsidR="00A2095B" w:rsidRPr="004030F5">
        <w:rPr>
          <w:rFonts w:cs="Arial"/>
          <w:b w:val="0"/>
        </w:rPr>
        <w:instrText xml:space="preserve"> ADDIN EN.CITE &lt;EndNote&gt;&lt;Cite&gt;&lt;Author&gt;Zhang&lt;/Author&gt;&lt;Year&gt;2007&lt;/Year&gt;&lt;RecNum&gt;63&lt;/RecNum&gt;&lt;DisplayText&gt;[68]&lt;/DisplayText&gt;&lt;record&gt;&lt;rec-number&gt;63&lt;/rec-number&gt;&lt;foreign-keys&gt;&lt;key app="EN" db-id="efx2002d5f0z21etvw3x9zp7tw2axpa2eez0" timestamp="1433476321"&gt;63&lt;/key&gt;&lt;/foreign-keys&gt;&lt;ref-type name="Journal Article"&gt;17&lt;/ref-type&gt;&lt;contributors&gt;&lt;authors&gt;&lt;author&gt;Zhang, Bing&lt;/author&gt;&lt;author&gt;Chambers, Matthew C&lt;/author&gt;&lt;author&gt;Tabb, David L&lt;/author&gt;&lt;/authors&gt;&lt;/contributors&gt;&lt;titles&gt;&lt;title&gt;Proteomic parsimony through bipartite graph analysis improves accuracy and transparency&lt;/title&gt;&lt;secondary-title&gt;Journal of proteome research&lt;/secondary-title&gt;&lt;/titles&gt;&lt;periodical&gt;&lt;full-title&gt;Journal of proteome research&lt;/full-title&gt;&lt;/periodical&gt;&lt;pages&gt;3549-3557&lt;/pages&gt;&lt;volume&gt;6&lt;/volume&gt;&lt;number&gt;9&lt;/number&gt;&lt;dates&gt;&lt;year&gt;2007&lt;/year&gt;&lt;/dates&gt;&lt;isbn&gt;1535-3893&lt;/isbn&gt;&lt;urls&gt;&lt;/urls&gt;&lt;/record&gt;&lt;/Cite&gt;&lt;/EndNote&gt;</w:instrText>
      </w:r>
      <w:r w:rsidR="00976FEF" w:rsidRPr="004030F5">
        <w:rPr>
          <w:rFonts w:cs="Arial"/>
          <w:b w:val="0"/>
        </w:rPr>
        <w:fldChar w:fldCharType="separate"/>
      </w:r>
      <w:r w:rsidR="00A2095B" w:rsidRPr="004030F5">
        <w:rPr>
          <w:rFonts w:cs="Arial"/>
          <w:b w:val="0"/>
          <w:noProof/>
        </w:rPr>
        <w:t>[68]</w:t>
      </w:r>
      <w:r w:rsidR="00976FEF" w:rsidRPr="004030F5">
        <w:rPr>
          <w:rFonts w:cs="Arial"/>
          <w:b w:val="0"/>
        </w:rPr>
        <w:fldChar w:fldCharType="end"/>
      </w:r>
      <w:r w:rsidR="00976FEF" w:rsidRPr="004030F5">
        <w:rPr>
          <w:rFonts w:cs="Arial"/>
          <w:b w:val="0"/>
        </w:rPr>
        <w:t>.</w:t>
      </w:r>
      <w:bookmarkEnd w:id="23"/>
      <w:r w:rsidR="00FB6155" w:rsidRPr="004030F5">
        <w:rPr>
          <w:rFonts w:cs="Arial"/>
          <w:b w:val="0"/>
        </w:rPr>
        <w:br w:type="page"/>
      </w:r>
    </w:p>
    <w:p w14:paraId="20B719CD" w14:textId="1A8BCCFC" w:rsidR="007F0066" w:rsidRPr="004030F5" w:rsidRDefault="007F0066" w:rsidP="00C526AA">
      <w:pPr>
        <w:spacing w:line="480" w:lineRule="auto"/>
        <w:rPr>
          <w:rFonts w:cs="Arial"/>
        </w:rPr>
      </w:pPr>
      <w:r w:rsidRPr="004030F5">
        <w:rPr>
          <w:rFonts w:cs="Arial"/>
        </w:rPr>
        <w:lastRenderedPageBreak/>
        <w:t>IsoformResolver constructs unique peptide library from protein DB and assign proteins to corresponding peptides.  IsoformResolver is able to keep shared peptides as unique entries, however it can’t provide any insight about how to interpret the problematic peptides.</w:t>
      </w:r>
      <w:r w:rsidR="00684587" w:rsidRPr="004030F5">
        <w:rPr>
          <w:rFonts w:cs="Arial"/>
        </w:rPr>
        <w:t xml:space="preserve">  </w:t>
      </w:r>
      <w:r w:rsidR="00597C1F" w:rsidRPr="004030F5">
        <w:rPr>
          <w:rFonts w:cs="Arial"/>
        </w:rPr>
        <w:t xml:space="preserve">Percolator </w:t>
      </w:r>
      <w:r w:rsidR="00597C1F" w:rsidRPr="004030F5">
        <w:rPr>
          <w:rFonts w:cs="Arial"/>
        </w:rPr>
        <w:fldChar w:fldCharType="begin"/>
      </w:r>
      <w:r w:rsidR="00A2095B" w:rsidRPr="004030F5">
        <w:rPr>
          <w:rFonts w:cs="Arial"/>
        </w:rPr>
        <w:instrText xml:space="preserve"> ADDIN EN.CITE &lt;EndNote&gt;&lt;Cite&gt;&lt;Author&gt;Käll&lt;/Author&gt;&lt;Year&gt;2007&lt;/Year&gt;&lt;RecNum&gt;71&lt;/RecNum&gt;&lt;DisplayText&gt;[69]&lt;/DisplayText&gt;&lt;record&gt;&lt;rec-number&gt;71&lt;/rec-number&gt;&lt;foreign-keys&gt;&lt;key app="EN" db-id="efx2002d5f0z21etvw3x9zp7tw2axpa2eez0" timestamp="1433599981"&gt;71&lt;/key&gt;&lt;/foreign-keys&gt;&lt;ref-type name="Journal Article"&gt;17&lt;/ref-type&gt;&lt;contributors&gt;&lt;authors&gt;&lt;author&gt;Käll, Lukas&lt;/author&gt;&lt;author&gt;Canterbury, Jesse D&lt;/author&gt;&lt;author&gt;Weston, Jason&lt;/author&gt;&lt;author&gt;Noble, William Stafford&lt;/author&gt;&lt;author&gt;MacCoss, Michael J&lt;/author&gt;&lt;/authors&gt;&lt;/contributors&gt;&lt;titles&gt;&lt;title&gt;Semi-supervised learning for peptide identification from shotgun proteomics datasets&lt;/title&gt;&lt;secondary-title&gt;Nature methods&lt;/secondary-title&gt;&lt;/titles&gt;&lt;periodical&gt;&lt;full-title&gt;Nature methods&lt;/full-title&gt;&lt;/periodical&gt;&lt;pages&gt;923-925&lt;/pages&gt;&lt;volume&gt;4&lt;/volume&gt;&lt;number&gt;11&lt;/number&gt;&lt;dates&gt;&lt;year&gt;2007&lt;/year&gt;&lt;/dates&gt;&lt;isbn&gt;1548-7091&lt;/isbn&gt;&lt;urls&gt;&lt;/urls&gt;&lt;/record&gt;&lt;/Cite&gt;&lt;/EndNote&gt;</w:instrText>
      </w:r>
      <w:r w:rsidR="00597C1F" w:rsidRPr="004030F5">
        <w:rPr>
          <w:rFonts w:cs="Arial"/>
        </w:rPr>
        <w:fldChar w:fldCharType="separate"/>
      </w:r>
      <w:r w:rsidR="00A2095B" w:rsidRPr="004030F5">
        <w:rPr>
          <w:rFonts w:cs="Arial"/>
          <w:noProof/>
        </w:rPr>
        <w:t>[69]</w:t>
      </w:r>
      <w:r w:rsidR="00597C1F" w:rsidRPr="004030F5">
        <w:rPr>
          <w:rFonts w:cs="Arial"/>
        </w:rPr>
        <w:fldChar w:fldCharType="end"/>
      </w:r>
      <w:r w:rsidR="00597C1F" w:rsidRPr="004030F5">
        <w:rPr>
          <w:rFonts w:cs="Arial"/>
        </w:rPr>
        <w:t xml:space="preserve"> </w:t>
      </w:r>
      <w:r w:rsidR="00870147" w:rsidRPr="004030F5">
        <w:rPr>
          <w:rFonts w:cs="Arial"/>
        </w:rPr>
        <w:t>emplyed</w:t>
      </w:r>
      <w:r w:rsidR="00597C1F" w:rsidRPr="004030F5">
        <w:rPr>
          <w:rFonts w:cs="Arial"/>
        </w:rPr>
        <w:t xml:space="preserve"> semi-supervised machine learning to discriminate correct from incorrect</w:t>
      </w:r>
      <w:r w:rsidR="0039485C" w:rsidRPr="004030F5">
        <w:rPr>
          <w:rFonts w:cs="Arial"/>
        </w:rPr>
        <w:t xml:space="preserve"> PSMs</w:t>
      </w:r>
      <w:r w:rsidR="00597C1F" w:rsidRPr="004030F5">
        <w:rPr>
          <w:rFonts w:cs="Arial"/>
        </w:rPr>
        <w:t xml:space="preserve">, and calculates accurate FDR </w:t>
      </w:r>
      <w:r w:rsidR="001147B2" w:rsidRPr="004030F5">
        <w:rPr>
          <w:rFonts w:cs="Arial"/>
        </w:rPr>
        <w:t>and posterior error probabilities.</w:t>
      </w:r>
    </w:p>
    <w:p w14:paraId="749A29D9" w14:textId="4A0BF5F5" w:rsidR="002439CB" w:rsidRPr="004030F5" w:rsidRDefault="007F0066" w:rsidP="009306C8">
      <w:pPr>
        <w:spacing w:line="480" w:lineRule="auto"/>
        <w:rPr>
          <w:rFonts w:cs="Arial"/>
        </w:rPr>
      </w:pPr>
      <w:r w:rsidRPr="004030F5">
        <w:rPr>
          <w:rFonts w:cs="Arial"/>
        </w:rPr>
        <w:tab/>
      </w:r>
      <w:proofErr w:type="gramStart"/>
      <w:r w:rsidRPr="004030F5">
        <w:rPr>
          <w:rFonts w:cs="Arial"/>
        </w:rPr>
        <w:t>Protein quantification is also varied by handling of ambiguous protein identifications</w:t>
      </w:r>
      <w:proofErr w:type="gramEnd"/>
      <w:r w:rsidRPr="004030F5">
        <w:rPr>
          <w:rFonts w:cs="Arial"/>
        </w:rPr>
        <w:t>.  Since shotgun metaproteomics explores peptides, not proteins, so quantitative measurement of peptides, generally spectrum counts</w:t>
      </w:r>
      <w:r w:rsidR="00A21880" w:rsidRPr="004030F5">
        <w:rPr>
          <w:rFonts w:cs="Arial"/>
        </w:rPr>
        <w:t xml:space="preserve"> (SC)</w:t>
      </w:r>
      <w:r w:rsidRPr="004030F5">
        <w:rPr>
          <w:rFonts w:cs="Arial"/>
        </w:rPr>
        <w:t xml:space="preserve"> in label-free and ratios in labeling, should be transferred to corresponding proteins.  Processing of unique peptides, solely matched to one protein, is straightforward, assigning to the matched protein.  However, assigning shared peptides to candidate proteins is ambiguous due to uncertainty of source of origin.  DTASelect redundantly assigns </w:t>
      </w:r>
      <w:r w:rsidR="005707D2" w:rsidRPr="004030F5">
        <w:rPr>
          <w:rFonts w:cs="Arial"/>
        </w:rPr>
        <w:t>SC</w:t>
      </w:r>
      <w:r w:rsidRPr="004030F5">
        <w:rPr>
          <w:rFonts w:cs="Arial"/>
        </w:rPr>
        <w:t xml:space="preserve"> of overlapping peptides to every candidate proteins, so DTASelect amplifies expression level more if there is more number of ambiguous peptides in DB search result.  </w:t>
      </w:r>
      <w:r w:rsidR="005950D8" w:rsidRPr="004030F5">
        <w:rPr>
          <w:rFonts w:cs="Arial"/>
        </w:rPr>
        <w:t xml:space="preserve">IDPicker employed greedy algorithm </w:t>
      </w:r>
      <w:r w:rsidR="000F71C0" w:rsidRPr="004030F5">
        <w:rPr>
          <w:rFonts w:cs="Arial"/>
        </w:rPr>
        <w:t>following</w:t>
      </w:r>
      <w:r w:rsidR="005950D8" w:rsidRPr="004030F5">
        <w:rPr>
          <w:rFonts w:cs="Arial"/>
        </w:rPr>
        <w:t xml:space="preserve"> </w:t>
      </w:r>
      <w:r w:rsidR="000F71C0" w:rsidRPr="004030F5">
        <w:rPr>
          <w:rFonts w:cs="Arial"/>
        </w:rPr>
        <w:t>winner</w:t>
      </w:r>
      <w:r w:rsidR="00CB27E5" w:rsidRPr="004030F5">
        <w:rPr>
          <w:rFonts w:cs="Arial"/>
        </w:rPr>
        <w:t xml:space="preserve"> takes all.  </w:t>
      </w:r>
      <w:r w:rsidR="007C1A56" w:rsidRPr="004030F5">
        <w:rPr>
          <w:rFonts w:cs="Arial"/>
        </w:rPr>
        <w:t xml:space="preserve">After </w:t>
      </w:r>
      <w:r w:rsidR="00EC2D62" w:rsidRPr="004030F5">
        <w:rPr>
          <w:rFonts w:cs="Arial"/>
        </w:rPr>
        <w:t xml:space="preserve">protein and peptide groups are separated, </w:t>
      </w:r>
      <w:r w:rsidR="00FC1ACA" w:rsidRPr="004030F5">
        <w:rPr>
          <w:rFonts w:cs="Arial"/>
        </w:rPr>
        <w:t xml:space="preserve">IDPicker prioritize proteins by </w:t>
      </w:r>
      <w:r w:rsidR="00DD014F" w:rsidRPr="004030F5">
        <w:rPr>
          <w:rFonts w:cs="Arial"/>
        </w:rPr>
        <w:t>whether uniq</w:t>
      </w:r>
      <w:r w:rsidR="00664499" w:rsidRPr="004030F5">
        <w:rPr>
          <w:rFonts w:cs="Arial"/>
        </w:rPr>
        <w:t>ue pepti</w:t>
      </w:r>
      <w:r w:rsidR="006F086E" w:rsidRPr="004030F5">
        <w:rPr>
          <w:rFonts w:cs="Arial"/>
        </w:rPr>
        <w:t>de is linked or not</w:t>
      </w:r>
      <w:r w:rsidR="003254E0" w:rsidRPr="004030F5">
        <w:rPr>
          <w:rFonts w:cs="Arial"/>
        </w:rPr>
        <w:t xml:space="preserve"> and the number of </w:t>
      </w:r>
      <w:r w:rsidR="005707D2" w:rsidRPr="004030F5">
        <w:rPr>
          <w:rFonts w:cs="Arial"/>
        </w:rPr>
        <w:t>SC</w:t>
      </w:r>
      <w:r w:rsidR="003254E0" w:rsidRPr="004030F5">
        <w:rPr>
          <w:rFonts w:cs="Arial"/>
        </w:rPr>
        <w:t xml:space="preserve"> from linked unique peptides</w:t>
      </w:r>
      <w:r w:rsidR="006F086E" w:rsidRPr="004030F5">
        <w:rPr>
          <w:rFonts w:cs="Arial"/>
        </w:rPr>
        <w:t xml:space="preserve">.  Greedy algorithm iteratively </w:t>
      </w:r>
      <w:r w:rsidR="009A7CCA" w:rsidRPr="004030F5">
        <w:rPr>
          <w:rFonts w:cs="Arial"/>
        </w:rPr>
        <w:t>choose</w:t>
      </w:r>
      <w:r w:rsidR="00361988" w:rsidRPr="004030F5">
        <w:rPr>
          <w:rFonts w:cs="Arial"/>
        </w:rPr>
        <w:t>s</w:t>
      </w:r>
      <w:r w:rsidR="009A7CCA" w:rsidRPr="004030F5">
        <w:rPr>
          <w:rFonts w:cs="Arial"/>
        </w:rPr>
        <w:t xml:space="preserve"> proteins by order of priority and gives </w:t>
      </w:r>
      <w:r w:rsidR="00031166" w:rsidRPr="004030F5">
        <w:rPr>
          <w:rFonts w:cs="Arial"/>
        </w:rPr>
        <w:t xml:space="preserve">all the shared peptides first.  IDPicker generate parsimonious protein identification and </w:t>
      </w:r>
      <w:r w:rsidR="00B253B4" w:rsidRPr="004030F5">
        <w:rPr>
          <w:rFonts w:cs="Arial"/>
        </w:rPr>
        <w:t xml:space="preserve">amplify their expression level by </w:t>
      </w:r>
      <w:r w:rsidR="002838FC" w:rsidRPr="004030F5">
        <w:rPr>
          <w:rFonts w:cs="Arial"/>
        </w:rPr>
        <w:t>casting all the availab</w:t>
      </w:r>
      <w:r w:rsidR="00463800" w:rsidRPr="004030F5">
        <w:rPr>
          <w:rFonts w:cs="Arial"/>
        </w:rPr>
        <w:t>le votes.  Protein Prophet</w:t>
      </w:r>
      <w:r w:rsidR="002439CE" w:rsidRPr="004030F5">
        <w:rPr>
          <w:rFonts w:cs="Arial"/>
        </w:rPr>
        <w:t xml:space="preserve"> and Percolator</w:t>
      </w:r>
      <w:r w:rsidR="00B5445A" w:rsidRPr="004030F5">
        <w:rPr>
          <w:rFonts w:cs="Arial"/>
        </w:rPr>
        <w:t xml:space="preserve"> transfer </w:t>
      </w:r>
      <w:r w:rsidR="00364502" w:rsidRPr="004030F5">
        <w:rPr>
          <w:rFonts w:cs="Arial"/>
        </w:rPr>
        <w:t xml:space="preserve">peptide’s quantification </w:t>
      </w:r>
      <w:r w:rsidR="002439CB" w:rsidRPr="004030F5">
        <w:rPr>
          <w:rFonts w:cs="Arial"/>
        </w:rPr>
        <w:t>to corresponding protein.</w:t>
      </w:r>
    </w:p>
    <w:p w14:paraId="7C790703" w14:textId="11EC3962" w:rsidR="00ED4E37" w:rsidRPr="004030F5" w:rsidRDefault="0033310C" w:rsidP="002439CB">
      <w:pPr>
        <w:spacing w:line="480" w:lineRule="auto"/>
        <w:ind w:firstLine="720"/>
        <w:rPr>
          <w:rFonts w:cs="Arial"/>
        </w:rPr>
      </w:pPr>
      <w:r w:rsidRPr="004030F5">
        <w:rPr>
          <w:rFonts w:cs="Arial"/>
        </w:rPr>
        <w:lastRenderedPageBreak/>
        <w:t xml:space="preserve">In label-free </w:t>
      </w:r>
      <w:r w:rsidR="00976BDC" w:rsidRPr="004030F5">
        <w:rPr>
          <w:rFonts w:cs="Arial"/>
        </w:rPr>
        <w:t xml:space="preserve">shotgun </w:t>
      </w:r>
      <w:r w:rsidRPr="004030F5">
        <w:rPr>
          <w:rFonts w:cs="Arial"/>
        </w:rPr>
        <w:t xml:space="preserve">proteomics, </w:t>
      </w:r>
      <w:r w:rsidR="005707D2" w:rsidRPr="004030F5">
        <w:rPr>
          <w:rFonts w:cs="Arial"/>
        </w:rPr>
        <w:t>SC</w:t>
      </w:r>
      <w:r w:rsidR="00976BDC" w:rsidRPr="004030F5">
        <w:rPr>
          <w:rFonts w:cs="Arial"/>
        </w:rPr>
        <w:t xml:space="preserve"> of redundant peptides </w:t>
      </w:r>
      <w:r w:rsidR="0023166B" w:rsidRPr="004030F5">
        <w:rPr>
          <w:rFonts w:cs="Arial"/>
        </w:rPr>
        <w:t>is</w:t>
      </w:r>
      <w:r w:rsidR="00267CD0" w:rsidRPr="004030F5">
        <w:rPr>
          <w:rFonts w:cs="Arial"/>
        </w:rPr>
        <w:t xml:space="preserve"> sometimes</w:t>
      </w:r>
      <w:r w:rsidR="0023166B" w:rsidRPr="004030F5">
        <w:rPr>
          <w:rFonts w:cs="Arial"/>
        </w:rPr>
        <w:t xml:space="preserve"> </w:t>
      </w:r>
      <w:r w:rsidR="00193780" w:rsidRPr="004030F5">
        <w:rPr>
          <w:rFonts w:cs="Arial"/>
        </w:rPr>
        <w:t>distributed into corresponding proteins</w:t>
      </w:r>
      <w:r w:rsidR="0053769C" w:rsidRPr="004030F5">
        <w:rPr>
          <w:rFonts w:cs="Arial"/>
        </w:rPr>
        <w:t xml:space="preserve"> (spectral balancing)</w:t>
      </w:r>
      <w:r w:rsidR="002B5BBB" w:rsidRPr="004030F5">
        <w:rPr>
          <w:rFonts w:cs="Arial"/>
        </w:rPr>
        <w:t xml:space="preserve"> </w:t>
      </w:r>
      <w:r w:rsidR="00294518" w:rsidRPr="004030F5">
        <w:rPr>
          <w:rFonts w:cs="Arial"/>
        </w:rPr>
        <w:fldChar w:fldCharType="begin"/>
      </w:r>
      <w:r w:rsidR="00A2095B" w:rsidRPr="004030F5">
        <w:rPr>
          <w:rFonts w:cs="Arial"/>
        </w:rPr>
        <w:instrText xml:space="preserve"> ADDIN EN.CITE &lt;EndNote&gt;&lt;Cite&gt;&lt;Author&gt;Mondav&lt;/Author&gt;&lt;Year&gt;2014&lt;/Year&gt;&lt;RecNum&gt;68&lt;/RecNum&gt;&lt;DisplayText&gt;[70,71]&lt;/DisplayText&gt;&lt;record&gt;&lt;rec-number&gt;68&lt;/rec-number&gt;&lt;foreign-keys&gt;&lt;key app="EN" db-id="efx2002d5f0z21etvw3x9zp7tw2axpa2eez0" timestamp="1433536070"&gt;68&lt;/key&gt;&lt;/foreign-keys&gt;&lt;ref-type name="Journal Article"&gt;17&lt;/ref-type&gt;&lt;contributors&gt;&lt;authors&gt;&lt;author&gt;Mondav, Rhiannon&lt;/author&gt;&lt;author&gt;Woodcroft, Ben J&lt;/author&gt;&lt;author&gt;Kim, Eun-Hae&lt;/author&gt;&lt;author&gt;McCalley, Carmody K&lt;/author&gt;&lt;author&gt;Hodgkins, Suzanne B&lt;/author&gt;&lt;author&gt;Crill, Patrick M&lt;/author&gt;&lt;author&gt;Chanton, Jeffrey&lt;/author&gt;&lt;author&gt;Hurst, Gregory B&lt;/author&gt;&lt;author&gt;VerBerkmoes, Nathan C&lt;/author&gt;&lt;author&gt;Saleska, Scott R&lt;/author&gt;&lt;/authors&gt;&lt;/contributors&gt;&lt;titles&gt;&lt;title&gt;Discovery of a novel methanogen prevalent in thawing permafrost&lt;/title&gt;&lt;secondary-title&gt;Nature communications&lt;/secondary-title&gt;&lt;/titles&gt;&lt;periodical&gt;&lt;full-title&gt;Nature communications&lt;/full-title&gt;&lt;/periodical&gt;&lt;volume&gt;5&lt;/volume&gt;&lt;dates&gt;&lt;year&gt;2014&lt;/year&gt;&lt;/dates&gt;&lt;urls&gt;&lt;/urls&gt;&lt;/record&gt;&lt;/Cite&gt;&lt;Cite&gt;&lt;Author&gt;Zhang&lt;/Author&gt;&lt;Year&gt;2010&lt;/Year&gt;&lt;RecNum&gt;69&lt;/RecNum&gt;&lt;record&gt;&lt;rec-number&gt;69&lt;/rec-number&gt;&lt;foreign-keys&gt;&lt;key app="EN" db-id="efx2002d5f0z21etvw3x9zp7tw2axpa2eez0" timestamp="1433536664"&gt;69&lt;/key&gt;&lt;/foreign-keys&gt;&lt;ref-type name="Journal Article"&gt;17&lt;/ref-type&gt;&lt;contributors&gt;&lt;authors&gt;&lt;author&gt;Zhang, Ying&lt;/author&gt;&lt;author&gt;Wen, Zhihui&lt;/author&gt;&lt;author&gt;Washburn, Michael P&lt;/author&gt;&lt;author&gt;Florens, Laurence&lt;/author&gt;&lt;/authors&gt;&lt;/contributors&gt;&lt;titles&gt;&lt;title&gt;Refinements to label free proteome quantitation: how to deal with peptides shared by multiple proteins&lt;/title&gt;&lt;secondary-title&gt;Analytical chemistry&lt;/secondary-title&gt;&lt;/titles&gt;&lt;periodical&gt;&lt;full-title&gt;Analytical chemistry&lt;/full-title&gt;&lt;/periodical&gt;&lt;pages&gt;2272-2281&lt;/pages&gt;&lt;volume&gt;82&lt;/volume&gt;&lt;number&gt;6&lt;/number&gt;&lt;dates&gt;&lt;year&gt;2010&lt;/year&gt;&lt;/dates&gt;&lt;isbn&gt;0003-2700&lt;/isbn&gt;&lt;urls&gt;&lt;/urls&gt;&lt;/record&gt;&lt;/Cite&gt;&lt;/EndNote&gt;</w:instrText>
      </w:r>
      <w:r w:rsidR="00294518" w:rsidRPr="004030F5">
        <w:rPr>
          <w:rFonts w:cs="Arial"/>
        </w:rPr>
        <w:fldChar w:fldCharType="separate"/>
      </w:r>
      <w:r w:rsidR="00A2095B" w:rsidRPr="004030F5">
        <w:rPr>
          <w:rFonts w:cs="Arial"/>
          <w:noProof/>
        </w:rPr>
        <w:t>[70,71]</w:t>
      </w:r>
      <w:r w:rsidR="00294518" w:rsidRPr="004030F5">
        <w:rPr>
          <w:rFonts w:cs="Arial"/>
        </w:rPr>
        <w:fldChar w:fldCharType="end"/>
      </w:r>
      <w:r w:rsidR="00E21DA8" w:rsidRPr="004030F5">
        <w:rPr>
          <w:rFonts w:cs="Arial"/>
        </w:rPr>
        <w:t>.</w:t>
      </w:r>
      <w:r w:rsidR="006C0E50" w:rsidRPr="004030F5">
        <w:rPr>
          <w:rFonts w:cs="Arial"/>
        </w:rPr>
        <w:t xml:space="preserve">  </w:t>
      </w:r>
      <w:r w:rsidR="00451601" w:rsidRPr="004030F5">
        <w:rPr>
          <w:rFonts w:cs="Arial"/>
        </w:rPr>
        <w:t xml:space="preserve">Spectral balancing considers </w:t>
      </w:r>
      <w:r w:rsidR="00EE104B" w:rsidRPr="004030F5">
        <w:rPr>
          <w:rFonts w:cs="Arial"/>
        </w:rPr>
        <w:t xml:space="preserve">only </w:t>
      </w:r>
      <w:r w:rsidR="00451601" w:rsidRPr="004030F5">
        <w:rPr>
          <w:rFonts w:cs="Arial"/>
        </w:rPr>
        <w:t>proteins that have more than one unique peptide</w:t>
      </w:r>
      <w:r w:rsidR="00AB76CB" w:rsidRPr="004030F5">
        <w:rPr>
          <w:rFonts w:cs="Arial"/>
        </w:rPr>
        <w:t xml:space="preserve"> (Unique proteins)</w:t>
      </w:r>
      <w:r w:rsidR="00451601" w:rsidRPr="004030F5">
        <w:rPr>
          <w:rFonts w:cs="Arial"/>
        </w:rPr>
        <w:t>.</w:t>
      </w:r>
      <w:r w:rsidR="00EE104B" w:rsidRPr="004030F5">
        <w:rPr>
          <w:rFonts w:cs="Arial"/>
        </w:rPr>
        <w:t xml:space="preserve">  </w:t>
      </w:r>
      <w:r w:rsidR="00E34A80" w:rsidRPr="004030F5">
        <w:rPr>
          <w:rFonts w:cs="Arial"/>
        </w:rPr>
        <w:t>SC</w:t>
      </w:r>
      <w:r w:rsidR="009873D6" w:rsidRPr="004030F5">
        <w:rPr>
          <w:rFonts w:cs="Arial"/>
        </w:rPr>
        <w:t xml:space="preserve"> of </w:t>
      </w:r>
      <w:proofErr w:type="gramStart"/>
      <w:r w:rsidR="009873D6" w:rsidRPr="004030F5">
        <w:rPr>
          <w:rFonts w:cs="Arial"/>
        </w:rPr>
        <w:t xml:space="preserve">a redundant peptide is divided </w:t>
      </w:r>
      <w:r w:rsidR="00F935AC" w:rsidRPr="004030F5">
        <w:rPr>
          <w:rFonts w:cs="Arial"/>
        </w:rPr>
        <w:t>in</w:t>
      </w:r>
      <w:r w:rsidR="009873D6" w:rsidRPr="004030F5">
        <w:rPr>
          <w:rFonts w:cs="Arial"/>
        </w:rPr>
        <w:t xml:space="preserve">to unique proteins by </w:t>
      </w:r>
      <w:r w:rsidR="00D00CE4" w:rsidRPr="004030F5">
        <w:rPr>
          <w:rFonts w:cs="Arial"/>
        </w:rPr>
        <w:t>SC</w:t>
      </w:r>
      <w:r w:rsidR="00E34A80" w:rsidRPr="004030F5">
        <w:rPr>
          <w:rFonts w:cs="Arial"/>
        </w:rPr>
        <w:t xml:space="preserve"> </w:t>
      </w:r>
      <w:r w:rsidR="00D00CE4" w:rsidRPr="004030F5">
        <w:rPr>
          <w:rFonts w:cs="Arial"/>
        </w:rPr>
        <w:t>of unique peptide</w:t>
      </w:r>
      <w:proofErr w:type="gramEnd"/>
      <w:r w:rsidR="00182B4A" w:rsidRPr="004030F5">
        <w:rPr>
          <w:rFonts w:cs="Arial"/>
        </w:rPr>
        <w:t xml:space="preserve">.  </w:t>
      </w:r>
      <w:r w:rsidR="00975207" w:rsidRPr="004030F5">
        <w:rPr>
          <w:rFonts w:cs="Arial"/>
        </w:rPr>
        <w:t>Divided SC</w:t>
      </w:r>
      <w:r w:rsidR="00405A3C" w:rsidRPr="004030F5">
        <w:rPr>
          <w:rFonts w:cs="Arial"/>
        </w:rPr>
        <w:t xml:space="preserve"> of a shared peptide for a unique </w:t>
      </w:r>
      <w:r w:rsidR="00722CD0" w:rsidRPr="004030F5">
        <w:rPr>
          <w:rFonts w:cs="Arial"/>
        </w:rPr>
        <w:t>protein</w:t>
      </w:r>
      <w:r w:rsidR="006C0E50" w:rsidRPr="004030F5">
        <w:rPr>
          <w:rFonts w:cs="Arial"/>
        </w:rPr>
        <w:t xml:space="preserve"> is calculated as described below:</w:t>
      </w:r>
    </w:p>
    <w:p w14:paraId="6ACEF271" w14:textId="59308F56" w:rsidR="006C0E50" w:rsidRPr="004030F5" w:rsidRDefault="00E34A80" w:rsidP="009306C8">
      <w:pPr>
        <w:spacing w:line="480" w:lineRule="auto"/>
        <w:rPr>
          <w:rFonts w:cs="Arial"/>
        </w:rPr>
      </w:pPr>
      <m:oMathPara>
        <m:oMath>
          <m:r>
            <w:rPr>
              <w:rFonts w:ascii="Cambria Math" w:hAnsi="Cambria Math" w:cs="Arial"/>
            </w:rPr>
            <m:t>Divided SC=</m:t>
          </m:r>
          <m:f>
            <m:fPr>
              <m:ctrlPr>
                <w:rPr>
                  <w:rFonts w:ascii="Cambria Math" w:hAnsi="Cambria Math" w:cs="Arial"/>
                  <w:i/>
                </w:rPr>
              </m:ctrlPr>
            </m:fPr>
            <m:num>
              <m:r>
                <w:rPr>
                  <w:rFonts w:ascii="Cambria Math" w:hAnsi="Cambria Math" w:cs="Arial"/>
                </w:rPr>
                <m:t>uSC</m:t>
              </m:r>
            </m:num>
            <m:den>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uSC</m:t>
                      </m:r>
                    </m:e>
                    <m:sub>
                      <m:r>
                        <w:rPr>
                          <w:rFonts w:ascii="Cambria Math" w:hAnsi="Cambria Math" w:cs="Arial"/>
                        </w:rPr>
                        <m:t>i</m:t>
                      </m:r>
                    </m:sub>
                  </m:sSub>
                </m:e>
              </m:nary>
            </m:den>
          </m:f>
          <m:r>
            <w:rPr>
              <w:rFonts w:ascii="Cambria Math" w:hAnsi="Cambria Math" w:cs="Arial"/>
            </w:rPr>
            <m:t>×sSC</m:t>
          </m:r>
        </m:oMath>
      </m:oMathPara>
    </w:p>
    <w:p w14:paraId="46620CB8" w14:textId="3E7C5613" w:rsidR="00E502C8" w:rsidRPr="004030F5" w:rsidRDefault="00975207" w:rsidP="009306C8">
      <w:pPr>
        <w:spacing w:line="480" w:lineRule="auto"/>
        <w:rPr>
          <w:rFonts w:cs="Arial"/>
        </w:rPr>
      </w:pPr>
      <w:r w:rsidRPr="004030F5">
        <w:rPr>
          <w:rFonts w:cs="Arial"/>
        </w:rPr>
        <w:t xml:space="preserve">Where uSC is </w:t>
      </w:r>
      <w:r w:rsidR="00D00CE4" w:rsidRPr="004030F5">
        <w:rPr>
          <w:rFonts w:cs="Arial"/>
        </w:rPr>
        <w:t xml:space="preserve">SC of unique </w:t>
      </w:r>
      <w:r w:rsidR="004D1BB1" w:rsidRPr="004030F5">
        <w:rPr>
          <w:rFonts w:cs="Arial"/>
        </w:rPr>
        <w:t>peptide, sSC is SC of the shared peptide and n is the number of unique proteins linked to the shared peptide</w:t>
      </w:r>
      <w:r w:rsidR="00B80BE0" w:rsidRPr="004030F5">
        <w:rPr>
          <w:rFonts w:cs="Arial"/>
        </w:rPr>
        <w:t>.</w:t>
      </w:r>
      <w:r w:rsidR="00D8260E" w:rsidRPr="004030F5">
        <w:rPr>
          <w:rFonts w:cs="Arial"/>
        </w:rPr>
        <w:t xml:space="preserve">  This </w:t>
      </w:r>
      <w:r w:rsidR="00B204F8" w:rsidRPr="004030F5">
        <w:rPr>
          <w:rFonts w:cs="Arial"/>
        </w:rPr>
        <w:t>spectral balancing is connected to the normalized spectral abundance factor (NSAF)</w:t>
      </w:r>
      <w:r w:rsidR="001258CD" w:rsidRPr="004030F5">
        <w:rPr>
          <w:rFonts w:cs="Arial"/>
        </w:rPr>
        <w:t xml:space="preserve"> </w:t>
      </w:r>
      <w:r w:rsidR="004D06A1" w:rsidRPr="004030F5">
        <w:rPr>
          <w:rFonts w:cs="Arial"/>
        </w:rPr>
        <w:fldChar w:fldCharType="begin"/>
      </w:r>
      <w:r w:rsidR="00A2095B" w:rsidRPr="004030F5">
        <w:rPr>
          <w:rFonts w:cs="Arial"/>
        </w:rPr>
        <w:instrText xml:space="preserve"> ADDIN EN.CITE &lt;EndNote&gt;&lt;Cite&gt;&lt;Author&gt;Zhang&lt;/Author&gt;&lt;Year&gt;2010&lt;/Year&gt;&lt;RecNum&gt;69&lt;/RecNum&gt;&lt;DisplayText&gt;[71,72]&lt;/DisplayText&gt;&lt;record&gt;&lt;rec-number&gt;69&lt;/rec-number&gt;&lt;foreign-keys&gt;&lt;key app="EN" db-id="efx2002d5f0z21etvw3x9zp7tw2axpa2eez0" timestamp="1433536664"&gt;69&lt;/key&gt;&lt;/foreign-keys&gt;&lt;ref-type name="Journal Article"&gt;17&lt;/ref-type&gt;&lt;contributors&gt;&lt;authors&gt;&lt;author&gt;Zhang, Ying&lt;/author&gt;&lt;author&gt;Wen, Zhihui&lt;/author&gt;&lt;author&gt;Washburn, Michael P&lt;/author&gt;&lt;author&gt;Florens, Laurence&lt;/author&gt;&lt;/authors&gt;&lt;/contributors&gt;&lt;titles&gt;&lt;title&gt;Refinements to label free proteome quantitation: how to deal with peptides shared by multiple proteins&lt;/title&gt;&lt;secondary-title&gt;Analytical chemistry&lt;/secondary-title&gt;&lt;/titles&gt;&lt;periodical&gt;&lt;full-title&gt;Analytical chemistry&lt;/full-title&gt;&lt;/periodical&gt;&lt;pages&gt;2272-2281&lt;/pages&gt;&lt;volume&gt;82&lt;/volume&gt;&lt;number&gt;6&lt;/number&gt;&lt;dates&gt;&lt;year&gt;2010&lt;/year&gt;&lt;/dates&gt;&lt;isbn&gt;0003-2700&lt;/isbn&gt;&lt;urls&gt;&lt;/urls&gt;&lt;/record&gt;&lt;/Cite&gt;&lt;Cite&gt;&lt;Author&gt;Zybailov&lt;/Author&gt;&lt;Year&gt;2006&lt;/Year&gt;&lt;RecNum&gt;70&lt;/RecNum&gt;&lt;record&gt;&lt;rec-number&gt;70&lt;/rec-number&gt;&lt;foreign-keys&gt;&lt;key app="EN" db-id="efx2002d5f0z21etvw3x9zp7tw2axpa2eez0" timestamp="1433598664"&gt;70&lt;/key&gt;&lt;/foreign-keys&gt;&lt;ref-type name="Journal Article"&gt;17&lt;/ref-type&gt;&lt;contributors&gt;&lt;authors&gt;&lt;author&gt;Zybailov, Boris&lt;/author&gt;&lt;author&gt;Mosley, Amber L&lt;/author&gt;&lt;author&gt;Sardiu, Mihaela E&lt;/author&gt;&lt;author&gt;Coleman, Michael K&lt;/author&gt;&lt;author&gt;Florens, Laurence&lt;/author&gt;&lt;author&gt;Washburn, Michael P&lt;/author&gt;&lt;/authors&gt;&lt;/contributors&gt;&lt;titles&gt;&lt;title&gt;Statistical Analysis of Membrane Proteome Expression Changes in Saccharomyces c erevisiae&lt;/title&gt;&lt;secondary-title&gt;Journal of proteome research&lt;/secondary-title&gt;&lt;/titles&gt;&lt;periodical&gt;&lt;full-title&gt;Journal of proteome research&lt;/full-title&gt;&lt;/periodical&gt;&lt;pages&gt;2339-2347&lt;/pages&gt;&lt;volume&gt;5&lt;/volume&gt;&lt;number&gt;9&lt;/number&gt;&lt;dates&gt;&lt;year&gt;2006&lt;/year&gt;&lt;/dates&gt;&lt;isbn&gt;1535-3893&lt;/isbn&gt;&lt;urls&gt;&lt;/urls&gt;&lt;/record&gt;&lt;/Cite&gt;&lt;/EndNote&gt;</w:instrText>
      </w:r>
      <w:r w:rsidR="004D06A1" w:rsidRPr="004030F5">
        <w:rPr>
          <w:rFonts w:cs="Arial"/>
        </w:rPr>
        <w:fldChar w:fldCharType="separate"/>
      </w:r>
      <w:r w:rsidR="00A2095B" w:rsidRPr="004030F5">
        <w:rPr>
          <w:rFonts w:cs="Arial"/>
          <w:noProof/>
        </w:rPr>
        <w:t>[71,72]</w:t>
      </w:r>
      <w:r w:rsidR="004D06A1" w:rsidRPr="004030F5">
        <w:rPr>
          <w:rFonts w:cs="Arial"/>
        </w:rPr>
        <w:fldChar w:fldCharType="end"/>
      </w:r>
      <w:r w:rsidR="00B204F8" w:rsidRPr="004030F5">
        <w:rPr>
          <w:rFonts w:cs="Arial"/>
        </w:rPr>
        <w:t>.</w:t>
      </w:r>
    </w:p>
    <w:p w14:paraId="3C8ADFC8" w14:textId="56850086" w:rsidR="00B80BE0" w:rsidRPr="004030F5" w:rsidRDefault="00EB68D2" w:rsidP="00152B7E">
      <w:pPr>
        <w:spacing w:line="480" w:lineRule="auto"/>
        <w:ind w:firstLine="720"/>
        <w:rPr>
          <w:rFonts w:cs="Arial"/>
        </w:rPr>
      </w:pPr>
      <w:r w:rsidRPr="004030F5">
        <w:rPr>
          <w:rFonts w:cs="Arial"/>
        </w:rPr>
        <w:t>If we have more than two MS runs, we need to normalize them to compare.  There are systematic errors</w:t>
      </w:r>
      <w:r w:rsidR="00A03C61" w:rsidRPr="004030F5">
        <w:rPr>
          <w:rFonts w:cs="Arial"/>
        </w:rPr>
        <w:t xml:space="preserve"> </w:t>
      </w:r>
      <w:r w:rsidRPr="004030F5">
        <w:rPr>
          <w:rFonts w:cs="Arial"/>
        </w:rPr>
        <w:t xml:space="preserve">including instrumental error and human error even though </w:t>
      </w:r>
      <w:proofErr w:type="gramStart"/>
      <w:r w:rsidR="00F6376F" w:rsidRPr="004030F5">
        <w:rPr>
          <w:rFonts w:cs="Arial"/>
        </w:rPr>
        <w:t xml:space="preserve">MS runs </w:t>
      </w:r>
      <w:r w:rsidR="002D7103" w:rsidRPr="004030F5">
        <w:rPr>
          <w:rFonts w:cs="Arial"/>
        </w:rPr>
        <w:t xml:space="preserve">were carried out by </w:t>
      </w:r>
      <w:r w:rsidRPr="004030F5">
        <w:rPr>
          <w:rFonts w:cs="Arial"/>
        </w:rPr>
        <w:t>same experimenter</w:t>
      </w:r>
      <w:r w:rsidR="002D7103" w:rsidRPr="004030F5">
        <w:rPr>
          <w:rFonts w:cs="Arial"/>
        </w:rPr>
        <w:t xml:space="preserve"> </w:t>
      </w:r>
      <w:r w:rsidR="0023557D" w:rsidRPr="004030F5">
        <w:rPr>
          <w:rFonts w:cs="Arial"/>
        </w:rPr>
        <w:t>using</w:t>
      </w:r>
      <w:r w:rsidR="002D7103" w:rsidRPr="004030F5">
        <w:rPr>
          <w:rFonts w:cs="Arial"/>
        </w:rPr>
        <w:t xml:space="preserve"> same instrument</w:t>
      </w:r>
      <w:r w:rsidR="000952E5" w:rsidRPr="004030F5">
        <w:rPr>
          <w:rFonts w:cs="Arial"/>
        </w:rPr>
        <w:t xml:space="preserve"> for same sample</w:t>
      </w:r>
      <w:proofErr w:type="gramEnd"/>
      <w:r w:rsidR="000952E5" w:rsidRPr="004030F5">
        <w:rPr>
          <w:rFonts w:cs="Arial"/>
        </w:rPr>
        <w:t xml:space="preserve">.  </w:t>
      </w:r>
      <w:r w:rsidR="003E3B8A" w:rsidRPr="004030F5">
        <w:rPr>
          <w:rFonts w:cs="Arial"/>
        </w:rPr>
        <w:t xml:space="preserve">Normalization is to adjust these errors.  </w:t>
      </w:r>
      <w:r w:rsidR="008328A7" w:rsidRPr="004030F5">
        <w:rPr>
          <w:rFonts w:cs="Arial"/>
        </w:rPr>
        <w:t>Labeled MS runs don’t require normalization theo</w:t>
      </w:r>
      <w:r w:rsidR="00F5277B" w:rsidRPr="004030F5">
        <w:rPr>
          <w:rFonts w:cs="Arial"/>
        </w:rPr>
        <w:t xml:space="preserve">retically due to </w:t>
      </w:r>
      <w:r w:rsidR="00FE5DC9" w:rsidRPr="004030F5">
        <w:rPr>
          <w:rFonts w:cs="Arial"/>
        </w:rPr>
        <w:t>b</w:t>
      </w:r>
      <w:r w:rsidR="00152B7E" w:rsidRPr="004030F5">
        <w:rPr>
          <w:rFonts w:cs="Arial"/>
        </w:rPr>
        <w:t xml:space="preserve">eing run simultaneously, but normalization between different labeled MS runs may be needed.  Generally, normalization methods are designed for label-free experiment.  </w:t>
      </w:r>
      <w:r w:rsidR="0021462C" w:rsidRPr="004030F5">
        <w:rPr>
          <w:rFonts w:cs="Arial"/>
        </w:rPr>
        <w:t xml:space="preserve">NSAF is most widely used normalization method.  It considers spectral balancing as well as protein length due to </w:t>
      </w:r>
      <w:r w:rsidR="00977660" w:rsidRPr="004030F5">
        <w:rPr>
          <w:rFonts w:cs="Arial"/>
        </w:rPr>
        <w:t xml:space="preserve">probability of </w:t>
      </w:r>
      <w:r w:rsidR="005D6F36" w:rsidRPr="004030F5">
        <w:rPr>
          <w:rFonts w:cs="Arial"/>
        </w:rPr>
        <w:t>peptide assignment</w:t>
      </w:r>
      <w:r w:rsidR="00B37629" w:rsidRPr="004030F5">
        <w:rPr>
          <w:rFonts w:cs="Arial"/>
        </w:rPr>
        <w:t xml:space="preserve">.  </w:t>
      </w:r>
      <w:r w:rsidR="005D6F36" w:rsidRPr="004030F5">
        <w:rPr>
          <w:rFonts w:cs="Arial"/>
        </w:rPr>
        <w:t xml:space="preserve">Long protein may have more chance to have peptides than short </w:t>
      </w:r>
      <w:r w:rsidR="005D6F36" w:rsidRPr="004030F5">
        <w:rPr>
          <w:rFonts w:cs="Arial"/>
        </w:rPr>
        <w:lastRenderedPageBreak/>
        <w:t xml:space="preserve">protein.  </w:t>
      </w:r>
      <w:r w:rsidR="004D06A1" w:rsidRPr="004030F5">
        <w:rPr>
          <w:rFonts w:cs="Arial"/>
        </w:rPr>
        <w:t>Distributed NSAF (dNSAF)</w:t>
      </w:r>
      <w:r w:rsidR="00697C07" w:rsidRPr="004030F5">
        <w:rPr>
          <w:rFonts w:cs="Arial"/>
        </w:rPr>
        <w:t xml:space="preserve"> </w:t>
      </w:r>
      <w:r w:rsidR="00CC69D0" w:rsidRPr="004030F5">
        <w:rPr>
          <w:rFonts w:cs="Arial"/>
        </w:rPr>
        <w:t xml:space="preserve">for i-th protein </w:t>
      </w:r>
      <w:r w:rsidR="00697C07" w:rsidRPr="004030F5">
        <w:rPr>
          <w:rFonts w:cs="Arial"/>
        </w:rPr>
        <w:t>is calculated as described below</w:t>
      </w:r>
      <w:r w:rsidR="00E1624B" w:rsidRPr="004030F5">
        <w:rPr>
          <w:rFonts w:cs="Arial"/>
        </w:rPr>
        <w:t>:</w:t>
      </w:r>
    </w:p>
    <w:p w14:paraId="360C5FA2" w14:textId="15148CFA" w:rsidR="00E1624B" w:rsidRPr="004030F5" w:rsidRDefault="00C719B6" w:rsidP="009306C8">
      <w:pPr>
        <w:spacing w:line="480" w:lineRule="auto"/>
        <w:rPr>
          <w:rFonts w:cs="Arial"/>
        </w:rPr>
      </w:pPr>
      <m:oMathPara>
        <m:oMath>
          <m:sSub>
            <m:sSubPr>
              <m:ctrlPr>
                <w:rPr>
                  <w:rFonts w:ascii="Cambria Math" w:hAnsi="Cambria Math" w:cs="Arial"/>
                  <w:i/>
                </w:rPr>
              </m:ctrlPr>
            </m:sSubPr>
            <m:e>
              <m:r>
                <w:rPr>
                  <w:rFonts w:ascii="Cambria Math" w:hAnsi="Cambria Math" w:cs="Arial"/>
                </w:rPr>
                <m:t>dNSAF</m:t>
              </m:r>
            </m:e>
            <m:sub>
              <m:r>
                <w:rPr>
                  <w:rFonts w:ascii="Cambria Math" w:hAnsi="Cambria Math" w:cs="Arial"/>
                </w:rPr>
                <m:t>i</m:t>
              </m:r>
            </m:sub>
          </m:sSub>
          <m:r>
            <w:rPr>
              <w:rFonts w:ascii="Cambria Math" w:hAnsi="Cambria Math" w:cs="Arial"/>
            </w:rPr>
            <m:t xml:space="preserve">=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dSAF</m:t>
                  </m:r>
                </m:e>
                <m:sub>
                  <m:r>
                    <w:rPr>
                      <w:rFonts w:ascii="Cambria Math" w:hAnsi="Cambria Math" w:cs="Arial"/>
                    </w:rPr>
                    <m:t>i</m:t>
                  </m:r>
                </m:sub>
              </m:sSub>
            </m:num>
            <m:den>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dSAF</m:t>
                      </m:r>
                    </m:e>
                    <m:sub>
                      <m:r>
                        <w:rPr>
                          <w:rFonts w:ascii="Cambria Math" w:hAnsi="Cambria Math" w:cs="Arial"/>
                        </w:rPr>
                        <m:t>i</m:t>
                      </m:r>
                    </m:sub>
                  </m:sSub>
                </m:e>
              </m:nary>
            </m:den>
          </m:f>
          <m:r>
            <w:rPr>
              <w:rFonts w:ascii="Cambria Math" w:hAnsi="Cambria Math" w:cs="Arial"/>
            </w:rPr>
            <m:t xml:space="preserve"> where, </m:t>
          </m:r>
          <m:sSub>
            <m:sSubPr>
              <m:ctrlPr>
                <w:rPr>
                  <w:rFonts w:ascii="Cambria Math" w:hAnsi="Cambria Math" w:cs="Arial"/>
                  <w:i/>
                </w:rPr>
              </m:ctrlPr>
            </m:sSubPr>
            <m:e>
              <m:r>
                <w:rPr>
                  <w:rFonts w:ascii="Cambria Math" w:hAnsi="Cambria Math" w:cs="Arial"/>
                </w:rPr>
                <m:t>dSAF</m:t>
              </m:r>
            </m:e>
            <m:sub>
              <m:r>
                <w:rPr>
                  <w:rFonts w:ascii="Cambria Math" w:hAnsi="Cambria Math" w:cs="Arial"/>
                </w:rPr>
                <m:t>i</m:t>
              </m:r>
            </m:sub>
          </m:sSub>
          <m:r>
            <w:rPr>
              <w:rFonts w:ascii="Cambria Math" w:hAnsi="Cambria Math" w:cs="Arial"/>
            </w:rPr>
            <m:t xml:space="preserve">= </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uSC</m:t>
                  </m:r>
                </m:e>
                <m:sub>
                  <m:r>
                    <w:rPr>
                      <w:rFonts w:ascii="Cambria Math" w:hAnsi="Cambria Math" w:cs="Arial"/>
                    </w:rPr>
                    <m:t>i</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uSC</m:t>
                      </m:r>
                    </m:e>
                    <m:sub>
                      <m:r>
                        <w:rPr>
                          <w:rFonts w:ascii="Cambria Math" w:hAnsi="Cambria Math" w:cs="Arial"/>
                        </w:rPr>
                        <m:t>i</m:t>
                      </m:r>
                    </m:sub>
                  </m:sSub>
                </m:num>
                <m:den>
                  <m:nary>
                    <m:naryPr>
                      <m:chr m:val="∑"/>
                      <m:limLoc m:val="undOvr"/>
                      <m:ctrlPr>
                        <w:rPr>
                          <w:rFonts w:ascii="Cambria Math" w:hAnsi="Cambria Math" w:cs="Arial"/>
                          <w:i/>
                        </w:rPr>
                      </m:ctrlPr>
                    </m:naryPr>
                    <m:sub>
                      <m:r>
                        <w:rPr>
                          <w:rFonts w:ascii="Cambria Math" w:hAnsi="Cambria Math" w:cs="Arial"/>
                        </w:rPr>
                        <m:t>m=1</m:t>
                      </m:r>
                    </m:sub>
                    <m:sup>
                      <m:r>
                        <w:rPr>
                          <w:rFonts w:ascii="Cambria Math" w:hAnsi="Cambria Math" w:cs="Arial"/>
                        </w:rPr>
                        <m:t>M</m:t>
                      </m:r>
                    </m:sup>
                    <m:e>
                      <m:sSub>
                        <m:sSubPr>
                          <m:ctrlPr>
                            <w:rPr>
                              <w:rFonts w:ascii="Cambria Math" w:hAnsi="Cambria Math" w:cs="Arial"/>
                              <w:i/>
                            </w:rPr>
                          </m:ctrlPr>
                        </m:sSubPr>
                        <m:e>
                          <m:r>
                            <w:rPr>
                              <w:rFonts w:ascii="Cambria Math" w:hAnsi="Cambria Math" w:cs="Arial"/>
                            </w:rPr>
                            <m:t>uSC</m:t>
                          </m:r>
                        </m:e>
                        <m:sub>
                          <m:r>
                            <w:rPr>
                              <w:rFonts w:ascii="Cambria Math" w:hAnsi="Cambria Math" w:cs="Arial"/>
                            </w:rPr>
                            <m:t>m</m:t>
                          </m:r>
                        </m:sub>
                      </m:sSub>
                    </m:e>
                  </m:nary>
                </m:den>
              </m:f>
              <m:r>
                <w:rPr>
                  <w:rFonts w:ascii="Cambria Math" w:hAnsi="Cambria Math" w:cs="Arial"/>
                </w:rPr>
                <m:t>×</m:t>
              </m:r>
              <m:sSub>
                <m:sSubPr>
                  <m:ctrlPr>
                    <w:rPr>
                      <w:rFonts w:ascii="Cambria Math" w:hAnsi="Cambria Math" w:cs="Arial"/>
                      <w:i/>
                    </w:rPr>
                  </m:ctrlPr>
                </m:sSubPr>
                <m:e>
                  <m:r>
                    <w:rPr>
                      <w:rFonts w:ascii="Cambria Math" w:hAnsi="Cambria Math" w:cs="Arial"/>
                    </w:rPr>
                    <m:t>sSC</m:t>
                  </m:r>
                </m:e>
                <m:sub>
                  <m:r>
                    <w:rPr>
                      <w:rFonts w:ascii="Cambria Math" w:hAnsi="Cambria Math" w:cs="Arial"/>
                    </w:rPr>
                    <m:t>i</m:t>
                  </m:r>
                </m:sub>
              </m:sSub>
            </m:num>
            <m:den>
              <m:sSub>
                <m:sSubPr>
                  <m:ctrlPr>
                    <w:rPr>
                      <w:rFonts w:ascii="Cambria Math" w:hAnsi="Cambria Math" w:cs="Arial"/>
                      <w:i/>
                    </w:rPr>
                  </m:ctrlPr>
                </m:sSubPr>
                <m:e>
                  <m:r>
                    <w:rPr>
                      <w:rFonts w:ascii="Cambria Math" w:hAnsi="Cambria Math" w:cs="Arial"/>
                    </w:rPr>
                    <m:t>Length</m:t>
                  </m:r>
                </m:e>
                <m:sub>
                  <m:r>
                    <w:rPr>
                      <w:rFonts w:ascii="Cambria Math" w:hAnsi="Cambria Math" w:cs="Arial"/>
                    </w:rPr>
                    <m:t>i</m:t>
                  </m:r>
                </m:sub>
              </m:sSub>
            </m:den>
          </m:f>
        </m:oMath>
      </m:oMathPara>
    </w:p>
    <w:p w14:paraId="3A8ED605" w14:textId="67F76080" w:rsidR="00E502C8" w:rsidRPr="004030F5" w:rsidRDefault="00CC69D0" w:rsidP="009306C8">
      <w:pPr>
        <w:spacing w:line="480" w:lineRule="auto"/>
        <w:rPr>
          <w:rFonts w:cs="Arial"/>
        </w:rPr>
      </w:pPr>
      <w:r w:rsidRPr="004030F5">
        <w:rPr>
          <w:rFonts w:cs="Arial"/>
        </w:rPr>
        <w:t xml:space="preserve">Where, </w:t>
      </w:r>
      <w:r w:rsidR="00A74C38" w:rsidRPr="004030F5">
        <w:rPr>
          <w:rFonts w:cs="Arial"/>
        </w:rPr>
        <w:t>N = the number of total identified proteins</w:t>
      </w:r>
      <w:r w:rsidR="00DC1433" w:rsidRPr="004030F5">
        <w:rPr>
          <w:rFonts w:cs="Arial"/>
        </w:rPr>
        <w:t xml:space="preserve">, uSC is SC of unique peptide, sSC is SC of shared peptide, Length is protein length and M is </w:t>
      </w:r>
      <w:r w:rsidR="00F824AF" w:rsidRPr="004030F5">
        <w:rPr>
          <w:rFonts w:cs="Arial"/>
        </w:rPr>
        <w:t>the number of unique proteins.</w:t>
      </w:r>
      <w:r w:rsidR="00181BF5" w:rsidRPr="004030F5">
        <w:rPr>
          <w:rFonts w:cs="Arial"/>
        </w:rPr>
        <w:t xml:space="preserve">  Sum of dNSAF</w:t>
      </w:r>
      <w:r w:rsidR="0064722F" w:rsidRPr="004030F5">
        <w:rPr>
          <w:rFonts w:cs="Arial"/>
        </w:rPr>
        <w:t xml:space="preserve"> within a MS run is 1, so dNSAF number is too small.  This small number of dNSAF is often logged to make it easy to analyze.</w:t>
      </w:r>
    </w:p>
    <w:p w14:paraId="3FF28069" w14:textId="77777777" w:rsidR="00E05B93" w:rsidRPr="004030F5" w:rsidRDefault="00765E28" w:rsidP="00E05B93">
      <w:pPr>
        <w:spacing w:line="480" w:lineRule="auto"/>
        <w:rPr>
          <w:rFonts w:cs="Arial"/>
        </w:rPr>
      </w:pPr>
      <w:r w:rsidRPr="004030F5">
        <w:rPr>
          <w:rFonts w:cs="Arial"/>
        </w:rPr>
        <w:tab/>
      </w:r>
      <w:r w:rsidR="007125B3" w:rsidRPr="004030F5">
        <w:rPr>
          <w:rFonts w:cs="Arial"/>
        </w:rPr>
        <w:t xml:space="preserve">In addition to NSAF, </w:t>
      </w:r>
      <w:r w:rsidR="004344BF" w:rsidRPr="004030F5">
        <w:rPr>
          <w:rFonts w:cs="Arial"/>
        </w:rPr>
        <w:t xml:space="preserve">there are a few normalization methods including total PSM normalization, </w:t>
      </w:r>
      <w:r w:rsidR="00E05B93" w:rsidRPr="004030F5">
        <w:rPr>
          <w:rFonts w:cs="Arial"/>
        </w:rPr>
        <w:t>exponentially modified protein abundance index (emPAI)</w:t>
      </w:r>
    </w:p>
    <w:p w14:paraId="668BEC26" w14:textId="4E2F0AAF" w:rsidR="00765E28" w:rsidRPr="004030F5" w:rsidRDefault="004344BF" w:rsidP="009306C8">
      <w:pPr>
        <w:spacing w:line="480" w:lineRule="auto"/>
        <w:rPr>
          <w:rFonts w:cs="Arial"/>
        </w:rPr>
      </w:pPr>
      <w:proofErr w:type="gramStart"/>
      <w:r w:rsidRPr="004030F5">
        <w:rPr>
          <w:rFonts w:cs="Arial"/>
        </w:rPr>
        <w:t>and</w:t>
      </w:r>
      <w:proofErr w:type="gramEnd"/>
      <w:r w:rsidRPr="004030F5">
        <w:rPr>
          <w:rFonts w:cs="Arial"/>
        </w:rPr>
        <w:t xml:space="preserve"> </w:t>
      </w:r>
      <w:r w:rsidR="0084018F" w:rsidRPr="004030F5">
        <w:rPr>
          <w:rFonts w:cs="Arial"/>
        </w:rPr>
        <w:t xml:space="preserve">quantile </w:t>
      </w:r>
      <w:r w:rsidRPr="004030F5">
        <w:rPr>
          <w:rFonts w:cs="Arial"/>
        </w:rPr>
        <w:t xml:space="preserve">normalization.  </w:t>
      </w:r>
      <w:r w:rsidR="002030B5" w:rsidRPr="004030F5">
        <w:rPr>
          <w:rFonts w:cs="Arial"/>
        </w:rPr>
        <w:t>N</w:t>
      </w:r>
      <w:r w:rsidR="00E444A7" w:rsidRPr="004030F5">
        <w:rPr>
          <w:rFonts w:cs="Arial"/>
        </w:rPr>
        <w:t xml:space="preserve">ormalization by total </w:t>
      </w:r>
      <w:r w:rsidR="00BF5F9B" w:rsidRPr="004030F5">
        <w:rPr>
          <w:rFonts w:cs="Arial"/>
        </w:rPr>
        <w:t xml:space="preserve">sum of PSM is also widely used in metaproteomics studies </w:t>
      </w:r>
      <w:r w:rsidR="003C772C" w:rsidRPr="004030F5">
        <w:rPr>
          <w:rFonts w:cs="Arial"/>
        </w:rPr>
        <w:fldChar w:fldCharType="begin"/>
      </w:r>
      <w:r w:rsidR="00A2095B" w:rsidRPr="004030F5">
        <w:rPr>
          <w:rFonts w:cs="Arial"/>
        </w:rPr>
        <w:instrText xml:space="preserve"> ADDIN EN.CITE &lt;EndNote&gt;&lt;Cite&gt;&lt;Author&gt;Erickson&lt;/Author&gt;&lt;Year&gt;2012&lt;/Year&gt;&lt;RecNum&gt;72&lt;/RecNum&gt;&lt;DisplayText&gt;[73]&lt;/DisplayText&gt;&lt;record&gt;&lt;rec-number&gt;72&lt;/rec-number&gt;&lt;foreign-keys&gt;&lt;key app="EN" db-id="efx2002d5f0z21etvw3x9zp7tw2axpa2eez0" timestamp="1433600293"&gt;72&lt;/key&gt;&lt;/foreign-keys&gt;&lt;ref-type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3C772C" w:rsidRPr="004030F5">
        <w:rPr>
          <w:rFonts w:cs="Arial"/>
        </w:rPr>
        <w:fldChar w:fldCharType="separate"/>
      </w:r>
      <w:r w:rsidR="00A2095B" w:rsidRPr="004030F5">
        <w:rPr>
          <w:rFonts w:cs="Arial"/>
          <w:noProof/>
        </w:rPr>
        <w:t>[73]</w:t>
      </w:r>
      <w:r w:rsidR="003C772C" w:rsidRPr="004030F5">
        <w:rPr>
          <w:rFonts w:cs="Arial"/>
        </w:rPr>
        <w:fldChar w:fldCharType="end"/>
      </w:r>
      <w:r w:rsidR="00C43A53" w:rsidRPr="004030F5">
        <w:rPr>
          <w:rFonts w:cs="Arial"/>
        </w:rPr>
        <w:t xml:space="preserve"> and is calculated as described below:</w:t>
      </w:r>
    </w:p>
    <w:p w14:paraId="4547389D" w14:textId="1704B696" w:rsidR="00C43A53" w:rsidRPr="004030F5" w:rsidRDefault="002F48F1" w:rsidP="009306C8">
      <w:pPr>
        <w:spacing w:line="480" w:lineRule="auto"/>
        <w:rPr>
          <w:rFonts w:cs="Arial"/>
        </w:rPr>
      </w:pPr>
      <m:oMathPara>
        <m:oMath>
          <m:r>
            <w:rPr>
              <w:rFonts w:ascii="Cambria Math" w:hAnsi="Cambria Math" w:cs="Arial"/>
            </w:rPr>
            <m:t xml:space="preserve">Normalized </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r>
            <w:rPr>
              <w:rFonts w:ascii="Cambria Math" w:hAnsi="Cambria Math" w:cs="Arial"/>
            </w:rPr>
            <m:t xml:space="preserve">= </m:t>
          </m:r>
          <m:f>
            <m:fPr>
              <m:ctrlPr>
                <w:rPr>
                  <w:rFonts w:ascii="Cambria Math" w:hAnsi="Cambria Math" w:cs="Arial"/>
                  <w:i/>
                </w:rPr>
              </m:ctrlPr>
            </m:fPr>
            <m:num>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e>
                  </m:nary>
                </m:num>
                <m:den>
                  <m:r>
                    <w:rPr>
                      <w:rFonts w:ascii="Cambria Math" w:hAnsi="Cambria Math" w:cs="Arial"/>
                    </w:rPr>
                    <m:t>M</m:t>
                  </m:r>
                </m:den>
              </m:f>
            </m:num>
            <m:den>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den>
          </m:f>
          <m:r>
            <w:rPr>
              <w:rFonts w:ascii="Cambria Math" w:hAnsi="Cambria Math" w:cs="Arial"/>
            </w:rPr>
            <m:t>×</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oMath>
      </m:oMathPara>
    </w:p>
    <w:p w14:paraId="4E073A89" w14:textId="2AD4101E" w:rsidR="009306C8" w:rsidRPr="004030F5" w:rsidRDefault="001552F8" w:rsidP="009306C8">
      <w:pPr>
        <w:spacing w:line="480" w:lineRule="auto"/>
        <w:rPr>
          <w:rFonts w:cs="Arial"/>
        </w:rPr>
      </w:pPr>
      <w:r w:rsidRPr="004030F5">
        <w:rPr>
          <w:rFonts w:cs="Arial"/>
        </w:rPr>
        <w:t>Where, N = the number proteins and M = the number MS runs.</w:t>
      </w:r>
      <w:r w:rsidR="00181BF5" w:rsidRPr="004030F5">
        <w:rPr>
          <w:rFonts w:cs="Arial"/>
        </w:rPr>
        <w:t xml:space="preserve">  The</w:t>
      </w:r>
      <w:r w:rsidR="00FB6618" w:rsidRPr="004030F5">
        <w:rPr>
          <w:rFonts w:cs="Arial"/>
        </w:rPr>
        <w:t xml:space="preserve"> total sum normalization</w:t>
      </w:r>
      <w:r w:rsidR="00502DCC" w:rsidRPr="004030F5">
        <w:rPr>
          <w:rFonts w:cs="Arial"/>
        </w:rPr>
        <w:t xml:space="preserve"> assumes that all the MS runs should have same amount of PSMs theoretically, so it</w:t>
      </w:r>
      <w:r w:rsidR="00FB6618" w:rsidRPr="004030F5">
        <w:rPr>
          <w:rFonts w:cs="Arial"/>
        </w:rPr>
        <w:t xml:space="preserve"> makes MS runs </w:t>
      </w:r>
      <w:r w:rsidR="00874558" w:rsidRPr="004030F5">
        <w:rPr>
          <w:rFonts w:cs="Arial"/>
        </w:rPr>
        <w:t>to hav</w:t>
      </w:r>
      <w:r w:rsidR="009E0647" w:rsidRPr="004030F5">
        <w:rPr>
          <w:rFonts w:cs="Arial"/>
        </w:rPr>
        <w:t xml:space="preserve">e same sum of total PSM.  However, the total sum normalization tends to amplify </w:t>
      </w:r>
      <w:r w:rsidR="00177851" w:rsidRPr="004030F5">
        <w:rPr>
          <w:rFonts w:cs="Arial"/>
        </w:rPr>
        <w:t>small sum of PSM runs</w:t>
      </w:r>
      <w:r w:rsidR="0032024B" w:rsidRPr="004030F5">
        <w:rPr>
          <w:rFonts w:cs="Arial"/>
        </w:rPr>
        <w:t xml:space="preserve"> too much</w:t>
      </w:r>
      <w:r w:rsidR="00177851" w:rsidRPr="004030F5">
        <w:rPr>
          <w:rFonts w:cs="Arial"/>
        </w:rPr>
        <w:t xml:space="preserve">. </w:t>
      </w:r>
      <w:r w:rsidR="006376D3" w:rsidRPr="004030F5">
        <w:rPr>
          <w:rFonts w:cs="Arial"/>
        </w:rPr>
        <w:t xml:space="preserve">Small sum of PSM runs generally have small number of proteins, so the total sum normalization method can make false </w:t>
      </w:r>
      <w:r w:rsidR="0046487F" w:rsidRPr="004030F5">
        <w:rPr>
          <w:rFonts w:cs="Arial"/>
        </w:rPr>
        <w:t>positives by making data distortion.  To complement this disadvantage of total sum normalization, average normalization can be</w:t>
      </w:r>
      <w:r w:rsidR="00417764" w:rsidRPr="004030F5">
        <w:rPr>
          <w:rFonts w:cs="Arial"/>
        </w:rPr>
        <w:t xml:space="preserve"> used as described below:</w:t>
      </w:r>
    </w:p>
    <w:p w14:paraId="3704097C" w14:textId="1CDC221B" w:rsidR="00402853" w:rsidRPr="004030F5" w:rsidRDefault="00177851" w:rsidP="009306C8">
      <w:pPr>
        <w:spacing w:line="480" w:lineRule="auto"/>
        <w:rPr>
          <w:rFonts w:cs="Arial"/>
        </w:rPr>
      </w:pPr>
      <m:oMathPara>
        <m:oMath>
          <m:r>
            <w:rPr>
              <w:rFonts w:ascii="Cambria Math" w:hAnsi="Cambria Math" w:cs="Arial"/>
            </w:rPr>
            <w:lastRenderedPageBreak/>
            <m:t xml:space="preserve">Normalized </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r>
            <w:rPr>
              <w:rFonts w:ascii="Cambria Math" w:hAnsi="Cambria Math" w:cs="Arial"/>
            </w:rPr>
            <m:t xml:space="preserve">= </m:t>
          </m:r>
          <m:f>
            <m:fPr>
              <m:ctrlPr>
                <w:rPr>
                  <w:rFonts w:ascii="Cambria Math" w:hAnsi="Cambria Math" w:cs="Arial"/>
                  <w:i/>
                </w:rPr>
              </m:ctrlPr>
            </m:fPr>
            <m:num>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M</m:t>
                      </m:r>
                    </m:sup>
                    <m:e>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num>
                        <m:den>
                          <m:r>
                            <w:rPr>
                              <w:rFonts w:ascii="Cambria Math" w:hAnsi="Cambria Math" w:cs="Arial"/>
                            </w:rPr>
                            <m:t>N</m:t>
                          </m:r>
                        </m:den>
                      </m:f>
                    </m:e>
                  </m:nary>
                </m:num>
                <m:den>
                  <m:r>
                    <w:rPr>
                      <w:rFonts w:ascii="Cambria Math" w:hAnsi="Cambria Math" w:cs="Arial"/>
                    </w:rPr>
                    <m:t>M</m:t>
                  </m:r>
                </m:den>
              </m:f>
            </m:num>
            <m:den>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num>
                <m:den>
                  <m:r>
                    <w:rPr>
                      <w:rFonts w:ascii="Cambria Math" w:hAnsi="Cambria Math" w:cs="Arial"/>
                    </w:rPr>
                    <m:t>N</m:t>
                  </m:r>
                </m:den>
              </m:f>
            </m:den>
          </m:f>
          <m:r>
            <w:rPr>
              <w:rFonts w:ascii="Cambria Math" w:hAnsi="Cambria Math" w:cs="Arial"/>
            </w:rPr>
            <m:t>×</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oMath>
      </m:oMathPara>
    </w:p>
    <w:p w14:paraId="2248E6ED" w14:textId="77777777" w:rsidR="00267D1D" w:rsidRPr="004030F5" w:rsidRDefault="00267D1D" w:rsidP="009306C8">
      <w:pPr>
        <w:spacing w:line="480" w:lineRule="auto"/>
        <w:rPr>
          <w:rFonts w:cs="Arial"/>
        </w:rPr>
      </w:pPr>
      <w:r w:rsidRPr="004030F5">
        <w:rPr>
          <w:rFonts w:cs="Arial"/>
        </w:rPr>
        <w:t>Where, N = the number proteins and M = the number MS runs.</w:t>
      </w:r>
    </w:p>
    <w:p w14:paraId="43315380" w14:textId="31F7586E" w:rsidR="00EF76FA" w:rsidRPr="004030F5" w:rsidRDefault="00EF76FA" w:rsidP="009306C8">
      <w:pPr>
        <w:spacing w:line="480" w:lineRule="auto"/>
        <w:rPr>
          <w:rFonts w:cs="Arial"/>
        </w:rPr>
      </w:pPr>
      <w:r w:rsidRPr="004030F5">
        <w:rPr>
          <w:rFonts w:cs="Arial"/>
        </w:rPr>
        <w:tab/>
      </w:r>
      <w:r w:rsidR="00CE2B15" w:rsidRPr="004030F5">
        <w:rPr>
          <w:rFonts w:cs="Arial"/>
        </w:rPr>
        <w:t>Normalization using emPAI method is used in MASCOT searches</w:t>
      </w:r>
      <w:r w:rsidR="00AE1712" w:rsidRPr="004030F5">
        <w:rPr>
          <w:rFonts w:cs="Arial"/>
        </w:rPr>
        <w:t xml:space="preserve"> </w:t>
      </w:r>
      <w:r w:rsidR="00D214AB" w:rsidRPr="004030F5">
        <w:rPr>
          <w:rFonts w:cs="Arial"/>
        </w:rPr>
        <w:fldChar w:fldCharType="begin"/>
      </w:r>
      <w:r w:rsidR="00A2095B" w:rsidRPr="004030F5">
        <w:rPr>
          <w:rFonts w:cs="Arial"/>
        </w:rPr>
        <w:instrText xml:space="preserve"> ADDIN EN.CITE &lt;EndNote&gt;&lt;Cite&gt;&lt;Author&gt;Ishihama&lt;/Author&gt;&lt;Year&gt;2005&lt;/Year&gt;&lt;RecNum&gt;73&lt;/RecNum&gt;&lt;DisplayText&gt;[74]&lt;/DisplayText&gt;&lt;record&gt;&lt;rec-number&gt;73&lt;/rec-number&gt;&lt;foreign-keys&gt;&lt;key app="EN" db-id="efx2002d5f0z21etvw3x9zp7tw2axpa2eez0" timestamp="1433601655"&gt;73&lt;/key&gt;&lt;/foreign-keys&gt;&lt;ref-type name="Journal Article"&gt;17&lt;/ref-type&gt;&lt;contributors&gt;&lt;authors&gt;&lt;author&gt;Ishihama, Yasushi&lt;/author&gt;&lt;author&gt;Oda, Yoshiya&lt;/author&gt;&lt;author&gt;Tabata, Tsuyoshi&lt;/author&gt;&lt;author&gt;Sato, Toshitaka&lt;/author&gt;&lt;author&gt;Nagasu, Takeshi&lt;/author&gt;&lt;author&gt;Rappsilber, Juri&lt;/author&gt;&lt;author&gt;Mann, Matthias&lt;/author&gt;&lt;/authors&gt;&lt;/contributors&gt;&lt;titles&gt;&lt;title&gt;Exponentially modified protein abundance index (emPAI) for estimation of absolute protein amount in proteomics by the number of sequenced peptides per protein&lt;/title&gt;&lt;secondary-title&gt;Molecular &amp;amp; Cellular Proteomics&lt;/secondary-title&gt;&lt;/titles&gt;&lt;periodical&gt;&lt;full-title&gt;Molecular &amp;amp; Cellular Proteomics&lt;/full-title&gt;&lt;/periodical&gt;&lt;pages&gt;1265-1272&lt;/pages&gt;&lt;volume&gt;4&lt;/volume&gt;&lt;number&gt;9&lt;/number&gt;&lt;dates&gt;&lt;year&gt;2005&lt;/year&gt;&lt;/dates&gt;&lt;isbn&gt;1535-9476&lt;/isbn&gt;&lt;urls&gt;&lt;/urls&gt;&lt;/record&gt;&lt;/Cite&gt;&lt;/EndNote&gt;</w:instrText>
      </w:r>
      <w:r w:rsidR="00D214AB" w:rsidRPr="004030F5">
        <w:rPr>
          <w:rFonts w:cs="Arial"/>
        </w:rPr>
        <w:fldChar w:fldCharType="separate"/>
      </w:r>
      <w:r w:rsidR="00A2095B" w:rsidRPr="004030F5">
        <w:rPr>
          <w:rFonts w:cs="Arial"/>
          <w:noProof/>
        </w:rPr>
        <w:t>[74]</w:t>
      </w:r>
      <w:r w:rsidR="00D214AB" w:rsidRPr="004030F5">
        <w:rPr>
          <w:rFonts w:cs="Arial"/>
        </w:rPr>
        <w:fldChar w:fldCharType="end"/>
      </w:r>
      <w:r w:rsidR="00D214AB" w:rsidRPr="004030F5">
        <w:rPr>
          <w:rFonts w:cs="Arial"/>
        </w:rPr>
        <w:t xml:space="preserve">.  </w:t>
      </w:r>
      <w:proofErr w:type="gramStart"/>
      <w:r w:rsidR="00D504D7" w:rsidRPr="004030F5">
        <w:rPr>
          <w:rFonts w:cs="Arial"/>
        </w:rPr>
        <w:t>emPAI</w:t>
      </w:r>
      <w:proofErr w:type="gramEnd"/>
      <w:r w:rsidR="00D504D7" w:rsidRPr="004030F5">
        <w:rPr>
          <w:rFonts w:cs="Arial"/>
        </w:rPr>
        <w:t xml:space="preserve"> is also designed for label-free proteomics and considers the number of experimentally observed </w:t>
      </w:r>
      <w:r w:rsidR="00841A8E" w:rsidRPr="004030F5">
        <w:rPr>
          <w:rFonts w:cs="Arial"/>
        </w:rPr>
        <w:t>peptide and observable peptides calculated as described below:</w:t>
      </w:r>
    </w:p>
    <w:p w14:paraId="70068114" w14:textId="062FD5C1" w:rsidR="00841A8E" w:rsidRPr="004030F5" w:rsidRDefault="00C54835" w:rsidP="009306C8">
      <w:pPr>
        <w:spacing w:line="480" w:lineRule="auto"/>
        <w:rPr>
          <w:rFonts w:cs="Arial"/>
        </w:rPr>
      </w:pPr>
      <m:oMathPara>
        <m:oMath>
          <m:r>
            <w:rPr>
              <w:rFonts w:ascii="Cambria Math" w:hAnsi="Cambria Math" w:cs="Arial"/>
            </w:rPr>
            <m:t>emPAI=</m:t>
          </m:r>
          <m:sSup>
            <m:sSupPr>
              <m:ctrlPr>
                <w:rPr>
                  <w:rFonts w:ascii="Cambria Math" w:hAnsi="Cambria Math" w:cs="Arial"/>
                  <w:i/>
                </w:rPr>
              </m:ctrlPr>
            </m:sSupPr>
            <m:e>
              <m:r>
                <w:rPr>
                  <w:rFonts w:ascii="Cambria Math" w:hAnsi="Cambria Math" w:cs="Arial"/>
                </w:rPr>
                <m:t>10</m:t>
              </m:r>
            </m:e>
            <m:sup>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N</m:t>
                      </m:r>
                    </m:e>
                    <m:sub>
                      <m:r>
                        <w:rPr>
                          <w:rFonts w:ascii="Cambria Math" w:hAnsi="Cambria Math" w:cs="Arial"/>
                        </w:rPr>
                        <m:t>observed</m:t>
                      </m:r>
                    </m:sub>
                  </m:sSub>
                </m:num>
                <m:den>
                  <m:sSub>
                    <m:sSubPr>
                      <m:ctrlPr>
                        <w:rPr>
                          <w:rFonts w:ascii="Cambria Math" w:hAnsi="Cambria Math" w:cs="Arial"/>
                          <w:i/>
                        </w:rPr>
                      </m:ctrlPr>
                    </m:sSubPr>
                    <m:e>
                      <m:r>
                        <w:rPr>
                          <w:rFonts w:ascii="Cambria Math" w:hAnsi="Cambria Math" w:cs="Arial"/>
                        </w:rPr>
                        <m:t>N</m:t>
                      </m:r>
                    </m:e>
                    <m:sub>
                      <m:r>
                        <w:rPr>
                          <w:rFonts w:ascii="Cambria Math" w:hAnsi="Cambria Math" w:cs="Arial"/>
                        </w:rPr>
                        <m:t>observable</m:t>
                      </m:r>
                    </m:sub>
                  </m:sSub>
                </m:den>
              </m:f>
            </m:sup>
          </m:sSup>
          <m:r>
            <w:rPr>
              <w:rFonts w:ascii="Cambria Math" w:hAnsi="Cambria Math" w:cs="Arial"/>
            </w:rPr>
            <m:t>-1</m:t>
          </m:r>
        </m:oMath>
      </m:oMathPara>
    </w:p>
    <w:p w14:paraId="7CCCB3B3" w14:textId="7CDA93CC" w:rsidR="00267D1D" w:rsidRPr="004030F5" w:rsidRDefault="00C54835" w:rsidP="009306C8">
      <w:pPr>
        <w:spacing w:line="480" w:lineRule="auto"/>
        <w:rPr>
          <w:rFonts w:cs="Arial"/>
        </w:rPr>
      </w:pPr>
      <w:r w:rsidRPr="004030F5">
        <w:rPr>
          <w:rFonts w:cs="Arial"/>
        </w:rPr>
        <w:t>Where, N</w:t>
      </w:r>
      <w:r w:rsidRPr="004030F5">
        <w:rPr>
          <w:rFonts w:cs="Arial"/>
          <w:vertAlign w:val="subscript"/>
        </w:rPr>
        <w:t xml:space="preserve">observed </w:t>
      </w:r>
      <w:r w:rsidRPr="004030F5">
        <w:rPr>
          <w:rFonts w:cs="Arial"/>
        </w:rPr>
        <w:t>= the number of experimentally observed peptides and N</w:t>
      </w:r>
      <w:r w:rsidRPr="004030F5">
        <w:rPr>
          <w:rFonts w:cs="Arial"/>
          <w:vertAlign w:val="subscript"/>
        </w:rPr>
        <w:t xml:space="preserve">observable </w:t>
      </w:r>
      <w:r w:rsidRPr="004030F5">
        <w:rPr>
          <w:rFonts w:cs="Arial"/>
        </w:rPr>
        <w:t>= the number of theo</w:t>
      </w:r>
      <w:r w:rsidR="003E7510" w:rsidRPr="004030F5">
        <w:rPr>
          <w:rFonts w:cs="Arial"/>
        </w:rPr>
        <w:t xml:space="preserve">retically observable peptides.  </w:t>
      </w:r>
      <w:proofErr w:type="gramStart"/>
      <w:r w:rsidR="003E7510" w:rsidRPr="004030F5">
        <w:rPr>
          <w:rFonts w:cs="Arial"/>
        </w:rPr>
        <w:t>N</w:t>
      </w:r>
      <w:r w:rsidR="003E7510" w:rsidRPr="004030F5">
        <w:rPr>
          <w:rFonts w:cs="Arial"/>
          <w:vertAlign w:val="subscript"/>
        </w:rPr>
        <w:t xml:space="preserve">observable  </w:t>
      </w:r>
      <w:r w:rsidR="003E7510" w:rsidRPr="004030F5">
        <w:rPr>
          <w:rFonts w:cs="Arial"/>
        </w:rPr>
        <w:t>is</w:t>
      </w:r>
      <w:proofErr w:type="gramEnd"/>
      <w:r w:rsidR="003E7510" w:rsidRPr="004030F5">
        <w:rPr>
          <w:rFonts w:cs="Arial"/>
        </w:rPr>
        <w:t xml:space="preserve"> calculated by in silico protein digestion</w:t>
      </w:r>
      <w:r w:rsidR="00FE7241" w:rsidRPr="004030F5">
        <w:rPr>
          <w:rFonts w:cs="Arial"/>
        </w:rPr>
        <w:t xml:space="preserve"> considering digestion enzyme, </w:t>
      </w:r>
      <w:r w:rsidR="00184AE9" w:rsidRPr="004030F5">
        <w:rPr>
          <w:rFonts w:cs="Arial"/>
        </w:rPr>
        <w:t>allowed miss-cleavages and mass range of the instrument</w:t>
      </w:r>
      <w:r w:rsidR="003E7510" w:rsidRPr="004030F5">
        <w:rPr>
          <w:rFonts w:cs="Arial"/>
        </w:rPr>
        <w:t>.</w:t>
      </w:r>
      <w:r w:rsidR="00EC79D9" w:rsidRPr="004030F5">
        <w:rPr>
          <w:rFonts w:cs="Arial"/>
        </w:rPr>
        <w:t xml:space="preserve">  </w:t>
      </w:r>
      <w:r w:rsidR="000B7592" w:rsidRPr="004030F5">
        <w:rPr>
          <w:rFonts w:cs="Arial"/>
        </w:rPr>
        <w:t xml:space="preserve">Even though emPAI normalize SC considering potential number of peptides, it does not </w:t>
      </w:r>
      <w:r w:rsidR="00FA3ECD" w:rsidRPr="004030F5">
        <w:rPr>
          <w:rFonts w:cs="Arial"/>
        </w:rPr>
        <w:t>correct</w:t>
      </w:r>
      <w:r w:rsidR="000B7592" w:rsidRPr="004030F5">
        <w:rPr>
          <w:rFonts w:cs="Arial"/>
        </w:rPr>
        <w:t xml:space="preserve"> </w:t>
      </w:r>
      <w:r w:rsidR="00145B6C" w:rsidRPr="004030F5">
        <w:rPr>
          <w:rFonts w:cs="Arial"/>
        </w:rPr>
        <w:t xml:space="preserve">systemic </w:t>
      </w:r>
      <w:r w:rsidR="000B7592" w:rsidRPr="004030F5">
        <w:rPr>
          <w:rFonts w:cs="Arial"/>
        </w:rPr>
        <w:t>error between different MS runs.</w:t>
      </w:r>
    </w:p>
    <w:p w14:paraId="59E5CFDC" w14:textId="20891E2A" w:rsidR="0091049C" w:rsidRPr="004030F5" w:rsidRDefault="0010459D" w:rsidP="009306C8">
      <w:pPr>
        <w:spacing w:line="480" w:lineRule="auto"/>
        <w:rPr>
          <w:rFonts w:cs="Arial"/>
        </w:rPr>
      </w:pPr>
      <w:r w:rsidRPr="004030F5">
        <w:rPr>
          <w:rFonts w:cs="Arial"/>
        </w:rPr>
        <w:tab/>
        <w:t xml:space="preserve">Quantile normalization is a technique for making two distributions identical in statistics.  </w:t>
      </w:r>
      <w:r w:rsidR="00486BA5" w:rsidRPr="004030F5">
        <w:rPr>
          <w:rFonts w:cs="Arial"/>
        </w:rPr>
        <w:t xml:space="preserve">Quantile normalization considers rank of SC within a MS run and </w:t>
      </w:r>
      <w:proofErr w:type="gramStart"/>
      <w:r w:rsidR="00486BA5" w:rsidRPr="004030F5">
        <w:rPr>
          <w:rFonts w:cs="Arial"/>
        </w:rPr>
        <w:t>make</w:t>
      </w:r>
      <w:proofErr w:type="gramEnd"/>
      <w:r w:rsidR="00486BA5" w:rsidRPr="004030F5">
        <w:rPr>
          <w:rFonts w:cs="Arial"/>
        </w:rPr>
        <w:t xml:space="preserve"> same rank to have same SC across MS runs.  </w:t>
      </w:r>
      <w:r w:rsidR="00EC79D9" w:rsidRPr="004030F5">
        <w:rPr>
          <w:rFonts w:cs="Arial"/>
        </w:rPr>
        <w:t xml:space="preserve">Since quantile </w:t>
      </w:r>
      <w:r w:rsidR="00791CFF" w:rsidRPr="004030F5">
        <w:rPr>
          <w:rFonts w:cs="Arial"/>
        </w:rPr>
        <w:t xml:space="preserve">normalization make MS runs to have same SC on same rank, </w:t>
      </w:r>
      <w:r w:rsidR="006535B9" w:rsidRPr="004030F5">
        <w:rPr>
          <w:rFonts w:cs="Arial"/>
        </w:rPr>
        <w:t xml:space="preserve">it can distort data too much similar to </w:t>
      </w:r>
      <w:r w:rsidR="00C57FD7" w:rsidRPr="004030F5">
        <w:rPr>
          <w:rFonts w:cs="Arial"/>
        </w:rPr>
        <w:t>total sum normalization.</w:t>
      </w:r>
    </w:p>
    <w:p w14:paraId="2F01DA85" w14:textId="13C0511C" w:rsidR="009B2E81" w:rsidRPr="004030F5" w:rsidRDefault="009306C8" w:rsidP="00707AF7">
      <w:pPr>
        <w:spacing w:line="480" w:lineRule="auto"/>
        <w:ind w:firstLine="720"/>
        <w:rPr>
          <w:rFonts w:cs="Arial"/>
        </w:rPr>
      </w:pPr>
      <w:r w:rsidRPr="004030F5">
        <w:rPr>
          <w:rFonts w:cs="Arial"/>
        </w:rPr>
        <w:t>Statistical analysis</w:t>
      </w:r>
      <w:r w:rsidR="002243E1" w:rsidRPr="004030F5">
        <w:rPr>
          <w:rFonts w:cs="Arial"/>
        </w:rPr>
        <w:t xml:space="preserve"> in proteomics is </w:t>
      </w:r>
      <w:r w:rsidR="00487B98" w:rsidRPr="004030F5">
        <w:rPr>
          <w:rFonts w:cs="Arial"/>
        </w:rPr>
        <w:t xml:space="preserve">not quite different from other biology data analysis.  </w:t>
      </w:r>
      <w:r w:rsidR="00081EC5" w:rsidRPr="004030F5">
        <w:rPr>
          <w:rFonts w:cs="Arial"/>
        </w:rPr>
        <w:t xml:space="preserve">Student’s t test, ANOVA and </w:t>
      </w:r>
      <w:r w:rsidR="00AA222C" w:rsidRPr="004030F5">
        <w:rPr>
          <w:rFonts w:cs="Arial"/>
        </w:rPr>
        <w:t>quasi-</w:t>
      </w:r>
      <w:r w:rsidR="00081EC5" w:rsidRPr="004030F5">
        <w:rPr>
          <w:rFonts w:cs="Arial"/>
        </w:rPr>
        <w:t xml:space="preserve">Poisson </w:t>
      </w:r>
      <w:r w:rsidR="0067453D" w:rsidRPr="004030F5">
        <w:rPr>
          <w:rFonts w:cs="Arial"/>
        </w:rPr>
        <w:t>modeling</w:t>
      </w:r>
      <w:r w:rsidR="00081EC5" w:rsidRPr="004030F5">
        <w:rPr>
          <w:rFonts w:cs="Arial"/>
        </w:rPr>
        <w:t xml:space="preserve"> </w:t>
      </w:r>
      <w:r w:rsidR="009B2E81" w:rsidRPr="004030F5">
        <w:rPr>
          <w:rFonts w:cs="Arial"/>
        </w:rPr>
        <w:t>are</w:t>
      </w:r>
      <w:r w:rsidR="00081EC5" w:rsidRPr="004030F5">
        <w:rPr>
          <w:rFonts w:cs="Arial"/>
        </w:rPr>
        <w:t xml:space="preserve"> used for statistical comparisons between different experiment groups.</w:t>
      </w:r>
      <w:r w:rsidR="009B2E81" w:rsidRPr="004030F5">
        <w:rPr>
          <w:rFonts w:cs="Arial"/>
        </w:rPr>
        <w:t xml:space="preserve">  </w:t>
      </w:r>
      <w:r w:rsidR="005E0F7B" w:rsidRPr="004030F5">
        <w:rPr>
          <w:rFonts w:cs="Arial"/>
        </w:rPr>
        <w:t xml:space="preserve">Students’ test and </w:t>
      </w:r>
      <w:r w:rsidR="005E0F7B" w:rsidRPr="004030F5">
        <w:rPr>
          <w:rFonts w:cs="Arial"/>
        </w:rPr>
        <w:lastRenderedPageBreak/>
        <w:t xml:space="preserve">ANOVA requires Normal distribution assumption, but typical SC distribution in MS runs does not follow Normal distribution (Fig. 14).  </w:t>
      </w:r>
      <w:r w:rsidR="00C61E2B" w:rsidRPr="004030F5">
        <w:rPr>
          <w:rFonts w:cs="Arial"/>
        </w:rPr>
        <w:t>In figure 14, red empirical estimated line is not si</w:t>
      </w:r>
      <w:r w:rsidR="00BA6305" w:rsidRPr="004030F5">
        <w:rPr>
          <w:rFonts w:cs="Arial"/>
        </w:rPr>
        <w:t xml:space="preserve">milar blue Normal fitted line.  </w:t>
      </w:r>
      <w:r w:rsidR="00670D9D" w:rsidRPr="004030F5">
        <w:rPr>
          <w:rFonts w:cs="Arial"/>
        </w:rPr>
        <w:t xml:space="preserve">Left wing of blue Normal line is missing because </w:t>
      </w:r>
      <w:r w:rsidR="00102323" w:rsidRPr="004030F5">
        <w:rPr>
          <w:rFonts w:cs="Arial"/>
        </w:rPr>
        <w:t xml:space="preserve">negative values are not in SC.  Other distribution except Normal is required for proteomics data analysis, however various distributions are not tested in </w:t>
      </w:r>
      <w:r w:rsidR="008D13BD" w:rsidRPr="004030F5">
        <w:rPr>
          <w:rFonts w:cs="Arial"/>
        </w:rPr>
        <w:t>proteomics data analysis.  Recently quasi likelihood Poisson modeling (quasi-Poisson) is tested</w:t>
      </w:r>
      <w:r w:rsidR="002551F9" w:rsidRPr="004030F5">
        <w:rPr>
          <w:rFonts w:cs="Arial"/>
        </w:rPr>
        <w:t xml:space="preserve"> by Li et al</w:t>
      </w:r>
      <w:r w:rsidR="008D13BD" w:rsidRPr="004030F5">
        <w:rPr>
          <w:rFonts w:cs="Arial"/>
        </w:rPr>
        <w:t xml:space="preserve"> </w:t>
      </w:r>
      <w:r w:rsidR="002551F9" w:rsidRPr="004030F5">
        <w:rPr>
          <w:rFonts w:cs="Arial"/>
        </w:rPr>
        <w:fldChar w:fldCharType="begin"/>
      </w:r>
      <w:r w:rsidR="00A2095B" w:rsidRPr="004030F5">
        <w:rPr>
          <w:rFonts w:cs="Arial"/>
        </w:rPr>
        <w:instrText xml:space="preserve"> ADDIN EN.CITE &lt;EndNote&gt;&lt;Cite&gt;&lt;Author&gt;Li&lt;/Author&gt;&lt;Year&gt;2010&lt;/Year&gt;&lt;RecNum&gt;74&lt;/RecNum&gt;&lt;DisplayText&gt;[75]&lt;/DisplayText&gt;&lt;record&gt;&lt;rec-number&gt;74&lt;/rec-number&gt;&lt;foreign-keys&gt;&lt;key app="EN" db-id="efx2002d5f0z21etvw3x9zp7tw2axpa2eez0" timestamp="1433604293"&gt;74&lt;/key&gt;&lt;/foreign-keys&gt;&lt;ref-type name="Journal Article"&gt;17&lt;/ref-type&gt;&lt;contributors&gt;&lt;authors&gt;&lt;author&gt;Li, Ming&lt;/author&gt;&lt;author&gt;Gray, William&lt;/author&gt;&lt;author&gt;Zhang, Haixia&lt;/author&gt;&lt;author&gt;Chung, Christine H&lt;/author&gt;&lt;author&gt;Billheimer, Dean&lt;/author&gt;&lt;author&gt;Yarbrough, Wendell G&lt;/author&gt;&lt;author&gt;Liebler, Daniel C&lt;/author&gt;&lt;author&gt;Shyr, Yu&lt;/author&gt;&lt;author&gt;Slebos, Robbert JC&lt;/author&gt;&lt;/authors&gt;&lt;/contributors&gt;&lt;titles&gt;&lt;title&gt;Comparative shotgun proteomics using spectral count data and quasi-likelihood modeling&lt;/title&gt;&lt;secondary-title&gt;Journal of proteome research&lt;/secondary-title&gt;&lt;/titles&gt;&lt;periodical&gt;&lt;full-title&gt;Journal of proteome research&lt;/full-title&gt;&lt;/periodical&gt;&lt;pages&gt;4295-4305&lt;/pages&gt;&lt;volume&gt;9&lt;/volume&gt;&lt;number&gt;8&lt;/number&gt;&lt;dates&gt;&lt;year&gt;2010&lt;/year&gt;&lt;/dates&gt;&lt;isbn&gt;1535-3893&lt;/isbn&gt;&lt;urls&gt;&lt;/urls&gt;&lt;/record&gt;&lt;/Cite&gt;&lt;/EndNote&gt;</w:instrText>
      </w:r>
      <w:r w:rsidR="002551F9" w:rsidRPr="004030F5">
        <w:rPr>
          <w:rFonts w:cs="Arial"/>
        </w:rPr>
        <w:fldChar w:fldCharType="separate"/>
      </w:r>
      <w:r w:rsidR="00A2095B" w:rsidRPr="004030F5">
        <w:rPr>
          <w:rFonts w:cs="Arial"/>
          <w:noProof/>
        </w:rPr>
        <w:t>[75]</w:t>
      </w:r>
      <w:r w:rsidR="002551F9" w:rsidRPr="004030F5">
        <w:rPr>
          <w:rFonts w:cs="Arial"/>
        </w:rPr>
        <w:fldChar w:fldCharType="end"/>
      </w:r>
      <w:r w:rsidR="008D13BD" w:rsidRPr="004030F5">
        <w:rPr>
          <w:rFonts w:cs="Arial"/>
        </w:rPr>
        <w:t>.</w:t>
      </w:r>
      <w:r w:rsidR="002551F9" w:rsidRPr="004030F5">
        <w:rPr>
          <w:rFonts w:cs="Arial"/>
        </w:rPr>
        <w:t xml:space="preserve">  Li et al compared quasi-Poisson model to many methods including Fisher’s exact test, </w:t>
      </w:r>
      <w:r w:rsidR="003F4C5B" w:rsidRPr="004030F5">
        <w:rPr>
          <w:rFonts w:cs="Arial"/>
        </w:rPr>
        <w:t>Wilcoxon rank test</w:t>
      </w:r>
      <w:r w:rsidR="002551F9" w:rsidRPr="004030F5">
        <w:rPr>
          <w:rFonts w:cs="Arial"/>
        </w:rPr>
        <w:t xml:space="preserve"> and Student’s t t</w:t>
      </w:r>
      <w:r w:rsidR="003F4C5B" w:rsidRPr="004030F5">
        <w:rPr>
          <w:rFonts w:cs="Arial"/>
        </w:rPr>
        <w:t>est over LC-MS/MS data and successfully showed quasi-Poisson can be applied</w:t>
      </w:r>
      <w:r w:rsidR="00A45C69" w:rsidRPr="004030F5">
        <w:rPr>
          <w:rFonts w:cs="Arial"/>
        </w:rPr>
        <w:t xml:space="preserve"> for proteomics data analysis.</w:t>
      </w:r>
    </w:p>
    <w:p w14:paraId="3DDB5BAE" w14:textId="6FFBD4FA" w:rsidR="009B2E81" w:rsidRPr="004030F5" w:rsidRDefault="00BE39C8" w:rsidP="007C17A1">
      <w:pPr>
        <w:spacing w:line="480" w:lineRule="auto"/>
        <w:ind w:firstLine="720"/>
        <w:rPr>
          <w:rFonts w:cs="Arial"/>
        </w:rPr>
      </w:pPr>
      <w:r w:rsidRPr="004030F5">
        <w:rPr>
          <w:rFonts w:cs="Arial"/>
        </w:rPr>
        <w:t xml:space="preserve">Since </w:t>
      </w:r>
      <w:r w:rsidR="00C61315" w:rsidRPr="004030F5">
        <w:rPr>
          <w:rFonts w:cs="Arial"/>
        </w:rPr>
        <w:t xml:space="preserve">Student’s T-test </w:t>
      </w:r>
      <w:r w:rsidRPr="004030F5">
        <w:rPr>
          <w:rFonts w:cs="Arial"/>
        </w:rPr>
        <w:t xml:space="preserve">is not appropriate for multiple comparisons, </w:t>
      </w:r>
      <w:r w:rsidR="00401176" w:rsidRPr="004030F5">
        <w:rPr>
          <w:rFonts w:cs="Arial"/>
        </w:rPr>
        <w:t xml:space="preserve">required for all the large biology data analysis, ANOVA is more recommended. </w:t>
      </w:r>
      <w:r w:rsidR="00E00656" w:rsidRPr="004030F5">
        <w:rPr>
          <w:rFonts w:cs="Arial"/>
        </w:rPr>
        <w:t>Whenever T-test is conducted, there is a chance of Type I error, typically 5%</w:t>
      </w:r>
      <w:r w:rsidR="003064AF" w:rsidRPr="004030F5">
        <w:rPr>
          <w:rFonts w:cs="Arial"/>
        </w:rPr>
        <w:t>.  If we run T-test three times, potential Type I error will be accumulated up to 15%</w:t>
      </w:r>
      <w:r w:rsidR="00E00656" w:rsidRPr="004030F5">
        <w:rPr>
          <w:rFonts w:cs="Arial"/>
        </w:rPr>
        <w:t xml:space="preserve"> </w:t>
      </w:r>
      <w:r w:rsidR="00E00656" w:rsidRPr="004030F5">
        <w:rPr>
          <w:rFonts w:cs="Arial"/>
        </w:rPr>
        <w:fldChar w:fldCharType="begin"/>
      </w:r>
      <w:r w:rsidR="00A2095B" w:rsidRPr="004030F5">
        <w:rPr>
          <w:rFonts w:cs="Arial"/>
        </w:rPr>
        <w:instrText xml:space="preserve"> ADDIN EN.CITE &lt;EndNote&gt;&lt;Cite&gt;&lt;Author&gt;Ltd&lt;/Author&gt;&lt;Year&gt;2013&lt;/Year&gt;&lt;RecNum&gt;75&lt;/RecNum&gt;&lt;DisplayText&gt;[76]&lt;/DisplayText&gt;&lt;record&gt;&lt;rec-number&gt;75&lt;/rec-number&gt;&lt;foreign-keys&gt;&lt;key app="EN" db-id="efx2002d5f0z21etvw3x9zp7tw2axpa2eez0" timestamp="1433606133"&gt;75&lt;/key&gt;&lt;/foreign-keys&gt;&lt;ref-type name="Web Page"&gt;12&lt;/ref-type&gt;&lt;contributors&gt;&lt;authors&gt;&lt;author&gt;Lead research Ltd&lt;/author&gt;&lt;/authors&gt;&lt;/contributors&gt;&lt;titles&gt;&lt;title&gt;1-way ANOVA lecture note&lt;/title&gt;&lt;/titles&gt;&lt;pages&gt;https://statistics.laerd.com/statistical-guides/one-way-anova-statistical-guide-2.php&lt;/pages&gt;&lt;dates&gt;&lt;year&gt;2013&lt;/year&gt;&lt;/dates&gt;&lt;urls&gt;&lt;/urls&gt;&lt;/record&gt;&lt;/Cite&gt;&lt;/EndNote&gt;</w:instrText>
      </w:r>
      <w:r w:rsidR="00E00656" w:rsidRPr="004030F5">
        <w:rPr>
          <w:rFonts w:cs="Arial"/>
        </w:rPr>
        <w:fldChar w:fldCharType="separate"/>
      </w:r>
      <w:r w:rsidR="00A2095B" w:rsidRPr="004030F5">
        <w:rPr>
          <w:rFonts w:cs="Arial"/>
          <w:noProof/>
        </w:rPr>
        <w:t>[76]</w:t>
      </w:r>
      <w:r w:rsidR="00E00656" w:rsidRPr="004030F5">
        <w:rPr>
          <w:rFonts w:cs="Arial"/>
        </w:rPr>
        <w:fldChar w:fldCharType="end"/>
      </w:r>
      <w:r w:rsidR="003064AF" w:rsidRPr="004030F5">
        <w:rPr>
          <w:rFonts w:cs="Arial"/>
        </w:rPr>
        <w:t xml:space="preserve">.  If we tested T-test over 1,000 proteins collected from LC-MS/MS runs, </w:t>
      </w:r>
      <w:r w:rsidR="00087FA2" w:rsidRPr="004030F5">
        <w:rPr>
          <w:rFonts w:cs="Arial"/>
        </w:rPr>
        <w:t xml:space="preserve">the accumulated Type I error may be converged to 100%, which means </w:t>
      </w:r>
      <w:r w:rsidR="007B483D" w:rsidRPr="004030F5">
        <w:rPr>
          <w:rFonts w:cs="Arial"/>
        </w:rPr>
        <w:t xml:space="preserve">unreliable analysis result containing too many false positives.  However, ANOVA can keep certain level of Type I error even though it is repeatedly tested.  This difference between ANOVA and T-test is what is compared.  T-test compares mean of each samples, while ANOVA does variance within groups and between groups. </w:t>
      </w:r>
      <w:r w:rsidR="00F574EC" w:rsidRPr="004030F5">
        <w:rPr>
          <w:rFonts w:cs="Arial"/>
        </w:rPr>
        <w:t xml:space="preserve"> Therefore, T-test is not appropriate statistical method for proteomics as well as other large biology data analysis.</w:t>
      </w:r>
      <w:r w:rsidR="009B2E81" w:rsidRPr="004030F5">
        <w:rPr>
          <w:rFonts w:cs="Arial"/>
        </w:rPr>
        <w:br w:type="page"/>
      </w:r>
    </w:p>
    <w:p w14:paraId="3A62B5C4" w14:textId="77777777" w:rsidR="009B2E81" w:rsidRPr="004030F5" w:rsidRDefault="009B2E81" w:rsidP="009B2E81">
      <w:pPr>
        <w:keepNext/>
        <w:spacing w:line="480" w:lineRule="auto"/>
        <w:rPr>
          <w:rFonts w:cs="Arial"/>
        </w:rPr>
      </w:pPr>
      <w:r w:rsidRPr="004030F5">
        <w:rPr>
          <w:rFonts w:cs="Arial"/>
          <w:b/>
          <w:noProof/>
        </w:rPr>
        <w:lastRenderedPageBreak/>
        <w:drawing>
          <wp:inline distT="0" distB="0" distL="0" distR="0" wp14:anchorId="304B8D7A" wp14:editId="5D7F44D4">
            <wp:extent cx="5486400" cy="3576955"/>
            <wp:effectExtent l="0" t="0" r="0" b="444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31"/>
                    <a:stretch>
                      <a:fillRect/>
                    </a:stretch>
                  </pic:blipFill>
                  <pic:spPr>
                    <a:xfrm>
                      <a:off x="0" y="0"/>
                      <a:ext cx="5486400" cy="3576955"/>
                    </a:xfrm>
                    <a:prstGeom prst="rect">
                      <a:avLst/>
                    </a:prstGeom>
                  </pic:spPr>
                </pic:pic>
              </a:graphicData>
            </a:graphic>
          </wp:inline>
        </w:drawing>
      </w:r>
    </w:p>
    <w:p w14:paraId="794FFDBB" w14:textId="3D0F6DAD" w:rsidR="009B2E81" w:rsidRPr="004030F5" w:rsidRDefault="009B2E81" w:rsidP="009B2E81">
      <w:pPr>
        <w:pStyle w:val="Caption"/>
        <w:rPr>
          <w:rFonts w:cs="Arial"/>
          <w:b w:val="0"/>
        </w:rPr>
      </w:pPr>
      <w:bookmarkStart w:id="24" w:name="_Toc296333107"/>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14</w:t>
      </w:r>
      <w:r w:rsidRPr="004030F5">
        <w:rPr>
          <w:rFonts w:cs="Arial"/>
        </w:rPr>
        <w:fldChar w:fldCharType="end"/>
      </w:r>
      <w:r w:rsidRPr="004030F5">
        <w:rPr>
          <w:rFonts w:cs="Arial"/>
        </w:rPr>
        <w:t xml:space="preserve"> Typical distribution of SC in l</w:t>
      </w:r>
      <w:r w:rsidR="00CD77AA" w:rsidRPr="004030F5">
        <w:rPr>
          <w:rFonts w:cs="Arial"/>
        </w:rPr>
        <w:t>abel-free metaproteomics data.</w:t>
      </w:r>
      <w:bookmarkEnd w:id="24"/>
    </w:p>
    <w:p w14:paraId="53EC49B7" w14:textId="4A646B4C" w:rsidR="007C17A1" w:rsidRPr="004030F5" w:rsidRDefault="009B2E81" w:rsidP="007C17A1">
      <w:pPr>
        <w:spacing w:line="480" w:lineRule="auto"/>
        <w:ind w:firstLine="720"/>
        <w:rPr>
          <w:rFonts w:cs="Arial"/>
        </w:rPr>
      </w:pPr>
      <w:r w:rsidRPr="004030F5">
        <w:rPr>
          <w:rFonts w:cs="Arial"/>
          <w:b/>
        </w:rPr>
        <w:t xml:space="preserve"> </w:t>
      </w:r>
      <w:r w:rsidR="001E73A9" w:rsidRPr="004030F5">
        <w:rPr>
          <w:rFonts w:cs="Arial"/>
          <w:b/>
        </w:rPr>
        <w:br w:type="page"/>
      </w:r>
    </w:p>
    <w:p w14:paraId="42324752" w14:textId="77777777" w:rsidR="007C17A1" w:rsidRPr="004030F5" w:rsidRDefault="007C17A1" w:rsidP="007C17A1">
      <w:pPr>
        <w:pStyle w:val="Heading3"/>
      </w:pPr>
      <w:bookmarkStart w:id="25" w:name="_Toc296333704"/>
      <w:r w:rsidRPr="004030F5">
        <w:lastRenderedPageBreak/>
        <w:t>Quantitative and Functional analysis pipeline for Metaproteomics</w:t>
      </w:r>
      <w:bookmarkEnd w:id="25"/>
    </w:p>
    <w:p w14:paraId="1DE6F214" w14:textId="48A7CA0F" w:rsidR="007C17A1" w:rsidRPr="004030F5" w:rsidRDefault="007C17A1" w:rsidP="007C17A1">
      <w:pPr>
        <w:spacing w:line="480" w:lineRule="auto"/>
        <w:rPr>
          <w:rFonts w:cs="Arial"/>
        </w:rPr>
      </w:pPr>
      <w:r w:rsidRPr="004030F5">
        <w:rPr>
          <w:rFonts w:cs="Arial"/>
        </w:rPr>
        <w:tab/>
        <w:t>Even though there is a growing sense that metaproteomics studies are important, a few analysis pipelines are publicly available.  GalaxyP (</w:t>
      </w:r>
      <w:hyperlink r:id="rId32" w:history="1">
        <w:r w:rsidRPr="004030F5">
          <w:rPr>
            <w:rStyle w:val="Hyperlink"/>
            <w:rFonts w:cs="Arial"/>
          </w:rPr>
          <w:t>https://usegalaxyp.org/</w:t>
        </w:r>
      </w:hyperlink>
      <w:r w:rsidRPr="004030F5">
        <w:rPr>
          <w:rFonts w:cs="Arial"/>
        </w:rPr>
        <w:t>) is proteomics application of Galaxy platform</w:t>
      </w:r>
      <w:r w:rsidRPr="004030F5">
        <w:rPr>
          <w:rFonts w:cs="Arial"/>
        </w:rPr>
        <w:fldChar w:fldCharType="begin"/>
      </w:r>
      <w:r w:rsidR="00A2095B" w:rsidRPr="004030F5">
        <w:rPr>
          <w:rFonts w:cs="Arial"/>
        </w:rPr>
        <w:instrText xml:space="preserve"> ADDIN EN.CITE &lt;EndNote&gt;&lt;Cite&gt;&lt;Author&gt;Goecks&lt;/Author&gt;&lt;Year&gt;2010&lt;/Year&gt;&lt;RecNum&gt;76&lt;/RecNum&gt;&lt;DisplayText&gt;[77]&lt;/DisplayText&gt;&lt;record&gt;&lt;rec-number&gt;76&lt;/rec-number&gt;&lt;foreign-keys&gt;&lt;key app="EN" db-id="efx2002d5f0z21etvw3x9zp7tw2axpa2eez0" timestamp="1433606745"&gt;76&lt;/key&gt;&lt;/foreign-keys&gt;&lt;ref-type name="Journal Article"&gt;17&lt;/ref-type&gt;&lt;contributors&gt;&lt;authors&gt;&lt;author&gt;Goecks, Jeremy&lt;/author&gt;&lt;author&gt;Nekrutenko, Anton&lt;/author&gt;&lt;author&gt;Taylor, James&lt;/author&gt;&lt;/authors&gt;&lt;/contributors&gt;&lt;titles&gt;&lt;title&gt;Galaxy: a comprehensive approach for supporting accessible, reproducible, and transparent computational research in the life sciences&lt;/title&gt;&lt;secondary-title&gt;Genome Biol&lt;/secondary-title&gt;&lt;/titles&gt;&lt;periodical&gt;&lt;full-title&gt;Genome Biol&lt;/full-title&gt;&lt;/periodical&gt;&lt;pages&gt;R86&lt;/pages&gt;&lt;volume&gt;11&lt;/volume&gt;&lt;number&gt;8&lt;/number&gt;&lt;dates&gt;&lt;year&gt;2010&lt;/year&gt;&lt;/dates&gt;&lt;urls&gt;&lt;/urls&gt;&lt;/record&gt;&lt;/Cite&gt;&lt;/EndNote&gt;</w:instrText>
      </w:r>
      <w:r w:rsidRPr="004030F5">
        <w:rPr>
          <w:rFonts w:cs="Arial"/>
        </w:rPr>
        <w:fldChar w:fldCharType="separate"/>
      </w:r>
      <w:r w:rsidR="00A2095B" w:rsidRPr="004030F5">
        <w:rPr>
          <w:rFonts w:cs="Arial"/>
          <w:noProof/>
        </w:rPr>
        <w:t>[77]</w:t>
      </w:r>
      <w:r w:rsidRPr="004030F5">
        <w:rPr>
          <w:rFonts w:cs="Arial"/>
        </w:rPr>
        <w:fldChar w:fldCharType="end"/>
      </w:r>
      <w:r w:rsidRPr="004030F5">
        <w:rPr>
          <w:rFonts w:cs="Arial"/>
        </w:rPr>
        <w:t>.  Galaxy platform is a scientific workflow and data analysis pipeline of computational biology for wet-lab biologists who don’t know programming.  Galaxy is written in Python and Javascript and provides simple three-column interface</w:t>
      </w:r>
      <w:r w:rsidR="00361EA9" w:rsidRPr="004030F5">
        <w:rPr>
          <w:rFonts w:cs="Arial"/>
        </w:rPr>
        <w:t xml:space="preserve"> (Fig. 15)</w:t>
      </w:r>
      <w:r w:rsidRPr="004030F5">
        <w:rPr>
          <w:rFonts w:cs="Arial"/>
        </w:rPr>
        <w:t xml:space="preserve">. </w:t>
      </w:r>
      <w:r w:rsidR="00FC14CB" w:rsidRPr="004030F5">
        <w:rPr>
          <w:rFonts w:cs="Arial"/>
        </w:rPr>
        <w:t>Galaxy is easy to install and fre</w:t>
      </w:r>
      <w:r w:rsidR="006961B2" w:rsidRPr="004030F5">
        <w:rPr>
          <w:rFonts w:cs="Arial"/>
        </w:rPr>
        <w:t xml:space="preserve">e, so any user can have </w:t>
      </w:r>
      <w:r w:rsidR="00FC14CB" w:rsidRPr="004030F5">
        <w:rPr>
          <w:rFonts w:cs="Arial"/>
        </w:rPr>
        <w:t>own Galaxy if appropriate</w:t>
      </w:r>
      <w:r w:rsidR="00E65156" w:rsidRPr="004030F5">
        <w:rPr>
          <w:rFonts w:cs="Arial"/>
        </w:rPr>
        <w:t xml:space="preserve"> server computer is available.  Adding bioinformatics tools to Galaxy is possible, however many </w:t>
      </w:r>
      <w:r w:rsidR="00E95090" w:rsidRPr="004030F5">
        <w:rPr>
          <w:rFonts w:cs="Arial"/>
        </w:rPr>
        <w:t>Galaxy servers already service many of publicly available tools (</w:t>
      </w:r>
      <w:hyperlink r:id="rId33" w:history="1">
        <w:r w:rsidR="00B4792F" w:rsidRPr="004030F5">
          <w:rPr>
            <w:rStyle w:val="Hyperlink"/>
            <w:rFonts w:cs="Arial"/>
          </w:rPr>
          <w:t>https://wiki.galaxyproject.org/PublicGalaxyServers</w:t>
        </w:r>
      </w:hyperlink>
      <w:r w:rsidR="00B4792F" w:rsidRPr="004030F5">
        <w:rPr>
          <w:rFonts w:cs="Arial"/>
        </w:rPr>
        <w:t xml:space="preserve">).  </w:t>
      </w:r>
      <w:r w:rsidR="00A648D1" w:rsidRPr="004030F5">
        <w:rPr>
          <w:rFonts w:cs="Arial"/>
        </w:rPr>
        <w:t>GalaxyP provides X</w:t>
      </w:r>
      <w:proofErr w:type="gramStart"/>
      <w:r w:rsidR="00A648D1" w:rsidRPr="004030F5">
        <w:rPr>
          <w:rFonts w:cs="Arial"/>
        </w:rPr>
        <w:t>!Tandem</w:t>
      </w:r>
      <w:proofErr w:type="gramEnd"/>
      <w:r w:rsidR="00A648D1" w:rsidRPr="004030F5">
        <w:rPr>
          <w:rFonts w:cs="Arial"/>
        </w:rPr>
        <w:t xml:space="preserve"> and Protein Prophet as well as data management</w:t>
      </w:r>
      <w:r w:rsidR="00DA7EF8" w:rsidRPr="004030F5">
        <w:rPr>
          <w:rFonts w:cs="Arial"/>
        </w:rPr>
        <w:t>.  However, GalaxyP may not be appropriate for metaproteomics because X</w:t>
      </w:r>
      <w:proofErr w:type="gramStart"/>
      <w:r w:rsidR="00DA7EF8" w:rsidRPr="004030F5">
        <w:rPr>
          <w:rFonts w:cs="Arial"/>
        </w:rPr>
        <w:t>!Tandem</w:t>
      </w:r>
      <w:proofErr w:type="gramEnd"/>
      <w:r w:rsidR="00DA7EF8" w:rsidRPr="004030F5">
        <w:rPr>
          <w:rFonts w:cs="Arial"/>
        </w:rPr>
        <w:t xml:space="preserve"> is not run in parallel environment and </w:t>
      </w:r>
      <w:r w:rsidR="008A1825" w:rsidRPr="004030F5">
        <w:rPr>
          <w:rFonts w:cs="Arial"/>
        </w:rPr>
        <w:t>Protein Prophet is not the best tool fo</w:t>
      </w:r>
      <w:r w:rsidR="00F73F0E" w:rsidRPr="004030F5">
        <w:rPr>
          <w:rFonts w:cs="Arial"/>
        </w:rPr>
        <w:t>r handling redundant peptides.</w:t>
      </w:r>
    </w:p>
    <w:p w14:paraId="4E18CD41" w14:textId="46F721F6" w:rsidR="007C17A1" w:rsidRPr="004030F5" w:rsidRDefault="00FD5A5D" w:rsidP="0013159C">
      <w:pPr>
        <w:spacing w:line="480" w:lineRule="auto"/>
        <w:rPr>
          <w:rFonts w:cs="Arial"/>
        </w:rPr>
      </w:pPr>
      <w:r w:rsidRPr="004030F5">
        <w:rPr>
          <w:rFonts w:cs="Arial"/>
        </w:rPr>
        <w:tab/>
        <w:t>MetaProteomeAnalyzer (MPA) is recently published</w:t>
      </w:r>
      <w:r w:rsidR="00C6105B" w:rsidRPr="004030F5">
        <w:rPr>
          <w:rFonts w:cs="Arial"/>
        </w:rPr>
        <w:t xml:space="preserve"> and is designed for metaproteom</w:t>
      </w:r>
      <w:r w:rsidR="00B00667" w:rsidRPr="004030F5">
        <w:rPr>
          <w:rFonts w:cs="Arial"/>
        </w:rPr>
        <w:t xml:space="preserve">ics </w:t>
      </w:r>
      <w:r w:rsidR="00BD2750" w:rsidRPr="004030F5">
        <w:rPr>
          <w:rFonts w:cs="Arial"/>
        </w:rPr>
        <w:t>(Fig. 16)</w:t>
      </w:r>
      <w:r w:rsidR="006318EE" w:rsidRPr="004030F5">
        <w:rPr>
          <w:rFonts w:cs="Arial"/>
        </w:rPr>
        <w:t xml:space="preserve"> </w:t>
      </w:r>
      <w:r w:rsidR="00C53056" w:rsidRPr="004030F5">
        <w:rPr>
          <w:rFonts w:cs="Arial"/>
        </w:rPr>
        <w:fldChar w:fldCharType="begin"/>
      </w:r>
      <w:r w:rsidR="00A2095B" w:rsidRPr="004030F5">
        <w:rPr>
          <w:rFonts w:cs="Arial"/>
        </w:rPr>
        <w:instrText xml:space="preserve"> ADDIN EN.CITE &lt;EndNote&gt;&lt;Cite&gt;&lt;Author&gt;Muth&lt;/Author&gt;&lt;Year&gt;2015&lt;/Year&gt;&lt;RecNum&gt;79&lt;/RecNum&gt;&lt;DisplayText&gt;[78]&lt;/DisplayText&gt;&lt;record&gt;&lt;rec-number&gt;79&lt;/rec-number&gt;&lt;foreign-keys&gt;&lt;key app="EN" db-id="efx2002d5f0z21etvw3x9zp7tw2axpa2eez0" timestamp="1433615236"&gt;79&lt;/key&gt;&lt;/foreign-keys&gt;&lt;ref-type name="Journal Article"&gt;17&lt;/ref-type&gt;&lt;contributors&gt;&lt;authors&gt;&lt;author&gt;Muth, Thilo&lt;/author&gt;&lt;author&gt;Behne, Alexander&lt;/author&gt;&lt;author&gt;Heyer, Robert&lt;/author&gt;&lt;author&gt;Kohrs, Fabian&lt;/author&gt;&lt;author&gt;Benndorf, Dirk&lt;/author&gt;&lt;author&gt;Hoffmann, Marcus&lt;/author&gt;&lt;author&gt;Lehtevä, Miro&lt;/author&gt;&lt;author&gt;Reichl, Udo&lt;/author&gt;&lt;author&gt;Martens, Lennart&lt;/author&gt;&lt;author&gt;Rapp, Erdmann&lt;/author&gt;&lt;/authors&gt;&lt;/contributors&gt;&lt;titles&gt;&lt;title&gt;The MetaProteomeAnalyzer: a powerful open-source software suite for metaproteomics data analysis and interpretation&lt;/title&gt;&lt;secondary-title&gt;Journal of proteome research&lt;/secondary-title&gt;&lt;/titles&gt;&lt;periodical&gt;&lt;full-title&gt;Journal of proteome research&lt;/full-title&gt;&lt;/periodical&gt;&lt;pages&gt;1557-1565&lt;/pages&gt;&lt;volume&gt;14&lt;/volume&gt;&lt;number&gt;3&lt;/number&gt;&lt;dates&gt;&lt;year&gt;2015&lt;/year&gt;&lt;/dates&gt;&lt;isbn&gt;1535-3893&lt;/isbn&gt;&lt;urls&gt;&lt;/urls&gt;&lt;/record&gt;&lt;/Cite&gt;&lt;/EndNote&gt;</w:instrText>
      </w:r>
      <w:r w:rsidR="00C53056" w:rsidRPr="004030F5">
        <w:rPr>
          <w:rFonts w:cs="Arial"/>
        </w:rPr>
        <w:fldChar w:fldCharType="separate"/>
      </w:r>
      <w:r w:rsidR="00A2095B" w:rsidRPr="004030F5">
        <w:rPr>
          <w:rFonts w:cs="Arial"/>
          <w:noProof/>
        </w:rPr>
        <w:t>[78]</w:t>
      </w:r>
      <w:r w:rsidR="00C53056" w:rsidRPr="004030F5">
        <w:rPr>
          <w:rFonts w:cs="Arial"/>
        </w:rPr>
        <w:fldChar w:fldCharType="end"/>
      </w:r>
      <w:r w:rsidR="00504861" w:rsidRPr="004030F5">
        <w:rPr>
          <w:rFonts w:cs="Arial"/>
        </w:rPr>
        <w:t xml:space="preserve">.  </w:t>
      </w:r>
      <w:r w:rsidR="00C6105B" w:rsidRPr="004030F5">
        <w:rPr>
          <w:rFonts w:cs="Arial"/>
        </w:rPr>
        <w:t>While GalaxyP has web-interface and server-oriented pipeline, MPA is client-server</w:t>
      </w:r>
      <w:r w:rsidR="00CC3D51" w:rsidRPr="004030F5">
        <w:rPr>
          <w:rFonts w:cs="Arial"/>
        </w:rPr>
        <w:t xml:space="preserve"> communicating system. </w:t>
      </w:r>
      <w:r w:rsidR="00956F58" w:rsidRPr="004030F5">
        <w:rPr>
          <w:rFonts w:cs="Arial"/>
        </w:rPr>
        <w:t xml:space="preserve"> Client-side uploads MS/MS experiment data and server-side deposits and analyzes the uploaded data.  MPA focuses on data interpretation rather than parallelized MS/MS search.  MPA employed four DB search engines; X</w:t>
      </w:r>
      <w:proofErr w:type="gramStart"/>
      <w:r w:rsidR="00956F58" w:rsidRPr="004030F5">
        <w:rPr>
          <w:rFonts w:cs="Arial"/>
        </w:rPr>
        <w:t>!Tandem</w:t>
      </w:r>
      <w:proofErr w:type="gramEnd"/>
      <w:r w:rsidR="00956F58" w:rsidRPr="004030F5">
        <w:rPr>
          <w:rFonts w:cs="Arial"/>
        </w:rPr>
        <w:t xml:space="preserve">, OMSSA, Crux </w:t>
      </w:r>
      <w:r w:rsidR="00956F58" w:rsidRPr="004030F5">
        <w:rPr>
          <w:rFonts w:cs="Arial"/>
        </w:rPr>
        <w:fldChar w:fldCharType="begin"/>
      </w:r>
      <w:r w:rsidR="00956F58" w:rsidRPr="004030F5">
        <w:rPr>
          <w:rFonts w:cs="Arial"/>
        </w:rPr>
        <w:instrText xml:space="preserve"> ADDIN EN.CITE &lt;EndNote&gt;&lt;Cite&gt;&lt;Author&gt;Park&lt;/Author&gt;&lt;Year&gt;2008&lt;/Year&gt;&lt;RecNum&gt;77&lt;/RecNum&gt;&lt;DisplayText&gt;[79]&lt;/DisplayText&gt;&lt;record&gt;&lt;rec-number&gt;77&lt;/rec-number&gt;&lt;foreign-keys&gt;&lt;key app="EN" db-id="efx2002d5f0z21etvw3x9zp7tw2axpa2eez0" timestamp="1433615044"&gt;77&lt;/key&gt;&lt;/foreign-keys&gt;&lt;ref-type name="Journal Article"&gt;17&lt;/ref-type&gt;&lt;contributors&gt;&lt;authors&gt;&lt;author&gt;Park, Christopher Y&lt;/author&gt;&lt;author&gt;Klammer, Aaron A&lt;/author&gt;&lt;author&gt;Käll, Lukas&lt;/author&gt;&lt;author&gt;MacCoss, Michael J&lt;/author&gt;&lt;author&gt;Noble, William S&lt;/author&gt;&lt;/authors&gt;&lt;/contributors&gt;&lt;titles&gt;&lt;title&gt;Rapid and accurate peptide identification from tandem mass spectra&lt;/title&gt;&lt;secondary-title&gt;Journal of proteome research&lt;/secondary-title&gt;&lt;/titles&gt;&lt;periodical&gt;&lt;full-title&gt;Journal of proteome research&lt;/full-title&gt;&lt;/periodical&gt;&lt;pages&gt;3022-3027&lt;/pages&gt;&lt;volume&gt;7&lt;/volume&gt;&lt;number&gt;7&lt;/number&gt;&lt;dates&gt;&lt;year&gt;2008&lt;/year&gt;&lt;/dates&gt;&lt;isbn&gt;1535-3893&lt;/isbn&gt;&lt;urls&gt;&lt;/urls&gt;&lt;/record&gt;&lt;/Cite&gt;&lt;/EndNote&gt;</w:instrText>
      </w:r>
      <w:r w:rsidR="00956F58" w:rsidRPr="004030F5">
        <w:rPr>
          <w:rFonts w:cs="Arial"/>
        </w:rPr>
        <w:fldChar w:fldCharType="separate"/>
      </w:r>
      <w:r w:rsidR="00956F58" w:rsidRPr="004030F5">
        <w:rPr>
          <w:rFonts w:cs="Arial"/>
          <w:noProof/>
        </w:rPr>
        <w:t>[79]</w:t>
      </w:r>
      <w:r w:rsidR="00956F58" w:rsidRPr="004030F5">
        <w:rPr>
          <w:rFonts w:cs="Arial"/>
        </w:rPr>
        <w:fldChar w:fldCharType="end"/>
      </w:r>
      <w:r w:rsidR="00956F58" w:rsidRPr="004030F5">
        <w:rPr>
          <w:rFonts w:cs="Arial"/>
        </w:rPr>
        <w:t xml:space="preserve"> and InsPecT </w:t>
      </w:r>
      <w:r w:rsidR="00956F58" w:rsidRPr="004030F5">
        <w:rPr>
          <w:rFonts w:cs="Arial"/>
        </w:rPr>
        <w:fldChar w:fldCharType="begin"/>
      </w:r>
      <w:r w:rsidR="00956F58" w:rsidRPr="004030F5">
        <w:rPr>
          <w:rFonts w:cs="Arial"/>
        </w:rPr>
        <w:instrText xml:space="preserve"> ADDIN EN.CITE &lt;EndNote&gt;&lt;Cite&gt;&lt;Author&gt;Tanner&lt;/Author&gt;&lt;Year&gt;2005&lt;/Year&gt;&lt;RecNum&gt;78&lt;/RecNum&gt;&lt;DisplayText&gt;[80]&lt;/DisplayText&gt;&lt;record&gt;&lt;rec-number&gt;78&lt;/rec-number&gt;&lt;foreign-keys&gt;&lt;key app="EN" db-id="efx2002d5f0z21etvw3x9zp7tw2axpa2eez0" timestamp="1433615101"&gt;78&lt;/key&gt;&lt;/foreign-keys&gt;&lt;ref-type name="Journal Article"&gt;17&lt;/ref-type&gt;&lt;contributors&gt;&lt;authors&gt;&lt;author&gt;Tanner, Stephen&lt;/author&gt;&lt;author&gt;Shu, Hongjun&lt;/author&gt;&lt;author&gt;Frank, Ari&lt;/author&gt;&lt;author&gt;Wang, Ling-Chi&lt;/author&gt;&lt;author&gt;Zandi, Ebrahim&lt;/author&gt;&lt;author&gt;Mumby, Marc&lt;/author&gt;&lt;author&gt;Pevzner, Pavel A&lt;/author&gt;&lt;author&gt;Bafna, Vineet&lt;/author&gt;&lt;/authors&gt;&lt;/contributors&gt;&lt;titles&gt;&lt;title&gt;InsPecT: identification of posttranslationally modified peptides from tandem mass spectra&lt;/title&gt;&lt;secondary-title&gt;Analytical chemistry&lt;/secondary-title&gt;&lt;/titles&gt;&lt;periodical&gt;&lt;full-title&gt;Analytical chemistry&lt;/full-title&gt;&lt;/periodical&gt;&lt;pages&gt;4626-4639&lt;/pages&gt;&lt;volume&gt;77&lt;/volume&gt;&lt;number&gt;14&lt;/number&gt;&lt;dates&gt;&lt;year&gt;2005&lt;/year&gt;&lt;/dates&gt;&lt;isbn&gt;0003-2700&lt;/isbn&gt;&lt;urls&gt;&lt;/urls&gt;&lt;/record&gt;&lt;/Cite&gt;&lt;/EndNote&gt;</w:instrText>
      </w:r>
      <w:r w:rsidR="00956F58" w:rsidRPr="004030F5">
        <w:rPr>
          <w:rFonts w:cs="Arial"/>
        </w:rPr>
        <w:fldChar w:fldCharType="separate"/>
      </w:r>
      <w:r w:rsidR="00956F58" w:rsidRPr="004030F5">
        <w:rPr>
          <w:rFonts w:cs="Arial"/>
          <w:noProof/>
        </w:rPr>
        <w:t>[80]</w:t>
      </w:r>
      <w:r w:rsidR="00956F58" w:rsidRPr="004030F5">
        <w:rPr>
          <w:rFonts w:cs="Arial"/>
        </w:rPr>
        <w:fldChar w:fldCharType="end"/>
      </w:r>
      <w:r w:rsidR="00956F58" w:rsidRPr="004030F5">
        <w:rPr>
          <w:rFonts w:cs="Arial"/>
        </w:rPr>
        <w:t xml:space="preserve"> and aggregates four DB search results to increase PMSs.</w:t>
      </w:r>
      <w:r w:rsidR="007C17A1" w:rsidRPr="004030F5">
        <w:rPr>
          <w:rFonts w:cs="Arial"/>
          <w:b/>
        </w:rPr>
        <w:br w:type="page"/>
      </w:r>
    </w:p>
    <w:p w14:paraId="30FE6485" w14:textId="77777777" w:rsidR="007C17A1" w:rsidRPr="004030F5" w:rsidRDefault="007C17A1" w:rsidP="007C17A1">
      <w:pPr>
        <w:keepNext/>
        <w:rPr>
          <w:rFonts w:cs="Arial"/>
        </w:rPr>
      </w:pPr>
      <w:r w:rsidRPr="004030F5">
        <w:rPr>
          <w:rFonts w:cs="Arial"/>
          <w:b/>
          <w:noProof/>
        </w:rPr>
        <w:lastRenderedPageBreak/>
        <w:drawing>
          <wp:inline distT="0" distB="0" distL="0" distR="0" wp14:anchorId="2D8BE32E" wp14:editId="617E6D5C">
            <wp:extent cx="5486400" cy="3019840"/>
            <wp:effectExtent l="0" t="0" r="0" b="3175"/>
            <wp:docPr id="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3019840"/>
                    </a:xfrm>
                    <a:prstGeom prst="rect">
                      <a:avLst/>
                    </a:prstGeom>
                    <a:noFill/>
                    <a:ln>
                      <a:noFill/>
                    </a:ln>
                  </pic:spPr>
                </pic:pic>
              </a:graphicData>
            </a:graphic>
          </wp:inline>
        </w:drawing>
      </w:r>
    </w:p>
    <w:p w14:paraId="4A363BA9" w14:textId="7D71EA46" w:rsidR="00504861" w:rsidRPr="004030F5" w:rsidRDefault="007C17A1" w:rsidP="00293F71">
      <w:pPr>
        <w:pStyle w:val="Caption"/>
        <w:rPr>
          <w:rFonts w:cs="Arial"/>
          <w:b w:val="0"/>
        </w:rPr>
      </w:pPr>
      <w:bookmarkStart w:id="26" w:name="_Toc296333108"/>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15</w:t>
      </w:r>
      <w:r w:rsidRPr="004030F5">
        <w:rPr>
          <w:rFonts w:cs="Arial"/>
        </w:rPr>
        <w:fldChar w:fldCharType="end"/>
      </w:r>
      <w:r w:rsidRPr="004030F5">
        <w:rPr>
          <w:rFonts w:cs="Arial"/>
        </w:rPr>
        <w:t xml:space="preserve"> Interface of GalaxyP. </w:t>
      </w:r>
      <w:r w:rsidRPr="004030F5">
        <w:rPr>
          <w:rFonts w:cs="Arial"/>
          <w:b w:val="0"/>
        </w:rPr>
        <w:t xml:space="preserve"> It has three-column interface consisting of </w:t>
      </w:r>
      <w:r w:rsidR="00E73DBC" w:rsidRPr="004030F5">
        <w:rPr>
          <w:rFonts w:cs="Arial"/>
          <w:b w:val="0"/>
        </w:rPr>
        <w:t>available tools, main screen for analysis result and parameter input and status of analysis steps from left to right.</w:t>
      </w:r>
      <w:r w:rsidR="00504861" w:rsidRPr="004030F5">
        <w:rPr>
          <w:rFonts w:cs="Arial"/>
          <w:b w:val="0"/>
        </w:rPr>
        <w:t xml:space="preserve">  This illustration is screen-captured from http://www.usegalaxyp.org</w:t>
      </w:r>
      <w:r w:rsidR="009C6B9F" w:rsidRPr="004030F5">
        <w:rPr>
          <w:rFonts w:cs="Arial"/>
          <w:b w:val="0"/>
        </w:rPr>
        <w:t>.</w:t>
      </w:r>
      <w:bookmarkEnd w:id="26"/>
    </w:p>
    <w:p w14:paraId="66A0DBC5" w14:textId="77777777" w:rsidR="00504861" w:rsidRPr="004030F5" w:rsidRDefault="00504861">
      <w:pPr>
        <w:rPr>
          <w:rFonts w:cs="Arial"/>
          <w:bCs/>
          <w:szCs w:val="20"/>
        </w:rPr>
      </w:pPr>
      <w:r w:rsidRPr="004030F5">
        <w:rPr>
          <w:rFonts w:cs="Arial"/>
          <w:b/>
        </w:rPr>
        <w:br w:type="page"/>
      </w:r>
    </w:p>
    <w:p w14:paraId="50D37896" w14:textId="77777777" w:rsidR="00504861" w:rsidRPr="004030F5" w:rsidRDefault="00504861" w:rsidP="00504861">
      <w:pPr>
        <w:pStyle w:val="Caption"/>
        <w:keepNext/>
        <w:jc w:val="left"/>
        <w:rPr>
          <w:rFonts w:cs="Arial"/>
        </w:rPr>
      </w:pPr>
      <w:r w:rsidRPr="004030F5">
        <w:rPr>
          <w:rFonts w:cs="Arial"/>
          <w:b w:val="0"/>
          <w:noProof/>
        </w:rPr>
        <w:lastRenderedPageBreak/>
        <w:drawing>
          <wp:inline distT="0" distB="0" distL="0" distR="0" wp14:anchorId="554F730B" wp14:editId="4A7BBB77">
            <wp:extent cx="5486400" cy="3632058"/>
            <wp:effectExtent l="0" t="0" r="0" b="635"/>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3632058"/>
                    </a:xfrm>
                    <a:prstGeom prst="rect">
                      <a:avLst/>
                    </a:prstGeom>
                    <a:noFill/>
                    <a:ln>
                      <a:noFill/>
                    </a:ln>
                  </pic:spPr>
                </pic:pic>
              </a:graphicData>
            </a:graphic>
          </wp:inline>
        </w:drawing>
      </w:r>
    </w:p>
    <w:p w14:paraId="7737E85C" w14:textId="646DB7A1" w:rsidR="00293F71" w:rsidRPr="004030F5" w:rsidRDefault="00504861" w:rsidP="00293F71">
      <w:pPr>
        <w:pStyle w:val="Caption"/>
        <w:rPr>
          <w:rFonts w:cs="Arial"/>
          <w:b w:val="0"/>
        </w:rPr>
      </w:pPr>
      <w:bookmarkStart w:id="27" w:name="_Toc296333109"/>
      <w:r w:rsidRPr="004030F5">
        <w:rPr>
          <w:rFonts w:cs="Arial"/>
        </w:rPr>
        <w:t xml:space="preserve">Figure </w:t>
      </w:r>
      <w:r w:rsidRPr="004030F5">
        <w:rPr>
          <w:rFonts w:cs="Arial"/>
        </w:rPr>
        <w:fldChar w:fldCharType="begin"/>
      </w:r>
      <w:r w:rsidRPr="004030F5">
        <w:rPr>
          <w:rFonts w:cs="Arial"/>
        </w:rPr>
        <w:instrText xml:space="preserve"> SEQ Figure \* ARABIC </w:instrText>
      </w:r>
      <w:r w:rsidRPr="004030F5">
        <w:rPr>
          <w:rFonts w:cs="Arial"/>
        </w:rPr>
        <w:fldChar w:fldCharType="separate"/>
      </w:r>
      <w:r w:rsidR="002B3E83">
        <w:rPr>
          <w:rFonts w:cs="Arial"/>
          <w:noProof/>
        </w:rPr>
        <w:t>16</w:t>
      </w:r>
      <w:r w:rsidRPr="004030F5">
        <w:rPr>
          <w:rFonts w:cs="Arial"/>
        </w:rPr>
        <w:fldChar w:fldCharType="end"/>
      </w:r>
      <w:r w:rsidRPr="004030F5">
        <w:rPr>
          <w:rFonts w:cs="Arial"/>
        </w:rPr>
        <w:t xml:space="preserve"> Schematic diagram of workflow in MetaProteomeAnalyzer.  </w:t>
      </w:r>
      <w:r w:rsidR="006F7BA7" w:rsidRPr="004030F5">
        <w:rPr>
          <w:rFonts w:cs="Arial"/>
          <w:b w:val="0"/>
        </w:rPr>
        <w:t>Server side and cl</w:t>
      </w:r>
      <w:r w:rsidR="00AD6224" w:rsidRPr="004030F5">
        <w:rPr>
          <w:rFonts w:cs="Arial"/>
          <w:b w:val="0"/>
        </w:rPr>
        <w:t>ient side are communicating and uploaded data is deposited in server SQL DB.</w:t>
      </w:r>
      <w:r w:rsidR="006A2974" w:rsidRPr="004030F5">
        <w:rPr>
          <w:rFonts w:cs="Arial"/>
          <w:b w:val="0"/>
        </w:rPr>
        <w:t xml:space="preserve">  The illustration is adapted from </w:t>
      </w:r>
      <w:r w:rsidR="00C53056" w:rsidRPr="004030F5">
        <w:rPr>
          <w:rFonts w:cs="Arial"/>
          <w:b w:val="0"/>
        </w:rPr>
        <w:t xml:space="preserve">Muth et al </w:t>
      </w:r>
      <w:r w:rsidR="00C53056" w:rsidRPr="004030F5">
        <w:rPr>
          <w:rFonts w:cs="Arial"/>
          <w:b w:val="0"/>
        </w:rPr>
        <w:fldChar w:fldCharType="begin"/>
      </w:r>
      <w:r w:rsidR="00A2095B" w:rsidRPr="004030F5">
        <w:rPr>
          <w:rFonts w:cs="Arial"/>
          <w:b w:val="0"/>
        </w:rPr>
        <w:instrText xml:space="preserve"> ADDIN EN.CITE &lt;EndNote&gt;&lt;Cite&gt;&lt;Author&gt;Muth&lt;/Author&gt;&lt;Year&gt;2015&lt;/Year&gt;&lt;RecNum&gt;79&lt;/RecNum&gt;&lt;DisplayText&gt;[78]&lt;/DisplayText&gt;&lt;record&gt;&lt;rec-number&gt;79&lt;/rec-number&gt;&lt;foreign-keys&gt;&lt;key app="EN" db-id="efx2002d5f0z21etvw3x9zp7tw2axpa2eez0" timestamp="1433615236"&gt;79&lt;/key&gt;&lt;/foreign-keys&gt;&lt;ref-type name="Journal Article"&gt;17&lt;/ref-type&gt;&lt;contributors&gt;&lt;authors&gt;&lt;author&gt;Muth, Thilo&lt;/author&gt;&lt;author&gt;Behne, Alexander&lt;/author&gt;&lt;author&gt;Heyer, Robert&lt;/author&gt;&lt;author&gt;Kohrs, Fabian&lt;/author&gt;&lt;author&gt;Benndorf, Dirk&lt;/author&gt;&lt;author&gt;Hoffmann, Marcus&lt;/author&gt;&lt;author&gt;Lehtevä, Miro&lt;/author&gt;&lt;author&gt;Reichl, Udo&lt;/author&gt;&lt;author&gt;Martens, Lennart&lt;/author&gt;&lt;author&gt;Rapp, Erdmann&lt;/author&gt;&lt;/authors&gt;&lt;/contributors&gt;&lt;titles&gt;&lt;title&gt;The MetaProteomeAnalyzer: a powerful open-source software suite for metaproteomics data analysis and interpretation&lt;/title&gt;&lt;secondary-title&gt;Journal of proteome research&lt;/secondary-title&gt;&lt;/titles&gt;&lt;periodical&gt;&lt;full-title&gt;Journal of proteome research&lt;/full-title&gt;&lt;/periodical&gt;&lt;pages&gt;1557-1565&lt;/pages&gt;&lt;volume&gt;14&lt;/volume&gt;&lt;number&gt;3&lt;/number&gt;&lt;dates&gt;&lt;year&gt;2015&lt;/year&gt;&lt;/dates&gt;&lt;isbn&gt;1535-3893&lt;/isbn&gt;&lt;urls&gt;&lt;/urls&gt;&lt;/record&gt;&lt;/Cite&gt;&lt;/EndNote&gt;</w:instrText>
      </w:r>
      <w:r w:rsidR="00C53056" w:rsidRPr="004030F5">
        <w:rPr>
          <w:rFonts w:cs="Arial"/>
          <w:b w:val="0"/>
        </w:rPr>
        <w:fldChar w:fldCharType="separate"/>
      </w:r>
      <w:r w:rsidR="00A2095B" w:rsidRPr="004030F5">
        <w:rPr>
          <w:rFonts w:cs="Arial"/>
          <w:b w:val="0"/>
          <w:noProof/>
        </w:rPr>
        <w:t>[78]</w:t>
      </w:r>
      <w:r w:rsidR="00C53056" w:rsidRPr="004030F5">
        <w:rPr>
          <w:rFonts w:cs="Arial"/>
          <w:b w:val="0"/>
        </w:rPr>
        <w:fldChar w:fldCharType="end"/>
      </w:r>
      <w:r w:rsidR="00C53056" w:rsidRPr="004030F5">
        <w:rPr>
          <w:rFonts w:cs="Arial"/>
          <w:b w:val="0"/>
        </w:rPr>
        <w:t>.</w:t>
      </w:r>
      <w:bookmarkEnd w:id="27"/>
    </w:p>
    <w:p w14:paraId="2C33C05A" w14:textId="77777777" w:rsidR="00293F71" w:rsidRPr="004030F5" w:rsidRDefault="00293F71">
      <w:pPr>
        <w:rPr>
          <w:rFonts w:cs="Arial"/>
          <w:bCs/>
          <w:szCs w:val="20"/>
        </w:rPr>
      </w:pPr>
      <w:r w:rsidRPr="004030F5">
        <w:rPr>
          <w:rFonts w:cs="Arial"/>
          <w:b/>
        </w:rPr>
        <w:br w:type="page"/>
      </w:r>
    </w:p>
    <w:p w14:paraId="7BA75172" w14:textId="4993BEEB" w:rsidR="00656EBA" w:rsidRPr="004030F5" w:rsidRDefault="00523358" w:rsidP="00656EBA">
      <w:pPr>
        <w:pStyle w:val="Caption"/>
        <w:rPr>
          <w:rFonts w:cs="Arial"/>
          <w:b w:val="0"/>
        </w:rPr>
      </w:pPr>
      <w:r w:rsidRPr="004030F5">
        <w:rPr>
          <w:rFonts w:cs="Arial"/>
          <w:b w:val="0"/>
        </w:rPr>
        <w:lastRenderedPageBreak/>
        <w:t xml:space="preserve">MPA groups proteins into meta-proteins due to redundant peptides.  </w:t>
      </w:r>
      <w:r w:rsidR="007A5DBE" w:rsidRPr="004030F5">
        <w:rPr>
          <w:rFonts w:cs="Arial"/>
          <w:b w:val="0"/>
        </w:rPr>
        <w:t xml:space="preserve">Based on meta-proteins, MPA provides functional analysis using </w:t>
      </w:r>
      <w:r w:rsidR="00F35FA8">
        <w:rPr>
          <w:rFonts w:cs="Arial"/>
          <w:b w:val="0"/>
        </w:rPr>
        <w:t>Kyoto encyclopedia of genes and genomes (</w:t>
      </w:r>
      <w:r w:rsidR="007A5DBE" w:rsidRPr="004030F5">
        <w:rPr>
          <w:rFonts w:cs="Arial"/>
          <w:b w:val="0"/>
        </w:rPr>
        <w:t>KEGG</w:t>
      </w:r>
      <w:r w:rsidR="00F35FA8">
        <w:rPr>
          <w:rFonts w:cs="Arial"/>
          <w:b w:val="0"/>
        </w:rPr>
        <w:t>)</w:t>
      </w:r>
      <w:r w:rsidR="007A5DBE" w:rsidRPr="004030F5">
        <w:rPr>
          <w:rFonts w:cs="Arial"/>
          <w:b w:val="0"/>
        </w:rPr>
        <w:t xml:space="preserve"> pathways</w:t>
      </w:r>
      <w:r w:rsidR="003B6350" w:rsidRPr="004030F5">
        <w:rPr>
          <w:rFonts w:cs="Arial"/>
          <w:b w:val="0"/>
        </w:rPr>
        <w:t xml:space="preserve"> </w:t>
      </w:r>
      <w:r w:rsidR="003B6350" w:rsidRPr="004030F5">
        <w:rPr>
          <w:rFonts w:cs="Arial"/>
          <w:b w:val="0"/>
        </w:rPr>
        <w:fldChar w:fldCharType="begin"/>
      </w:r>
      <w:r w:rsidR="00A2095B" w:rsidRPr="004030F5">
        <w:rPr>
          <w:rFonts w:cs="Arial"/>
          <w:b w:val="0"/>
        </w:rPr>
        <w:instrText xml:space="preserve"> ADDIN EN.CITE &lt;EndNote&gt;&lt;Cite&gt;&lt;Author&gt;Kanehisa&lt;/Author&gt;&lt;Year&gt;2000&lt;/Year&gt;&lt;RecNum&gt;80&lt;/RecNum&gt;&lt;DisplayText&gt;[81]&lt;/DisplayText&gt;&lt;record&gt;&lt;rec-number&gt;80&lt;/rec-number&gt;&lt;foreign-keys&gt;&lt;key app="EN" db-id="efx2002d5f0z21etvw3x9zp7tw2axpa2eez0" timestamp="1433617872"&gt;80&lt;/key&gt;&lt;/foreign-keys&gt;&lt;ref-type name="Journal Article"&gt;17&lt;/ref-type&gt;&lt;contributors&gt;&lt;authors&gt;&lt;author&gt;Kanehisa, Minoru&lt;/author&gt;&lt;author&gt;Goto, Susumu&lt;/author&gt;&lt;/authors&gt;&lt;/contributors&gt;&lt;titles&gt;&lt;title&gt;KEGG: kyoto encyclopedia of genes and genomes&lt;/title&gt;&lt;secondary-title&gt;Nucleic acids research&lt;/secondary-title&gt;&lt;/titles&gt;&lt;periodical&gt;&lt;full-title&gt;Nucleic acids research&lt;/full-title&gt;&lt;/periodical&gt;&lt;pages&gt;27-30&lt;/pages&gt;&lt;volume&gt;28&lt;/volume&gt;&lt;number&gt;1&lt;/number&gt;&lt;dates&gt;&lt;year&gt;2000&lt;/year&gt;&lt;/dates&gt;&lt;isbn&gt;0305-1048&lt;/isbn&gt;&lt;urls&gt;&lt;/urls&gt;&lt;/record&gt;&lt;/Cite&gt;&lt;/EndNote&gt;</w:instrText>
      </w:r>
      <w:r w:rsidR="003B6350" w:rsidRPr="004030F5">
        <w:rPr>
          <w:rFonts w:cs="Arial"/>
          <w:b w:val="0"/>
        </w:rPr>
        <w:fldChar w:fldCharType="separate"/>
      </w:r>
      <w:r w:rsidR="00A2095B" w:rsidRPr="004030F5">
        <w:rPr>
          <w:rFonts w:cs="Arial"/>
          <w:b w:val="0"/>
          <w:noProof/>
        </w:rPr>
        <w:t>[81]</w:t>
      </w:r>
      <w:r w:rsidR="003B6350" w:rsidRPr="004030F5">
        <w:rPr>
          <w:rFonts w:cs="Arial"/>
          <w:b w:val="0"/>
        </w:rPr>
        <w:fldChar w:fldCharType="end"/>
      </w:r>
      <w:r w:rsidR="007A5DBE" w:rsidRPr="004030F5">
        <w:rPr>
          <w:rFonts w:cs="Arial"/>
          <w:b w:val="0"/>
        </w:rPr>
        <w:t xml:space="preserve">, enzyme </w:t>
      </w:r>
      <w:r w:rsidR="00BA0248" w:rsidRPr="004030F5">
        <w:rPr>
          <w:rFonts w:cs="Arial"/>
          <w:b w:val="0"/>
        </w:rPr>
        <w:t>commission</w:t>
      </w:r>
      <w:r w:rsidR="007A5DBE" w:rsidRPr="004030F5">
        <w:rPr>
          <w:rFonts w:cs="Arial"/>
          <w:b w:val="0"/>
        </w:rPr>
        <w:t xml:space="preserve"> (E.C.) </w:t>
      </w:r>
      <w:r w:rsidR="00BA0248" w:rsidRPr="004030F5">
        <w:rPr>
          <w:rFonts w:cs="Arial"/>
          <w:b w:val="0"/>
        </w:rPr>
        <w:fldChar w:fldCharType="begin"/>
      </w:r>
      <w:r w:rsidR="00A2095B" w:rsidRPr="004030F5">
        <w:rPr>
          <w:rFonts w:cs="Arial"/>
          <w:b w:val="0"/>
        </w:rPr>
        <w:instrText xml:space="preserve"> ADDIN EN.CITE &lt;EndNote&gt;&lt;Cite&gt;&lt;Author&gt;Webb&lt;/Author&gt;&lt;Year&gt;1992&lt;/Year&gt;&lt;RecNum&gt;81&lt;/RecNum&gt;&lt;DisplayText&gt;[82]&lt;/DisplayText&gt;&lt;record&gt;&lt;rec-number&gt;81&lt;/rec-number&gt;&lt;foreign-keys&gt;&lt;key app="EN" db-id="efx2002d5f0z21etvw3x9zp7tw2axpa2eez0" timestamp="1433617957"&gt;81&lt;/key&gt;&lt;/foreign-keys&gt;&lt;ref-type name="Book"&gt;6&lt;/ref-type&gt;&lt;contributors&gt;&lt;authors&gt;&lt;author&gt;Webb, Edwin C&lt;/author&gt;&lt;/authors&gt;&lt;/contributors&gt;&lt;titles&gt;&lt;title&gt;Enzyme nomenclature 1992. Recommendations of the Nomenclature Committee of the International Union of Biochemistry and Molecular Biology on the Nomenclature and Classification of Enzymes&lt;/title&gt;&lt;/titles&gt;&lt;number&gt;Ed. 6&lt;/number&gt;&lt;dates&gt;&lt;year&gt;1992&lt;/year&gt;&lt;/dates&gt;&lt;publisher&gt;Academic Press&lt;/publisher&gt;&lt;isbn&gt;0122271653&lt;/isbn&gt;&lt;urls&gt;&lt;/urls&gt;&lt;/record&gt;&lt;/Cite&gt;&lt;/EndNote&gt;</w:instrText>
      </w:r>
      <w:r w:rsidR="00BA0248" w:rsidRPr="004030F5">
        <w:rPr>
          <w:rFonts w:cs="Arial"/>
          <w:b w:val="0"/>
        </w:rPr>
        <w:fldChar w:fldCharType="separate"/>
      </w:r>
      <w:r w:rsidR="00A2095B" w:rsidRPr="004030F5">
        <w:rPr>
          <w:rFonts w:cs="Arial"/>
          <w:b w:val="0"/>
          <w:noProof/>
        </w:rPr>
        <w:t>[82]</w:t>
      </w:r>
      <w:r w:rsidR="00BA0248" w:rsidRPr="004030F5">
        <w:rPr>
          <w:rFonts w:cs="Arial"/>
          <w:b w:val="0"/>
        </w:rPr>
        <w:fldChar w:fldCharType="end"/>
      </w:r>
      <w:r w:rsidR="00BA0248" w:rsidRPr="004030F5">
        <w:rPr>
          <w:rFonts w:cs="Arial"/>
          <w:b w:val="0"/>
        </w:rPr>
        <w:t xml:space="preserve"> and </w:t>
      </w:r>
      <w:r w:rsidR="00475299" w:rsidRPr="00475299">
        <w:rPr>
          <w:rFonts w:cs="Arial"/>
          <w:b w:val="0"/>
        </w:rPr>
        <w:t>National Center for Biotechnology Information</w:t>
      </w:r>
      <w:r w:rsidR="00475299">
        <w:rPr>
          <w:rFonts w:cs="Arial"/>
          <w:b w:val="0"/>
        </w:rPr>
        <w:t xml:space="preserve"> (</w:t>
      </w:r>
      <w:r w:rsidR="00BA0248" w:rsidRPr="004030F5">
        <w:rPr>
          <w:rFonts w:cs="Arial"/>
          <w:b w:val="0"/>
        </w:rPr>
        <w:t>NCBI</w:t>
      </w:r>
      <w:r w:rsidR="00475299">
        <w:rPr>
          <w:rFonts w:cs="Arial"/>
          <w:b w:val="0"/>
        </w:rPr>
        <w:t>)</w:t>
      </w:r>
      <w:r w:rsidR="00BA0248" w:rsidRPr="004030F5">
        <w:rPr>
          <w:rFonts w:cs="Arial"/>
          <w:b w:val="0"/>
        </w:rPr>
        <w:t xml:space="preserve"> Taxonomy </w:t>
      </w:r>
      <w:r w:rsidR="00BA0248" w:rsidRPr="004030F5">
        <w:rPr>
          <w:rFonts w:cs="Arial"/>
          <w:b w:val="0"/>
        </w:rPr>
        <w:fldChar w:fldCharType="begin"/>
      </w:r>
      <w:r w:rsidR="00A2095B" w:rsidRPr="004030F5">
        <w:rPr>
          <w:rFonts w:cs="Arial"/>
          <w:b w:val="0"/>
        </w:rPr>
        <w:instrText xml:space="preserve"> ADDIN EN.CITE &lt;EndNote&gt;&lt;Cite&gt;&lt;Author&gt;Federhen&lt;/Author&gt;&lt;Year&gt;2012&lt;/Year&gt;&lt;RecNum&gt;82&lt;/RecNum&gt;&lt;DisplayText&gt;[83]&lt;/DisplayText&gt;&lt;record&gt;&lt;rec-number&gt;82&lt;/rec-number&gt;&lt;foreign-keys&gt;&lt;key app="EN" db-id="efx2002d5f0z21etvw3x9zp7tw2axpa2eez0" timestamp="1433617988"&gt;82&lt;/key&gt;&lt;/foreign-keys&gt;&lt;ref-type name="Journal Article"&gt;17&lt;/ref-type&gt;&lt;contributors&gt;&lt;authors&gt;&lt;author&gt;Federhen, Scott&lt;/author&gt;&lt;/authors&gt;&lt;/contributors&gt;&lt;titles&gt;&lt;title&gt;The NCBI taxonomy database&lt;/title&gt;&lt;secondary-title&gt;Nucleic acids research&lt;/secondary-title&gt;&lt;/titles&gt;&lt;periodical&gt;&lt;full-title&gt;Nucleic acids research&lt;/full-title&gt;&lt;/periodical&gt;&lt;pages&gt;D136-D143&lt;/pages&gt;&lt;volume&gt;40&lt;/volume&gt;&lt;number&gt;D1&lt;/number&gt;&lt;dates&gt;&lt;year&gt;2012&lt;/year&gt;&lt;/dates&gt;&lt;isbn&gt;0305-1048&lt;/isbn&gt;&lt;urls&gt;&lt;/urls&gt;&lt;/record&gt;&lt;/Cite&gt;&lt;/EndNote&gt;</w:instrText>
      </w:r>
      <w:r w:rsidR="00BA0248" w:rsidRPr="004030F5">
        <w:rPr>
          <w:rFonts w:cs="Arial"/>
          <w:b w:val="0"/>
        </w:rPr>
        <w:fldChar w:fldCharType="separate"/>
      </w:r>
      <w:r w:rsidR="00A2095B" w:rsidRPr="004030F5">
        <w:rPr>
          <w:rFonts w:cs="Arial"/>
          <w:b w:val="0"/>
          <w:noProof/>
        </w:rPr>
        <w:t>[83]</w:t>
      </w:r>
      <w:r w:rsidR="00BA0248" w:rsidRPr="004030F5">
        <w:rPr>
          <w:rFonts w:cs="Arial"/>
          <w:b w:val="0"/>
        </w:rPr>
        <w:fldChar w:fldCharType="end"/>
      </w:r>
      <w:r w:rsidR="00BA0248" w:rsidRPr="004030F5">
        <w:rPr>
          <w:rFonts w:cs="Arial"/>
          <w:b w:val="0"/>
        </w:rPr>
        <w:t xml:space="preserve">.  </w:t>
      </w:r>
      <w:r w:rsidR="008D3D9C" w:rsidRPr="004030F5">
        <w:rPr>
          <w:rFonts w:cs="Arial"/>
          <w:b w:val="0"/>
        </w:rPr>
        <w:t xml:space="preserve">MPA generates visualized reports </w:t>
      </w:r>
      <w:r w:rsidR="005E5312" w:rsidRPr="004030F5">
        <w:rPr>
          <w:rFonts w:cs="Arial"/>
          <w:b w:val="0"/>
        </w:rPr>
        <w:t xml:space="preserve">drawing </w:t>
      </w:r>
      <w:r w:rsidR="00310BB3" w:rsidRPr="004030F5">
        <w:rPr>
          <w:rFonts w:cs="Arial"/>
          <w:b w:val="0"/>
        </w:rPr>
        <w:t xml:space="preserve">figures and </w:t>
      </w:r>
      <w:r w:rsidR="005F4470" w:rsidRPr="004030F5">
        <w:rPr>
          <w:rFonts w:cs="Arial"/>
          <w:b w:val="0"/>
        </w:rPr>
        <w:t>producing analysis reports.</w:t>
      </w:r>
      <w:r w:rsidR="00B65954" w:rsidRPr="004030F5">
        <w:rPr>
          <w:rFonts w:cs="Arial"/>
          <w:b w:val="0"/>
        </w:rPr>
        <w:t xml:space="preserve">  MPA is the first analysis pipeline, equipped with visual interface, but it does not provide parallel running of DB search engine for enhancing speed and COG analysis.  </w:t>
      </w:r>
      <w:r w:rsidR="009A490A" w:rsidRPr="004030F5">
        <w:rPr>
          <w:rFonts w:cs="Arial"/>
          <w:b w:val="0"/>
        </w:rPr>
        <w:t xml:space="preserve">MPA’s functional analysis is all based on reference DB.  However, metagenome sequences, generally used for metaproteome DB construction, can’t be annotated and many of microbes are not well annotated by reference DB.  </w:t>
      </w:r>
      <w:r w:rsidR="004D3E59" w:rsidRPr="004030F5">
        <w:rPr>
          <w:rFonts w:cs="Arial"/>
          <w:b w:val="0"/>
        </w:rPr>
        <w:t>Therefore, MPA’s functional analysis is very limited to be designed for metaproteomics.</w:t>
      </w:r>
    </w:p>
    <w:p w14:paraId="20E4694F" w14:textId="79F2B2A6" w:rsidR="00656EBA" w:rsidRPr="004030F5" w:rsidRDefault="00656EBA" w:rsidP="000A35F6">
      <w:pPr>
        <w:spacing w:line="480" w:lineRule="auto"/>
        <w:ind w:firstLine="720"/>
        <w:rPr>
          <w:rFonts w:cs="Arial"/>
          <w:bCs/>
          <w:szCs w:val="20"/>
        </w:rPr>
      </w:pPr>
      <w:r w:rsidRPr="004030F5">
        <w:rPr>
          <w:rFonts w:cs="Arial"/>
        </w:rPr>
        <w:t xml:space="preserve">Analysis pipeline for Metaproteomics should </w:t>
      </w:r>
      <w:r w:rsidR="002B6741" w:rsidRPr="004030F5">
        <w:rPr>
          <w:rFonts w:cs="Arial"/>
        </w:rPr>
        <w:t xml:space="preserve">have two important </w:t>
      </w:r>
      <w:r w:rsidRPr="004030F5">
        <w:rPr>
          <w:rFonts w:cs="Arial"/>
        </w:rPr>
        <w:t>requirements.  First, simultaneously running MS/MS search engine is necessary</w:t>
      </w:r>
      <w:r w:rsidR="00F13145" w:rsidRPr="004030F5">
        <w:rPr>
          <w:rFonts w:cs="Arial"/>
        </w:rPr>
        <w:t xml:space="preserve">.  Since metaproteomics needs </w:t>
      </w:r>
      <w:r w:rsidR="00044202" w:rsidRPr="004030F5">
        <w:rPr>
          <w:rFonts w:cs="Arial"/>
        </w:rPr>
        <w:t xml:space="preserve">highly complicated protein sequence DB, </w:t>
      </w:r>
      <w:r w:rsidR="003805B7" w:rsidRPr="004030F5">
        <w:rPr>
          <w:rFonts w:cs="Arial"/>
        </w:rPr>
        <w:t xml:space="preserve">DB search speed is very slower than single species proteomics.  </w:t>
      </w:r>
      <w:r w:rsidR="003412E6" w:rsidRPr="004030F5">
        <w:rPr>
          <w:rFonts w:cs="Arial"/>
        </w:rPr>
        <w:t>Search speed of every DB search engine is dependent on DB size</w:t>
      </w:r>
      <w:r w:rsidR="00DB2135" w:rsidRPr="004030F5">
        <w:rPr>
          <w:rFonts w:cs="Arial"/>
        </w:rPr>
        <w:t>.</w:t>
      </w:r>
      <w:r w:rsidR="009F78F9" w:rsidRPr="004030F5">
        <w:rPr>
          <w:rFonts w:cs="Arial"/>
        </w:rPr>
        <w:t xml:space="preserve">  MyriMatch is designed to do multithreading, so it can use multiple CPUs for DB search.  Also, functional analysis of metaproteomics should be based on sequences, not on reference DB.  Human, mouse, Escherichia coli and yeast have manually curated and widely covered annotation.  </w:t>
      </w:r>
      <w:r w:rsidR="00430A3C" w:rsidRPr="004030F5">
        <w:rPr>
          <w:rFonts w:cs="Arial"/>
        </w:rPr>
        <w:t xml:space="preserve">However, almost all the microbes living in an environmental sample, target of metaproteomics, </w:t>
      </w:r>
      <w:proofErr w:type="gramStart"/>
      <w:r w:rsidR="00430A3C" w:rsidRPr="004030F5">
        <w:rPr>
          <w:rFonts w:cs="Arial"/>
        </w:rPr>
        <w:t>is</w:t>
      </w:r>
      <w:proofErr w:type="gramEnd"/>
      <w:r w:rsidR="00430A3C" w:rsidRPr="004030F5">
        <w:rPr>
          <w:rFonts w:cs="Arial"/>
        </w:rPr>
        <w:t xml:space="preserve"> unknown and does not have </w:t>
      </w:r>
      <w:r w:rsidR="00430A3C" w:rsidRPr="004030F5">
        <w:rPr>
          <w:rFonts w:cs="Arial"/>
        </w:rPr>
        <w:lastRenderedPageBreak/>
        <w:t xml:space="preserve">annotation.  Functional analysis based on reference DB, used in MPA, is not </w:t>
      </w:r>
      <w:r w:rsidR="00AD7A10" w:rsidRPr="004030F5">
        <w:rPr>
          <w:rFonts w:cs="Arial"/>
        </w:rPr>
        <w:t>much valuable</w:t>
      </w:r>
      <w:r w:rsidR="00430A3C" w:rsidRPr="004030F5">
        <w:rPr>
          <w:rFonts w:cs="Arial"/>
        </w:rPr>
        <w:t xml:space="preserve"> </w:t>
      </w:r>
      <w:r w:rsidR="00AD7A10" w:rsidRPr="004030F5">
        <w:rPr>
          <w:rFonts w:cs="Arial"/>
        </w:rPr>
        <w:t>in</w:t>
      </w:r>
      <w:r w:rsidR="00430A3C" w:rsidRPr="004030F5">
        <w:rPr>
          <w:rFonts w:cs="Arial"/>
        </w:rPr>
        <w:t xml:space="preserve"> metaproteomics.  </w:t>
      </w:r>
      <w:r w:rsidR="0067217A">
        <w:rPr>
          <w:rFonts w:cs="Arial"/>
        </w:rPr>
        <w:t>Therefore, next me</w:t>
      </w:r>
      <w:r w:rsidR="00AD7A10" w:rsidRPr="004030F5">
        <w:rPr>
          <w:rFonts w:cs="Arial"/>
        </w:rPr>
        <w:t xml:space="preserve">taproteomics pipeline should have these required </w:t>
      </w:r>
      <w:r w:rsidR="001A60F0" w:rsidRPr="004030F5">
        <w:rPr>
          <w:rFonts w:cs="Arial"/>
        </w:rPr>
        <w:t>features.</w:t>
      </w:r>
      <w:r w:rsidR="00AD7A10" w:rsidRPr="004030F5">
        <w:rPr>
          <w:rFonts w:cs="Arial"/>
        </w:rPr>
        <w:t xml:space="preserve"> </w:t>
      </w:r>
      <w:r w:rsidRPr="004030F5">
        <w:rPr>
          <w:rFonts w:cs="Arial"/>
          <w:b/>
        </w:rPr>
        <w:br w:type="page"/>
      </w:r>
    </w:p>
    <w:p w14:paraId="4FE25220" w14:textId="4695B995" w:rsidR="00013FCD" w:rsidRPr="004030F5" w:rsidRDefault="00013FCD" w:rsidP="00013FCD">
      <w:pPr>
        <w:pStyle w:val="Heading1"/>
        <w:jc w:val="center"/>
        <w:rPr>
          <w:rFonts w:cs="Arial"/>
        </w:rPr>
      </w:pPr>
      <w:bookmarkStart w:id="28" w:name="_Toc296333705"/>
      <w:r w:rsidRPr="004030F5">
        <w:rPr>
          <w:rFonts w:cs="Arial"/>
        </w:rPr>
        <w:lastRenderedPageBreak/>
        <w:t>CHAPTER I</w:t>
      </w:r>
      <w:r w:rsidR="006E5ADE">
        <w:rPr>
          <w:rFonts w:cs="Arial"/>
        </w:rPr>
        <w:t>I</w:t>
      </w:r>
      <w:r>
        <w:rPr>
          <w:rFonts w:cs="Arial"/>
        </w:rPr>
        <w:br/>
      </w:r>
      <w:r w:rsidR="00A07955">
        <w:rPr>
          <w:rFonts w:cs="Arial"/>
        </w:rPr>
        <w:t>QUANTITATIVE AND FUNCTIONAL ANALYSIS PIPELINE</w:t>
      </w:r>
      <w:r w:rsidR="00FE5198">
        <w:rPr>
          <w:rFonts w:cs="Arial"/>
        </w:rPr>
        <w:t xml:space="preserve"> FOR METAPROTEOMICS DATA</w:t>
      </w:r>
      <w:bookmarkEnd w:id="28"/>
    </w:p>
    <w:p w14:paraId="38757ADB" w14:textId="77777777" w:rsidR="00013FCD" w:rsidRPr="004030F5" w:rsidRDefault="00013FCD" w:rsidP="00013FCD">
      <w:pPr>
        <w:pStyle w:val="Heading2"/>
      </w:pPr>
    </w:p>
    <w:p w14:paraId="44122182" w14:textId="633EE45D" w:rsidR="00220F7C" w:rsidRDefault="00220F7C" w:rsidP="00013FCD">
      <w:pPr>
        <w:pStyle w:val="Heading2"/>
      </w:pPr>
      <w:bookmarkStart w:id="29" w:name="_Toc296333706"/>
      <w:r>
        <w:t>General information about the pipeline</w:t>
      </w:r>
      <w:bookmarkEnd w:id="29"/>
    </w:p>
    <w:p w14:paraId="176AD3E9" w14:textId="77777777" w:rsidR="0062376A" w:rsidRPr="0062376A" w:rsidRDefault="0062376A" w:rsidP="0062376A"/>
    <w:p w14:paraId="2D736F7F" w14:textId="3EAEE9C6" w:rsidR="0062376A" w:rsidRDefault="00820F27" w:rsidP="0062376A">
      <w:pPr>
        <w:pStyle w:val="Heading3"/>
      </w:pPr>
      <w:bookmarkStart w:id="30" w:name="_Toc296333707"/>
      <w:r>
        <w:t>Quantitative and functional analysis for metaproteomics (QFAM)</w:t>
      </w:r>
      <w:bookmarkEnd w:id="30"/>
    </w:p>
    <w:p w14:paraId="446613CB" w14:textId="66F4BA6F" w:rsidR="009020D7" w:rsidRDefault="0062376A" w:rsidP="00AA3529">
      <w:pPr>
        <w:spacing w:line="480" w:lineRule="auto"/>
      </w:pPr>
      <w:r>
        <w:tab/>
        <w:t>Our analysis pipeline for metaproteomics</w:t>
      </w:r>
      <w:r w:rsidR="00CA044B">
        <w:t>, named as quantitative and functional analysis for metaproteomics (QFAM),</w:t>
      </w:r>
      <w:r>
        <w:t xml:space="preserve"> is installed in Newton cluster of the University of Tennessee.  </w:t>
      </w:r>
      <w:r w:rsidR="00AA3529">
        <w:t xml:space="preserve">Newton cluster has </w:t>
      </w:r>
      <w:r w:rsidR="00842D11">
        <w:t>4,200 processor cores</w:t>
      </w:r>
      <w:r w:rsidR="004356C3">
        <w:t xml:space="preserve"> (400 nodes)</w:t>
      </w:r>
      <w:r w:rsidR="00CD1F42">
        <w:t>.  A</w:t>
      </w:r>
      <w:r w:rsidR="00842D11">
        <w:t>ll nodes are connected via 1Gb</w:t>
      </w:r>
      <w:r w:rsidR="004356C3">
        <w:t xml:space="preserve"> Ethernet</w:t>
      </w:r>
      <w:r w:rsidR="00365266">
        <w:t xml:space="preserve"> and </w:t>
      </w:r>
      <w:r w:rsidR="00015037">
        <w:t>Infiniband interconnected (up to 40Gb/sec)</w:t>
      </w:r>
      <w:r w:rsidR="004356C3">
        <w:t xml:space="preserve">.  </w:t>
      </w:r>
      <w:r w:rsidR="00B162D7">
        <w:t>Operating system is Scientific Linux 6.5 (Redhat Enter</w:t>
      </w:r>
      <w:r w:rsidR="006359FA">
        <w:t xml:space="preserve">prise compatible) and </w:t>
      </w:r>
      <w:r w:rsidR="00043945">
        <w:t>sun grid e</w:t>
      </w:r>
      <w:r w:rsidR="006359FA">
        <w:t>ngine (SGE)</w:t>
      </w:r>
      <w:r w:rsidR="00043945">
        <w:t>, also known as N1 grid engine,</w:t>
      </w:r>
      <w:r w:rsidR="006359FA">
        <w:t xml:space="preserve"> controls batch-queue system.  </w:t>
      </w:r>
      <w:r w:rsidR="004356C3">
        <w:t xml:space="preserve">Newton is serviced for scientific high performance computing purpose and </w:t>
      </w:r>
      <w:r w:rsidR="00F03FFF">
        <w:t xml:space="preserve">freely available to students and steps of </w:t>
      </w:r>
      <w:r w:rsidR="00F03FFF" w:rsidRPr="00F03FFF">
        <w:t>University of Tennessee</w:t>
      </w:r>
      <w:r w:rsidR="00F46622">
        <w:t>.</w:t>
      </w:r>
      <w:r w:rsidR="00C93166">
        <w:t xml:space="preserve">  Generally Newton allows only 24 hour run for single job, but </w:t>
      </w:r>
      <w:r w:rsidR="00D52766">
        <w:t>QFAM</w:t>
      </w:r>
      <w:r w:rsidR="00C93166">
        <w:t xml:space="preserve"> is allowed to use 48 cores for unlimited time</w:t>
      </w:r>
      <w:r w:rsidR="00BC3C71">
        <w:t xml:space="preserve"> because</w:t>
      </w:r>
      <w:r w:rsidR="00C93166">
        <w:t xml:space="preserve"> </w:t>
      </w:r>
      <w:r w:rsidR="00BC3C71">
        <w:t>PSM search of metaproteomics analysis sometimes takes more than two weeks</w:t>
      </w:r>
      <w:r w:rsidR="00CF4CB7">
        <w:t xml:space="preserve"> despite of using 48 </w:t>
      </w:r>
      <w:r w:rsidR="00B37DD0">
        <w:t>CPUs, which is maximum number of, allowed</w:t>
      </w:r>
      <w:r w:rsidR="00BC3C71">
        <w:t>.</w:t>
      </w:r>
      <w:r w:rsidR="00CF4CB7">
        <w:t xml:space="preserve">  </w:t>
      </w:r>
    </w:p>
    <w:p w14:paraId="317762FA" w14:textId="0AF1B638" w:rsidR="008A5A9D" w:rsidRDefault="00427D2C" w:rsidP="009358FB">
      <w:pPr>
        <w:spacing w:line="480" w:lineRule="auto"/>
        <w:ind w:firstLine="720"/>
      </w:pPr>
      <w:r>
        <w:t xml:space="preserve">QFAM </w:t>
      </w:r>
      <w:r w:rsidR="008A189E">
        <w:t>is designed for</w:t>
      </w:r>
      <w:r w:rsidR="00A03C9B">
        <w:t xml:space="preserve"> label-free shotgun metaproteomics </w:t>
      </w:r>
      <w:r w:rsidR="004042BC">
        <w:t>data that is from microbial communities of environmental samples</w:t>
      </w:r>
      <w:r w:rsidR="00A03C9B">
        <w:t xml:space="preserve">.  The pipeline </w:t>
      </w:r>
      <w:r w:rsidR="009020D7">
        <w:t xml:space="preserve">consists </w:t>
      </w:r>
      <w:r w:rsidR="00190CB9">
        <w:t xml:space="preserve">of </w:t>
      </w:r>
      <w:r w:rsidR="00B82348">
        <w:t>five</w:t>
      </w:r>
      <w:r w:rsidR="00190CB9">
        <w:t xml:space="preserve"> modules; PSM search module, module for making contrast file, normalization module, </w:t>
      </w:r>
      <w:r w:rsidR="00FC32FC">
        <w:t>statistical analysis module and</w:t>
      </w:r>
      <w:r w:rsidR="00572470">
        <w:t xml:space="preserve"> </w:t>
      </w:r>
      <w:r w:rsidR="00190CB9">
        <w:t>functional analysis module</w:t>
      </w:r>
      <w:r w:rsidR="006319C2">
        <w:t xml:space="preserve"> (Fig. 17)</w:t>
      </w:r>
      <w:r w:rsidR="00190CB9">
        <w:t>.</w:t>
      </w:r>
      <w:r w:rsidR="00F57086">
        <w:t xml:space="preserve"> </w:t>
      </w:r>
      <w:r w:rsidR="008A5A9D">
        <w:br w:type="page"/>
      </w:r>
    </w:p>
    <w:p w14:paraId="382F2222" w14:textId="77777777" w:rsidR="006E272A" w:rsidRDefault="008A5A9D" w:rsidP="006E272A">
      <w:pPr>
        <w:keepNext/>
        <w:spacing w:line="480" w:lineRule="auto"/>
      </w:pPr>
      <w:r>
        <w:rPr>
          <w:noProof/>
        </w:rPr>
        <w:lastRenderedPageBreak/>
        <w:drawing>
          <wp:inline distT="0" distB="0" distL="0" distR="0" wp14:anchorId="179FCABA" wp14:editId="077FF7A8">
            <wp:extent cx="5456766" cy="328168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jpg"/>
                    <pic:cNvPicPr/>
                  </pic:nvPicPr>
                  <pic:blipFill rotWithShape="1">
                    <a:blip r:embed="rId36">
                      <a:extLst>
                        <a:ext uri="{28A0092B-C50C-407E-A947-70E740481C1C}">
                          <a14:useLocalDpi xmlns:a14="http://schemas.microsoft.com/office/drawing/2010/main" val="0"/>
                        </a:ext>
                      </a:extLst>
                    </a:blip>
                    <a:srcRect b="19814"/>
                    <a:stretch/>
                  </pic:blipFill>
                  <pic:spPr bwMode="auto">
                    <a:xfrm>
                      <a:off x="0" y="0"/>
                      <a:ext cx="5458075" cy="3282467"/>
                    </a:xfrm>
                    <a:prstGeom prst="rect">
                      <a:avLst/>
                    </a:prstGeom>
                    <a:ln>
                      <a:noFill/>
                    </a:ln>
                    <a:extLst>
                      <a:ext uri="{53640926-AAD7-44d8-BBD7-CCE9431645EC}">
                        <a14:shadowObscured xmlns:a14="http://schemas.microsoft.com/office/drawing/2010/main"/>
                      </a:ext>
                    </a:extLst>
                  </pic:spPr>
                </pic:pic>
              </a:graphicData>
            </a:graphic>
          </wp:inline>
        </w:drawing>
      </w:r>
    </w:p>
    <w:p w14:paraId="6C46D50A" w14:textId="5B24F89E" w:rsidR="00F57086" w:rsidRPr="009744F6" w:rsidRDefault="006E272A" w:rsidP="006E272A">
      <w:pPr>
        <w:pStyle w:val="Caption"/>
        <w:rPr>
          <w:b w:val="0"/>
        </w:rPr>
      </w:pPr>
      <w:bookmarkStart w:id="31" w:name="_Toc296333110"/>
      <w:r>
        <w:t xml:space="preserve">Figure </w:t>
      </w:r>
      <w:fldSimple w:instr=" SEQ Figure \* ARABIC ">
        <w:r w:rsidR="002B3E83">
          <w:rPr>
            <w:noProof/>
          </w:rPr>
          <w:t>17</w:t>
        </w:r>
      </w:fldSimple>
      <w:r>
        <w:t xml:space="preserve"> Schematic diagram of </w:t>
      </w:r>
      <w:r w:rsidR="009744F6">
        <w:t>quantitative and functional analysis pipeline</w:t>
      </w:r>
      <w:r w:rsidR="00BD522A">
        <w:t xml:space="preserve"> for </w:t>
      </w:r>
      <w:r w:rsidR="002F5FBE">
        <w:t>metaproteomics</w:t>
      </w:r>
      <w:r w:rsidR="009744F6">
        <w:t xml:space="preserve"> (QFAM)</w:t>
      </w:r>
      <w:r w:rsidR="002F5FBE">
        <w:t>.</w:t>
      </w:r>
      <w:r w:rsidR="009744F6">
        <w:rPr>
          <w:b w:val="0"/>
        </w:rPr>
        <w:t xml:space="preserve">  QFAM consists of seven modules and </w:t>
      </w:r>
      <w:r w:rsidR="009664FF">
        <w:rPr>
          <w:b w:val="0"/>
        </w:rPr>
        <w:t xml:space="preserve">is designed to process metaproteome data rapidly and </w:t>
      </w:r>
      <w:r w:rsidR="00DF4FF0">
        <w:rPr>
          <w:b w:val="0"/>
        </w:rPr>
        <w:t>give functional reports to users.</w:t>
      </w:r>
      <w:bookmarkEnd w:id="31"/>
    </w:p>
    <w:p w14:paraId="411B447E" w14:textId="77777777" w:rsidR="00F57086" w:rsidRDefault="00F57086">
      <w:pPr>
        <w:rPr>
          <w:b/>
          <w:bCs/>
          <w:szCs w:val="20"/>
        </w:rPr>
      </w:pPr>
      <w:r>
        <w:br w:type="page"/>
      </w:r>
    </w:p>
    <w:p w14:paraId="4712BC88" w14:textId="77777777" w:rsidR="007F25B8" w:rsidRDefault="00BC7BBA" w:rsidP="00067372">
      <w:pPr>
        <w:spacing w:line="480" w:lineRule="auto"/>
      </w:pPr>
      <w:r>
        <w:lastRenderedPageBreak/>
        <w:t xml:space="preserve">PSM search module employed MyriMatch and IDPicker for fast and exact peptide and protein identifications.  </w:t>
      </w:r>
      <w:r w:rsidR="001F3B22">
        <w:t xml:space="preserve">PSM search module produces tab-delimited files containing protein ID, spectrum counts and decoy-target information.  </w:t>
      </w:r>
      <w:r w:rsidR="00756292">
        <w:t>If multiple MS runs are accumulated, spectrum counts of multiple MS runs</w:t>
      </w:r>
      <w:r w:rsidR="00016164">
        <w:t xml:space="preserve"> are summarized into one contrast file that have </w:t>
      </w:r>
      <w:r w:rsidR="00910990">
        <w:t xml:space="preserve">protein IDs in </w:t>
      </w:r>
      <w:r w:rsidR="00016164">
        <w:t>row</w:t>
      </w:r>
      <w:r w:rsidR="00910990">
        <w:t>s</w:t>
      </w:r>
      <w:r w:rsidR="00016164">
        <w:t xml:space="preserve"> and spectrum counts of MS runs in columns.</w:t>
      </w:r>
      <w:r w:rsidR="007B3418">
        <w:t xml:space="preserve">  Module for contrast also compares each of MS runs by calculating Pearson coefficient correlation (PCC) to find similar technical runs.  If </w:t>
      </w:r>
      <w:r w:rsidR="00A17FF9">
        <w:t>experiment datasets have many technical replicates and</w:t>
      </w:r>
      <w:r w:rsidR="00C63300">
        <w:t xml:space="preserve"> needs to pick good and similar technical runs, MS runs that have high PCC for each other are preferentially selected. </w:t>
      </w:r>
      <w:r w:rsidR="00B129B1">
        <w:t xml:space="preserve">Next module is for normalization.  </w:t>
      </w:r>
      <w:r w:rsidR="00C94FF2">
        <w:t xml:space="preserve">The module provides </w:t>
      </w:r>
      <w:r w:rsidR="00967D3E">
        <w:t>three options; total sum normalization</w:t>
      </w:r>
      <w:r w:rsidR="00AA42A6">
        <w:t xml:space="preserve"> and</w:t>
      </w:r>
      <w:r w:rsidR="00B96553">
        <w:t xml:space="preserve"> same</w:t>
      </w:r>
      <w:r w:rsidR="00967D3E">
        <w:t xml:space="preserve"> average normalization.  </w:t>
      </w:r>
      <w:r w:rsidR="00D0715B">
        <w:t>Statistical analysis module is programmed by R statistics script</w:t>
      </w:r>
      <w:r w:rsidR="00B96553">
        <w:t xml:space="preserve"> to apply three methodologies; quasi-Poisson model with Cohen’s </w:t>
      </w:r>
      <w:r w:rsidR="00B96553" w:rsidRPr="00B96553">
        <w:rPr>
          <w:i/>
        </w:rPr>
        <w:t>f</w:t>
      </w:r>
      <w:r w:rsidR="00B96553">
        <w:t xml:space="preserve">, negative binomial model with Cohen’s </w:t>
      </w:r>
      <w:r w:rsidR="00B96553" w:rsidRPr="00B96553">
        <w:rPr>
          <w:i/>
        </w:rPr>
        <w:t>w</w:t>
      </w:r>
      <w:r w:rsidR="00B96553">
        <w:t xml:space="preserve"> and Normal ANOVA with Cohen’s </w:t>
      </w:r>
      <w:r w:rsidR="00B96553" w:rsidRPr="00B96553">
        <w:rPr>
          <w:i/>
        </w:rPr>
        <w:t>f</w:t>
      </w:r>
      <w:r w:rsidR="00B96553">
        <w:t>.</w:t>
      </w:r>
      <w:r w:rsidR="00267FE9">
        <w:t xml:space="preserve">  Functional analysis module is based on NCBI Biosystems DB</w:t>
      </w:r>
      <w:r w:rsidR="000F277D">
        <w:fldChar w:fldCharType="begin"/>
      </w:r>
      <w:r w:rsidR="000F277D">
        <w:instrText xml:space="preserve"> ADDIN EN.CITE &lt;EndNote&gt;&lt;Cite&gt;&lt;Author&gt;Geer&lt;/Author&gt;&lt;Year&gt;2009&lt;/Year&gt;&lt;RecNum&gt;86&lt;/RecNum&gt;&lt;DisplayText&gt;[84]&lt;/DisplayText&gt;&lt;record&gt;&lt;rec-number&gt;86&lt;/rec-number&gt;&lt;foreign-keys&gt;&lt;key app="EN" db-id="efx2002d5f0z21etvw3x9zp7tw2axpa2eez0" timestamp="1433650435"&gt;86&lt;/key&gt;&lt;/foreign-keys&gt;&lt;ref-type name="Journal Article"&gt;17&lt;/ref-type&gt;&lt;contributors&gt;&lt;authors&gt;&lt;author&gt;Geer, Lewis Y&lt;/author&gt;&lt;author&gt;Marchler-Bauer, Aron&lt;/author&gt;&lt;author&gt;Geer, Renata C&lt;/author&gt;&lt;author&gt;Han, Lianyi&lt;/author&gt;&lt;author&gt;He, Jane&lt;/author&gt;&lt;author&gt;He, Siqian&lt;/author&gt;&lt;author&gt;Liu, Chunlei&lt;/author&gt;&lt;author&gt;Shi, Wenyao&lt;/author&gt;&lt;author&gt;Bryant, Stephen H&lt;/author&gt;&lt;/authors&gt;&lt;/contributors&gt;&lt;titles&gt;&lt;title&gt;The NCBI biosystems database&lt;/title&gt;&lt;secondary-title&gt;Nucleic acids research&lt;/secondary-title&gt;&lt;/titles&gt;&lt;periodical&gt;&lt;full-title&gt;Nucleic acids research&lt;/full-title&gt;&lt;/periodical&gt;&lt;pages&gt;gkp858&lt;/pages&gt;&lt;dates&gt;&lt;year&gt;2009&lt;/year&gt;&lt;/dates&gt;&lt;isbn&gt;0305-1048&lt;/isbn&gt;&lt;urls&gt;&lt;/urls&gt;&lt;/record&gt;&lt;/Cite&gt;&lt;/EndNote&gt;</w:instrText>
      </w:r>
      <w:r w:rsidR="000F277D">
        <w:fldChar w:fldCharType="separate"/>
      </w:r>
      <w:r w:rsidR="000F277D">
        <w:rPr>
          <w:noProof/>
        </w:rPr>
        <w:t>[84]</w:t>
      </w:r>
      <w:r w:rsidR="000F277D">
        <w:fldChar w:fldCharType="end"/>
      </w:r>
      <w:r w:rsidR="00267FE9">
        <w:t xml:space="preserve"> a</w:t>
      </w:r>
      <w:r w:rsidR="00110FDE">
        <w:t>nd cluster of genes (COG) terms</w:t>
      </w:r>
      <w:r w:rsidR="000F277D" w:rsidRPr="0062376A">
        <w:t xml:space="preserve"> </w:t>
      </w:r>
      <w:r w:rsidR="00110FDE">
        <w:fldChar w:fldCharType="begin"/>
      </w:r>
      <w:r w:rsidR="00110FDE">
        <w:instrText xml:space="preserve"> ADDIN EN.CITE &lt;EndNote&gt;&lt;Cite&gt;&lt;Author&gt;Tatusov&lt;/Author&gt;&lt;Year&gt;1997&lt;/Year&gt;&lt;RecNum&gt;87&lt;/RecNum&gt;&lt;DisplayText&gt;[85]&lt;/DisplayText&gt;&lt;record&gt;&lt;rec-number&gt;87&lt;/rec-number&gt;&lt;foreign-keys&gt;&lt;key app="EN" db-id="efx2002d5f0z21etvw3x9zp7tw2axpa2eez0" timestamp="1433650663"&gt;87&lt;/key&gt;&lt;/foreign-keys&gt;&lt;ref-type name="Journal Article"&gt;17&lt;/ref-type&gt;&lt;contributors&gt;&lt;authors&gt;&lt;author&gt;Tatusov, Roman L&lt;/author&gt;&lt;author&gt;Koonin, Eugene V&lt;/author&gt;&lt;author&gt;Lipman, David J&lt;/author&gt;&lt;/authors&gt;&lt;/contributors&gt;&lt;titles&gt;&lt;title&gt;A genomic perspective on protein families&lt;/title&gt;&lt;secondary-title&gt;Science&lt;/secondary-title&gt;&lt;/titles&gt;&lt;periodical&gt;&lt;full-title&gt;Science&lt;/full-title&gt;&lt;/periodical&gt;&lt;pages&gt;631-637&lt;/pages&gt;&lt;volume&gt;278&lt;/volume&gt;&lt;number&gt;5338&lt;/number&gt;&lt;dates&gt;&lt;year&gt;1997&lt;/year&gt;&lt;/dates&gt;&lt;isbn&gt;0036-8075&lt;/isbn&gt;&lt;urls&gt;&lt;/urls&gt;&lt;/record&gt;&lt;/Cite&gt;&lt;/EndNote&gt;</w:instrText>
      </w:r>
      <w:r w:rsidR="00110FDE">
        <w:fldChar w:fldCharType="separate"/>
      </w:r>
      <w:r w:rsidR="00110FDE">
        <w:rPr>
          <w:noProof/>
        </w:rPr>
        <w:t>[85]</w:t>
      </w:r>
      <w:r w:rsidR="00110FDE">
        <w:fldChar w:fldCharType="end"/>
      </w:r>
      <w:r w:rsidR="00110FDE">
        <w:t xml:space="preserve">.  </w:t>
      </w:r>
      <w:r w:rsidR="001B2005">
        <w:t>Last module is for drawing charts for publication.  This module draws bar and line graphs and use ‘ggplot2’ R package</w:t>
      </w:r>
      <w:r w:rsidR="008E2EF8">
        <w:fldChar w:fldCharType="begin"/>
      </w:r>
      <w:r w:rsidR="008E2EF8">
        <w:instrText xml:space="preserve"> ADDIN EN.CITE &lt;EndNote&gt;&lt;Cite&gt;&lt;Author&gt;Wickham&lt;/Author&gt;&lt;Year&gt;2009&lt;/Year&gt;&lt;RecNum&gt;88&lt;/RecNum&gt;&lt;DisplayText&gt;[86]&lt;/DisplayText&gt;&lt;record&gt;&lt;rec-number&gt;88&lt;/rec-number&gt;&lt;foreign-keys&gt;&lt;key app="EN" db-id="efx2002d5f0z21etvw3x9zp7tw2axpa2eez0" timestamp="1433719688"&gt;88&lt;/key&gt;&lt;/foreign-keys&gt;&lt;ref-type name="Book"&gt;6&lt;/ref-type&gt;&lt;contributors&gt;&lt;authors&gt;&lt;author&gt;Wickham, Hadley&lt;/author&gt;&lt;/authors&gt;&lt;/contributors&gt;&lt;titles&gt;&lt;title&gt;ggplot2: elegant graphics for data analysis&lt;/title&gt;&lt;/titles&gt;&lt;dates&gt;&lt;year&gt;2009&lt;/year&gt;&lt;/dates&gt;&lt;publisher&gt;Springer Science &amp;amp; Business Media&lt;/publisher&gt;&lt;isbn&gt;0387981411&lt;/isbn&gt;&lt;urls&gt;&lt;/urls&gt;&lt;/record&gt;&lt;/Cite&gt;&lt;/EndNote&gt;</w:instrText>
      </w:r>
      <w:r w:rsidR="008E2EF8">
        <w:fldChar w:fldCharType="separate"/>
      </w:r>
      <w:r w:rsidR="008E2EF8">
        <w:rPr>
          <w:noProof/>
        </w:rPr>
        <w:t>[86]</w:t>
      </w:r>
      <w:r w:rsidR="008E2EF8">
        <w:fldChar w:fldCharType="end"/>
      </w:r>
      <w:r w:rsidR="00A51AF7">
        <w:t>.  All the modules are programmed in Python 2.7.6 and R 3.1.3.</w:t>
      </w:r>
    </w:p>
    <w:p w14:paraId="6F195683" w14:textId="39B26583" w:rsidR="00C6232B" w:rsidRPr="0062376A" w:rsidRDefault="007F25B8" w:rsidP="00067372">
      <w:pPr>
        <w:spacing w:line="480" w:lineRule="auto"/>
      </w:pPr>
      <w:r>
        <w:tab/>
        <w:t>QFAM is distinguished from other proteomics pipelines</w:t>
      </w:r>
      <w:r w:rsidR="00A2493D">
        <w:t>, such as MPA and GalaxyP,</w:t>
      </w:r>
      <w:r>
        <w:t xml:space="preserve"> by </w:t>
      </w:r>
      <w:r w:rsidR="00A73A75">
        <w:t xml:space="preserve">its </w:t>
      </w:r>
      <w:r w:rsidR="008361EF">
        <w:t xml:space="preserve">PSM search speed and </w:t>
      </w:r>
      <w:r w:rsidR="00A73A75">
        <w:t xml:space="preserve">quantitative </w:t>
      </w:r>
      <w:r w:rsidR="00C56963">
        <w:t xml:space="preserve">analysis module (QAM) </w:t>
      </w:r>
      <w:r w:rsidR="00547FFD">
        <w:t xml:space="preserve">and </w:t>
      </w:r>
      <w:r w:rsidR="00A73A75">
        <w:t>functional analysis module</w:t>
      </w:r>
      <w:r w:rsidR="00C56963">
        <w:t xml:space="preserve"> (FAM)</w:t>
      </w:r>
      <w:r w:rsidR="00A73A75">
        <w:t>.</w:t>
      </w:r>
      <w:r w:rsidR="00FC7AA9">
        <w:t xml:space="preserve">  QFAM has automatically controlled PSM search module using M</w:t>
      </w:r>
      <w:r w:rsidR="00AD7D1D">
        <w:t xml:space="preserve">yriMatch and IDPicker, which are able to do </w:t>
      </w:r>
      <w:r w:rsidR="00FC7AA9">
        <w:t>multithreading</w:t>
      </w:r>
      <w:r w:rsidR="00AD7D1D">
        <w:t>.</w:t>
      </w:r>
      <w:r w:rsidR="00CE77EB">
        <w:t xml:space="preserve">  PSM</w:t>
      </w:r>
      <w:r w:rsidR="00661C73">
        <w:t xml:space="preserve"> search time with multiple cores</w:t>
      </w:r>
      <w:r w:rsidR="00E649C4">
        <w:t xml:space="preserve"> is </w:t>
      </w:r>
      <w:r w:rsidR="00661C73">
        <w:t xml:space="preserve">a far reduced than using </w:t>
      </w:r>
      <w:r w:rsidR="00661C73">
        <w:lastRenderedPageBreak/>
        <w:t>single core.</w:t>
      </w:r>
      <w:r w:rsidR="00CE77EB">
        <w:t xml:space="preserve"> </w:t>
      </w:r>
      <w:r w:rsidR="00F11669">
        <w:t xml:space="preserve">QAM </w:t>
      </w:r>
      <w:r w:rsidR="00CB66FD">
        <w:t xml:space="preserve">of QFAM </w:t>
      </w:r>
      <w:r w:rsidR="008D2921">
        <w:t xml:space="preserve">uses ‘selfea’ R package for discerning false positives efficiently.  </w:t>
      </w:r>
      <w:r w:rsidR="00FC0EAF">
        <w:t>Selfea</w:t>
      </w:r>
      <w:r w:rsidR="00115FBB">
        <w:t xml:space="preserve"> is applied for significance test of </w:t>
      </w:r>
      <w:r w:rsidR="00FC0EAF">
        <w:t>FAM</w:t>
      </w:r>
      <w:r w:rsidR="00115FBB">
        <w:t xml:space="preserve"> using </w:t>
      </w:r>
      <w:r w:rsidR="00FD2441">
        <w:t xml:space="preserve">NCBI </w:t>
      </w:r>
      <w:r w:rsidR="001D4B5A">
        <w:t>BioSystems</w:t>
      </w:r>
      <w:r w:rsidR="00115FBB">
        <w:t xml:space="preserve"> and COG</w:t>
      </w:r>
      <w:r w:rsidR="001D4B5A">
        <w:t>.</w:t>
      </w:r>
      <w:r w:rsidR="00FC0EAF">
        <w:t xml:space="preserve">  </w:t>
      </w:r>
      <w:r w:rsidR="003A633D">
        <w:t xml:space="preserve">FAM provides COG enrichment test and significance test, which are </w:t>
      </w:r>
      <w:r w:rsidR="00D95631">
        <w:t xml:space="preserve">not incorporated in other </w:t>
      </w:r>
      <w:r w:rsidR="00045132">
        <w:t>pipelines.</w:t>
      </w:r>
    </w:p>
    <w:p w14:paraId="0DF6E640" w14:textId="031BDD21" w:rsidR="00013FCD" w:rsidRPr="004030F5" w:rsidRDefault="00E84D12" w:rsidP="00013FCD">
      <w:pPr>
        <w:pStyle w:val="Heading2"/>
      </w:pPr>
      <w:bookmarkStart w:id="32" w:name="_Toc296333708"/>
      <w:r>
        <w:t xml:space="preserve">Module for </w:t>
      </w:r>
      <w:r w:rsidR="00EC5688">
        <w:t>LC-MS/MS data analysis</w:t>
      </w:r>
      <w:bookmarkEnd w:id="32"/>
    </w:p>
    <w:p w14:paraId="53EBCBB0" w14:textId="77777777" w:rsidR="00013FCD" w:rsidRPr="004030F5" w:rsidRDefault="00013FCD" w:rsidP="00013FCD">
      <w:pPr>
        <w:rPr>
          <w:rFonts w:cs="Arial"/>
        </w:rPr>
      </w:pPr>
    </w:p>
    <w:p w14:paraId="59FF4E33" w14:textId="2F4B1A34" w:rsidR="00EE3912" w:rsidRPr="004030F5" w:rsidRDefault="00EE3912" w:rsidP="000A35F6">
      <w:pPr>
        <w:pStyle w:val="Heading3"/>
      </w:pPr>
      <w:bookmarkStart w:id="33" w:name="_Toc296333709"/>
      <w:r w:rsidRPr="004030F5">
        <w:t xml:space="preserve">Automated </w:t>
      </w:r>
      <w:r w:rsidR="00F14601">
        <w:t>module</w:t>
      </w:r>
      <w:r w:rsidRPr="004030F5">
        <w:t xml:space="preserve"> for DB search and protein assembly</w:t>
      </w:r>
      <w:bookmarkEnd w:id="33"/>
    </w:p>
    <w:p w14:paraId="14350A8A" w14:textId="06AECC85" w:rsidR="002B1FB8" w:rsidRDefault="00F93679" w:rsidP="00B627A2">
      <w:pPr>
        <w:spacing w:line="480" w:lineRule="auto"/>
        <w:ind w:firstLine="720"/>
        <w:rPr>
          <w:rFonts w:cs="Arial"/>
        </w:rPr>
      </w:pPr>
      <w:r>
        <w:rPr>
          <w:rFonts w:cs="Arial"/>
          <w:lang w:eastAsia="ko-KR"/>
        </w:rPr>
        <w:t>PSM search speed is dependent on protein DB size</w:t>
      </w:r>
      <w:r w:rsidR="00F26E86">
        <w:rPr>
          <w:rFonts w:cs="Arial"/>
          <w:lang w:eastAsia="ko-KR"/>
        </w:rPr>
        <w:t xml:space="preserve"> because each of PSM comparison process </w:t>
      </w:r>
      <w:r w:rsidR="001578F2">
        <w:rPr>
          <w:rFonts w:cs="Arial"/>
          <w:lang w:eastAsia="ko-KR"/>
        </w:rPr>
        <w:t>checks protein DB</w:t>
      </w:r>
      <w:r w:rsidR="00BB18BE">
        <w:rPr>
          <w:rFonts w:cs="Arial"/>
          <w:lang w:eastAsia="ko-KR"/>
        </w:rPr>
        <w:t xml:space="preserve"> and this process is repeated </w:t>
      </w:r>
      <w:r w:rsidR="00591533">
        <w:rPr>
          <w:rFonts w:cs="Arial"/>
          <w:lang w:eastAsia="ko-KR"/>
        </w:rPr>
        <w:t xml:space="preserve">as many as </w:t>
      </w:r>
      <w:r w:rsidR="00C11B38">
        <w:rPr>
          <w:rFonts w:cs="Arial"/>
          <w:lang w:eastAsia="ko-KR"/>
        </w:rPr>
        <w:t xml:space="preserve">MS/MS spectra exist in a </w:t>
      </w:r>
      <w:r w:rsidR="00B46AD5">
        <w:rPr>
          <w:rFonts w:cs="Arial"/>
          <w:lang w:eastAsia="ko-KR"/>
        </w:rPr>
        <w:t>MS run</w:t>
      </w:r>
      <w:r>
        <w:rPr>
          <w:rFonts w:cs="Arial"/>
          <w:lang w:eastAsia="ko-KR"/>
        </w:rPr>
        <w:t>.</w:t>
      </w:r>
      <w:r w:rsidR="00014DDD">
        <w:rPr>
          <w:rFonts w:cs="Arial"/>
          <w:lang w:eastAsia="ko-KR"/>
        </w:rPr>
        <w:t xml:space="preserve">  </w:t>
      </w:r>
      <w:r w:rsidR="006E6D7B">
        <w:rPr>
          <w:rFonts w:cs="Arial"/>
        </w:rPr>
        <w:t xml:space="preserve">Since </w:t>
      </w:r>
      <w:r w:rsidR="0067217A">
        <w:rPr>
          <w:rFonts w:cs="Arial"/>
        </w:rPr>
        <w:t xml:space="preserve">metaproteomics </w:t>
      </w:r>
      <w:r w:rsidR="006E6D7B">
        <w:rPr>
          <w:rFonts w:cs="Arial"/>
        </w:rPr>
        <w:t>has large protein DB</w:t>
      </w:r>
      <w:r w:rsidR="004F12A2">
        <w:rPr>
          <w:rFonts w:cs="Arial"/>
        </w:rPr>
        <w:t xml:space="preserve"> </w:t>
      </w:r>
      <w:r w:rsidR="009175CE">
        <w:rPr>
          <w:rFonts w:cs="Arial"/>
        </w:rPr>
        <w:t xml:space="preserve">(about </w:t>
      </w:r>
      <w:r w:rsidR="001C2609">
        <w:rPr>
          <w:rFonts w:cs="Arial"/>
        </w:rPr>
        <w:t>1 gigabytes</w:t>
      </w:r>
      <w:r w:rsidR="006E6D7B">
        <w:rPr>
          <w:rFonts w:cs="Arial"/>
        </w:rPr>
        <w:t>), PSM search speed is much slower t</w:t>
      </w:r>
      <w:r w:rsidR="004C3256">
        <w:rPr>
          <w:rFonts w:cs="Arial"/>
        </w:rPr>
        <w:t>han si</w:t>
      </w:r>
      <w:r w:rsidR="00AB3EA7">
        <w:rPr>
          <w:rFonts w:cs="Arial"/>
        </w:rPr>
        <w:t>ng</w:t>
      </w:r>
      <w:r w:rsidR="00014DDD">
        <w:rPr>
          <w:rFonts w:cs="Arial"/>
        </w:rPr>
        <w:t xml:space="preserve">le species proteomics.  </w:t>
      </w:r>
      <w:r w:rsidR="00283CB3">
        <w:rPr>
          <w:rFonts w:cs="Arial"/>
        </w:rPr>
        <w:t xml:space="preserve">Slow search speed increases total time for PSM search.  </w:t>
      </w:r>
      <w:r w:rsidR="002C23FC">
        <w:rPr>
          <w:rFonts w:cs="Arial"/>
        </w:rPr>
        <w:t xml:space="preserve">This time-consuming process is the bottleneck of analysis pipeline for metaproteomics.  </w:t>
      </w:r>
      <w:r w:rsidR="00AE37DA">
        <w:rPr>
          <w:rFonts w:cs="Arial"/>
        </w:rPr>
        <w:t xml:space="preserve">To make the speed faster, </w:t>
      </w:r>
      <w:r w:rsidR="00E416E3">
        <w:rPr>
          <w:rFonts w:cs="Arial"/>
        </w:rPr>
        <w:t>multithreading</w:t>
      </w:r>
      <w:r w:rsidR="00AE37DA">
        <w:rPr>
          <w:rFonts w:cs="Arial"/>
        </w:rPr>
        <w:t xml:space="preserve"> technique is required.  </w:t>
      </w:r>
      <w:r w:rsidR="00E416E3">
        <w:rPr>
          <w:rFonts w:cs="Arial"/>
        </w:rPr>
        <w:t xml:space="preserve">Multithreading is execution of multiple threads within the context of </w:t>
      </w:r>
      <w:r w:rsidR="00503CB7">
        <w:rPr>
          <w:rFonts w:cs="Arial"/>
        </w:rPr>
        <w:t xml:space="preserve">a single process, which means </w:t>
      </w:r>
      <w:r w:rsidR="00E27364">
        <w:rPr>
          <w:rFonts w:cs="Arial"/>
        </w:rPr>
        <w:t xml:space="preserve">running multiple processes simultaneously </w:t>
      </w:r>
      <w:r w:rsidR="00426358">
        <w:rPr>
          <w:rFonts w:cs="Arial"/>
        </w:rPr>
        <w:t>using mu</w:t>
      </w:r>
      <w:r w:rsidR="00CF3571">
        <w:rPr>
          <w:rFonts w:cs="Arial"/>
        </w:rPr>
        <w:t>ltiple CPU resources</w:t>
      </w:r>
      <w:r w:rsidR="003C0DA0">
        <w:rPr>
          <w:rFonts w:cs="Arial"/>
        </w:rPr>
        <w:t xml:space="preserve">.  </w:t>
      </w:r>
      <w:r w:rsidR="007E6DCF">
        <w:rPr>
          <w:rFonts w:cs="Arial"/>
        </w:rPr>
        <w:t xml:space="preserve">PSM search is </w:t>
      </w:r>
      <w:r w:rsidR="00E27364">
        <w:rPr>
          <w:rFonts w:cs="Arial"/>
        </w:rPr>
        <w:t xml:space="preserve">independent process, so it is </w:t>
      </w:r>
      <w:r w:rsidR="007E6DCF">
        <w:rPr>
          <w:rFonts w:cs="Arial"/>
        </w:rPr>
        <w:t>embarrassingly parallel</w:t>
      </w:r>
      <w:r w:rsidR="00E27364">
        <w:rPr>
          <w:rFonts w:cs="Arial"/>
        </w:rPr>
        <w:t>, which means being possibl</w:t>
      </w:r>
      <w:r w:rsidR="00426358">
        <w:rPr>
          <w:rFonts w:cs="Arial"/>
        </w:rPr>
        <w:t xml:space="preserve">e to run each of PSM searches individually on </w:t>
      </w:r>
      <w:r w:rsidR="00FA48AC">
        <w:rPr>
          <w:rFonts w:cs="Arial"/>
        </w:rPr>
        <w:t xml:space="preserve">multiple CPUs.  </w:t>
      </w:r>
      <w:r w:rsidR="00BC36A9">
        <w:rPr>
          <w:rFonts w:cs="Arial"/>
        </w:rPr>
        <w:t xml:space="preserve">Multithreading is applied on MyriMatch </w:t>
      </w:r>
      <w:r w:rsidR="00A83FB6">
        <w:rPr>
          <w:rFonts w:cs="Arial"/>
        </w:rPr>
        <w:t xml:space="preserve">that is employed for </w:t>
      </w:r>
      <w:r w:rsidR="00C678FA">
        <w:t>QFAM</w:t>
      </w:r>
      <w:r w:rsidR="002B1FB8">
        <w:rPr>
          <w:rFonts w:cs="Arial"/>
        </w:rPr>
        <w:t>.</w:t>
      </w:r>
    </w:p>
    <w:p w14:paraId="31A41257" w14:textId="5390E232" w:rsidR="00B627A2" w:rsidRDefault="00BC1D91" w:rsidP="00B627A2">
      <w:pPr>
        <w:spacing w:line="480" w:lineRule="auto"/>
        <w:ind w:firstLine="720"/>
        <w:rPr>
          <w:rFonts w:cs="Arial"/>
        </w:rPr>
      </w:pPr>
      <w:r>
        <w:rPr>
          <w:rFonts w:cs="Arial"/>
        </w:rPr>
        <w:t>MyriMatch and IDPicker v3.0 are</w:t>
      </w:r>
      <w:r w:rsidR="00A95430">
        <w:rPr>
          <w:rFonts w:cs="Arial"/>
        </w:rPr>
        <w:t xml:space="preserve"> incorporate</w:t>
      </w:r>
      <w:r w:rsidR="00F6767E">
        <w:rPr>
          <w:rFonts w:cs="Arial"/>
        </w:rPr>
        <w:t xml:space="preserve">d to </w:t>
      </w:r>
      <w:r w:rsidR="00C678FA">
        <w:t>QFAM</w:t>
      </w:r>
      <w:r w:rsidR="00C678FA">
        <w:rPr>
          <w:rFonts w:cs="Arial"/>
        </w:rPr>
        <w:t xml:space="preserve"> </w:t>
      </w:r>
      <w:r w:rsidR="00F6767E">
        <w:rPr>
          <w:rFonts w:cs="Arial"/>
        </w:rPr>
        <w:t>for DB search,</w:t>
      </w:r>
      <w:r w:rsidR="00A95430">
        <w:rPr>
          <w:rFonts w:cs="Arial"/>
        </w:rPr>
        <w:t xml:space="preserve"> post-processing</w:t>
      </w:r>
      <w:r w:rsidR="004A3A22">
        <w:rPr>
          <w:rFonts w:cs="Arial"/>
        </w:rPr>
        <w:t xml:space="preserve"> and protein assembly.</w:t>
      </w:r>
      <w:r w:rsidR="00F6767E">
        <w:rPr>
          <w:rFonts w:cs="Arial"/>
        </w:rPr>
        <w:t xml:space="preserve">  </w:t>
      </w:r>
      <w:r w:rsidR="00D507D0">
        <w:rPr>
          <w:rFonts w:cs="Arial"/>
        </w:rPr>
        <w:t>MyriMatch was tested</w:t>
      </w:r>
      <w:r w:rsidR="00581DCB">
        <w:rPr>
          <w:rFonts w:cs="Arial"/>
        </w:rPr>
        <w:t xml:space="preserve"> by Gross et al </w:t>
      </w:r>
      <w:r w:rsidR="00107D2A" w:rsidRPr="00D507D0">
        <w:fldChar w:fldCharType="begin"/>
      </w:r>
      <w:r w:rsidR="00107D2A" w:rsidRPr="00D507D0">
        <w:instrText xml:space="preserve"> ADDIN EN.CITE &lt;EndNote&gt;&lt;Cite&gt;&lt;Author&gt;Gross&lt;/Author&gt;&lt;Year&gt;2011&lt;/Year&gt;&lt;RecNum&gt;89&lt;/RecNum&gt;&lt;DisplayText&gt;[87]&lt;/DisplayText&gt;&lt;record&gt;&lt;rec-number&gt;89&lt;/rec-number&gt;&lt;foreign-keys&gt;&lt;key app="EN" db-id="efx2002d5f0z21etvw3x9zp7tw2axpa2eez0" timestamp="1433720571"&gt;89&lt;/key&gt;&lt;/foreign-keys&gt;&lt;ref-type name="Book"&gt;6&lt;/ref-type&gt;&lt;contributors&gt;&lt;authors&gt;&lt;author&gt;Gross, Michael L&lt;/author&gt;&lt;author&gt;Chen, Guodong&lt;/author&gt;&lt;author&gt;Pramanik, Birendra&lt;/author&gt;&lt;/authors&gt;&lt;/contributors&gt;&lt;titles&gt;&lt;title&gt;Protein and peptide mass spectrometry in drug discovery&lt;/title&gt;&lt;/titles&gt;&lt;dates&gt;&lt;year&gt;2011&lt;/year&gt;&lt;/dates&gt;&lt;publisher&gt;John Wiley &amp;amp; Sons&lt;/publisher&gt;&lt;isbn&gt;1118116542&lt;/isbn&gt;&lt;urls&gt;&lt;/urls&gt;&lt;/record&gt;&lt;/Cite&gt;&lt;/EndNote&gt;</w:instrText>
      </w:r>
      <w:r w:rsidR="00107D2A" w:rsidRPr="00D507D0">
        <w:fldChar w:fldCharType="separate"/>
      </w:r>
      <w:r w:rsidR="00107D2A" w:rsidRPr="00D507D0">
        <w:rPr>
          <w:noProof/>
        </w:rPr>
        <w:t>[87]</w:t>
      </w:r>
      <w:r w:rsidR="00107D2A" w:rsidRPr="00D507D0">
        <w:fldChar w:fldCharType="end"/>
      </w:r>
      <w:r w:rsidR="00107D2A">
        <w:t xml:space="preserve"> </w:t>
      </w:r>
      <w:r w:rsidR="00D507D0">
        <w:rPr>
          <w:rFonts w:cs="Arial"/>
        </w:rPr>
        <w:t>whether its multithreading can reduce running time or not</w:t>
      </w:r>
      <w:r w:rsidR="00C9055D">
        <w:rPr>
          <w:rFonts w:cs="Arial"/>
        </w:rPr>
        <w:t xml:space="preserve"> (Table 3)</w:t>
      </w:r>
      <w:r w:rsidR="00D507D0" w:rsidRPr="00D507D0">
        <w:t>.</w:t>
      </w:r>
    </w:p>
    <w:p w14:paraId="21725772" w14:textId="3047BB54" w:rsidR="006F7101" w:rsidRPr="006A3231" w:rsidRDefault="006F7101" w:rsidP="006F7101">
      <w:pPr>
        <w:pStyle w:val="Caption"/>
        <w:keepNext/>
        <w:rPr>
          <w:b w:val="0"/>
        </w:rPr>
      </w:pPr>
      <w:bookmarkStart w:id="34" w:name="_Toc296333075"/>
      <w:r>
        <w:lastRenderedPageBreak/>
        <w:t xml:space="preserve">Table </w:t>
      </w:r>
      <w:fldSimple w:instr=" SEQ Table \* ARABIC ">
        <w:r w:rsidR="0093776B">
          <w:rPr>
            <w:noProof/>
          </w:rPr>
          <w:t>3</w:t>
        </w:r>
      </w:fldSimple>
      <w:r>
        <w:t xml:space="preserve"> MyriMatch </w:t>
      </w:r>
      <w:r w:rsidR="00DE75A6">
        <w:t xml:space="preserve">search time. </w:t>
      </w:r>
      <w:r w:rsidR="00DE75A6" w:rsidRPr="006A3231">
        <w:rPr>
          <w:b w:val="0"/>
        </w:rPr>
        <w:t xml:space="preserve">This table was adapted from </w:t>
      </w:r>
      <w:r w:rsidR="00EC2166" w:rsidRPr="006A3231">
        <w:rPr>
          <w:b w:val="0"/>
        </w:rPr>
        <w:t xml:space="preserve">Gross et al </w:t>
      </w:r>
      <w:r w:rsidR="00EC2166" w:rsidRPr="006A3231">
        <w:rPr>
          <w:b w:val="0"/>
        </w:rPr>
        <w:fldChar w:fldCharType="begin"/>
      </w:r>
      <w:r w:rsidR="00EC2166" w:rsidRPr="006A3231">
        <w:rPr>
          <w:b w:val="0"/>
        </w:rPr>
        <w:instrText xml:space="preserve"> ADDIN EN.CITE &lt;EndNote&gt;&lt;Cite&gt;&lt;Author&gt;Gross&lt;/Author&gt;&lt;Year&gt;2011&lt;/Year&gt;&lt;RecNum&gt;89&lt;/RecNum&gt;&lt;DisplayText&gt;[87]&lt;/DisplayText&gt;&lt;record&gt;&lt;rec-number&gt;89&lt;/rec-number&gt;&lt;foreign-keys&gt;&lt;key app="EN" db-id="efx2002d5f0z21etvw3x9zp7tw2axpa2eez0" timestamp="1433720571"&gt;89&lt;/key&gt;&lt;/foreign-keys&gt;&lt;ref-type name="Book"&gt;6&lt;/ref-type&gt;&lt;contributors&gt;&lt;authors&gt;&lt;author&gt;Gross, Michael L&lt;/author&gt;&lt;author&gt;Chen, Guodong&lt;/author&gt;&lt;author&gt;Pramanik, Birendra&lt;/author&gt;&lt;/authors&gt;&lt;/contributors&gt;&lt;titles&gt;&lt;title&gt;Protein and peptide mass spectrometry in drug discovery&lt;/title&gt;&lt;/titles&gt;&lt;dates&gt;&lt;year&gt;2011&lt;/year&gt;&lt;/dates&gt;&lt;publisher&gt;John Wiley &amp;amp; Sons&lt;/publisher&gt;&lt;isbn&gt;1118116542&lt;/isbn&gt;&lt;urls&gt;&lt;/urls&gt;&lt;/record&gt;&lt;/Cite&gt;&lt;/EndNote&gt;</w:instrText>
      </w:r>
      <w:r w:rsidR="00EC2166" w:rsidRPr="006A3231">
        <w:rPr>
          <w:b w:val="0"/>
        </w:rPr>
        <w:fldChar w:fldCharType="separate"/>
      </w:r>
      <w:r w:rsidR="00EC2166" w:rsidRPr="006A3231">
        <w:rPr>
          <w:b w:val="0"/>
          <w:noProof/>
        </w:rPr>
        <w:t>[87]</w:t>
      </w:r>
      <w:r w:rsidR="00EC2166" w:rsidRPr="006A3231">
        <w:rPr>
          <w:b w:val="0"/>
        </w:rPr>
        <w:fldChar w:fldCharType="end"/>
      </w:r>
      <w:r w:rsidR="00EC2166" w:rsidRPr="006A3231">
        <w:rPr>
          <w:b w:val="0"/>
        </w:rPr>
        <w:t>.</w:t>
      </w:r>
      <w:bookmarkEnd w:id="34"/>
    </w:p>
    <w:p w14:paraId="4DB525FD" w14:textId="59AB47B0" w:rsidR="00E15628" w:rsidRDefault="00E15628" w:rsidP="00DE0649">
      <w:pPr>
        <w:spacing w:line="480" w:lineRule="auto"/>
        <w:jc w:val="center"/>
        <w:rPr>
          <w:rFonts w:cs="Arial"/>
        </w:rPr>
      </w:pPr>
      <w:r>
        <w:rPr>
          <w:rFonts w:cs="Arial"/>
          <w:noProof/>
        </w:rPr>
        <w:drawing>
          <wp:inline distT="0" distB="0" distL="0" distR="0" wp14:anchorId="411863DF" wp14:editId="067BDECD">
            <wp:extent cx="5609169" cy="942340"/>
            <wp:effectExtent l="0" t="0" r="444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3438" cy="943057"/>
                    </a:xfrm>
                    <a:prstGeom prst="rect">
                      <a:avLst/>
                    </a:prstGeom>
                    <a:noFill/>
                    <a:ln>
                      <a:noFill/>
                    </a:ln>
                  </pic:spPr>
                </pic:pic>
              </a:graphicData>
            </a:graphic>
          </wp:inline>
        </w:drawing>
      </w:r>
    </w:p>
    <w:p w14:paraId="4EA700F7" w14:textId="604AD504" w:rsidR="00BA4B52" w:rsidRDefault="00DE0649" w:rsidP="00DE0649">
      <w:pPr>
        <w:spacing w:line="480" w:lineRule="auto"/>
      </w:pPr>
      <w:r>
        <w:t xml:space="preserve">We also tested MyriMatch in Newton cluster, where </w:t>
      </w:r>
      <w:r w:rsidR="00B95253">
        <w:t xml:space="preserve">QFAM </w:t>
      </w:r>
      <w:r>
        <w:t xml:space="preserve">is installed, and could confirm that MyriMatch can </w:t>
      </w:r>
      <w:r w:rsidR="00BE5A6F">
        <w:t>reduce PSM search time by using more number of CPUs</w:t>
      </w:r>
      <w:r w:rsidR="00942575">
        <w:t xml:space="preserve"> (Table 4)</w:t>
      </w:r>
      <w:r w:rsidR="00BE5A6F">
        <w:t xml:space="preserve">.  </w:t>
      </w:r>
      <w:r w:rsidR="000D2CBB">
        <w:t xml:space="preserve">Since PSM search part is the bottleneck of LC-MS/MS data analysis, </w:t>
      </w:r>
      <w:r w:rsidR="00DD6D96">
        <w:t xml:space="preserve">saving much time in the search is good advantage for metaproteomics studies.  </w:t>
      </w:r>
    </w:p>
    <w:p w14:paraId="02CA4221" w14:textId="20804977" w:rsidR="006A3231" w:rsidRPr="006A3231" w:rsidRDefault="006A3231" w:rsidP="00DE0649">
      <w:pPr>
        <w:pStyle w:val="Caption"/>
        <w:keepNext/>
        <w:rPr>
          <w:b w:val="0"/>
          <w:lang w:eastAsia="ko-KR"/>
        </w:rPr>
      </w:pPr>
      <w:bookmarkStart w:id="35" w:name="_Toc296333076"/>
      <w:r>
        <w:t xml:space="preserve">Table </w:t>
      </w:r>
      <w:fldSimple w:instr=" SEQ Table \* ARABIC ">
        <w:r w:rsidR="0093776B">
          <w:rPr>
            <w:noProof/>
          </w:rPr>
          <w:t>4</w:t>
        </w:r>
      </w:fldSimple>
      <w:r>
        <w:t xml:space="preserve"> MyriMatch run time in Newton cluster.  </w:t>
      </w:r>
      <w:r>
        <w:rPr>
          <w:b w:val="0"/>
        </w:rPr>
        <w:t xml:space="preserve">We tested MyriMatch for </w:t>
      </w:r>
      <w:r w:rsidR="00383368">
        <w:rPr>
          <w:b w:val="0"/>
        </w:rPr>
        <w:t xml:space="preserve">500 megabytes protein DB, containing </w:t>
      </w:r>
      <w:r w:rsidR="00383368" w:rsidRPr="00383368">
        <w:rPr>
          <w:b w:val="0"/>
        </w:rPr>
        <w:t>176</w:t>
      </w:r>
      <w:r w:rsidR="00383368">
        <w:rPr>
          <w:b w:val="0"/>
        </w:rPr>
        <w:t>,</w:t>
      </w:r>
      <w:r w:rsidR="00383368" w:rsidRPr="00383368">
        <w:rPr>
          <w:b w:val="0"/>
        </w:rPr>
        <w:t>620</w:t>
      </w:r>
      <w:r w:rsidR="00383368">
        <w:rPr>
          <w:b w:val="0"/>
        </w:rPr>
        <w:t xml:space="preserve"> proteins, to search </w:t>
      </w:r>
      <w:r w:rsidR="00383368" w:rsidRPr="00383368">
        <w:rPr>
          <w:b w:val="0"/>
        </w:rPr>
        <w:t>41</w:t>
      </w:r>
      <w:r w:rsidR="00383368">
        <w:rPr>
          <w:b w:val="0"/>
        </w:rPr>
        <w:t>,</w:t>
      </w:r>
      <w:r w:rsidR="00383368" w:rsidRPr="00383368">
        <w:rPr>
          <w:b w:val="0"/>
        </w:rPr>
        <w:t>079</w:t>
      </w:r>
      <w:r w:rsidR="00383368">
        <w:rPr>
          <w:b w:val="0"/>
        </w:rPr>
        <w:t xml:space="preserve"> peaks.  </w:t>
      </w:r>
      <w:r w:rsidR="006D0C90">
        <w:rPr>
          <w:b w:val="0"/>
        </w:rPr>
        <w:t>Increasing the number of CPU cores dramatically decreases running time</w:t>
      </w:r>
      <w:r w:rsidR="00383368">
        <w:rPr>
          <w:b w:val="0"/>
        </w:rPr>
        <w:t>.</w:t>
      </w:r>
      <w:bookmarkEnd w:id="35"/>
    </w:p>
    <w:tbl>
      <w:tblPr>
        <w:tblW w:w="8856" w:type="dxa"/>
        <w:tblLayout w:type="fixed"/>
        <w:tblLook w:val="04A0" w:firstRow="1" w:lastRow="0" w:firstColumn="1" w:lastColumn="0" w:noHBand="0" w:noVBand="1"/>
      </w:tblPr>
      <w:tblGrid>
        <w:gridCol w:w="3528"/>
        <w:gridCol w:w="1331"/>
        <w:gridCol w:w="1257"/>
        <w:gridCol w:w="1370"/>
        <w:gridCol w:w="1370"/>
      </w:tblGrid>
      <w:tr w:rsidR="00A62E8D" w14:paraId="7CE727AD" w14:textId="77777777" w:rsidTr="00F249A4">
        <w:tc>
          <w:tcPr>
            <w:tcW w:w="3528" w:type="dxa"/>
            <w:vAlign w:val="center"/>
          </w:tcPr>
          <w:p w14:paraId="65BFBB91" w14:textId="77777777" w:rsidR="006A3231" w:rsidRPr="006D0C90" w:rsidRDefault="006A3231" w:rsidP="00F249A4">
            <w:pPr>
              <w:spacing w:line="480" w:lineRule="auto"/>
              <w:jc w:val="center"/>
              <w:rPr>
                <w:b/>
              </w:rPr>
            </w:pPr>
          </w:p>
        </w:tc>
        <w:tc>
          <w:tcPr>
            <w:tcW w:w="1331" w:type="dxa"/>
            <w:vAlign w:val="center"/>
          </w:tcPr>
          <w:p w14:paraId="078B91FB" w14:textId="0CDF8ABA" w:rsidR="006A3231" w:rsidRPr="006D0C90" w:rsidRDefault="006A3231" w:rsidP="00F249A4">
            <w:pPr>
              <w:spacing w:line="480" w:lineRule="auto"/>
              <w:jc w:val="center"/>
              <w:rPr>
                <w:b/>
              </w:rPr>
            </w:pPr>
            <w:r w:rsidRPr="006D0C90">
              <w:rPr>
                <w:b/>
              </w:rPr>
              <w:t>1 CPU</w:t>
            </w:r>
          </w:p>
        </w:tc>
        <w:tc>
          <w:tcPr>
            <w:tcW w:w="1257" w:type="dxa"/>
            <w:vAlign w:val="center"/>
          </w:tcPr>
          <w:p w14:paraId="106BF7AB" w14:textId="71BFF931" w:rsidR="006A3231" w:rsidRPr="006D0C90" w:rsidRDefault="006A3231" w:rsidP="00F249A4">
            <w:pPr>
              <w:spacing w:line="480" w:lineRule="auto"/>
              <w:jc w:val="center"/>
              <w:rPr>
                <w:b/>
              </w:rPr>
            </w:pPr>
            <w:r w:rsidRPr="006D0C90">
              <w:rPr>
                <w:b/>
              </w:rPr>
              <w:t>2 CPUs</w:t>
            </w:r>
          </w:p>
        </w:tc>
        <w:tc>
          <w:tcPr>
            <w:tcW w:w="1370" w:type="dxa"/>
            <w:vAlign w:val="center"/>
          </w:tcPr>
          <w:p w14:paraId="1909186A" w14:textId="4A4C720B" w:rsidR="006A3231" w:rsidRPr="006D0C90" w:rsidRDefault="006A3231" w:rsidP="00F249A4">
            <w:pPr>
              <w:spacing w:line="480" w:lineRule="auto"/>
              <w:jc w:val="center"/>
              <w:rPr>
                <w:b/>
              </w:rPr>
            </w:pPr>
            <w:r w:rsidRPr="006D0C90">
              <w:rPr>
                <w:b/>
              </w:rPr>
              <w:t>12 CPUs</w:t>
            </w:r>
          </w:p>
        </w:tc>
        <w:tc>
          <w:tcPr>
            <w:tcW w:w="1370" w:type="dxa"/>
            <w:vAlign w:val="center"/>
          </w:tcPr>
          <w:p w14:paraId="0CFA6451" w14:textId="6CC7CDE6" w:rsidR="006A3231" w:rsidRPr="006D0C90" w:rsidRDefault="006A3231" w:rsidP="00F249A4">
            <w:pPr>
              <w:spacing w:line="480" w:lineRule="auto"/>
              <w:jc w:val="center"/>
              <w:rPr>
                <w:b/>
              </w:rPr>
            </w:pPr>
            <w:r w:rsidRPr="006D0C90">
              <w:rPr>
                <w:b/>
              </w:rPr>
              <w:t>48 CPUs</w:t>
            </w:r>
          </w:p>
        </w:tc>
      </w:tr>
      <w:tr w:rsidR="00A62E8D" w14:paraId="69699088" w14:textId="77777777" w:rsidTr="00F249A4">
        <w:tc>
          <w:tcPr>
            <w:tcW w:w="3528" w:type="dxa"/>
            <w:vAlign w:val="center"/>
          </w:tcPr>
          <w:p w14:paraId="4AEA1727" w14:textId="442E66E9" w:rsidR="006A3231" w:rsidRPr="006D0C90" w:rsidRDefault="006A3231" w:rsidP="00F249A4">
            <w:pPr>
              <w:spacing w:line="480" w:lineRule="auto"/>
              <w:jc w:val="center"/>
              <w:rPr>
                <w:b/>
              </w:rPr>
            </w:pPr>
            <w:r w:rsidRPr="006D0C90">
              <w:rPr>
                <w:b/>
              </w:rPr>
              <w:t xml:space="preserve">Run time for </w:t>
            </w:r>
            <w:r w:rsidR="00163D04">
              <w:rPr>
                <w:b/>
              </w:rPr>
              <w:t>single</w:t>
            </w:r>
            <w:r w:rsidR="00F72ED8">
              <w:rPr>
                <w:b/>
              </w:rPr>
              <w:t xml:space="preserve"> RAW</w:t>
            </w:r>
            <w:r w:rsidR="00163D04">
              <w:rPr>
                <w:b/>
              </w:rPr>
              <w:t xml:space="preserve"> file</w:t>
            </w:r>
          </w:p>
        </w:tc>
        <w:tc>
          <w:tcPr>
            <w:tcW w:w="1331" w:type="dxa"/>
            <w:vAlign w:val="center"/>
          </w:tcPr>
          <w:p w14:paraId="1186FE06" w14:textId="4C860182" w:rsidR="006A3231" w:rsidRDefault="006A3231" w:rsidP="00F249A4">
            <w:pPr>
              <w:spacing w:line="480" w:lineRule="auto"/>
              <w:jc w:val="center"/>
            </w:pPr>
            <w:r>
              <w:t>49:03:45</w:t>
            </w:r>
          </w:p>
        </w:tc>
        <w:tc>
          <w:tcPr>
            <w:tcW w:w="1257" w:type="dxa"/>
            <w:vAlign w:val="center"/>
          </w:tcPr>
          <w:p w14:paraId="02CBF145" w14:textId="7AEA6B7B" w:rsidR="006A3231" w:rsidRDefault="006A3231" w:rsidP="00F249A4">
            <w:pPr>
              <w:spacing w:line="480" w:lineRule="auto"/>
              <w:jc w:val="center"/>
            </w:pPr>
            <w:r>
              <w:t>40:53:07</w:t>
            </w:r>
          </w:p>
        </w:tc>
        <w:tc>
          <w:tcPr>
            <w:tcW w:w="1370" w:type="dxa"/>
            <w:vAlign w:val="center"/>
          </w:tcPr>
          <w:p w14:paraId="64F3834F" w14:textId="044359F3" w:rsidR="006A3231" w:rsidRDefault="006A3231" w:rsidP="00F249A4">
            <w:pPr>
              <w:spacing w:line="480" w:lineRule="auto"/>
              <w:jc w:val="center"/>
            </w:pPr>
            <w:r>
              <w:t>08:27:34</w:t>
            </w:r>
          </w:p>
        </w:tc>
        <w:tc>
          <w:tcPr>
            <w:tcW w:w="1370" w:type="dxa"/>
            <w:vAlign w:val="center"/>
          </w:tcPr>
          <w:p w14:paraId="6D016416" w14:textId="26DE614C" w:rsidR="006A3231" w:rsidRDefault="006A3231" w:rsidP="00F249A4">
            <w:pPr>
              <w:spacing w:line="480" w:lineRule="auto"/>
              <w:jc w:val="center"/>
            </w:pPr>
            <w:r>
              <w:t>02:51:06</w:t>
            </w:r>
          </w:p>
        </w:tc>
      </w:tr>
    </w:tbl>
    <w:p w14:paraId="687BF36B" w14:textId="562A159B" w:rsidR="00DE0649" w:rsidRDefault="00DE0649" w:rsidP="00B532FE">
      <w:pPr>
        <w:pStyle w:val="Caption"/>
        <w:rPr>
          <w:rFonts w:cs="Arial"/>
        </w:rPr>
      </w:pPr>
    </w:p>
    <w:p w14:paraId="32EED6A0" w14:textId="5A686A94" w:rsidR="00B00C83" w:rsidRDefault="00B86557" w:rsidP="00B532FE">
      <w:pPr>
        <w:spacing w:line="480" w:lineRule="auto"/>
      </w:pPr>
      <w:r>
        <w:t xml:space="preserve">IDPicker has three sub-modules, </w:t>
      </w:r>
      <w:r w:rsidRPr="00B86557">
        <w:t>IDPQonvert</w:t>
      </w:r>
      <w:r>
        <w:t xml:space="preserve">, </w:t>
      </w:r>
      <w:r w:rsidRPr="00B86557">
        <w:t>IDPAssemble</w:t>
      </w:r>
      <w:r>
        <w:t xml:space="preserve"> and </w:t>
      </w:r>
      <w:r w:rsidRPr="00B86557">
        <w:t>IDPQuery</w:t>
      </w:r>
      <w:r>
        <w:t xml:space="preserve">.  </w:t>
      </w:r>
      <w:r w:rsidR="004C3C1B" w:rsidRPr="00B86557">
        <w:t>IDPQonvert</w:t>
      </w:r>
      <w:r w:rsidR="00B532FE">
        <w:t xml:space="preserve"> creates idpDB from pepXML or mzIdentML files produced by MyriMath as PSM search results.  </w:t>
      </w:r>
      <w:r w:rsidR="000A14C1">
        <w:t xml:space="preserve">IDPAssemble analyzes peptide-protein matches by using bipartite graphs and calculates spectrum counts following greedy algorithm.  </w:t>
      </w:r>
      <w:r w:rsidR="00EF675B">
        <w:t xml:space="preserve">IDQuery is a data-retrieving tool from the idpDB processed by IDPAssemble.  </w:t>
      </w:r>
      <w:r w:rsidR="00166C21">
        <w:t xml:space="preserve">QFAM </w:t>
      </w:r>
      <w:r w:rsidR="00971B95">
        <w:t>executes these three modules automati</w:t>
      </w:r>
      <w:r w:rsidR="001A1067">
        <w:t xml:space="preserve">cally after </w:t>
      </w:r>
      <w:r w:rsidR="001A1067">
        <w:lastRenderedPageBreak/>
        <w:t>MyriMatch is done.  Total exe</w:t>
      </w:r>
      <w:r w:rsidR="0014554D">
        <w:t>cution time to do single MS run</w:t>
      </w:r>
      <w:r w:rsidR="001A1067">
        <w:t xml:space="preserve">, consists of five RAW data, </w:t>
      </w:r>
      <w:proofErr w:type="gramStart"/>
      <w:r w:rsidR="0014554D">
        <w:t>is</w:t>
      </w:r>
      <w:r w:rsidR="00C45245">
        <w:t xml:space="preserve"> </w:t>
      </w:r>
      <w:r w:rsidR="00EA15E4">
        <w:t>almost 10 and half hours when we test</w:t>
      </w:r>
      <w:r w:rsidR="00524EAF">
        <w:t>ed 500 megabytes protein DB</w:t>
      </w:r>
      <w:proofErr w:type="gramEnd"/>
      <w:r w:rsidR="00A93D5C">
        <w:t xml:space="preserve"> (Table 5)</w:t>
      </w:r>
      <w:r w:rsidR="00524EAF">
        <w:t xml:space="preserve">.  </w:t>
      </w:r>
      <w:r w:rsidR="00FA05E4">
        <w:t xml:space="preserve">DTASelect generally takes more than a week to assemble peptides and calculate spectrum counts, </w:t>
      </w:r>
      <w:r w:rsidR="009C079C">
        <w:t>while</w:t>
      </w:r>
      <w:r w:rsidR="00FA05E4">
        <w:t xml:space="preserve"> IDPicker only took </w:t>
      </w:r>
      <w:r w:rsidR="00DE0E9B">
        <w:t>t</w:t>
      </w:r>
      <w:r w:rsidR="00F02979">
        <w:t>wo minutes to do the same job</w:t>
      </w:r>
      <w:r w:rsidR="00033072">
        <w:t xml:space="preserve"> (Table 5)</w:t>
      </w:r>
      <w:r w:rsidR="00F02979">
        <w:t>.  This enhanced speed is required for processing big and highly complicated metaproteome data.</w:t>
      </w:r>
    </w:p>
    <w:p w14:paraId="672783F3" w14:textId="28B47C33" w:rsidR="002C5791" w:rsidRDefault="002C5791" w:rsidP="002C5791">
      <w:pPr>
        <w:pStyle w:val="Caption"/>
        <w:keepNext/>
      </w:pPr>
      <w:bookmarkStart w:id="36" w:name="_Toc296333077"/>
      <w:r>
        <w:t xml:space="preserve">Table </w:t>
      </w:r>
      <w:fldSimple w:instr=" SEQ Table \* ARABIC ">
        <w:r w:rsidR="0093776B">
          <w:rPr>
            <w:noProof/>
          </w:rPr>
          <w:t>5</w:t>
        </w:r>
      </w:fldSimple>
      <w:r>
        <w:t xml:space="preserve"> Run time of LC-MS/MS data analysis</w:t>
      </w:r>
      <w:r w:rsidR="00F415B0">
        <w:t xml:space="preserve"> in the pipeline.</w:t>
      </w:r>
      <w:bookmarkEnd w:id="36"/>
    </w:p>
    <w:tbl>
      <w:tblPr>
        <w:tblW w:w="9318" w:type="dxa"/>
        <w:tblLook w:val="04A0" w:firstRow="1" w:lastRow="0" w:firstColumn="1" w:lastColumn="0" w:noHBand="0" w:noVBand="1"/>
      </w:tblPr>
      <w:tblGrid>
        <w:gridCol w:w="1334"/>
        <w:gridCol w:w="1561"/>
        <w:gridCol w:w="1717"/>
        <w:gridCol w:w="1908"/>
        <w:gridCol w:w="1467"/>
        <w:gridCol w:w="1331"/>
      </w:tblGrid>
      <w:tr w:rsidR="004E363E" w14:paraId="39D7ECFB" w14:textId="32242A2F" w:rsidTr="00574BFA">
        <w:tc>
          <w:tcPr>
            <w:tcW w:w="1334" w:type="dxa"/>
            <w:vAlign w:val="center"/>
          </w:tcPr>
          <w:p w14:paraId="530DA633" w14:textId="77777777" w:rsidR="004E363E" w:rsidRPr="008C378B" w:rsidRDefault="004E363E" w:rsidP="008C378B">
            <w:pPr>
              <w:spacing w:line="480" w:lineRule="auto"/>
              <w:jc w:val="center"/>
              <w:rPr>
                <w:b/>
              </w:rPr>
            </w:pPr>
          </w:p>
        </w:tc>
        <w:tc>
          <w:tcPr>
            <w:tcW w:w="1561" w:type="dxa"/>
            <w:vAlign w:val="center"/>
          </w:tcPr>
          <w:p w14:paraId="4DADC732" w14:textId="48A24C0B" w:rsidR="004E363E" w:rsidRPr="008C378B" w:rsidRDefault="004E363E" w:rsidP="008C378B">
            <w:pPr>
              <w:spacing w:line="480" w:lineRule="auto"/>
              <w:jc w:val="center"/>
              <w:rPr>
                <w:b/>
              </w:rPr>
            </w:pPr>
            <w:r w:rsidRPr="008C378B">
              <w:rPr>
                <w:b/>
              </w:rPr>
              <w:t>MyriMatch</w:t>
            </w:r>
          </w:p>
        </w:tc>
        <w:tc>
          <w:tcPr>
            <w:tcW w:w="1717" w:type="dxa"/>
            <w:vAlign w:val="center"/>
          </w:tcPr>
          <w:p w14:paraId="1EBFACBF" w14:textId="154C30BE" w:rsidR="004E363E" w:rsidRPr="008C378B" w:rsidRDefault="004E363E" w:rsidP="008C378B">
            <w:pPr>
              <w:spacing w:line="480" w:lineRule="auto"/>
              <w:jc w:val="center"/>
              <w:rPr>
                <w:b/>
              </w:rPr>
            </w:pPr>
            <w:r w:rsidRPr="008C378B">
              <w:rPr>
                <w:b/>
              </w:rPr>
              <w:t>IDPQonvert</w:t>
            </w:r>
          </w:p>
        </w:tc>
        <w:tc>
          <w:tcPr>
            <w:tcW w:w="1908" w:type="dxa"/>
            <w:vAlign w:val="center"/>
          </w:tcPr>
          <w:p w14:paraId="3A52DE39" w14:textId="608ACD64" w:rsidR="004E363E" w:rsidRPr="008C378B" w:rsidRDefault="004E363E" w:rsidP="008C378B">
            <w:pPr>
              <w:spacing w:line="480" w:lineRule="auto"/>
              <w:jc w:val="center"/>
              <w:rPr>
                <w:b/>
              </w:rPr>
            </w:pPr>
            <w:r w:rsidRPr="008C378B">
              <w:rPr>
                <w:b/>
              </w:rPr>
              <w:t>IDPAssemble</w:t>
            </w:r>
          </w:p>
        </w:tc>
        <w:tc>
          <w:tcPr>
            <w:tcW w:w="1467" w:type="dxa"/>
            <w:vAlign w:val="center"/>
          </w:tcPr>
          <w:p w14:paraId="18240B73" w14:textId="51B4DA5C" w:rsidR="004E363E" w:rsidRPr="008C378B" w:rsidRDefault="004E363E" w:rsidP="008C378B">
            <w:pPr>
              <w:spacing w:line="480" w:lineRule="auto"/>
              <w:jc w:val="center"/>
              <w:rPr>
                <w:b/>
              </w:rPr>
            </w:pPr>
            <w:r w:rsidRPr="008C378B">
              <w:rPr>
                <w:b/>
              </w:rPr>
              <w:t>IDPQuery</w:t>
            </w:r>
          </w:p>
        </w:tc>
        <w:tc>
          <w:tcPr>
            <w:tcW w:w="1331" w:type="dxa"/>
          </w:tcPr>
          <w:p w14:paraId="30731442" w14:textId="1477CBAF" w:rsidR="004E363E" w:rsidRPr="008C378B" w:rsidRDefault="004E363E" w:rsidP="008C378B">
            <w:pPr>
              <w:spacing w:line="480" w:lineRule="auto"/>
              <w:jc w:val="center"/>
              <w:rPr>
                <w:b/>
              </w:rPr>
            </w:pPr>
            <w:r>
              <w:rPr>
                <w:b/>
              </w:rPr>
              <w:t>Total</w:t>
            </w:r>
          </w:p>
        </w:tc>
      </w:tr>
      <w:tr w:rsidR="004E363E" w14:paraId="2AE259F8" w14:textId="49DCF0E2" w:rsidTr="00574BFA">
        <w:tc>
          <w:tcPr>
            <w:tcW w:w="1334" w:type="dxa"/>
            <w:vAlign w:val="center"/>
          </w:tcPr>
          <w:p w14:paraId="2BAB277C" w14:textId="029DF6F7" w:rsidR="004E363E" w:rsidRPr="008C378B" w:rsidRDefault="004E363E" w:rsidP="008C378B">
            <w:pPr>
              <w:spacing w:line="480" w:lineRule="auto"/>
              <w:jc w:val="center"/>
              <w:rPr>
                <w:b/>
              </w:rPr>
            </w:pPr>
            <w:r w:rsidRPr="008C378B">
              <w:rPr>
                <w:b/>
              </w:rPr>
              <w:t>Run time</w:t>
            </w:r>
          </w:p>
        </w:tc>
        <w:tc>
          <w:tcPr>
            <w:tcW w:w="1561" w:type="dxa"/>
            <w:vAlign w:val="center"/>
          </w:tcPr>
          <w:p w14:paraId="601692C4" w14:textId="765D9687" w:rsidR="004E363E" w:rsidRDefault="004E363E" w:rsidP="008C378B">
            <w:pPr>
              <w:spacing w:line="480" w:lineRule="auto"/>
              <w:jc w:val="center"/>
            </w:pPr>
            <w:r w:rsidRPr="008C378B">
              <w:t>10:24:55</w:t>
            </w:r>
          </w:p>
        </w:tc>
        <w:tc>
          <w:tcPr>
            <w:tcW w:w="1717" w:type="dxa"/>
            <w:vAlign w:val="center"/>
          </w:tcPr>
          <w:p w14:paraId="5D09576C" w14:textId="06059B3B" w:rsidR="004E363E" w:rsidRDefault="004E363E" w:rsidP="008C378B">
            <w:pPr>
              <w:spacing w:line="480" w:lineRule="auto"/>
              <w:jc w:val="center"/>
            </w:pPr>
            <w:r w:rsidRPr="008C378B">
              <w:t>0:01:07</w:t>
            </w:r>
          </w:p>
        </w:tc>
        <w:tc>
          <w:tcPr>
            <w:tcW w:w="1908" w:type="dxa"/>
            <w:vAlign w:val="center"/>
          </w:tcPr>
          <w:p w14:paraId="4A6BAB7E" w14:textId="6EA8FECB" w:rsidR="004E363E" w:rsidRDefault="004E363E" w:rsidP="008C378B">
            <w:pPr>
              <w:spacing w:line="480" w:lineRule="auto"/>
              <w:jc w:val="center"/>
            </w:pPr>
            <w:r w:rsidRPr="008C378B">
              <w:t>0:00:31</w:t>
            </w:r>
          </w:p>
        </w:tc>
        <w:tc>
          <w:tcPr>
            <w:tcW w:w="1467" w:type="dxa"/>
            <w:vAlign w:val="center"/>
          </w:tcPr>
          <w:p w14:paraId="1F9ED1C6" w14:textId="4273DF66" w:rsidR="004E363E" w:rsidRDefault="004E363E" w:rsidP="008C378B">
            <w:pPr>
              <w:spacing w:line="480" w:lineRule="auto"/>
              <w:jc w:val="center"/>
            </w:pPr>
            <w:r w:rsidRPr="008C378B">
              <w:t>0:00:15</w:t>
            </w:r>
          </w:p>
        </w:tc>
        <w:tc>
          <w:tcPr>
            <w:tcW w:w="1331" w:type="dxa"/>
          </w:tcPr>
          <w:p w14:paraId="3C11DDD3" w14:textId="05FB3DB3" w:rsidR="004E363E" w:rsidRPr="008C378B" w:rsidRDefault="00574BFA" w:rsidP="008C378B">
            <w:pPr>
              <w:spacing w:line="480" w:lineRule="auto"/>
              <w:jc w:val="center"/>
            </w:pPr>
            <w:r>
              <w:t>10:26:48</w:t>
            </w:r>
          </w:p>
        </w:tc>
      </w:tr>
    </w:tbl>
    <w:p w14:paraId="19598399" w14:textId="77777777" w:rsidR="0041675B" w:rsidRDefault="0041675B" w:rsidP="00B532FE">
      <w:pPr>
        <w:spacing w:line="480" w:lineRule="auto"/>
      </w:pPr>
    </w:p>
    <w:p w14:paraId="5129EC8D" w14:textId="314935C1" w:rsidR="000241C8" w:rsidRDefault="000241C8" w:rsidP="000241C8">
      <w:pPr>
        <w:spacing w:line="480" w:lineRule="auto"/>
      </w:pPr>
      <w:r>
        <w:t xml:space="preserve">IDPicker’s MaxFDR is 0.05 as default.  </w:t>
      </w:r>
      <w:r w:rsidR="00887A99">
        <w:t>QFAM reports peptides and proteins at 0.05 FDR level.</w:t>
      </w:r>
    </w:p>
    <w:p w14:paraId="3A7AF654" w14:textId="6AF12550" w:rsidR="005F2716" w:rsidRDefault="00B50B20" w:rsidP="00B50B20">
      <w:pPr>
        <w:spacing w:line="480" w:lineRule="auto"/>
        <w:ind w:firstLine="720"/>
      </w:pPr>
      <w:r>
        <w:t xml:space="preserve">This module for MyriMatch and IDPicker is automated.  </w:t>
      </w:r>
      <w:r w:rsidR="00DC4C97">
        <w:t xml:space="preserve">Only one job submission to Newton is enough.  </w:t>
      </w:r>
      <w:r w:rsidR="00E06F70">
        <w:t xml:space="preserve">This job controller is programmed in Python 2.7.6 and </w:t>
      </w:r>
      <w:r w:rsidR="006729CF">
        <w:t>requires one configure</w:t>
      </w:r>
      <w:r w:rsidR="0001443E">
        <w:t xml:space="preserve"> file named as “</w:t>
      </w:r>
      <w:r w:rsidR="0001443E" w:rsidRPr="0001443E">
        <w:t>BMI_pipeline.cfg</w:t>
      </w:r>
      <w:r w:rsidR="0001443E">
        <w:t xml:space="preserve">”.  </w:t>
      </w:r>
      <w:r w:rsidR="008F76D2">
        <w:t xml:space="preserve">This configure file contains information of data file path, program (MyriMatch and IDPicker) path, the number of CPU for the pipeline execution and </w:t>
      </w:r>
      <w:r w:rsidR="00CE633E">
        <w:t>job list file location.</w:t>
      </w:r>
      <w:r w:rsidR="000C3243">
        <w:t xml:space="preserve">  The PSM search module finally produces </w:t>
      </w:r>
      <w:r w:rsidR="008402B6">
        <w:t xml:space="preserve">tab-delimited file </w:t>
      </w:r>
      <w:r w:rsidR="003E4F6A">
        <w:t xml:space="preserve">that have </w:t>
      </w:r>
      <w:r w:rsidR="00420AF2">
        <w:t xml:space="preserve">protein ID, spectrum counts from unique peptides, the number of unique peptides, </w:t>
      </w:r>
      <w:r w:rsidR="00093218">
        <w:t xml:space="preserve">DB source (target or decoy), </w:t>
      </w:r>
      <w:proofErr w:type="gramStart"/>
      <w:r w:rsidR="00093218">
        <w:t>protein</w:t>
      </w:r>
      <w:proofErr w:type="gramEnd"/>
      <w:r w:rsidR="00093218">
        <w:t xml:space="preserve"> length, percentage of protein sequence</w:t>
      </w:r>
      <w:r w:rsidR="00C85E3F">
        <w:t xml:space="preserve"> coverage and spectrum counts.</w:t>
      </w:r>
    </w:p>
    <w:p w14:paraId="5C2CA0B3" w14:textId="6B92AB82" w:rsidR="00F054AB" w:rsidRDefault="00A6573A" w:rsidP="005451A2">
      <w:pPr>
        <w:pStyle w:val="Heading3"/>
      </w:pPr>
      <w:bookmarkStart w:id="37" w:name="_Toc296333710"/>
      <w:r>
        <w:lastRenderedPageBreak/>
        <w:t>M</w:t>
      </w:r>
      <w:r w:rsidR="00C237D1">
        <w:t xml:space="preserve">aking </w:t>
      </w:r>
      <w:r w:rsidR="008A53C2">
        <w:t>contrast file</w:t>
      </w:r>
      <w:r w:rsidR="00F71D92">
        <w:t>, comparing</w:t>
      </w:r>
      <w:r w:rsidR="00E250E3">
        <w:t xml:space="preserve"> MS</w:t>
      </w:r>
      <w:r w:rsidR="00F71D92">
        <w:t xml:space="preserve"> runs and normalization</w:t>
      </w:r>
      <w:bookmarkEnd w:id="37"/>
    </w:p>
    <w:p w14:paraId="60E8C533" w14:textId="0B0F5DFB" w:rsidR="00393ECF" w:rsidRDefault="005D5F4E" w:rsidP="005451A2">
      <w:pPr>
        <w:spacing w:line="480" w:lineRule="auto"/>
      </w:pPr>
      <w:r>
        <w:tab/>
      </w:r>
      <w:r w:rsidR="0025204F">
        <w:t>Any experiments don’</w:t>
      </w:r>
      <w:r w:rsidR="008918F4">
        <w:t>t have only one MS run</w:t>
      </w:r>
      <w:r w:rsidR="00617529">
        <w:t xml:space="preserve"> unless it is a test</w:t>
      </w:r>
      <w:r w:rsidR="007346D7">
        <w:t xml:space="preserve"> run</w:t>
      </w:r>
      <w:r w:rsidR="008918F4">
        <w:t xml:space="preserve">.  </w:t>
      </w:r>
      <w:r w:rsidR="005451A2">
        <w:t xml:space="preserve">Multiple MS runs are basically included in the experiment design for comparison of test and control groups.  </w:t>
      </w:r>
      <w:r w:rsidR="005C2ED0">
        <w:t>Multiple MS runs</w:t>
      </w:r>
      <w:r w:rsidR="00005403">
        <w:t>,</w:t>
      </w:r>
      <w:r w:rsidR="005C2ED0">
        <w:t xml:space="preserve"> making t</w:t>
      </w:r>
      <w:r w:rsidR="003A0A82">
        <w:t>echnical replicates or biologic</w:t>
      </w:r>
      <w:r w:rsidR="005C2ED0">
        <w:t xml:space="preserve">al replicates for </w:t>
      </w:r>
      <w:r w:rsidR="00C14CCE">
        <w:t>reliable research findings</w:t>
      </w:r>
      <w:r w:rsidR="00005403">
        <w:t xml:space="preserve">, are </w:t>
      </w:r>
      <w:r w:rsidR="004149B7">
        <w:t xml:space="preserve">generally </w:t>
      </w:r>
      <w:r w:rsidR="0085699E">
        <w:t>produced for one experiment.</w:t>
      </w:r>
      <w:r w:rsidR="002C35D8">
        <w:t xml:space="preserve">  </w:t>
      </w:r>
      <w:r w:rsidR="00BE73F1">
        <w:t>Multiple MS runs are summarized into one data file</w:t>
      </w:r>
      <w:r w:rsidR="00FB6E1E">
        <w:t xml:space="preserve"> (contrast file)</w:t>
      </w:r>
      <w:r w:rsidR="00BE73F1">
        <w:t xml:space="preserve">, usually tab- or comma-delimited file, </w:t>
      </w:r>
      <w:r w:rsidR="004B64C8">
        <w:t xml:space="preserve">containing </w:t>
      </w:r>
      <w:r w:rsidR="005B6ABD">
        <w:t>MS run names in columns and protein</w:t>
      </w:r>
      <w:r w:rsidR="00393ECF">
        <w:t xml:space="preserve"> IDs in rows.</w:t>
      </w:r>
      <w:r w:rsidR="00CB2389">
        <w:t xml:space="preserve">  </w:t>
      </w:r>
      <w:r w:rsidR="00393ECF">
        <w:t xml:space="preserve">QFAM provides a module for making </w:t>
      </w:r>
      <w:r w:rsidR="00FB6E1E">
        <w:t>a contrast file</w:t>
      </w:r>
      <w:r w:rsidR="0058086E">
        <w:t xml:space="preserve"> fr</w:t>
      </w:r>
      <w:r w:rsidR="005A7845">
        <w:t>om multiple PSM search results.</w:t>
      </w:r>
      <w:r w:rsidR="00BB7A0D">
        <w:t xml:space="preserve">  Also, QFAM reports protein FDR, the number of decoy protein identifications divided by the total number of proteins,</w:t>
      </w:r>
      <w:r w:rsidR="0058086E">
        <w:t xml:space="preserve"> </w:t>
      </w:r>
      <w:r w:rsidR="005A5A6C">
        <w:t>as well as removes decoy protein identifications.</w:t>
      </w:r>
    </w:p>
    <w:p w14:paraId="441915A4" w14:textId="08132D6E" w:rsidR="006E4914" w:rsidRDefault="006E4914" w:rsidP="005451A2">
      <w:pPr>
        <w:spacing w:line="480" w:lineRule="auto"/>
      </w:pPr>
      <w:r>
        <w:tab/>
      </w:r>
      <w:r w:rsidR="00DA6414">
        <w:t>In addition to making the contrast file,</w:t>
      </w:r>
      <w:r w:rsidR="002F3709">
        <w:t xml:space="preserve"> QFAM calculates Pearson correlation coefficient (</w:t>
      </w:r>
      <w:r w:rsidR="000672AE">
        <w:t>PCC) of every possib</w:t>
      </w:r>
      <w:r w:rsidR="007C557B">
        <w:t xml:space="preserve">le pairs in one contrast file.  </w:t>
      </w:r>
      <w:r w:rsidR="00E731D8">
        <w:t xml:space="preserve">By comparing PCC within replicates and between different groups, users can choose more similar replicates and more different MS runs </w:t>
      </w:r>
      <w:r w:rsidR="00694689">
        <w:t>from</w:t>
      </w:r>
      <w:r w:rsidR="00E731D8">
        <w:t xml:space="preserve"> other experiment groups.  This module is </w:t>
      </w:r>
      <w:r w:rsidR="00B06C91">
        <w:t>importantly used for comparison of technical replicates and bi</w:t>
      </w:r>
      <w:r w:rsidR="000E59D0">
        <w:t>ological replicates in Chapter 4</w:t>
      </w:r>
      <w:r w:rsidR="00E368A3">
        <w:t>.  PCC comparison module is programmed in R.</w:t>
      </w:r>
      <w:r w:rsidR="00695A7D">
        <w:t xml:space="preserve">   </w:t>
      </w:r>
      <w:r w:rsidR="00084EB2">
        <w:t xml:space="preserve">Also this PCC comparison can group MS runs </w:t>
      </w:r>
      <w:r w:rsidR="00DA15B3">
        <w:t xml:space="preserve">that are </w:t>
      </w:r>
      <w:r w:rsidR="00C80849">
        <w:t>considered as very similar (PCC &gt;= 0.90)</w:t>
      </w:r>
      <w:r w:rsidR="00DC06A7">
        <w:t>.  Generally technical replicates have much better PCC than biological replicates and other experimental groups.</w:t>
      </w:r>
      <w:r w:rsidR="00DC7541">
        <w:t xml:space="preserve">  Picking </w:t>
      </w:r>
      <w:r w:rsidR="00B34C6D">
        <w:t>MS runs for furt</w:t>
      </w:r>
      <w:r w:rsidR="00927BD0">
        <w:t>her analy</w:t>
      </w:r>
      <w:r w:rsidR="0078537A">
        <w:t>sis is not automated</w:t>
      </w:r>
      <w:r w:rsidR="00C13179">
        <w:t>.</w:t>
      </w:r>
    </w:p>
    <w:p w14:paraId="3DC643DD" w14:textId="77777777" w:rsidR="006C7220" w:rsidRDefault="00FE5152" w:rsidP="006C7220">
      <w:pPr>
        <w:spacing w:line="480" w:lineRule="auto"/>
      </w:pPr>
      <w:r>
        <w:tab/>
      </w:r>
      <w:r w:rsidR="00AC0033">
        <w:t>Next</w:t>
      </w:r>
      <w:r>
        <w:t xml:space="preserve"> module </w:t>
      </w:r>
      <w:r w:rsidR="00AC0033">
        <w:t xml:space="preserve">is </w:t>
      </w:r>
      <w:r w:rsidR="00883509">
        <w:t>normalization</w:t>
      </w:r>
      <w:r w:rsidR="005B7A80">
        <w:t xml:space="preserve"> following making contrast file and picking MS runs</w:t>
      </w:r>
      <w:r w:rsidR="00D27F19">
        <w:t xml:space="preserve">. </w:t>
      </w:r>
      <w:r w:rsidR="007E53E2">
        <w:t xml:space="preserve"> Normalization is </w:t>
      </w:r>
      <w:r w:rsidR="00CA13E7">
        <w:t xml:space="preserve">necessary step </w:t>
      </w:r>
      <w:r w:rsidR="001A084F">
        <w:t>for label-free proteomics data</w:t>
      </w:r>
      <w:r w:rsidR="007E53E2">
        <w:t xml:space="preserve"> </w:t>
      </w:r>
      <w:r w:rsidR="001A084F">
        <w:t xml:space="preserve">to </w:t>
      </w:r>
      <w:r w:rsidR="001A084F">
        <w:lastRenderedPageBreak/>
        <w:t>standardize</w:t>
      </w:r>
      <w:r w:rsidR="00E96346">
        <w:t xml:space="preserve"> different MS runs</w:t>
      </w:r>
      <w:r w:rsidR="00F357B3">
        <w:t xml:space="preserve"> for </w:t>
      </w:r>
      <w:r w:rsidR="00F1413C">
        <w:t>comparison</w:t>
      </w:r>
      <w:r w:rsidR="00E96346">
        <w:t xml:space="preserve">.  </w:t>
      </w:r>
      <w:r w:rsidR="00D42F1B">
        <w:t xml:space="preserve">Piehowski et al examined source of </w:t>
      </w:r>
      <w:r w:rsidR="00C86100">
        <w:t>proteomics data generation</w:t>
      </w:r>
      <w:r w:rsidR="00CD38D6">
        <w:t xml:space="preserve"> </w:t>
      </w:r>
      <w:r w:rsidR="00CD38D6">
        <w:fldChar w:fldCharType="begin"/>
      </w:r>
      <w:r w:rsidR="00CD38D6">
        <w:instrText xml:space="preserve"> ADDIN EN.CITE &lt;EndNote&gt;&lt;Cite&gt;&lt;Author&gt;Piehowski&lt;/Author&gt;&lt;Year&gt;2013&lt;/Year&gt;&lt;RecNum&gt;90&lt;/RecNum&gt;&lt;DisplayText&gt;[88]&lt;/DisplayText&gt;&lt;record&gt;&lt;rec-number&gt;90&lt;/rec-number&gt;&lt;foreign-keys&gt;&lt;key app="EN" db-id="efx2002d5f0z21etvw3x9zp7tw2axpa2eez0" timestamp="1433814836"&gt;90&lt;/key&gt;&lt;/foreign-keys&gt;&lt;ref-type name="Journal Article"&gt;17&lt;/ref-type&gt;&lt;contributors&gt;&lt;authors&gt;&lt;author&gt;Piehowski, Paul D&lt;/author&gt;&lt;author&gt;Petyuk, Vladislav A&lt;/author&gt;&lt;author&gt;Orton, Daniel J&lt;/author&gt;&lt;author&gt;Xie, Fang&lt;/author&gt;&lt;author&gt;Moore, Ronald J&lt;/author&gt;&lt;author&gt;Ramirez-Restrepo, Manuel&lt;/author&gt;&lt;author&gt;Engel, Anzhelika&lt;/author&gt;&lt;author&gt;Lieberman, Andrew P&lt;/author&gt;&lt;author&gt;Albin, Roger L&lt;/author&gt;&lt;author&gt;Camp, David G&lt;/author&gt;&lt;/authors&gt;&lt;/contributors&gt;&lt;titles&gt;&lt;title&gt;Sources of technical variability in quantitative LC–MS proteomics: human brain tissue sample analysis&lt;/title&gt;&lt;secondary-title&gt;Journal of proteome research&lt;/secondary-title&gt;&lt;/titles&gt;&lt;periodical&gt;&lt;full-title&gt;Journal of proteome research&lt;/full-title&gt;&lt;/periodical&gt;&lt;pages&gt;2128-2137&lt;/pages&gt;&lt;volume&gt;12&lt;/volume&gt;&lt;number&gt;5&lt;/number&gt;&lt;dates&gt;&lt;year&gt;2013&lt;/year&gt;&lt;/dates&gt;&lt;isbn&gt;1535-3893&lt;/isbn&gt;&lt;urls&gt;&lt;/urls&gt;&lt;/record&gt;&lt;/Cite&gt;&lt;/EndNote&gt;</w:instrText>
      </w:r>
      <w:r w:rsidR="00CD38D6">
        <w:fldChar w:fldCharType="separate"/>
      </w:r>
      <w:r w:rsidR="00CD38D6">
        <w:rPr>
          <w:noProof/>
        </w:rPr>
        <w:t>[88]</w:t>
      </w:r>
      <w:r w:rsidR="00CD38D6">
        <w:fldChar w:fldCharType="end"/>
      </w:r>
      <w:r w:rsidR="00C86100">
        <w:t xml:space="preserve">.  They considered four variance sources, protein extraction, digestion, instrumental stability and </w:t>
      </w:r>
      <w:r w:rsidR="008130E3">
        <w:t>instrumental variance (Fig. 18</w:t>
      </w:r>
      <w:r w:rsidR="003E5C28">
        <w:t>).</w:t>
      </w:r>
      <w:r w:rsidR="00191ED3">
        <w:t xml:space="preserve">  </w:t>
      </w:r>
      <w:proofErr w:type="gramStart"/>
      <w:r w:rsidR="00191ED3">
        <w:t xml:space="preserve">Different protein extraction replicates were made by dissecting different </w:t>
      </w:r>
      <w:r w:rsidR="002E1D92">
        <w:t>part from single sample</w:t>
      </w:r>
      <w:proofErr w:type="gramEnd"/>
      <w:r w:rsidR="002E1D92">
        <w:t xml:space="preserve">.  </w:t>
      </w:r>
      <w:r w:rsidR="00384AC9">
        <w:t>Protein digestion, instrumental stability and instrumental variance were measured by repeating experiments</w:t>
      </w:r>
      <w:r w:rsidR="004005CD">
        <w:t xml:space="preserve"> at different stages</w:t>
      </w:r>
      <w:r w:rsidR="00384AC9">
        <w:t xml:space="preserve">.  </w:t>
      </w:r>
      <w:r w:rsidR="004E6D6A">
        <w:t xml:space="preserve">Interestingly, MS instrument related variances were </w:t>
      </w:r>
      <w:r w:rsidR="004E6D6A" w:rsidRPr="004E6D6A">
        <w:t>negligible</w:t>
      </w:r>
      <w:r w:rsidR="004E6D6A">
        <w:t xml:space="preserve"> when compared to protein extraction and digestion</w:t>
      </w:r>
      <w:r w:rsidR="008C38D9">
        <w:t xml:space="preserve"> (average PCC is 0.99 for Instrumental variance and 0.97</w:t>
      </w:r>
      <w:r w:rsidR="00FE30F7">
        <w:t xml:space="preserve"> for instrumental stability)</w:t>
      </w:r>
      <w:r w:rsidR="004E6D6A">
        <w:t xml:space="preserve">.  </w:t>
      </w:r>
      <w:r w:rsidR="00005E65">
        <w:t xml:space="preserve">Despite of same patient’s sample, </w:t>
      </w:r>
      <w:r w:rsidR="00A623CF">
        <w:t>protein extraction variability was much higher than others</w:t>
      </w:r>
      <w:r w:rsidR="005B246E">
        <w:t xml:space="preserve"> (average PCC is 0.86)</w:t>
      </w:r>
      <w:r w:rsidR="00953A04">
        <w:t xml:space="preserve">.  </w:t>
      </w:r>
      <w:r w:rsidR="00DA5607">
        <w:t xml:space="preserve">Normalization is </w:t>
      </w:r>
      <w:r w:rsidR="0054496E">
        <w:t xml:space="preserve">mainly </w:t>
      </w:r>
      <w:r w:rsidR="00DA5607">
        <w:t>for sample variation rather than instrumental variability.</w:t>
      </w:r>
      <w:r w:rsidR="006C7220">
        <w:t xml:space="preserve">  Our module for normalization provides total sum normalization and average normalization.  Since QFAM employed IDPicker that has greedy algorithm for assignment of redundant peptide matches, spectral balancing is not included in the pipeline.</w:t>
      </w:r>
    </w:p>
    <w:p w14:paraId="2B03ECCF" w14:textId="77777777" w:rsidR="006C7220" w:rsidRDefault="006C7220" w:rsidP="006C7220">
      <w:pPr>
        <w:spacing w:line="480" w:lineRule="auto"/>
        <w:ind w:firstLine="720"/>
      </w:pPr>
      <w:r>
        <w:t>Even though normalization is employed to correct potential systemic errors, sometimes normalization can make more serious changes in a dataset.  This means that normalization can make unwanted difference between experimental groups.  When we standardize our data, we should be aware of this risk of data distortion.  Interestingly, normalization affects very much on data analysis, but not many papers were published about normalization of proteomics data.</w:t>
      </w:r>
    </w:p>
    <w:p w14:paraId="717C53F1" w14:textId="1B87A4B4" w:rsidR="003A4D6E" w:rsidRDefault="003A4D6E" w:rsidP="00DA5607">
      <w:pPr>
        <w:spacing w:line="480" w:lineRule="auto"/>
      </w:pPr>
      <w:r>
        <w:br w:type="page"/>
      </w:r>
    </w:p>
    <w:p w14:paraId="67CAFDBE" w14:textId="77777777" w:rsidR="003A4D6E" w:rsidRDefault="003A4D6E" w:rsidP="003A4D6E">
      <w:pPr>
        <w:keepNext/>
        <w:spacing w:line="480" w:lineRule="auto"/>
      </w:pPr>
      <w:r w:rsidRPr="003A4D6E">
        <w:rPr>
          <w:noProof/>
        </w:rPr>
        <w:lastRenderedPageBreak/>
        <w:drawing>
          <wp:inline distT="0" distB="0" distL="0" distR="0" wp14:anchorId="1F59272E" wp14:editId="30DEEC93">
            <wp:extent cx="5486400" cy="5273040"/>
            <wp:effectExtent l="0" t="0" r="0" b="1016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38"/>
                    <a:srcRect b="10295"/>
                    <a:stretch/>
                  </pic:blipFill>
                  <pic:spPr bwMode="auto">
                    <a:xfrm>
                      <a:off x="0" y="0"/>
                      <a:ext cx="5486400" cy="5273040"/>
                    </a:xfrm>
                    <a:prstGeom prst="rect">
                      <a:avLst/>
                    </a:prstGeom>
                    <a:ln>
                      <a:noFill/>
                    </a:ln>
                    <a:extLst>
                      <a:ext uri="{53640926-AAD7-44d8-BBD7-CCE9431645EC}">
                        <a14:shadowObscured xmlns:a14="http://schemas.microsoft.com/office/drawing/2010/main"/>
                      </a:ext>
                    </a:extLst>
                  </pic:spPr>
                </pic:pic>
              </a:graphicData>
            </a:graphic>
          </wp:inline>
        </w:drawing>
      </w:r>
    </w:p>
    <w:p w14:paraId="177B4B8F" w14:textId="329244B0" w:rsidR="00476E31" w:rsidRPr="003A4D6E" w:rsidRDefault="003A4D6E" w:rsidP="003A4D6E">
      <w:pPr>
        <w:pStyle w:val="Caption"/>
        <w:rPr>
          <w:b w:val="0"/>
        </w:rPr>
      </w:pPr>
      <w:bookmarkStart w:id="38" w:name="_Toc296333111"/>
      <w:r>
        <w:t xml:space="preserve">Figure </w:t>
      </w:r>
      <w:fldSimple w:instr=" SEQ Figure \* ARABIC ">
        <w:r w:rsidR="002B3E83">
          <w:rPr>
            <w:noProof/>
          </w:rPr>
          <w:t>18</w:t>
        </w:r>
      </w:fldSimple>
      <w:r>
        <w:t xml:space="preserve"> Boxplots showing the distribution of Pearson correlation coefficients among the different levels of replicates.  </w:t>
      </w:r>
      <w:r>
        <w:rPr>
          <w:b w:val="0"/>
        </w:rPr>
        <w:t xml:space="preserve">This illustration was adapted from </w:t>
      </w:r>
      <w:r w:rsidR="00D77FD4" w:rsidRPr="00D77FD4">
        <w:rPr>
          <w:b w:val="0"/>
        </w:rPr>
        <w:t>Piehowski et al</w:t>
      </w:r>
      <w:r w:rsidR="00D77FD4">
        <w:rPr>
          <w:b w:val="0"/>
        </w:rPr>
        <w:t xml:space="preserve"> </w:t>
      </w:r>
      <w:r w:rsidR="008130E3">
        <w:rPr>
          <w:b w:val="0"/>
        </w:rPr>
        <w:fldChar w:fldCharType="begin"/>
      </w:r>
      <w:r w:rsidR="008130E3">
        <w:rPr>
          <w:b w:val="0"/>
        </w:rPr>
        <w:instrText xml:space="preserve"> ADDIN EN.CITE &lt;EndNote&gt;&lt;Cite&gt;&lt;Author&gt;Piehowski&lt;/Author&gt;&lt;Year&gt;2013&lt;/Year&gt;&lt;RecNum&gt;90&lt;/RecNum&gt;&lt;DisplayText&gt;[88]&lt;/DisplayText&gt;&lt;record&gt;&lt;rec-number&gt;90&lt;/rec-number&gt;&lt;foreign-keys&gt;&lt;key app="EN" db-id="efx2002d5f0z21etvw3x9zp7tw2axpa2eez0" timestamp="1433814836"&gt;90&lt;/key&gt;&lt;/foreign-keys&gt;&lt;ref-type name="Journal Article"&gt;17&lt;/ref-type&gt;&lt;contributors&gt;&lt;authors&gt;&lt;author&gt;Piehowski, Paul D&lt;/author&gt;&lt;author&gt;Petyuk, Vladislav A&lt;/author&gt;&lt;author&gt;Orton, Daniel J&lt;/author&gt;&lt;author&gt;Xie, Fang&lt;/author&gt;&lt;author&gt;Moore, Ronald J&lt;/author&gt;&lt;author&gt;Ramirez-Restrepo, Manuel&lt;/author&gt;&lt;author&gt;Engel, Anzhelika&lt;/author&gt;&lt;author&gt;Lieberman, Andrew P&lt;/author&gt;&lt;author&gt;Albin, Roger L&lt;/author&gt;&lt;author&gt;Camp, David G&lt;/author&gt;&lt;/authors&gt;&lt;/contributors&gt;&lt;titles&gt;&lt;title&gt;Sources of technical variability in quantitative LC–MS proteomics: human brain tissue sample analysis&lt;/title&gt;&lt;secondary-title&gt;Journal of proteome research&lt;/secondary-title&gt;&lt;/titles&gt;&lt;periodical&gt;&lt;full-title&gt;Journal of proteome research&lt;/full-title&gt;&lt;/periodical&gt;&lt;pages&gt;2128-2137&lt;/pages&gt;&lt;volume&gt;12&lt;/volume&gt;&lt;number&gt;5&lt;/number&gt;&lt;dates&gt;&lt;year&gt;2013&lt;/year&gt;&lt;/dates&gt;&lt;isbn&gt;1535-3893&lt;/isbn&gt;&lt;urls&gt;&lt;/urls&gt;&lt;/record&gt;&lt;/Cite&gt;&lt;/EndNote&gt;</w:instrText>
      </w:r>
      <w:r w:rsidR="008130E3">
        <w:rPr>
          <w:b w:val="0"/>
        </w:rPr>
        <w:fldChar w:fldCharType="separate"/>
      </w:r>
      <w:r w:rsidR="008130E3">
        <w:rPr>
          <w:b w:val="0"/>
          <w:noProof/>
        </w:rPr>
        <w:t>[88]</w:t>
      </w:r>
      <w:r w:rsidR="008130E3">
        <w:rPr>
          <w:b w:val="0"/>
        </w:rPr>
        <w:fldChar w:fldCharType="end"/>
      </w:r>
      <w:r w:rsidR="00D77FD4" w:rsidRPr="00D77FD4">
        <w:rPr>
          <w:b w:val="0"/>
        </w:rPr>
        <w:t>.</w:t>
      </w:r>
      <w:bookmarkEnd w:id="38"/>
    </w:p>
    <w:p w14:paraId="28A80082" w14:textId="7A8C6FD4" w:rsidR="00941634" w:rsidRDefault="00941634">
      <w:pPr>
        <w:jc w:val="left"/>
      </w:pPr>
      <w:r>
        <w:br w:type="page"/>
      </w:r>
    </w:p>
    <w:p w14:paraId="0650DEA9" w14:textId="6BC58DE9" w:rsidR="002E7688" w:rsidRDefault="00C411DC" w:rsidP="00C411DC">
      <w:pPr>
        <w:pStyle w:val="Heading2"/>
      </w:pPr>
      <w:bookmarkStart w:id="39" w:name="_Toc296333711"/>
      <w:r>
        <w:lastRenderedPageBreak/>
        <w:t xml:space="preserve">Module for </w:t>
      </w:r>
      <w:r w:rsidR="001B036D">
        <w:t>quantitative</w:t>
      </w:r>
      <w:r>
        <w:t xml:space="preserve"> </w:t>
      </w:r>
      <w:r w:rsidR="00464F35">
        <w:t xml:space="preserve">and functional </w:t>
      </w:r>
      <w:r>
        <w:t>analysis</w:t>
      </w:r>
      <w:bookmarkEnd w:id="39"/>
    </w:p>
    <w:p w14:paraId="605AE55C" w14:textId="78900747" w:rsidR="00992796" w:rsidRDefault="005D5976" w:rsidP="004D1D47">
      <w:pPr>
        <w:pStyle w:val="Heading3"/>
      </w:pPr>
      <w:bookmarkStart w:id="40" w:name="_Toc296333712"/>
      <w:r>
        <w:t xml:space="preserve">Quantitative analysis module </w:t>
      </w:r>
      <w:r w:rsidR="00D973DA">
        <w:t>(QAM)</w:t>
      </w:r>
      <w:bookmarkEnd w:id="40"/>
    </w:p>
    <w:p w14:paraId="2745C919" w14:textId="11387F19" w:rsidR="00FE6AEC" w:rsidRDefault="004D1D47" w:rsidP="00FE6AEC">
      <w:pPr>
        <w:spacing w:line="480" w:lineRule="auto"/>
      </w:pPr>
      <w:r>
        <w:tab/>
      </w:r>
      <w:r w:rsidR="002726B3">
        <w:t>QFAM’s quantitative analysis module</w:t>
      </w:r>
      <w:r w:rsidR="007364B4">
        <w:t xml:space="preserve"> (QAM)</w:t>
      </w:r>
      <w:r w:rsidR="002726B3">
        <w:t xml:space="preserve"> is </w:t>
      </w:r>
      <w:r w:rsidR="009F15CC">
        <w:t>a big advantage</w:t>
      </w:r>
      <w:r w:rsidR="00D3145E">
        <w:t xml:space="preserve"> compared to other proteomics analysis pipelines</w:t>
      </w:r>
      <w:r w:rsidR="003052EB">
        <w:t xml:space="preserve">.  </w:t>
      </w:r>
      <w:r w:rsidR="00EA4AA5">
        <w:t xml:space="preserve">QFAM </w:t>
      </w:r>
      <w:r w:rsidR="00041ECA">
        <w:t>uses ‘selfea’ R package as the core statistics calculator</w:t>
      </w:r>
      <w:r w:rsidR="00EB23AE">
        <w:t xml:space="preserve">.  </w:t>
      </w:r>
      <w:r w:rsidR="00125E62">
        <w:t>Selfea will be explained in Chapter 3</w:t>
      </w:r>
      <w:r w:rsidR="000E59D0">
        <w:t xml:space="preserve"> with more detail</w:t>
      </w:r>
      <w:r w:rsidR="00740286">
        <w:t>s</w:t>
      </w:r>
      <w:r w:rsidR="00DD2161">
        <w:t xml:space="preserve">.  </w:t>
      </w:r>
      <w:r w:rsidR="00B8212F">
        <w:t xml:space="preserve">The </w:t>
      </w:r>
      <w:r w:rsidR="009B419F">
        <w:t xml:space="preserve">analysis </w:t>
      </w:r>
      <w:r w:rsidR="00B43236">
        <w:t>module</w:t>
      </w:r>
      <w:r w:rsidR="00B8212F">
        <w:t xml:space="preserve"> </w:t>
      </w:r>
      <w:r w:rsidR="00B43236">
        <w:t xml:space="preserve">has several R and Python scripts to execute ‘selfea’ </w:t>
      </w:r>
      <w:r w:rsidR="00E16CBA">
        <w:t>simultane</w:t>
      </w:r>
      <w:r w:rsidR="00927652">
        <w:t>ously</w:t>
      </w:r>
      <w:r w:rsidR="00E13E4C">
        <w:t xml:space="preserve"> using </w:t>
      </w:r>
      <w:r w:rsidR="00EB725C">
        <w:t>multiple cores</w:t>
      </w:r>
      <w:r w:rsidR="00491598">
        <w:t>.</w:t>
      </w:r>
      <w:r w:rsidR="001C0213">
        <w:t xml:space="preserve">  Running time for statistics computation takes relatively long time because metaproteome data basically has more number of proteins, such as </w:t>
      </w:r>
      <w:r w:rsidR="0001722F">
        <w:t>more than 55k proteins in human diet proteome of chapter 5</w:t>
      </w:r>
      <w:r w:rsidR="007F5CE0">
        <w:t>.</w:t>
      </w:r>
      <w:r w:rsidR="001A18CF">
        <w:t xml:space="preserve">  </w:t>
      </w:r>
      <w:r w:rsidR="000C68E8">
        <w:t xml:space="preserve">It took more than 12 hours </w:t>
      </w:r>
      <w:r w:rsidR="00B75EA2">
        <w:t>to calculate statistics of 55k proteins</w:t>
      </w:r>
      <w:r w:rsidR="0061181D">
        <w:t xml:space="preserve"> with single core, however </w:t>
      </w:r>
      <w:r w:rsidR="007F0F11">
        <w:t>1 hou</w:t>
      </w:r>
      <w:r w:rsidR="003B4DCE">
        <w:t>r was enough to the parallel-running</w:t>
      </w:r>
      <w:r w:rsidR="007F0F11">
        <w:t xml:space="preserve"> module.</w:t>
      </w:r>
      <w:r w:rsidR="00B75EA2">
        <w:t xml:space="preserve">  </w:t>
      </w:r>
    </w:p>
    <w:p w14:paraId="6CE05BCD" w14:textId="66B5CFB2" w:rsidR="00AE376C" w:rsidRDefault="007C1D17" w:rsidP="00E84D93">
      <w:pPr>
        <w:spacing w:line="480" w:lineRule="auto"/>
        <w:ind w:firstLine="720"/>
      </w:pPr>
      <w:r>
        <w:t xml:space="preserve">The </w:t>
      </w:r>
      <w:r w:rsidR="006B6622">
        <w:t>QAM</w:t>
      </w:r>
      <w:r>
        <w:t xml:space="preserve"> has four steps.  </w:t>
      </w:r>
      <w:r w:rsidR="00927652">
        <w:t xml:space="preserve">First, </w:t>
      </w:r>
      <w:r w:rsidR="00DE2ADE">
        <w:t xml:space="preserve">the normalized expression profile is </w:t>
      </w:r>
      <w:r w:rsidR="00ED0B6B">
        <w:t>divided into small pieces.</w:t>
      </w:r>
      <w:r w:rsidR="003D3211">
        <w:t xml:space="preserve">  </w:t>
      </w:r>
      <w:r w:rsidR="00310E0E">
        <w:t>Users can decide size of data pieces</w:t>
      </w:r>
      <w:r w:rsidR="003D3211">
        <w:t xml:space="preserve">.  </w:t>
      </w:r>
      <w:r w:rsidR="000D23E2">
        <w:t xml:space="preserve">Python script for </w:t>
      </w:r>
      <w:r w:rsidR="001601DC">
        <w:t xml:space="preserve">the </w:t>
      </w:r>
      <w:r w:rsidR="00D940E8">
        <w:t>fragmentation produces job files</w:t>
      </w:r>
      <w:r w:rsidR="00EA22ED">
        <w:t xml:space="preserve"> for parallel execution as well as</w:t>
      </w:r>
      <w:r w:rsidR="00846BB7">
        <w:t xml:space="preserve"> </w:t>
      </w:r>
      <w:r w:rsidR="005039D5">
        <w:t>many</w:t>
      </w:r>
      <w:r w:rsidR="0095558C">
        <w:t xml:space="preserve"> </w:t>
      </w:r>
      <w:r w:rsidR="00846BB7">
        <w:t xml:space="preserve">reduced data </w:t>
      </w:r>
      <w:r w:rsidR="00EA1AC8">
        <w:t>chunks</w:t>
      </w:r>
      <w:r w:rsidR="00846BB7">
        <w:t>.</w:t>
      </w:r>
      <w:r w:rsidR="006E4A5C">
        <w:t xml:space="preserve">  </w:t>
      </w:r>
      <w:r w:rsidR="00B243B2">
        <w:t xml:space="preserve">Job files have information for module loading, change directory and </w:t>
      </w:r>
      <w:r w:rsidR="00FD0D10">
        <w:t xml:space="preserve">R script execution.  </w:t>
      </w:r>
      <w:r w:rsidR="00EE250B">
        <w:t xml:space="preserve">R script is prepared for statistics calculation using ‘selfea’ package.  </w:t>
      </w:r>
      <w:r w:rsidR="006E4A5C">
        <w:t xml:space="preserve">Next, </w:t>
      </w:r>
      <w:r w:rsidR="008C51E0">
        <w:t xml:space="preserve">job files are submitted to </w:t>
      </w:r>
      <w:r w:rsidR="00E84EF8">
        <w:t xml:space="preserve">SGE of Newton cluster.  </w:t>
      </w:r>
      <w:r w:rsidR="00E80B78">
        <w:t xml:space="preserve">Every </w:t>
      </w:r>
      <w:r w:rsidR="00372E3C">
        <w:t xml:space="preserve">submitted </w:t>
      </w:r>
      <w:r w:rsidR="00E80B78">
        <w:t>job</w:t>
      </w:r>
      <w:r w:rsidR="005C2469">
        <w:t xml:space="preserve"> </w:t>
      </w:r>
      <w:r w:rsidR="00E80B78">
        <w:t>run</w:t>
      </w:r>
      <w:r w:rsidR="005C2469">
        <w:t>s</w:t>
      </w:r>
      <w:r w:rsidR="00E80B78">
        <w:t xml:space="preserve"> in computing core that is dedicated only for computation</w:t>
      </w:r>
      <w:r w:rsidR="00965B76">
        <w:t xml:space="preserve">, not for system administration or </w:t>
      </w:r>
      <w:r w:rsidR="00372E3C">
        <w:t>control</w:t>
      </w:r>
      <w:r w:rsidR="00C9322F">
        <w:t xml:space="preserve">.  </w:t>
      </w:r>
      <w:r w:rsidR="00862FBF">
        <w:t xml:space="preserve">After all the jobs are completed, </w:t>
      </w:r>
      <w:r w:rsidR="006008C8">
        <w:t>Python script for gathering the result of executed jobs</w:t>
      </w:r>
      <w:r w:rsidR="00210BC4">
        <w:t xml:space="preserve"> is </w:t>
      </w:r>
      <w:r w:rsidR="00CA1CA0">
        <w:t xml:space="preserve">carried out.  All the separately calculated statistics results are collected and compiled.  </w:t>
      </w:r>
      <w:r w:rsidR="008D6AE2">
        <w:t>P-values</w:t>
      </w:r>
      <w:r w:rsidR="006704E5">
        <w:t>,</w:t>
      </w:r>
      <w:r w:rsidR="008D6AE2">
        <w:t xml:space="preserve"> calculated from three models, quasi-Poisson model, negative binomial model and Normal ANOVA model, are adjusted by </w:t>
      </w:r>
      <w:r w:rsidR="00673D56">
        <w:t xml:space="preserve">user-selected method </w:t>
      </w:r>
      <w:r w:rsidR="00673D56">
        <w:lastRenderedPageBreak/>
        <w:t xml:space="preserve">including </w:t>
      </w:r>
      <w:r w:rsidR="00EA298C">
        <w:t>Benjamini and Hochberg correction (</w:t>
      </w:r>
      <w:r w:rsidR="008D6AE2">
        <w:t>FDR</w:t>
      </w:r>
      <w:r w:rsidR="00EA298C">
        <w:t>)</w:t>
      </w:r>
      <w:r w:rsidR="00F07289">
        <w:t xml:space="preserve"> </w:t>
      </w:r>
      <w:r w:rsidR="00F07289">
        <w:fldChar w:fldCharType="begin"/>
      </w:r>
      <w:r w:rsidR="00F07289">
        <w:instrText xml:space="preserve"> ADDIN EN.CITE &lt;EndNote&gt;&lt;Cite&gt;&lt;Author&gt;Benjamini&lt;/Author&gt;&lt;Year&gt;1995&lt;/Year&gt;&lt;RecNum&gt;91&lt;/RecNum&gt;&lt;DisplayText&gt;[89]&lt;/DisplayText&gt;&lt;record&gt;&lt;rec-number&gt;91&lt;/rec-number&gt;&lt;foreign-keys&gt;&lt;key app="EN" db-id="efx2002d5f0z21etvw3x9zp7tw2axpa2eez0" timestamp="1433997252"&gt;91&lt;/key&gt;&lt;/foreign-keys&gt;&lt;ref-type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00F07289">
        <w:fldChar w:fldCharType="separate"/>
      </w:r>
      <w:r w:rsidR="00F07289">
        <w:rPr>
          <w:noProof/>
        </w:rPr>
        <w:t>[89]</w:t>
      </w:r>
      <w:r w:rsidR="00F07289">
        <w:fldChar w:fldCharType="end"/>
      </w:r>
      <w:r w:rsidR="00673D56">
        <w:t>.</w:t>
      </w:r>
      <w:r w:rsidR="008B18BC">
        <w:t xml:space="preserve">  </w:t>
      </w:r>
      <w:r w:rsidR="007D618E">
        <w:t xml:space="preserve">At the same time, filtering out insignificant proteins are conducted as well as drawing </w:t>
      </w:r>
      <w:r w:rsidR="00831EC3">
        <w:t xml:space="preserve">a </w:t>
      </w:r>
      <w:r w:rsidR="007D618E">
        <w:t xml:space="preserve">protein </w:t>
      </w:r>
      <w:r w:rsidR="00B40340">
        <w:t>scatter plot.</w:t>
      </w:r>
    </w:p>
    <w:p w14:paraId="113496AB" w14:textId="77777777" w:rsidR="00EE6D51" w:rsidRDefault="002F56C8" w:rsidP="009A5B06">
      <w:pPr>
        <w:spacing w:line="480" w:lineRule="auto"/>
        <w:ind w:firstLine="720"/>
        <w:rPr>
          <w:rFonts w:cs="Arial"/>
        </w:rPr>
      </w:pPr>
      <w:r>
        <w:t>QFAM provides six statistics for every protein</w:t>
      </w:r>
      <w:r w:rsidR="00483F97">
        <w:t xml:space="preserve">, Cohen’s </w:t>
      </w:r>
      <w:r w:rsidR="00483F97" w:rsidRPr="00E115D2">
        <w:rPr>
          <w:i/>
        </w:rPr>
        <w:t>w</w:t>
      </w:r>
      <w:r w:rsidR="00483F97">
        <w:t xml:space="preserve">, Cohen’s </w:t>
      </w:r>
      <w:r w:rsidR="00483F97" w:rsidRPr="00E115D2">
        <w:rPr>
          <w:i/>
        </w:rPr>
        <w:t>f</w:t>
      </w:r>
      <w:r w:rsidR="00A505CE">
        <w:t>, maximum fold change and</w:t>
      </w:r>
      <w:r w:rsidR="00483F97">
        <w:t xml:space="preserve"> adjusted p-values from quasi-Poisson model, negative binomial</w:t>
      </w:r>
      <w:r w:rsidR="00E115D2">
        <w:t xml:space="preserve"> model and Normal ANOVA model</w:t>
      </w:r>
      <w:r w:rsidR="004E5FD0">
        <w:t xml:space="preserve"> (Table 6)</w:t>
      </w:r>
      <w:r w:rsidR="00E115D2">
        <w:t>.</w:t>
      </w:r>
      <w:r w:rsidR="006411F1">
        <w:t xml:space="preserve">  </w:t>
      </w:r>
      <w:r w:rsidR="00E04B5B">
        <w:t xml:space="preserve">Cohen’s </w:t>
      </w:r>
      <w:r w:rsidR="00E04B5B" w:rsidRPr="00E04B5B">
        <w:rPr>
          <w:i/>
        </w:rPr>
        <w:t>w</w:t>
      </w:r>
      <w:r w:rsidR="00E04B5B">
        <w:t xml:space="preserve"> and </w:t>
      </w:r>
      <w:r w:rsidR="00E04B5B" w:rsidRPr="00E04B5B">
        <w:rPr>
          <w:i/>
        </w:rPr>
        <w:t>f</w:t>
      </w:r>
      <w:r w:rsidR="00E04B5B">
        <w:t xml:space="preserve"> are</w:t>
      </w:r>
      <w:r w:rsidR="009B5816">
        <w:t xml:space="preserve"> </w:t>
      </w:r>
      <w:r w:rsidR="003E1314">
        <w:t>effect sizes</w:t>
      </w:r>
      <w:r w:rsidR="00024314">
        <w:t xml:space="preserve"> (ES)</w:t>
      </w:r>
      <w:r w:rsidR="003E1314">
        <w:t xml:space="preserve"> measuring how much differently detected in different experiment groups.  </w:t>
      </w:r>
      <w:r w:rsidR="00024314">
        <w:t>Those two are important</w:t>
      </w:r>
      <w:r w:rsidR="0090792B">
        <w:t xml:space="preserve"> ES to keep certain level of statistical power in result signature.</w:t>
      </w:r>
      <w:r w:rsidR="00024314">
        <w:t xml:space="preserve"> </w:t>
      </w:r>
      <w:r w:rsidR="0090792B">
        <w:t xml:space="preserve"> </w:t>
      </w:r>
      <w:r w:rsidR="00535C6D">
        <w:t xml:space="preserve">Maximum fold change is </w:t>
      </w:r>
      <w:r w:rsidR="00455735">
        <w:t xml:space="preserve">the biggest fold change among all the possible pairs of experiment groups.  </w:t>
      </w:r>
      <w:r w:rsidR="00621779">
        <w:t xml:space="preserve">Selfea provides three probability models </w:t>
      </w:r>
      <w:r w:rsidR="00611262">
        <w:t xml:space="preserve">as well as various ES.  </w:t>
      </w:r>
      <w:r w:rsidR="00533012">
        <w:t>Quasi-Poisson model is confirmed method for labe</w:t>
      </w:r>
      <w:r w:rsidR="00755BDF">
        <w:t>l-free proteomics data analysis.</w:t>
      </w:r>
      <w:r w:rsidR="005E473E">
        <w:t xml:space="preserve">  </w:t>
      </w:r>
      <w:r w:rsidR="005E473E">
        <w:rPr>
          <w:rFonts w:cs="Arial"/>
        </w:rPr>
        <w:t xml:space="preserve">Negative binomial model is similar model to quasi-Poisson and used for analysis of count-type data, such as spectrum counts of label-free proteomics and the number of reads in RNA sequencing (RNA-Seq).  </w:t>
      </w:r>
    </w:p>
    <w:p w14:paraId="5757BEE4" w14:textId="791B2946" w:rsidR="00DB12B5" w:rsidRDefault="005E473E" w:rsidP="009A5B06">
      <w:pPr>
        <w:spacing w:line="480" w:lineRule="auto"/>
        <w:ind w:firstLine="720"/>
        <w:rPr>
          <w:rFonts w:cs="Arial"/>
        </w:rPr>
      </w:pPr>
      <w:r>
        <w:rPr>
          <w:rFonts w:cs="Arial"/>
        </w:rPr>
        <w:t xml:space="preserve">Selfea calculates ES threshold by desired statistical power, default is 80% ~ 0.84.  By combining selected methods, such as quasi-Poisson and Cohen’s </w:t>
      </w:r>
      <w:r w:rsidRPr="00331BC6">
        <w:rPr>
          <w:rFonts w:cs="Arial"/>
          <w:i/>
        </w:rPr>
        <w:t>f</w:t>
      </w:r>
      <w:r>
        <w:rPr>
          <w:rFonts w:cs="Arial"/>
        </w:rPr>
        <w:t xml:space="preserve">, significant proteins are selected at the designated statistical power.  Statistical power is a probability correctly rejecting null hypothesis when it is false.  Hence, it is directly related with reliable protein selection.  Selfea enhances statistical power by removing out underpowered hypotheses tests using Cohen’s ES.  </w:t>
      </w:r>
      <w:r w:rsidR="007A4B64">
        <w:rPr>
          <w:rFonts w:cs="Arial"/>
        </w:rPr>
        <w:t>The higher Cohen’s ES is, the better statistical power is</w:t>
      </w:r>
      <w:r w:rsidR="00C764A3">
        <w:rPr>
          <w:rFonts w:cs="Arial"/>
        </w:rPr>
        <w:t>.  High statistical power can reduce the number of false pos</w:t>
      </w:r>
      <w:r w:rsidR="00C76F2B">
        <w:rPr>
          <w:rFonts w:cs="Arial"/>
        </w:rPr>
        <w:t xml:space="preserve">itives in the analysis result. </w:t>
      </w:r>
      <w:r w:rsidR="00FF195C" w:rsidRPr="004030F5">
        <w:rPr>
          <w:rFonts w:cs="Arial"/>
        </w:rPr>
        <w:br w:type="page"/>
      </w:r>
    </w:p>
    <w:p w14:paraId="3D1B1FC1" w14:textId="7CB97231" w:rsidR="00DB12B5" w:rsidRPr="00411CFC" w:rsidRDefault="00DB12B5" w:rsidP="00DB12B5">
      <w:pPr>
        <w:pStyle w:val="Caption"/>
        <w:keepNext/>
        <w:rPr>
          <w:b w:val="0"/>
        </w:rPr>
      </w:pPr>
      <w:bookmarkStart w:id="41" w:name="_Toc296333078"/>
      <w:r>
        <w:lastRenderedPageBreak/>
        <w:t xml:space="preserve">Table </w:t>
      </w:r>
      <w:fldSimple w:instr=" SEQ Table \* ARABIC ">
        <w:r w:rsidR="0093776B">
          <w:rPr>
            <w:noProof/>
          </w:rPr>
          <w:t>6</w:t>
        </w:r>
      </w:fldSimple>
      <w:r>
        <w:t xml:space="preserve"> Example result of </w:t>
      </w:r>
      <w:r w:rsidR="0016377B">
        <w:t xml:space="preserve">the </w:t>
      </w:r>
      <w:r w:rsidR="00114896">
        <w:t>QAM</w:t>
      </w:r>
      <w:r w:rsidR="0016377B">
        <w:t xml:space="preserve">.  </w:t>
      </w:r>
      <w:r w:rsidR="00411CFC">
        <w:rPr>
          <w:b w:val="0"/>
        </w:rPr>
        <w:t xml:space="preserve">Cohens_W: Cohen’s </w:t>
      </w:r>
      <w:r w:rsidR="00411CFC" w:rsidRPr="00411CFC">
        <w:rPr>
          <w:b w:val="0"/>
          <w:i/>
        </w:rPr>
        <w:t>w</w:t>
      </w:r>
      <w:r w:rsidR="00411CFC">
        <w:rPr>
          <w:b w:val="0"/>
        </w:rPr>
        <w:t xml:space="preserve">, Cohens_F: Cohen’s </w:t>
      </w:r>
      <w:r w:rsidR="00411CFC" w:rsidRPr="00411CFC">
        <w:rPr>
          <w:b w:val="0"/>
          <w:i/>
        </w:rPr>
        <w:t>f</w:t>
      </w:r>
      <w:r w:rsidR="00411CFC">
        <w:rPr>
          <w:b w:val="0"/>
        </w:rPr>
        <w:t xml:space="preserve">, </w:t>
      </w:r>
      <w:r w:rsidR="00D56E22">
        <w:rPr>
          <w:b w:val="0"/>
        </w:rPr>
        <w:t>Max_FC: maximum fold change, QP_Pval_adjusted: adjusted p-value from quasi-Poisson model, NB_Pval_adjusted: adjusted p-value from negative binomi</w:t>
      </w:r>
      <w:r w:rsidR="00B6326E">
        <w:rPr>
          <w:b w:val="0"/>
        </w:rPr>
        <w:t>al model and</w:t>
      </w:r>
      <w:r w:rsidR="00D56E22">
        <w:rPr>
          <w:b w:val="0"/>
        </w:rPr>
        <w:t xml:space="preserve"> Normal_Pval_adjusted: adjusted p-value from Normal ANOVA model.</w:t>
      </w:r>
      <w:bookmarkEnd w:id="41"/>
    </w:p>
    <w:tbl>
      <w:tblPr>
        <w:tblW w:w="8825" w:type="dxa"/>
        <w:jc w:val="center"/>
        <w:tblLayout w:type="fixed"/>
        <w:tblLook w:val="04A0" w:firstRow="1" w:lastRow="0" w:firstColumn="1" w:lastColumn="0" w:noHBand="0" w:noVBand="1"/>
      </w:tblPr>
      <w:tblGrid>
        <w:gridCol w:w="1296"/>
        <w:gridCol w:w="1009"/>
        <w:gridCol w:w="930"/>
        <w:gridCol w:w="914"/>
        <w:gridCol w:w="1571"/>
        <w:gridCol w:w="1572"/>
        <w:gridCol w:w="1533"/>
      </w:tblGrid>
      <w:tr w:rsidR="00DB12B5" w14:paraId="01F7E0F4" w14:textId="77777777" w:rsidTr="00C70622">
        <w:trPr>
          <w:trHeight w:val="300"/>
          <w:jc w:val="center"/>
        </w:trPr>
        <w:tc>
          <w:tcPr>
            <w:tcW w:w="1296" w:type="dxa"/>
            <w:noWrap/>
            <w:hideMark/>
          </w:tcPr>
          <w:p w14:paraId="5C431B73" w14:textId="77777777" w:rsidR="00DB12B5" w:rsidRDefault="00DB12B5" w:rsidP="00C70622">
            <w:pPr>
              <w:jc w:val="center"/>
              <w:rPr>
                <w:rFonts w:ascii="Calibri" w:eastAsia="Times New Roman" w:hAnsi="Calibri"/>
                <w:color w:val="000000"/>
              </w:rPr>
            </w:pPr>
            <w:r>
              <w:rPr>
                <w:rFonts w:ascii="Calibri" w:eastAsia="Times New Roman" w:hAnsi="Calibri"/>
                <w:color w:val="000000"/>
              </w:rPr>
              <w:t>Protein</w:t>
            </w:r>
          </w:p>
        </w:tc>
        <w:tc>
          <w:tcPr>
            <w:tcW w:w="1009" w:type="dxa"/>
            <w:noWrap/>
            <w:hideMark/>
          </w:tcPr>
          <w:p w14:paraId="1580F6D4" w14:textId="77777777" w:rsidR="00DB12B5" w:rsidRDefault="00DB12B5">
            <w:pPr>
              <w:rPr>
                <w:rFonts w:ascii="Calibri" w:eastAsia="Times New Roman" w:hAnsi="Calibri"/>
                <w:color w:val="000000"/>
              </w:rPr>
            </w:pPr>
            <w:r>
              <w:rPr>
                <w:rFonts w:ascii="Calibri" w:eastAsia="Times New Roman" w:hAnsi="Calibri"/>
                <w:color w:val="000000"/>
              </w:rPr>
              <w:t>Cohens_W</w:t>
            </w:r>
          </w:p>
        </w:tc>
        <w:tc>
          <w:tcPr>
            <w:tcW w:w="930" w:type="dxa"/>
            <w:noWrap/>
            <w:hideMark/>
          </w:tcPr>
          <w:p w14:paraId="0F89D3A6" w14:textId="77777777" w:rsidR="00DB12B5" w:rsidRDefault="00DB12B5">
            <w:pPr>
              <w:rPr>
                <w:rFonts w:ascii="Calibri" w:eastAsia="Times New Roman" w:hAnsi="Calibri"/>
                <w:color w:val="000000"/>
              </w:rPr>
            </w:pPr>
            <w:r>
              <w:rPr>
                <w:rFonts w:ascii="Calibri" w:eastAsia="Times New Roman" w:hAnsi="Calibri"/>
                <w:color w:val="000000"/>
              </w:rPr>
              <w:t>Cohens_F</w:t>
            </w:r>
          </w:p>
        </w:tc>
        <w:tc>
          <w:tcPr>
            <w:tcW w:w="914" w:type="dxa"/>
            <w:noWrap/>
            <w:hideMark/>
          </w:tcPr>
          <w:p w14:paraId="3589365C" w14:textId="77777777" w:rsidR="00DB12B5" w:rsidRDefault="00DB12B5">
            <w:pPr>
              <w:rPr>
                <w:rFonts w:ascii="Calibri" w:eastAsia="Times New Roman" w:hAnsi="Calibri"/>
                <w:color w:val="000000"/>
              </w:rPr>
            </w:pPr>
            <w:r>
              <w:rPr>
                <w:rFonts w:ascii="Calibri" w:eastAsia="Times New Roman" w:hAnsi="Calibri"/>
                <w:color w:val="000000"/>
              </w:rPr>
              <w:t>Max_FC</w:t>
            </w:r>
          </w:p>
        </w:tc>
        <w:tc>
          <w:tcPr>
            <w:tcW w:w="1571" w:type="dxa"/>
            <w:noWrap/>
            <w:hideMark/>
          </w:tcPr>
          <w:p w14:paraId="6BF743F5" w14:textId="77777777" w:rsidR="00DB12B5" w:rsidRDefault="00DB12B5">
            <w:pPr>
              <w:rPr>
                <w:rFonts w:ascii="Calibri" w:eastAsia="Times New Roman" w:hAnsi="Calibri"/>
                <w:color w:val="000000"/>
              </w:rPr>
            </w:pPr>
            <w:r>
              <w:rPr>
                <w:rFonts w:ascii="Calibri" w:eastAsia="Times New Roman" w:hAnsi="Calibri"/>
                <w:color w:val="000000"/>
              </w:rPr>
              <w:t>QP_Pval_adjusted</w:t>
            </w:r>
          </w:p>
        </w:tc>
        <w:tc>
          <w:tcPr>
            <w:tcW w:w="1572" w:type="dxa"/>
            <w:noWrap/>
            <w:hideMark/>
          </w:tcPr>
          <w:p w14:paraId="07F6F45C" w14:textId="77777777" w:rsidR="00DB12B5" w:rsidRDefault="00DB12B5">
            <w:pPr>
              <w:rPr>
                <w:rFonts w:ascii="Calibri" w:eastAsia="Times New Roman" w:hAnsi="Calibri"/>
                <w:color w:val="000000"/>
              </w:rPr>
            </w:pPr>
            <w:r>
              <w:rPr>
                <w:rFonts w:ascii="Calibri" w:eastAsia="Times New Roman" w:hAnsi="Calibri"/>
                <w:color w:val="000000"/>
              </w:rPr>
              <w:t>NB_Pval_adjusted</w:t>
            </w:r>
          </w:p>
        </w:tc>
        <w:tc>
          <w:tcPr>
            <w:tcW w:w="1533" w:type="dxa"/>
            <w:noWrap/>
            <w:hideMark/>
          </w:tcPr>
          <w:p w14:paraId="280925B2" w14:textId="77777777" w:rsidR="00DB12B5" w:rsidRDefault="00DB12B5">
            <w:pPr>
              <w:rPr>
                <w:rFonts w:ascii="Calibri" w:eastAsia="Times New Roman" w:hAnsi="Calibri"/>
                <w:color w:val="000000"/>
              </w:rPr>
            </w:pPr>
            <w:r>
              <w:rPr>
                <w:rFonts w:ascii="Calibri" w:eastAsia="Times New Roman" w:hAnsi="Calibri"/>
                <w:color w:val="000000"/>
              </w:rPr>
              <w:t>Normal_Pval_adjusted</w:t>
            </w:r>
          </w:p>
        </w:tc>
      </w:tr>
      <w:tr w:rsidR="00DB12B5" w14:paraId="4B0CCAA3" w14:textId="77777777" w:rsidTr="00C70622">
        <w:trPr>
          <w:trHeight w:val="300"/>
          <w:jc w:val="center"/>
        </w:trPr>
        <w:tc>
          <w:tcPr>
            <w:tcW w:w="1296" w:type="dxa"/>
            <w:noWrap/>
            <w:hideMark/>
          </w:tcPr>
          <w:p w14:paraId="1D7DA877" w14:textId="77777777" w:rsidR="00DB12B5" w:rsidRDefault="00DB12B5" w:rsidP="00C70622">
            <w:pPr>
              <w:jc w:val="center"/>
              <w:rPr>
                <w:rFonts w:ascii="Calibri" w:eastAsia="Times New Roman" w:hAnsi="Calibri"/>
                <w:color w:val="000000"/>
              </w:rPr>
            </w:pPr>
            <w:r>
              <w:rPr>
                <w:rFonts w:ascii="Calibri" w:eastAsia="Times New Roman" w:hAnsi="Calibri"/>
                <w:color w:val="000000"/>
              </w:rPr>
              <w:t>SERPINA1</w:t>
            </w:r>
          </w:p>
        </w:tc>
        <w:tc>
          <w:tcPr>
            <w:tcW w:w="1009" w:type="dxa"/>
            <w:noWrap/>
            <w:hideMark/>
          </w:tcPr>
          <w:p w14:paraId="78B49D12" w14:textId="77777777" w:rsidR="00DB12B5" w:rsidRDefault="00DB12B5">
            <w:pPr>
              <w:jc w:val="right"/>
              <w:rPr>
                <w:rFonts w:ascii="Calibri" w:eastAsia="Times New Roman" w:hAnsi="Calibri"/>
                <w:color w:val="000000"/>
              </w:rPr>
            </w:pPr>
            <w:r>
              <w:rPr>
                <w:rFonts w:ascii="Calibri" w:eastAsia="Times New Roman" w:hAnsi="Calibri"/>
                <w:color w:val="000000"/>
              </w:rPr>
              <w:t>0.4988</w:t>
            </w:r>
          </w:p>
        </w:tc>
        <w:tc>
          <w:tcPr>
            <w:tcW w:w="930" w:type="dxa"/>
            <w:noWrap/>
            <w:hideMark/>
          </w:tcPr>
          <w:p w14:paraId="43FAA317" w14:textId="77777777" w:rsidR="00DB12B5" w:rsidRDefault="00DB12B5">
            <w:pPr>
              <w:jc w:val="right"/>
              <w:rPr>
                <w:rFonts w:ascii="Calibri" w:eastAsia="Times New Roman" w:hAnsi="Calibri"/>
                <w:color w:val="000000"/>
              </w:rPr>
            </w:pPr>
            <w:r>
              <w:rPr>
                <w:rFonts w:ascii="Calibri" w:eastAsia="Times New Roman" w:hAnsi="Calibri"/>
                <w:color w:val="000000"/>
              </w:rPr>
              <w:t>1.7646</w:t>
            </w:r>
          </w:p>
        </w:tc>
        <w:tc>
          <w:tcPr>
            <w:tcW w:w="914" w:type="dxa"/>
            <w:noWrap/>
            <w:hideMark/>
          </w:tcPr>
          <w:p w14:paraId="014F8466" w14:textId="77777777" w:rsidR="00DB12B5" w:rsidRDefault="00DB12B5">
            <w:pPr>
              <w:jc w:val="right"/>
              <w:rPr>
                <w:rFonts w:ascii="Calibri" w:eastAsia="Times New Roman" w:hAnsi="Calibri"/>
                <w:color w:val="000000"/>
              </w:rPr>
            </w:pPr>
            <w:r>
              <w:rPr>
                <w:rFonts w:ascii="Calibri" w:eastAsia="Times New Roman" w:hAnsi="Calibri"/>
                <w:color w:val="000000"/>
              </w:rPr>
              <w:t>3.1710</w:t>
            </w:r>
          </w:p>
        </w:tc>
        <w:tc>
          <w:tcPr>
            <w:tcW w:w="1571" w:type="dxa"/>
            <w:noWrap/>
            <w:hideMark/>
          </w:tcPr>
          <w:p w14:paraId="6296E4C4" w14:textId="77777777" w:rsidR="00DB12B5" w:rsidRDefault="00DB12B5">
            <w:pPr>
              <w:jc w:val="right"/>
              <w:rPr>
                <w:rFonts w:ascii="Calibri" w:eastAsia="Times New Roman" w:hAnsi="Calibri"/>
                <w:color w:val="000000"/>
              </w:rPr>
            </w:pPr>
            <w:r>
              <w:rPr>
                <w:rFonts w:ascii="Calibri" w:eastAsia="Times New Roman" w:hAnsi="Calibri"/>
                <w:color w:val="000000"/>
              </w:rPr>
              <w:t>3.9790E-04</w:t>
            </w:r>
          </w:p>
        </w:tc>
        <w:tc>
          <w:tcPr>
            <w:tcW w:w="1572" w:type="dxa"/>
            <w:noWrap/>
            <w:hideMark/>
          </w:tcPr>
          <w:p w14:paraId="51D31762" w14:textId="77777777" w:rsidR="00DB12B5" w:rsidRDefault="00DB12B5">
            <w:pPr>
              <w:jc w:val="right"/>
              <w:rPr>
                <w:rFonts w:ascii="Calibri" w:eastAsia="Times New Roman" w:hAnsi="Calibri"/>
                <w:color w:val="000000"/>
              </w:rPr>
            </w:pPr>
            <w:r>
              <w:rPr>
                <w:rFonts w:ascii="Calibri" w:eastAsia="Times New Roman" w:hAnsi="Calibri"/>
                <w:color w:val="000000"/>
              </w:rPr>
              <w:t>4.9878E-05</w:t>
            </w:r>
          </w:p>
        </w:tc>
        <w:tc>
          <w:tcPr>
            <w:tcW w:w="1533" w:type="dxa"/>
            <w:noWrap/>
            <w:hideMark/>
          </w:tcPr>
          <w:p w14:paraId="2A34EA49" w14:textId="77777777" w:rsidR="00DB12B5" w:rsidRDefault="00DB12B5">
            <w:pPr>
              <w:jc w:val="right"/>
              <w:rPr>
                <w:rFonts w:ascii="Calibri" w:eastAsia="Times New Roman" w:hAnsi="Calibri"/>
                <w:color w:val="000000"/>
              </w:rPr>
            </w:pPr>
            <w:r>
              <w:rPr>
                <w:rFonts w:ascii="Calibri" w:eastAsia="Times New Roman" w:hAnsi="Calibri"/>
                <w:color w:val="000000"/>
              </w:rPr>
              <w:t>3.0741E-04</w:t>
            </w:r>
          </w:p>
        </w:tc>
      </w:tr>
      <w:tr w:rsidR="00DB12B5" w14:paraId="6D2E04AC" w14:textId="77777777" w:rsidTr="00C70622">
        <w:trPr>
          <w:trHeight w:val="300"/>
          <w:jc w:val="center"/>
        </w:trPr>
        <w:tc>
          <w:tcPr>
            <w:tcW w:w="1296" w:type="dxa"/>
            <w:noWrap/>
            <w:hideMark/>
          </w:tcPr>
          <w:p w14:paraId="44C69A11" w14:textId="77777777" w:rsidR="00DB12B5" w:rsidRDefault="00DB12B5" w:rsidP="00C70622">
            <w:pPr>
              <w:jc w:val="center"/>
              <w:rPr>
                <w:rFonts w:ascii="Calibri" w:eastAsia="Times New Roman" w:hAnsi="Calibri"/>
                <w:color w:val="000000"/>
              </w:rPr>
            </w:pPr>
            <w:r>
              <w:rPr>
                <w:rFonts w:ascii="Calibri" w:eastAsia="Times New Roman" w:hAnsi="Calibri"/>
                <w:color w:val="000000"/>
              </w:rPr>
              <w:t>UBC</w:t>
            </w:r>
          </w:p>
        </w:tc>
        <w:tc>
          <w:tcPr>
            <w:tcW w:w="1009" w:type="dxa"/>
            <w:noWrap/>
            <w:hideMark/>
          </w:tcPr>
          <w:p w14:paraId="121169A0" w14:textId="77777777" w:rsidR="00DB12B5" w:rsidRDefault="00DB12B5">
            <w:pPr>
              <w:jc w:val="right"/>
              <w:rPr>
                <w:rFonts w:ascii="Calibri" w:eastAsia="Times New Roman" w:hAnsi="Calibri"/>
                <w:color w:val="000000"/>
              </w:rPr>
            </w:pPr>
            <w:r>
              <w:rPr>
                <w:rFonts w:ascii="Calibri" w:eastAsia="Times New Roman" w:hAnsi="Calibri"/>
                <w:color w:val="000000"/>
              </w:rPr>
              <w:t>0.8655</w:t>
            </w:r>
          </w:p>
        </w:tc>
        <w:tc>
          <w:tcPr>
            <w:tcW w:w="930" w:type="dxa"/>
            <w:noWrap/>
            <w:hideMark/>
          </w:tcPr>
          <w:p w14:paraId="410DE4BC" w14:textId="77777777" w:rsidR="00DB12B5" w:rsidRDefault="00DB12B5">
            <w:pPr>
              <w:jc w:val="right"/>
              <w:rPr>
                <w:rFonts w:ascii="Calibri" w:eastAsia="Times New Roman" w:hAnsi="Calibri"/>
                <w:color w:val="000000"/>
              </w:rPr>
            </w:pPr>
            <w:r>
              <w:rPr>
                <w:rFonts w:ascii="Calibri" w:eastAsia="Times New Roman" w:hAnsi="Calibri"/>
                <w:color w:val="000000"/>
              </w:rPr>
              <w:t>0.7157</w:t>
            </w:r>
          </w:p>
        </w:tc>
        <w:tc>
          <w:tcPr>
            <w:tcW w:w="914" w:type="dxa"/>
            <w:noWrap/>
            <w:hideMark/>
          </w:tcPr>
          <w:p w14:paraId="4D0CD052" w14:textId="77777777" w:rsidR="00DB12B5" w:rsidRDefault="00DB12B5">
            <w:pPr>
              <w:jc w:val="right"/>
              <w:rPr>
                <w:rFonts w:ascii="Calibri" w:eastAsia="Times New Roman" w:hAnsi="Calibri"/>
                <w:color w:val="000000"/>
              </w:rPr>
            </w:pPr>
            <w:r>
              <w:rPr>
                <w:rFonts w:ascii="Calibri" w:eastAsia="Times New Roman" w:hAnsi="Calibri"/>
                <w:color w:val="000000"/>
              </w:rPr>
              <w:t>7.4570</w:t>
            </w:r>
          </w:p>
        </w:tc>
        <w:tc>
          <w:tcPr>
            <w:tcW w:w="1571" w:type="dxa"/>
            <w:noWrap/>
            <w:hideMark/>
          </w:tcPr>
          <w:p w14:paraId="7FA0B353" w14:textId="77777777" w:rsidR="00DB12B5" w:rsidRDefault="00DB12B5">
            <w:pPr>
              <w:jc w:val="right"/>
              <w:rPr>
                <w:rFonts w:ascii="Calibri" w:eastAsia="Times New Roman" w:hAnsi="Calibri"/>
                <w:color w:val="000000"/>
              </w:rPr>
            </w:pPr>
            <w:r>
              <w:rPr>
                <w:rFonts w:ascii="Calibri" w:eastAsia="Times New Roman" w:hAnsi="Calibri"/>
                <w:color w:val="000000"/>
              </w:rPr>
              <w:t>1.3285E-01</w:t>
            </w:r>
          </w:p>
        </w:tc>
        <w:tc>
          <w:tcPr>
            <w:tcW w:w="1572" w:type="dxa"/>
            <w:noWrap/>
            <w:hideMark/>
          </w:tcPr>
          <w:p w14:paraId="530C79AD" w14:textId="77777777" w:rsidR="00DB12B5" w:rsidRDefault="00DB12B5">
            <w:pPr>
              <w:jc w:val="right"/>
              <w:rPr>
                <w:rFonts w:ascii="Calibri" w:eastAsia="Times New Roman" w:hAnsi="Calibri"/>
                <w:color w:val="000000"/>
              </w:rPr>
            </w:pPr>
            <w:r>
              <w:rPr>
                <w:rFonts w:ascii="Calibri" w:eastAsia="Times New Roman" w:hAnsi="Calibri"/>
                <w:color w:val="000000"/>
              </w:rPr>
              <w:t>5.2853E-02</w:t>
            </w:r>
          </w:p>
        </w:tc>
        <w:tc>
          <w:tcPr>
            <w:tcW w:w="1533" w:type="dxa"/>
            <w:noWrap/>
            <w:hideMark/>
          </w:tcPr>
          <w:p w14:paraId="20A4CBE0" w14:textId="77777777" w:rsidR="00DB12B5" w:rsidRDefault="00DB12B5">
            <w:pPr>
              <w:jc w:val="right"/>
              <w:rPr>
                <w:rFonts w:ascii="Calibri" w:eastAsia="Times New Roman" w:hAnsi="Calibri"/>
                <w:color w:val="000000"/>
              </w:rPr>
            </w:pPr>
            <w:r>
              <w:rPr>
                <w:rFonts w:ascii="Calibri" w:eastAsia="Times New Roman" w:hAnsi="Calibri"/>
                <w:color w:val="000000"/>
              </w:rPr>
              <w:t>4.3099E-01</w:t>
            </w:r>
          </w:p>
        </w:tc>
      </w:tr>
      <w:tr w:rsidR="00DB12B5" w14:paraId="326410A9" w14:textId="77777777" w:rsidTr="00C70622">
        <w:trPr>
          <w:trHeight w:val="300"/>
          <w:jc w:val="center"/>
        </w:trPr>
        <w:tc>
          <w:tcPr>
            <w:tcW w:w="1296" w:type="dxa"/>
            <w:noWrap/>
            <w:hideMark/>
          </w:tcPr>
          <w:p w14:paraId="19763272" w14:textId="77777777" w:rsidR="00DB12B5" w:rsidRDefault="00DB12B5" w:rsidP="00C70622">
            <w:pPr>
              <w:jc w:val="center"/>
              <w:rPr>
                <w:rFonts w:ascii="Calibri" w:eastAsia="Times New Roman" w:hAnsi="Calibri"/>
                <w:color w:val="000000"/>
              </w:rPr>
            </w:pPr>
            <w:r>
              <w:rPr>
                <w:rFonts w:ascii="Calibri" w:eastAsia="Times New Roman" w:hAnsi="Calibri"/>
                <w:color w:val="000000"/>
              </w:rPr>
              <w:t>IGLL5</w:t>
            </w:r>
          </w:p>
        </w:tc>
        <w:tc>
          <w:tcPr>
            <w:tcW w:w="1009" w:type="dxa"/>
            <w:noWrap/>
            <w:hideMark/>
          </w:tcPr>
          <w:p w14:paraId="667A11E8" w14:textId="77777777" w:rsidR="00DB12B5" w:rsidRDefault="00DB12B5">
            <w:pPr>
              <w:jc w:val="right"/>
              <w:rPr>
                <w:rFonts w:ascii="Calibri" w:eastAsia="Times New Roman" w:hAnsi="Calibri"/>
                <w:color w:val="000000"/>
              </w:rPr>
            </w:pPr>
            <w:r>
              <w:rPr>
                <w:rFonts w:ascii="Calibri" w:eastAsia="Times New Roman" w:hAnsi="Calibri"/>
                <w:color w:val="000000"/>
              </w:rPr>
              <w:t>1.2780</w:t>
            </w:r>
          </w:p>
        </w:tc>
        <w:tc>
          <w:tcPr>
            <w:tcW w:w="930" w:type="dxa"/>
            <w:noWrap/>
            <w:hideMark/>
          </w:tcPr>
          <w:p w14:paraId="740DF0F5" w14:textId="77777777" w:rsidR="00DB12B5" w:rsidRDefault="00DB12B5">
            <w:pPr>
              <w:jc w:val="right"/>
              <w:rPr>
                <w:rFonts w:ascii="Calibri" w:eastAsia="Times New Roman" w:hAnsi="Calibri"/>
                <w:color w:val="000000"/>
              </w:rPr>
            </w:pPr>
            <w:r>
              <w:rPr>
                <w:rFonts w:ascii="Calibri" w:eastAsia="Times New Roman" w:hAnsi="Calibri"/>
                <w:color w:val="000000"/>
              </w:rPr>
              <w:t>1.0265</w:t>
            </w:r>
          </w:p>
        </w:tc>
        <w:tc>
          <w:tcPr>
            <w:tcW w:w="914" w:type="dxa"/>
            <w:noWrap/>
            <w:hideMark/>
          </w:tcPr>
          <w:p w14:paraId="55E1D49F" w14:textId="77777777" w:rsidR="00DB12B5" w:rsidRDefault="00DB12B5">
            <w:pPr>
              <w:jc w:val="right"/>
              <w:rPr>
                <w:rFonts w:ascii="Calibri" w:eastAsia="Times New Roman" w:hAnsi="Calibri"/>
                <w:color w:val="000000"/>
              </w:rPr>
            </w:pPr>
            <w:r>
              <w:rPr>
                <w:rFonts w:ascii="Calibri" w:eastAsia="Times New Roman" w:hAnsi="Calibri"/>
                <w:color w:val="000000"/>
              </w:rPr>
              <w:t>96.4830</w:t>
            </w:r>
          </w:p>
        </w:tc>
        <w:tc>
          <w:tcPr>
            <w:tcW w:w="1571" w:type="dxa"/>
            <w:noWrap/>
            <w:hideMark/>
          </w:tcPr>
          <w:p w14:paraId="53A6CE13" w14:textId="77777777" w:rsidR="00DB12B5" w:rsidRDefault="00DB12B5">
            <w:pPr>
              <w:jc w:val="right"/>
              <w:rPr>
                <w:rFonts w:ascii="Calibri" w:eastAsia="Times New Roman" w:hAnsi="Calibri"/>
                <w:color w:val="000000"/>
              </w:rPr>
            </w:pPr>
            <w:r>
              <w:rPr>
                <w:rFonts w:ascii="Calibri" w:eastAsia="Times New Roman" w:hAnsi="Calibri"/>
                <w:color w:val="000000"/>
              </w:rPr>
              <w:t>2.4177E-03</w:t>
            </w:r>
          </w:p>
        </w:tc>
        <w:tc>
          <w:tcPr>
            <w:tcW w:w="1572" w:type="dxa"/>
            <w:noWrap/>
            <w:hideMark/>
          </w:tcPr>
          <w:p w14:paraId="413C8179" w14:textId="77777777" w:rsidR="00DB12B5" w:rsidRDefault="00DB12B5">
            <w:pPr>
              <w:jc w:val="right"/>
              <w:rPr>
                <w:rFonts w:ascii="Calibri" w:eastAsia="Times New Roman" w:hAnsi="Calibri"/>
                <w:color w:val="000000"/>
              </w:rPr>
            </w:pPr>
            <w:r>
              <w:rPr>
                <w:rFonts w:ascii="Calibri" w:eastAsia="Times New Roman" w:hAnsi="Calibri"/>
                <w:color w:val="000000"/>
              </w:rPr>
              <w:t>5.1797E-07</w:t>
            </w:r>
          </w:p>
        </w:tc>
        <w:tc>
          <w:tcPr>
            <w:tcW w:w="1533" w:type="dxa"/>
            <w:noWrap/>
            <w:hideMark/>
          </w:tcPr>
          <w:p w14:paraId="493FDF3D" w14:textId="77777777" w:rsidR="00DB12B5" w:rsidRDefault="00DB12B5">
            <w:pPr>
              <w:jc w:val="right"/>
              <w:rPr>
                <w:rFonts w:ascii="Calibri" w:eastAsia="Times New Roman" w:hAnsi="Calibri"/>
                <w:color w:val="000000"/>
              </w:rPr>
            </w:pPr>
            <w:r>
              <w:rPr>
                <w:rFonts w:ascii="Calibri" w:eastAsia="Times New Roman" w:hAnsi="Calibri"/>
                <w:color w:val="000000"/>
              </w:rPr>
              <w:t>7.6510E-02</w:t>
            </w:r>
          </w:p>
        </w:tc>
      </w:tr>
      <w:tr w:rsidR="00DB12B5" w14:paraId="38874066" w14:textId="77777777" w:rsidTr="00C70622">
        <w:trPr>
          <w:trHeight w:val="300"/>
          <w:jc w:val="center"/>
        </w:trPr>
        <w:tc>
          <w:tcPr>
            <w:tcW w:w="1296" w:type="dxa"/>
            <w:noWrap/>
            <w:hideMark/>
          </w:tcPr>
          <w:p w14:paraId="43DFF3A5" w14:textId="77777777" w:rsidR="00DB12B5" w:rsidRDefault="00DB12B5" w:rsidP="00C70622">
            <w:pPr>
              <w:jc w:val="center"/>
              <w:rPr>
                <w:rFonts w:ascii="Calibri" w:eastAsia="Times New Roman" w:hAnsi="Calibri"/>
                <w:color w:val="000000"/>
              </w:rPr>
            </w:pPr>
            <w:r>
              <w:rPr>
                <w:rFonts w:ascii="Calibri" w:eastAsia="Times New Roman" w:hAnsi="Calibri"/>
                <w:color w:val="000000"/>
              </w:rPr>
              <w:t>FCGBP</w:t>
            </w:r>
          </w:p>
        </w:tc>
        <w:tc>
          <w:tcPr>
            <w:tcW w:w="1009" w:type="dxa"/>
            <w:noWrap/>
            <w:hideMark/>
          </w:tcPr>
          <w:p w14:paraId="0192C907" w14:textId="77777777" w:rsidR="00DB12B5" w:rsidRDefault="00DB12B5">
            <w:pPr>
              <w:jc w:val="right"/>
              <w:rPr>
                <w:rFonts w:ascii="Calibri" w:eastAsia="Times New Roman" w:hAnsi="Calibri"/>
                <w:color w:val="000000"/>
              </w:rPr>
            </w:pPr>
            <w:r>
              <w:rPr>
                <w:rFonts w:ascii="Calibri" w:eastAsia="Times New Roman" w:hAnsi="Calibri"/>
                <w:color w:val="000000"/>
              </w:rPr>
              <w:t>0.9688</w:t>
            </w:r>
          </w:p>
        </w:tc>
        <w:tc>
          <w:tcPr>
            <w:tcW w:w="930" w:type="dxa"/>
            <w:noWrap/>
            <w:hideMark/>
          </w:tcPr>
          <w:p w14:paraId="7736BAFA" w14:textId="77777777" w:rsidR="00DB12B5" w:rsidRDefault="00DB12B5">
            <w:pPr>
              <w:jc w:val="right"/>
              <w:rPr>
                <w:rFonts w:ascii="Calibri" w:eastAsia="Times New Roman" w:hAnsi="Calibri"/>
                <w:color w:val="000000"/>
              </w:rPr>
            </w:pPr>
            <w:r>
              <w:rPr>
                <w:rFonts w:ascii="Calibri" w:eastAsia="Times New Roman" w:hAnsi="Calibri"/>
                <w:color w:val="000000"/>
              </w:rPr>
              <w:t>4.9266</w:t>
            </w:r>
          </w:p>
        </w:tc>
        <w:tc>
          <w:tcPr>
            <w:tcW w:w="914" w:type="dxa"/>
            <w:noWrap/>
            <w:hideMark/>
          </w:tcPr>
          <w:p w14:paraId="09AFF3D3" w14:textId="77777777" w:rsidR="00DB12B5" w:rsidRDefault="00DB12B5">
            <w:pPr>
              <w:jc w:val="right"/>
              <w:rPr>
                <w:rFonts w:ascii="Calibri" w:eastAsia="Times New Roman" w:hAnsi="Calibri"/>
                <w:color w:val="000000"/>
              </w:rPr>
            </w:pPr>
            <w:r>
              <w:rPr>
                <w:rFonts w:ascii="Calibri" w:eastAsia="Times New Roman" w:hAnsi="Calibri"/>
                <w:color w:val="000000"/>
              </w:rPr>
              <w:t>266.0565</w:t>
            </w:r>
          </w:p>
        </w:tc>
        <w:tc>
          <w:tcPr>
            <w:tcW w:w="1571" w:type="dxa"/>
            <w:noWrap/>
            <w:hideMark/>
          </w:tcPr>
          <w:p w14:paraId="3E298CFD" w14:textId="77777777" w:rsidR="00DB12B5" w:rsidRDefault="00DB12B5">
            <w:pPr>
              <w:jc w:val="right"/>
              <w:rPr>
                <w:rFonts w:ascii="Calibri" w:eastAsia="Times New Roman" w:hAnsi="Calibri"/>
                <w:color w:val="000000"/>
              </w:rPr>
            </w:pPr>
            <w:r>
              <w:rPr>
                <w:rFonts w:ascii="Calibri" w:eastAsia="Times New Roman" w:hAnsi="Calibri"/>
                <w:color w:val="000000"/>
              </w:rPr>
              <w:t>2.9330E-11</w:t>
            </w:r>
          </w:p>
        </w:tc>
        <w:tc>
          <w:tcPr>
            <w:tcW w:w="1572" w:type="dxa"/>
            <w:noWrap/>
            <w:hideMark/>
          </w:tcPr>
          <w:p w14:paraId="5B12AD9C" w14:textId="77777777" w:rsidR="00DB12B5" w:rsidRDefault="00DB12B5">
            <w:pPr>
              <w:jc w:val="right"/>
              <w:rPr>
                <w:rFonts w:ascii="Calibri" w:eastAsia="Times New Roman" w:hAnsi="Calibri"/>
                <w:color w:val="000000"/>
              </w:rPr>
            </w:pPr>
            <w:r>
              <w:rPr>
                <w:rFonts w:ascii="Calibri" w:eastAsia="Times New Roman" w:hAnsi="Calibri"/>
                <w:color w:val="000000"/>
              </w:rPr>
              <w:t>0.0000E+00</w:t>
            </w:r>
          </w:p>
        </w:tc>
        <w:tc>
          <w:tcPr>
            <w:tcW w:w="1533" w:type="dxa"/>
            <w:noWrap/>
            <w:hideMark/>
          </w:tcPr>
          <w:p w14:paraId="769B227E" w14:textId="77777777" w:rsidR="00DB12B5" w:rsidRDefault="00DB12B5">
            <w:pPr>
              <w:jc w:val="right"/>
              <w:rPr>
                <w:rFonts w:ascii="Calibri" w:eastAsia="Times New Roman" w:hAnsi="Calibri"/>
                <w:color w:val="000000"/>
              </w:rPr>
            </w:pPr>
            <w:r>
              <w:rPr>
                <w:rFonts w:ascii="Calibri" w:eastAsia="Times New Roman" w:hAnsi="Calibri"/>
                <w:color w:val="000000"/>
              </w:rPr>
              <w:t>1.8945E-10</w:t>
            </w:r>
          </w:p>
        </w:tc>
      </w:tr>
      <w:tr w:rsidR="00DB12B5" w14:paraId="692A7C4F" w14:textId="77777777" w:rsidTr="00C70622">
        <w:trPr>
          <w:trHeight w:val="300"/>
          <w:jc w:val="center"/>
        </w:trPr>
        <w:tc>
          <w:tcPr>
            <w:tcW w:w="1296" w:type="dxa"/>
            <w:noWrap/>
            <w:hideMark/>
          </w:tcPr>
          <w:p w14:paraId="37BE5003" w14:textId="77777777" w:rsidR="00DB12B5" w:rsidRDefault="00DB12B5" w:rsidP="00C70622">
            <w:pPr>
              <w:jc w:val="center"/>
              <w:rPr>
                <w:rFonts w:ascii="Calibri" w:eastAsia="Times New Roman" w:hAnsi="Calibri"/>
                <w:color w:val="000000"/>
              </w:rPr>
            </w:pPr>
            <w:r>
              <w:rPr>
                <w:rFonts w:ascii="Calibri" w:eastAsia="Times New Roman" w:hAnsi="Calibri"/>
                <w:color w:val="000000"/>
              </w:rPr>
              <w:t>CELA3A</w:t>
            </w:r>
          </w:p>
        </w:tc>
        <w:tc>
          <w:tcPr>
            <w:tcW w:w="1009" w:type="dxa"/>
            <w:noWrap/>
            <w:hideMark/>
          </w:tcPr>
          <w:p w14:paraId="1B105D75" w14:textId="77777777" w:rsidR="00DB12B5" w:rsidRDefault="00DB12B5">
            <w:pPr>
              <w:jc w:val="right"/>
              <w:rPr>
                <w:rFonts w:ascii="Calibri" w:eastAsia="Times New Roman" w:hAnsi="Calibri"/>
                <w:color w:val="000000"/>
              </w:rPr>
            </w:pPr>
            <w:r>
              <w:rPr>
                <w:rFonts w:ascii="Calibri" w:eastAsia="Times New Roman" w:hAnsi="Calibri"/>
                <w:color w:val="000000"/>
              </w:rPr>
              <w:t>0.4067</w:t>
            </w:r>
          </w:p>
        </w:tc>
        <w:tc>
          <w:tcPr>
            <w:tcW w:w="930" w:type="dxa"/>
            <w:noWrap/>
            <w:hideMark/>
          </w:tcPr>
          <w:p w14:paraId="5DDE073A" w14:textId="77777777" w:rsidR="00DB12B5" w:rsidRDefault="00DB12B5">
            <w:pPr>
              <w:jc w:val="right"/>
              <w:rPr>
                <w:rFonts w:ascii="Calibri" w:eastAsia="Times New Roman" w:hAnsi="Calibri"/>
                <w:color w:val="000000"/>
              </w:rPr>
            </w:pPr>
            <w:r>
              <w:rPr>
                <w:rFonts w:ascii="Calibri" w:eastAsia="Times New Roman" w:hAnsi="Calibri"/>
                <w:color w:val="000000"/>
              </w:rPr>
              <w:t>1.5158</w:t>
            </w:r>
          </w:p>
        </w:tc>
        <w:tc>
          <w:tcPr>
            <w:tcW w:w="914" w:type="dxa"/>
            <w:noWrap/>
            <w:hideMark/>
          </w:tcPr>
          <w:p w14:paraId="29C81EFA" w14:textId="77777777" w:rsidR="00DB12B5" w:rsidRDefault="00DB12B5">
            <w:pPr>
              <w:jc w:val="right"/>
              <w:rPr>
                <w:rFonts w:ascii="Calibri" w:eastAsia="Times New Roman" w:hAnsi="Calibri"/>
                <w:color w:val="000000"/>
              </w:rPr>
            </w:pPr>
            <w:r>
              <w:rPr>
                <w:rFonts w:ascii="Calibri" w:eastAsia="Times New Roman" w:hAnsi="Calibri"/>
                <w:color w:val="000000"/>
              </w:rPr>
              <w:t>6.8717</w:t>
            </w:r>
          </w:p>
        </w:tc>
        <w:tc>
          <w:tcPr>
            <w:tcW w:w="1571" w:type="dxa"/>
            <w:noWrap/>
            <w:hideMark/>
          </w:tcPr>
          <w:p w14:paraId="7D592DAA" w14:textId="77777777" w:rsidR="00DB12B5" w:rsidRDefault="00DB12B5">
            <w:pPr>
              <w:jc w:val="right"/>
              <w:rPr>
                <w:rFonts w:ascii="Calibri" w:eastAsia="Times New Roman" w:hAnsi="Calibri"/>
                <w:color w:val="000000"/>
              </w:rPr>
            </w:pPr>
            <w:r>
              <w:rPr>
                <w:rFonts w:ascii="Calibri" w:eastAsia="Times New Roman" w:hAnsi="Calibri"/>
                <w:color w:val="000000"/>
              </w:rPr>
              <w:t>4.7076E-04</w:t>
            </w:r>
          </w:p>
        </w:tc>
        <w:tc>
          <w:tcPr>
            <w:tcW w:w="1572" w:type="dxa"/>
            <w:noWrap/>
            <w:hideMark/>
          </w:tcPr>
          <w:p w14:paraId="6139D295" w14:textId="77777777" w:rsidR="00DB12B5" w:rsidRDefault="00DB12B5">
            <w:pPr>
              <w:jc w:val="right"/>
              <w:rPr>
                <w:rFonts w:ascii="Calibri" w:eastAsia="Times New Roman" w:hAnsi="Calibri"/>
                <w:color w:val="000000"/>
              </w:rPr>
            </w:pPr>
            <w:r>
              <w:rPr>
                <w:rFonts w:ascii="Calibri" w:eastAsia="Times New Roman" w:hAnsi="Calibri"/>
                <w:color w:val="000000"/>
              </w:rPr>
              <w:t>1.7161E-05</w:t>
            </w:r>
          </w:p>
        </w:tc>
        <w:tc>
          <w:tcPr>
            <w:tcW w:w="1533" w:type="dxa"/>
            <w:noWrap/>
            <w:hideMark/>
          </w:tcPr>
          <w:p w14:paraId="025099D7" w14:textId="77777777" w:rsidR="00DB12B5" w:rsidRDefault="00DB12B5">
            <w:pPr>
              <w:jc w:val="right"/>
              <w:rPr>
                <w:rFonts w:ascii="Calibri" w:eastAsia="Times New Roman" w:hAnsi="Calibri"/>
                <w:color w:val="000000"/>
              </w:rPr>
            </w:pPr>
            <w:r>
              <w:rPr>
                <w:rFonts w:ascii="Calibri" w:eastAsia="Times New Roman" w:hAnsi="Calibri"/>
                <w:color w:val="000000"/>
              </w:rPr>
              <w:t>1.8453E-03</w:t>
            </w:r>
          </w:p>
        </w:tc>
      </w:tr>
      <w:tr w:rsidR="00DB12B5" w14:paraId="5A43AD71" w14:textId="77777777" w:rsidTr="00C70622">
        <w:trPr>
          <w:trHeight w:val="300"/>
          <w:jc w:val="center"/>
        </w:trPr>
        <w:tc>
          <w:tcPr>
            <w:tcW w:w="1296" w:type="dxa"/>
            <w:noWrap/>
            <w:hideMark/>
          </w:tcPr>
          <w:p w14:paraId="1DEFCD2D" w14:textId="77777777" w:rsidR="00DB12B5" w:rsidRDefault="00DB12B5" w:rsidP="00C70622">
            <w:pPr>
              <w:jc w:val="center"/>
              <w:rPr>
                <w:rFonts w:ascii="Calibri" w:eastAsia="Times New Roman" w:hAnsi="Calibri"/>
                <w:color w:val="000000"/>
              </w:rPr>
            </w:pPr>
            <w:r>
              <w:rPr>
                <w:rFonts w:ascii="Calibri" w:eastAsia="Times New Roman" w:hAnsi="Calibri"/>
                <w:color w:val="000000"/>
              </w:rPr>
              <w:t>ACTB</w:t>
            </w:r>
          </w:p>
        </w:tc>
        <w:tc>
          <w:tcPr>
            <w:tcW w:w="1009" w:type="dxa"/>
            <w:noWrap/>
            <w:hideMark/>
          </w:tcPr>
          <w:p w14:paraId="139F061A" w14:textId="77777777" w:rsidR="00DB12B5" w:rsidRDefault="00DB12B5">
            <w:pPr>
              <w:jc w:val="right"/>
              <w:rPr>
                <w:rFonts w:ascii="Calibri" w:eastAsia="Times New Roman" w:hAnsi="Calibri"/>
                <w:color w:val="000000"/>
              </w:rPr>
            </w:pPr>
            <w:r>
              <w:rPr>
                <w:rFonts w:ascii="Calibri" w:eastAsia="Times New Roman" w:hAnsi="Calibri"/>
                <w:color w:val="000000"/>
              </w:rPr>
              <w:t>0.6098</w:t>
            </w:r>
          </w:p>
        </w:tc>
        <w:tc>
          <w:tcPr>
            <w:tcW w:w="930" w:type="dxa"/>
            <w:noWrap/>
            <w:hideMark/>
          </w:tcPr>
          <w:p w14:paraId="56B9C340" w14:textId="77777777" w:rsidR="00DB12B5" w:rsidRDefault="00DB12B5">
            <w:pPr>
              <w:jc w:val="right"/>
              <w:rPr>
                <w:rFonts w:ascii="Calibri" w:eastAsia="Times New Roman" w:hAnsi="Calibri"/>
                <w:color w:val="000000"/>
              </w:rPr>
            </w:pPr>
            <w:r>
              <w:rPr>
                <w:rFonts w:ascii="Calibri" w:eastAsia="Times New Roman" w:hAnsi="Calibri"/>
                <w:color w:val="000000"/>
              </w:rPr>
              <w:t>1.5480</w:t>
            </w:r>
          </w:p>
        </w:tc>
        <w:tc>
          <w:tcPr>
            <w:tcW w:w="914" w:type="dxa"/>
            <w:noWrap/>
            <w:hideMark/>
          </w:tcPr>
          <w:p w14:paraId="2F8443BF" w14:textId="77777777" w:rsidR="00DB12B5" w:rsidRDefault="00DB12B5">
            <w:pPr>
              <w:jc w:val="right"/>
              <w:rPr>
                <w:rFonts w:ascii="Calibri" w:eastAsia="Times New Roman" w:hAnsi="Calibri"/>
                <w:color w:val="000000"/>
              </w:rPr>
            </w:pPr>
            <w:r>
              <w:rPr>
                <w:rFonts w:ascii="Calibri" w:eastAsia="Times New Roman" w:hAnsi="Calibri"/>
                <w:color w:val="000000"/>
              </w:rPr>
              <w:t>5.0740</w:t>
            </w:r>
          </w:p>
        </w:tc>
        <w:tc>
          <w:tcPr>
            <w:tcW w:w="1571" w:type="dxa"/>
            <w:noWrap/>
            <w:hideMark/>
          </w:tcPr>
          <w:p w14:paraId="0027B388" w14:textId="77777777" w:rsidR="00DB12B5" w:rsidRDefault="00DB12B5">
            <w:pPr>
              <w:jc w:val="right"/>
              <w:rPr>
                <w:rFonts w:ascii="Calibri" w:eastAsia="Times New Roman" w:hAnsi="Calibri"/>
                <w:color w:val="000000"/>
              </w:rPr>
            </w:pPr>
            <w:r>
              <w:rPr>
                <w:rFonts w:ascii="Calibri" w:eastAsia="Times New Roman" w:hAnsi="Calibri"/>
                <w:color w:val="000000"/>
              </w:rPr>
              <w:t>3.2750E-04</w:t>
            </w:r>
          </w:p>
        </w:tc>
        <w:tc>
          <w:tcPr>
            <w:tcW w:w="1572" w:type="dxa"/>
            <w:noWrap/>
            <w:hideMark/>
          </w:tcPr>
          <w:p w14:paraId="0E1F2447" w14:textId="77777777" w:rsidR="00DB12B5" w:rsidRDefault="00DB12B5">
            <w:pPr>
              <w:jc w:val="right"/>
              <w:rPr>
                <w:rFonts w:ascii="Calibri" w:eastAsia="Times New Roman" w:hAnsi="Calibri"/>
                <w:color w:val="000000"/>
              </w:rPr>
            </w:pPr>
            <w:r>
              <w:rPr>
                <w:rFonts w:ascii="Calibri" w:eastAsia="Times New Roman" w:hAnsi="Calibri"/>
                <w:color w:val="000000"/>
              </w:rPr>
              <w:t>2.6138E-06</w:t>
            </w:r>
          </w:p>
        </w:tc>
        <w:tc>
          <w:tcPr>
            <w:tcW w:w="1533" w:type="dxa"/>
            <w:noWrap/>
            <w:hideMark/>
          </w:tcPr>
          <w:p w14:paraId="5BBF704A" w14:textId="77777777" w:rsidR="00DB12B5" w:rsidRDefault="00DB12B5">
            <w:pPr>
              <w:jc w:val="right"/>
              <w:rPr>
                <w:rFonts w:ascii="Calibri" w:eastAsia="Times New Roman" w:hAnsi="Calibri"/>
                <w:color w:val="000000"/>
              </w:rPr>
            </w:pPr>
            <w:r>
              <w:rPr>
                <w:rFonts w:ascii="Calibri" w:eastAsia="Times New Roman" w:hAnsi="Calibri"/>
                <w:color w:val="000000"/>
              </w:rPr>
              <w:t>1.4676E-03</w:t>
            </w:r>
          </w:p>
        </w:tc>
      </w:tr>
      <w:tr w:rsidR="00DB12B5" w14:paraId="63DD3C2F" w14:textId="77777777" w:rsidTr="00C70622">
        <w:trPr>
          <w:trHeight w:val="300"/>
          <w:jc w:val="center"/>
        </w:trPr>
        <w:tc>
          <w:tcPr>
            <w:tcW w:w="1296" w:type="dxa"/>
            <w:noWrap/>
            <w:hideMark/>
          </w:tcPr>
          <w:p w14:paraId="71619CF1" w14:textId="77777777" w:rsidR="00DB12B5" w:rsidRDefault="00DB12B5" w:rsidP="00C70622">
            <w:pPr>
              <w:jc w:val="center"/>
              <w:rPr>
                <w:rFonts w:ascii="Calibri" w:eastAsia="Times New Roman" w:hAnsi="Calibri"/>
                <w:color w:val="000000"/>
              </w:rPr>
            </w:pPr>
            <w:r>
              <w:rPr>
                <w:rFonts w:ascii="Calibri" w:eastAsia="Times New Roman" w:hAnsi="Calibri"/>
                <w:color w:val="000000"/>
              </w:rPr>
              <w:t>ACTG1</w:t>
            </w:r>
          </w:p>
        </w:tc>
        <w:tc>
          <w:tcPr>
            <w:tcW w:w="1009" w:type="dxa"/>
            <w:noWrap/>
            <w:hideMark/>
          </w:tcPr>
          <w:p w14:paraId="48CEC209" w14:textId="77777777" w:rsidR="00DB12B5" w:rsidRDefault="00DB12B5">
            <w:pPr>
              <w:jc w:val="right"/>
              <w:rPr>
                <w:rFonts w:ascii="Calibri" w:eastAsia="Times New Roman" w:hAnsi="Calibri"/>
                <w:color w:val="000000"/>
              </w:rPr>
            </w:pPr>
            <w:r>
              <w:rPr>
                <w:rFonts w:ascii="Calibri" w:eastAsia="Times New Roman" w:hAnsi="Calibri"/>
                <w:color w:val="000000"/>
              </w:rPr>
              <w:t>0.6098</w:t>
            </w:r>
          </w:p>
        </w:tc>
        <w:tc>
          <w:tcPr>
            <w:tcW w:w="930" w:type="dxa"/>
            <w:noWrap/>
            <w:hideMark/>
          </w:tcPr>
          <w:p w14:paraId="3EF6B01B" w14:textId="77777777" w:rsidR="00DB12B5" w:rsidRDefault="00DB12B5">
            <w:pPr>
              <w:jc w:val="right"/>
              <w:rPr>
                <w:rFonts w:ascii="Calibri" w:eastAsia="Times New Roman" w:hAnsi="Calibri"/>
                <w:color w:val="000000"/>
              </w:rPr>
            </w:pPr>
            <w:r>
              <w:rPr>
                <w:rFonts w:ascii="Calibri" w:eastAsia="Times New Roman" w:hAnsi="Calibri"/>
                <w:color w:val="000000"/>
              </w:rPr>
              <w:t>1.5480</w:t>
            </w:r>
          </w:p>
        </w:tc>
        <w:tc>
          <w:tcPr>
            <w:tcW w:w="914" w:type="dxa"/>
            <w:noWrap/>
            <w:hideMark/>
          </w:tcPr>
          <w:p w14:paraId="18CED7AC" w14:textId="77777777" w:rsidR="00DB12B5" w:rsidRDefault="00DB12B5">
            <w:pPr>
              <w:jc w:val="right"/>
              <w:rPr>
                <w:rFonts w:ascii="Calibri" w:eastAsia="Times New Roman" w:hAnsi="Calibri"/>
                <w:color w:val="000000"/>
              </w:rPr>
            </w:pPr>
            <w:r>
              <w:rPr>
                <w:rFonts w:ascii="Calibri" w:eastAsia="Times New Roman" w:hAnsi="Calibri"/>
                <w:color w:val="000000"/>
              </w:rPr>
              <w:t>5.0740</w:t>
            </w:r>
          </w:p>
        </w:tc>
        <w:tc>
          <w:tcPr>
            <w:tcW w:w="1571" w:type="dxa"/>
            <w:noWrap/>
            <w:hideMark/>
          </w:tcPr>
          <w:p w14:paraId="5234AF7C" w14:textId="77777777" w:rsidR="00DB12B5" w:rsidRDefault="00DB12B5">
            <w:pPr>
              <w:jc w:val="right"/>
              <w:rPr>
                <w:rFonts w:ascii="Calibri" w:eastAsia="Times New Roman" w:hAnsi="Calibri"/>
                <w:color w:val="000000"/>
              </w:rPr>
            </w:pPr>
            <w:r>
              <w:rPr>
                <w:rFonts w:ascii="Calibri" w:eastAsia="Times New Roman" w:hAnsi="Calibri"/>
                <w:color w:val="000000"/>
              </w:rPr>
              <w:t>3.2750E-04</w:t>
            </w:r>
          </w:p>
        </w:tc>
        <w:tc>
          <w:tcPr>
            <w:tcW w:w="1572" w:type="dxa"/>
            <w:noWrap/>
            <w:hideMark/>
          </w:tcPr>
          <w:p w14:paraId="4A3D0542" w14:textId="77777777" w:rsidR="00DB12B5" w:rsidRDefault="00DB12B5">
            <w:pPr>
              <w:jc w:val="right"/>
              <w:rPr>
                <w:rFonts w:ascii="Calibri" w:eastAsia="Times New Roman" w:hAnsi="Calibri"/>
                <w:color w:val="000000"/>
              </w:rPr>
            </w:pPr>
            <w:r>
              <w:rPr>
                <w:rFonts w:ascii="Calibri" w:eastAsia="Times New Roman" w:hAnsi="Calibri"/>
                <w:color w:val="000000"/>
              </w:rPr>
              <w:t>2.6138E-06</w:t>
            </w:r>
          </w:p>
        </w:tc>
        <w:tc>
          <w:tcPr>
            <w:tcW w:w="1533" w:type="dxa"/>
            <w:noWrap/>
            <w:hideMark/>
          </w:tcPr>
          <w:p w14:paraId="21FF8D52" w14:textId="77777777" w:rsidR="00DB12B5" w:rsidRDefault="00DB12B5">
            <w:pPr>
              <w:jc w:val="right"/>
              <w:rPr>
                <w:rFonts w:ascii="Calibri" w:eastAsia="Times New Roman" w:hAnsi="Calibri"/>
                <w:color w:val="000000"/>
              </w:rPr>
            </w:pPr>
            <w:r>
              <w:rPr>
                <w:rFonts w:ascii="Calibri" w:eastAsia="Times New Roman" w:hAnsi="Calibri"/>
                <w:color w:val="000000"/>
              </w:rPr>
              <w:t>1.4676E-03</w:t>
            </w:r>
          </w:p>
        </w:tc>
      </w:tr>
      <w:tr w:rsidR="00DB12B5" w14:paraId="6E88991B" w14:textId="77777777" w:rsidTr="00C70622">
        <w:trPr>
          <w:trHeight w:val="300"/>
          <w:jc w:val="center"/>
        </w:trPr>
        <w:tc>
          <w:tcPr>
            <w:tcW w:w="1296" w:type="dxa"/>
            <w:noWrap/>
            <w:hideMark/>
          </w:tcPr>
          <w:p w14:paraId="395AB629" w14:textId="77777777" w:rsidR="00DB12B5" w:rsidRDefault="00DB12B5" w:rsidP="00C70622">
            <w:pPr>
              <w:jc w:val="center"/>
              <w:rPr>
                <w:rFonts w:ascii="Calibri" w:eastAsia="Times New Roman" w:hAnsi="Calibri"/>
                <w:color w:val="000000"/>
              </w:rPr>
            </w:pPr>
            <w:r>
              <w:rPr>
                <w:rFonts w:ascii="Calibri" w:eastAsia="Times New Roman" w:hAnsi="Calibri"/>
                <w:color w:val="000000"/>
              </w:rPr>
              <w:t>UBB</w:t>
            </w:r>
          </w:p>
        </w:tc>
        <w:tc>
          <w:tcPr>
            <w:tcW w:w="1009" w:type="dxa"/>
            <w:noWrap/>
            <w:hideMark/>
          </w:tcPr>
          <w:p w14:paraId="680B09A0" w14:textId="77777777" w:rsidR="00DB12B5" w:rsidRDefault="00DB12B5">
            <w:pPr>
              <w:jc w:val="right"/>
              <w:rPr>
                <w:rFonts w:ascii="Calibri" w:eastAsia="Times New Roman" w:hAnsi="Calibri"/>
                <w:color w:val="000000"/>
              </w:rPr>
            </w:pPr>
            <w:r>
              <w:rPr>
                <w:rFonts w:ascii="Calibri" w:eastAsia="Times New Roman" w:hAnsi="Calibri"/>
                <w:color w:val="000000"/>
              </w:rPr>
              <w:t>0.8595</w:t>
            </w:r>
          </w:p>
        </w:tc>
        <w:tc>
          <w:tcPr>
            <w:tcW w:w="930" w:type="dxa"/>
            <w:noWrap/>
            <w:hideMark/>
          </w:tcPr>
          <w:p w14:paraId="0A7D2AF3" w14:textId="77777777" w:rsidR="00DB12B5" w:rsidRDefault="00DB12B5">
            <w:pPr>
              <w:jc w:val="right"/>
              <w:rPr>
                <w:rFonts w:ascii="Calibri" w:eastAsia="Times New Roman" w:hAnsi="Calibri"/>
                <w:color w:val="000000"/>
              </w:rPr>
            </w:pPr>
            <w:r>
              <w:rPr>
                <w:rFonts w:ascii="Calibri" w:eastAsia="Times New Roman" w:hAnsi="Calibri"/>
                <w:color w:val="000000"/>
              </w:rPr>
              <w:t>0.7446</w:t>
            </w:r>
          </w:p>
        </w:tc>
        <w:tc>
          <w:tcPr>
            <w:tcW w:w="914" w:type="dxa"/>
            <w:noWrap/>
            <w:hideMark/>
          </w:tcPr>
          <w:p w14:paraId="7EE56E5C" w14:textId="77777777" w:rsidR="00DB12B5" w:rsidRDefault="00DB12B5">
            <w:pPr>
              <w:jc w:val="right"/>
              <w:rPr>
                <w:rFonts w:ascii="Calibri" w:eastAsia="Times New Roman" w:hAnsi="Calibri"/>
                <w:color w:val="000000"/>
              </w:rPr>
            </w:pPr>
            <w:r>
              <w:rPr>
                <w:rFonts w:ascii="Calibri" w:eastAsia="Times New Roman" w:hAnsi="Calibri"/>
                <w:color w:val="000000"/>
              </w:rPr>
              <w:t>7.4849</w:t>
            </w:r>
          </w:p>
        </w:tc>
        <w:tc>
          <w:tcPr>
            <w:tcW w:w="1571" w:type="dxa"/>
            <w:noWrap/>
            <w:hideMark/>
          </w:tcPr>
          <w:p w14:paraId="42C7C791" w14:textId="77777777" w:rsidR="00DB12B5" w:rsidRDefault="00DB12B5">
            <w:pPr>
              <w:jc w:val="right"/>
              <w:rPr>
                <w:rFonts w:ascii="Calibri" w:eastAsia="Times New Roman" w:hAnsi="Calibri"/>
                <w:color w:val="000000"/>
              </w:rPr>
            </w:pPr>
            <w:r>
              <w:rPr>
                <w:rFonts w:ascii="Calibri" w:eastAsia="Times New Roman" w:hAnsi="Calibri"/>
                <w:color w:val="000000"/>
              </w:rPr>
              <w:t>1.1914E-01</w:t>
            </w:r>
          </w:p>
        </w:tc>
        <w:tc>
          <w:tcPr>
            <w:tcW w:w="1572" w:type="dxa"/>
            <w:noWrap/>
            <w:hideMark/>
          </w:tcPr>
          <w:p w14:paraId="053FE12B" w14:textId="77777777" w:rsidR="00DB12B5" w:rsidRDefault="00DB12B5">
            <w:pPr>
              <w:jc w:val="right"/>
              <w:rPr>
                <w:rFonts w:ascii="Calibri" w:eastAsia="Times New Roman" w:hAnsi="Calibri"/>
                <w:color w:val="000000"/>
              </w:rPr>
            </w:pPr>
            <w:r>
              <w:rPr>
                <w:rFonts w:ascii="Calibri" w:eastAsia="Times New Roman" w:hAnsi="Calibri"/>
                <w:color w:val="000000"/>
              </w:rPr>
              <w:t>4.8966E-02</w:t>
            </w:r>
          </w:p>
        </w:tc>
        <w:tc>
          <w:tcPr>
            <w:tcW w:w="1533" w:type="dxa"/>
            <w:noWrap/>
            <w:hideMark/>
          </w:tcPr>
          <w:p w14:paraId="7EADD9C7" w14:textId="77777777" w:rsidR="00DB12B5" w:rsidRDefault="00DB12B5">
            <w:pPr>
              <w:jc w:val="right"/>
              <w:rPr>
                <w:rFonts w:ascii="Calibri" w:eastAsia="Times New Roman" w:hAnsi="Calibri"/>
                <w:color w:val="000000"/>
              </w:rPr>
            </w:pPr>
            <w:r>
              <w:rPr>
                <w:rFonts w:ascii="Calibri" w:eastAsia="Times New Roman" w:hAnsi="Calibri"/>
                <w:color w:val="000000"/>
              </w:rPr>
              <w:t>3.6476E-01</w:t>
            </w:r>
          </w:p>
        </w:tc>
      </w:tr>
      <w:tr w:rsidR="00DB12B5" w14:paraId="5BEE5730" w14:textId="77777777" w:rsidTr="00C70622">
        <w:trPr>
          <w:trHeight w:val="300"/>
          <w:jc w:val="center"/>
        </w:trPr>
        <w:tc>
          <w:tcPr>
            <w:tcW w:w="1296" w:type="dxa"/>
            <w:noWrap/>
            <w:hideMark/>
          </w:tcPr>
          <w:p w14:paraId="09669DB8" w14:textId="77777777" w:rsidR="00DB12B5" w:rsidRDefault="00DB12B5" w:rsidP="00C70622">
            <w:pPr>
              <w:jc w:val="center"/>
              <w:rPr>
                <w:rFonts w:ascii="Calibri" w:eastAsia="Times New Roman" w:hAnsi="Calibri"/>
                <w:color w:val="000000"/>
              </w:rPr>
            </w:pPr>
            <w:r>
              <w:rPr>
                <w:rFonts w:ascii="Calibri" w:eastAsia="Times New Roman" w:hAnsi="Calibri"/>
                <w:color w:val="000000"/>
              </w:rPr>
              <w:t>DMBT1</w:t>
            </w:r>
          </w:p>
        </w:tc>
        <w:tc>
          <w:tcPr>
            <w:tcW w:w="1009" w:type="dxa"/>
            <w:noWrap/>
            <w:hideMark/>
          </w:tcPr>
          <w:p w14:paraId="40BD4787" w14:textId="77777777" w:rsidR="00DB12B5" w:rsidRDefault="00DB12B5">
            <w:pPr>
              <w:jc w:val="right"/>
              <w:rPr>
                <w:rFonts w:ascii="Calibri" w:eastAsia="Times New Roman" w:hAnsi="Calibri"/>
                <w:color w:val="000000"/>
              </w:rPr>
            </w:pPr>
            <w:r>
              <w:rPr>
                <w:rFonts w:ascii="Calibri" w:eastAsia="Times New Roman" w:hAnsi="Calibri"/>
                <w:color w:val="000000"/>
              </w:rPr>
              <w:t>1.5035</w:t>
            </w:r>
          </w:p>
        </w:tc>
        <w:tc>
          <w:tcPr>
            <w:tcW w:w="930" w:type="dxa"/>
            <w:noWrap/>
            <w:hideMark/>
          </w:tcPr>
          <w:p w14:paraId="386DDBE9" w14:textId="77777777" w:rsidR="00DB12B5" w:rsidRDefault="00DB12B5">
            <w:pPr>
              <w:jc w:val="right"/>
              <w:rPr>
                <w:rFonts w:ascii="Calibri" w:eastAsia="Times New Roman" w:hAnsi="Calibri"/>
                <w:color w:val="000000"/>
              </w:rPr>
            </w:pPr>
            <w:r>
              <w:rPr>
                <w:rFonts w:ascii="Calibri" w:eastAsia="Times New Roman" w:hAnsi="Calibri"/>
                <w:color w:val="000000"/>
              </w:rPr>
              <w:t>3.7198</w:t>
            </w:r>
          </w:p>
        </w:tc>
        <w:tc>
          <w:tcPr>
            <w:tcW w:w="914" w:type="dxa"/>
            <w:noWrap/>
            <w:hideMark/>
          </w:tcPr>
          <w:p w14:paraId="699A59A0" w14:textId="77777777" w:rsidR="00DB12B5" w:rsidRDefault="00DB12B5">
            <w:pPr>
              <w:jc w:val="right"/>
              <w:rPr>
                <w:rFonts w:ascii="Calibri" w:eastAsia="Times New Roman" w:hAnsi="Calibri"/>
                <w:color w:val="000000"/>
              </w:rPr>
            </w:pPr>
            <w:r>
              <w:rPr>
                <w:rFonts w:ascii="Calibri" w:eastAsia="Times New Roman" w:hAnsi="Calibri"/>
                <w:color w:val="000000"/>
              </w:rPr>
              <w:t>296.4068</w:t>
            </w:r>
          </w:p>
        </w:tc>
        <w:tc>
          <w:tcPr>
            <w:tcW w:w="1571" w:type="dxa"/>
            <w:noWrap/>
            <w:hideMark/>
          </w:tcPr>
          <w:p w14:paraId="616D431D" w14:textId="77777777" w:rsidR="00DB12B5" w:rsidRDefault="00DB12B5">
            <w:pPr>
              <w:jc w:val="right"/>
              <w:rPr>
                <w:rFonts w:ascii="Calibri" w:eastAsia="Times New Roman" w:hAnsi="Calibri"/>
                <w:color w:val="000000"/>
              </w:rPr>
            </w:pPr>
            <w:r>
              <w:rPr>
                <w:rFonts w:ascii="Calibri" w:eastAsia="Times New Roman" w:hAnsi="Calibri"/>
                <w:color w:val="000000"/>
              </w:rPr>
              <w:t>3.4727E-09</w:t>
            </w:r>
          </w:p>
        </w:tc>
        <w:tc>
          <w:tcPr>
            <w:tcW w:w="1572" w:type="dxa"/>
            <w:noWrap/>
            <w:hideMark/>
          </w:tcPr>
          <w:p w14:paraId="37B49045" w14:textId="77777777" w:rsidR="00DB12B5" w:rsidRDefault="00DB12B5">
            <w:pPr>
              <w:jc w:val="right"/>
              <w:rPr>
                <w:rFonts w:ascii="Calibri" w:eastAsia="Times New Roman" w:hAnsi="Calibri"/>
                <w:color w:val="000000"/>
              </w:rPr>
            </w:pPr>
            <w:r>
              <w:rPr>
                <w:rFonts w:ascii="Calibri" w:eastAsia="Times New Roman" w:hAnsi="Calibri"/>
                <w:color w:val="000000"/>
              </w:rPr>
              <w:t>1.9259E-12</w:t>
            </w:r>
          </w:p>
        </w:tc>
        <w:tc>
          <w:tcPr>
            <w:tcW w:w="1533" w:type="dxa"/>
            <w:noWrap/>
            <w:hideMark/>
          </w:tcPr>
          <w:p w14:paraId="250F6DA7" w14:textId="77777777" w:rsidR="00DB12B5" w:rsidRDefault="00DB12B5">
            <w:pPr>
              <w:jc w:val="right"/>
              <w:rPr>
                <w:rFonts w:ascii="Calibri" w:eastAsia="Times New Roman" w:hAnsi="Calibri"/>
                <w:color w:val="000000"/>
              </w:rPr>
            </w:pPr>
            <w:r>
              <w:rPr>
                <w:rFonts w:ascii="Calibri" w:eastAsia="Times New Roman" w:hAnsi="Calibri"/>
                <w:color w:val="000000"/>
              </w:rPr>
              <w:t>1.2735E-08</w:t>
            </w:r>
          </w:p>
        </w:tc>
      </w:tr>
      <w:tr w:rsidR="00DB12B5" w14:paraId="68CB6E83" w14:textId="77777777" w:rsidTr="00C70622">
        <w:trPr>
          <w:trHeight w:val="300"/>
          <w:jc w:val="center"/>
        </w:trPr>
        <w:tc>
          <w:tcPr>
            <w:tcW w:w="1296" w:type="dxa"/>
            <w:noWrap/>
            <w:hideMark/>
          </w:tcPr>
          <w:p w14:paraId="6193BD21" w14:textId="77777777" w:rsidR="00DB12B5" w:rsidRDefault="00DB12B5" w:rsidP="00C70622">
            <w:pPr>
              <w:jc w:val="center"/>
              <w:rPr>
                <w:rFonts w:ascii="Calibri" w:eastAsia="Times New Roman" w:hAnsi="Calibri"/>
                <w:color w:val="000000"/>
              </w:rPr>
            </w:pPr>
            <w:r>
              <w:rPr>
                <w:rFonts w:ascii="Calibri" w:eastAsia="Times New Roman" w:hAnsi="Calibri"/>
                <w:color w:val="000000"/>
              </w:rPr>
              <w:t>IGJ</w:t>
            </w:r>
          </w:p>
        </w:tc>
        <w:tc>
          <w:tcPr>
            <w:tcW w:w="1009" w:type="dxa"/>
            <w:noWrap/>
            <w:hideMark/>
          </w:tcPr>
          <w:p w14:paraId="7BCB7C04" w14:textId="77777777" w:rsidR="00DB12B5" w:rsidRDefault="00DB12B5">
            <w:pPr>
              <w:jc w:val="right"/>
              <w:rPr>
                <w:rFonts w:ascii="Calibri" w:eastAsia="Times New Roman" w:hAnsi="Calibri"/>
                <w:color w:val="000000"/>
              </w:rPr>
            </w:pPr>
            <w:r>
              <w:rPr>
                <w:rFonts w:ascii="Calibri" w:eastAsia="Times New Roman" w:hAnsi="Calibri"/>
                <w:color w:val="000000"/>
              </w:rPr>
              <w:t>1.0418</w:t>
            </w:r>
          </w:p>
        </w:tc>
        <w:tc>
          <w:tcPr>
            <w:tcW w:w="930" w:type="dxa"/>
            <w:noWrap/>
            <w:hideMark/>
          </w:tcPr>
          <w:p w14:paraId="4861AE46" w14:textId="77777777" w:rsidR="00DB12B5" w:rsidRDefault="00DB12B5">
            <w:pPr>
              <w:jc w:val="right"/>
              <w:rPr>
                <w:rFonts w:ascii="Calibri" w:eastAsia="Times New Roman" w:hAnsi="Calibri"/>
                <w:color w:val="000000"/>
              </w:rPr>
            </w:pPr>
            <w:r>
              <w:rPr>
                <w:rFonts w:ascii="Calibri" w:eastAsia="Times New Roman" w:hAnsi="Calibri"/>
                <w:color w:val="000000"/>
              </w:rPr>
              <w:t>1.3838</w:t>
            </w:r>
          </w:p>
        </w:tc>
        <w:tc>
          <w:tcPr>
            <w:tcW w:w="914" w:type="dxa"/>
            <w:noWrap/>
            <w:hideMark/>
          </w:tcPr>
          <w:p w14:paraId="666780FA" w14:textId="77777777" w:rsidR="00DB12B5" w:rsidRDefault="00DB12B5">
            <w:pPr>
              <w:rPr>
                <w:rFonts w:ascii="Calibri" w:eastAsia="Times New Roman" w:hAnsi="Calibri"/>
                <w:color w:val="000000"/>
              </w:rPr>
            </w:pPr>
            <w:r>
              <w:rPr>
                <w:rFonts w:ascii="Calibri" w:eastAsia="Times New Roman" w:hAnsi="Calibri"/>
                <w:color w:val="000000"/>
              </w:rPr>
              <w:t>Inf</w:t>
            </w:r>
          </w:p>
        </w:tc>
        <w:tc>
          <w:tcPr>
            <w:tcW w:w="1571" w:type="dxa"/>
            <w:noWrap/>
            <w:hideMark/>
          </w:tcPr>
          <w:p w14:paraId="2BCBF6F3" w14:textId="77777777" w:rsidR="00DB12B5" w:rsidRDefault="00DB12B5">
            <w:pPr>
              <w:jc w:val="right"/>
              <w:rPr>
                <w:rFonts w:ascii="Calibri" w:eastAsia="Times New Roman" w:hAnsi="Calibri"/>
                <w:color w:val="000000"/>
              </w:rPr>
            </w:pPr>
            <w:r>
              <w:rPr>
                <w:rFonts w:ascii="Calibri" w:eastAsia="Times New Roman" w:hAnsi="Calibri"/>
                <w:color w:val="000000"/>
              </w:rPr>
              <w:t>4.1234E-05</w:t>
            </w:r>
          </w:p>
        </w:tc>
        <w:tc>
          <w:tcPr>
            <w:tcW w:w="1572" w:type="dxa"/>
            <w:noWrap/>
            <w:hideMark/>
          </w:tcPr>
          <w:p w14:paraId="4ACD92FB" w14:textId="77777777" w:rsidR="00DB12B5" w:rsidRDefault="00DB12B5">
            <w:pPr>
              <w:jc w:val="right"/>
              <w:rPr>
                <w:rFonts w:ascii="Calibri" w:eastAsia="Times New Roman" w:hAnsi="Calibri"/>
                <w:color w:val="000000"/>
              </w:rPr>
            </w:pPr>
            <w:r>
              <w:rPr>
                <w:rFonts w:ascii="Calibri" w:eastAsia="Times New Roman" w:hAnsi="Calibri"/>
                <w:color w:val="000000"/>
              </w:rPr>
              <w:t>2.7157E-11</w:t>
            </w:r>
          </w:p>
        </w:tc>
        <w:tc>
          <w:tcPr>
            <w:tcW w:w="1533" w:type="dxa"/>
            <w:noWrap/>
            <w:hideMark/>
          </w:tcPr>
          <w:p w14:paraId="4B8C84B2" w14:textId="77777777" w:rsidR="00DB12B5" w:rsidRDefault="00DB12B5">
            <w:pPr>
              <w:jc w:val="right"/>
              <w:rPr>
                <w:rFonts w:ascii="Calibri" w:eastAsia="Times New Roman" w:hAnsi="Calibri"/>
                <w:color w:val="000000"/>
              </w:rPr>
            </w:pPr>
            <w:r>
              <w:rPr>
                <w:rFonts w:ascii="Calibri" w:eastAsia="Times New Roman" w:hAnsi="Calibri"/>
                <w:color w:val="000000"/>
              </w:rPr>
              <w:t>4.9763E-03</w:t>
            </w:r>
          </w:p>
        </w:tc>
      </w:tr>
    </w:tbl>
    <w:p w14:paraId="49C09F84" w14:textId="77777777" w:rsidR="00C14C29" w:rsidRDefault="00DB12B5">
      <w:pPr>
        <w:jc w:val="left"/>
        <w:rPr>
          <w:rFonts w:cs="Arial"/>
        </w:rPr>
      </w:pPr>
      <w:r>
        <w:rPr>
          <w:rFonts w:cs="Arial"/>
        </w:rPr>
        <w:t xml:space="preserve"> </w:t>
      </w:r>
      <w:r>
        <w:rPr>
          <w:rFonts w:cs="Arial"/>
        </w:rPr>
        <w:br w:type="page"/>
      </w:r>
    </w:p>
    <w:p w14:paraId="23B2F694" w14:textId="77777777" w:rsidR="00F64C3A" w:rsidRDefault="00F64C3A" w:rsidP="00C13894">
      <w:pPr>
        <w:spacing w:line="480" w:lineRule="auto"/>
        <w:ind w:firstLine="720"/>
        <w:rPr>
          <w:rFonts w:cs="Arial"/>
        </w:rPr>
      </w:pPr>
      <w:r>
        <w:rPr>
          <w:rFonts w:cs="Arial"/>
        </w:rPr>
        <w:lastRenderedPageBreak/>
        <w:t xml:space="preserve">However, many of biology experiments are agonized by short of statistical power due to limited budge and time.  Selfea can complement low statistical power experiment by increasing ES.  For example, when significance is determined for one effect, in previous approaches only p-value, calculated from Student’s </w:t>
      </w:r>
      <w:r w:rsidRPr="0055377E">
        <w:rPr>
          <w:rFonts w:cs="Arial"/>
          <w:i/>
        </w:rPr>
        <w:t>t</w:t>
      </w:r>
      <w:r>
        <w:rPr>
          <w:rFonts w:cs="Arial"/>
        </w:rPr>
        <w:t xml:space="preserve">-test, is considered.  P-value can paly its role as statistical evidence of significance at high statistical power.  With low statistical power, its evidence is highly fickle to be solid supporting clue.  Therefore, Cohen’s ES is required to complement p-value’s weakened power.  By considering Cohen’s </w:t>
      </w:r>
      <w:r w:rsidRPr="008105B2">
        <w:rPr>
          <w:rFonts w:cs="Arial"/>
          <w:i/>
        </w:rPr>
        <w:t>d</w:t>
      </w:r>
      <w:r>
        <w:rPr>
          <w:rFonts w:cs="Arial"/>
        </w:rPr>
        <w:t xml:space="preserve">, for Student’s </w:t>
      </w:r>
      <w:r w:rsidRPr="0055377E">
        <w:rPr>
          <w:rFonts w:cs="Arial"/>
          <w:i/>
        </w:rPr>
        <w:t>t</w:t>
      </w:r>
      <w:r>
        <w:rPr>
          <w:rFonts w:cs="Arial"/>
        </w:rPr>
        <w:t>-test, at higher than 80% statistical power in concert with p-value significance test can be fulfilled more reliably.  Selfea provides probability-based thresholds and ES thresholds at the same time for reliable feature selection.</w:t>
      </w:r>
    </w:p>
    <w:p w14:paraId="3335E303" w14:textId="23AA4BC2" w:rsidR="00A2507E" w:rsidRDefault="00F64C3A" w:rsidP="00862512">
      <w:pPr>
        <w:spacing w:line="480" w:lineRule="auto"/>
        <w:ind w:firstLine="720"/>
      </w:pPr>
      <w:r>
        <w:rPr>
          <w:rFonts w:cs="Arial"/>
        </w:rPr>
        <w:t xml:space="preserve">Also, the QAM supplies a protein scatter plot showing how significant proteins were selected from total proteins (Fig. 19). </w:t>
      </w:r>
      <w:r w:rsidR="00915833">
        <w:t>Red dots are insignificant proteins, while blue dots are significant in figure 19. Horizontal line shows p-value threshold, while vertical line means ES threshold.</w:t>
      </w:r>
    </w:p>
    <w:p w14:paraId="22D14B85" w14:textId="3552B3D2" w:rsidR="006767B1" w:rsidRDefault="006767B1" w:rsidP="006767B1">
      <w:pPr>
        <w:pStyle w:val="Heading3"/>
      </w:pPr>
      <w:bookmarkStart w:id="42" w:name="_Toc296333713"/>
      <w:r>
        <w:t>Functional analysis module (FAM)</w:t>
      </w:r>
      <w:bookmarkEnd w:id="42"/>
    </w:p>
    <w:p w14:paraId="7BB857F3" w14:textId="77777777" w:rsidR="00175705" w:rsidRDefault="00131C38" w:rsidP="00882C7D">
      <w:pPr>
        <w:spacing w:line="480" w:lineRule="auto"/>
        <w:ind w:firstLine="720"/>
        <w:rPr>
          <w:rFonts w:cs="Arial"/>
        </w:rPr>
      </w:pPr>
      <w:r>
        <w:rPr>
          <w:rFonts w:cs="Arial"/>
        </w:rPr>
        <w:t xml:space="preserve">Since metaproteome has lots of undistinguishable proteins, functional analysis can explain better metaproteome’s characteristics than focusing on individual proteins.  </w:t>
      </w:r>
      <w:r w:rsidR="00D939AF">
        <w:rPr>
          <w:rFonts w:cs="Arial"/>
        </w:rPr>
        <w:t>In this sense, QFAM provides FAM module, in which consists of</w:t>
      </w:r>
      <w:r w:rsidR="006767B1">
        <w:rPr>
          <w:rFonts w:cs="Arial"/>
        </w:rPr>
        <w:t xml:space="preserve"> two modules, biosystem</w:t>
      </w:r>
      <w:r w:rsidR="00326B2D">
        <w:rPr>
          <w:rFonts w:cs="Arial"/>
        </w:rPr>
        <w:t>s</w:t>
      </w:r>
      <w:r w:rsidR="006767B1">
        <w:rPr>
          <w:rFonts w:cs="Arial"/>
        </w:rPr>
        <w:t xml:space="preserve"> and COG analysis.  Both of two provides two statistics, enrichment test and significance test.  Enrichment test measures how abundantly specific functional terms are enriched from total proteins.  </w:t>
      </w:r>
    </w:p>
    <w:p w14:paraId="5525DB85" w14:textId="77777777" w:rsidR="00175705" w:rsidRDefault="00175705" w:rsidP="00175705">
      <w:pPr>
        <w:keepNext/>
        <w:spacing w:line="480" w:lineRule="auto"/>
      </w:pPr>
      <w:r>
        <w:rPr>
          <w:rFonts w:cs="Arial"/>
          <w:noProof/>
        </w:rPr>
        <w:lastRenderedPageBreak/>
        <w:drawing>
          <wp:inline distT="0" distB="0" distL="0" distR="0" wp14:anchorId="079A599E" wp14:editId="476CC469">
            <wp:extent cx="5486400" cy="54864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14:paraId="751F845D" w14:textId="32B7CAF5" w:rsidR="00175705" w:rsidRPr="00175705" w:rsidRDefault="00175705" w:rsidP="00175705">
      <w:pPr>
        <w:pStyle w:val="Caption"/>
        <w:rPr>
          <w:b w:val="0"/>
          <w:lang w:eastAsia="ko-KR"/>
        </w:rPr>
      </w:pPr>
      <w:bookmarkStart w:id="43" w:name="_Toc296333112"/>
      <w:r>
        <w:t xml:space="preserve">Figure </w:t>
      </w:r>
      <w:fldSimple w:instr=" SEQ Figure \* ARABIC ">
        <w:r w:rsidR="002B3E83">
          <w:rPr>
            <w:noProof/>
          </w:rPr>
          <w:t>19</w:t>
        </w:r>
      </w:fldSimple>
      <w:r>
        <w:t xml:space="preserve"> Protein scatter plot for quasi-Poisson model and Cohen’s </w:t>
      </w:r>
      <w:r w:rsidRPr="002A3C97">
        <w:rPr>
          <w:i/>
        </w:rPr>
        <w:t>f</w:t>
      </w:r>
      <w:r>
        <w:rPr>
          <w:i/>
          <w:lang w:eastAsia="ko-KR"/>
        </w:rPr>
        <w:t xml:space="preserve"> </w:t>
      </w:r>
      <w:r>
        <w:rPr>
          <w:lang w:eastAsia="ko-KR"/>
        </w:rPr>
        <w:t xml:space="preserve">combination.  </w:t>
      </w:r>
      <w:r>
        <w:rPr>
          <w:b w:val="0"/>
          <w:lang w:eastAsia="ko-KR"/>
        </w:rPr>
        <w:t xml:space="preserve">Selfea provides protein scatter plot for explaining how significant proteins were distinguished.  Horizontal black line is false discovery rate (FDR) = 0.05, user-defined p-value threshold, and vertical black line is Cohen’s </w:t>
      </w:r>
      <w:r w:rsidRPr="00F070DC">
        <w:rPr>
          <w:b w:val="0"/>
          <w:i/>
          <w:lang w:eastAsia="ko-KR"/>
        </w:rPr>
        <w:t>f</w:t>
      </w:r>
      <w:r>
        <w:rPr>
          <w:b w:val="0"/>
          <w:lang w:eastAsia="ko-KR"/>
        </w:rPr>
        <w:t xml:space="preserve"> at 80% statistical power, typically recommended power for reliable feature selection.  Red dots are insignificant proteins, while blue dots are significant.</w:t>
      </w:r>
      <w:bookmarkEnd w:id="43"/>
      <w:r>
        <w:rPr>
          <w:rFonts w:cs="Arial"/>
        </w:rPr>
        <w:br w:type="page"/>
      </w:r>
    </w:p>
    <w:p w14:paraId="524AED3B" w14:textId="6A12FA77" w:rsidR="006767B1" w:rsidRDefault="006767B1" w:rsidP="004D015E">
      <w:pPr>
        <w:spacing w:line="480" w:lineRule="auto"/>
        <w:rPr>
          <w:rFonts w:cs="Arial"/>
        </w:rPr>
      </w:pPr>
      <w:r>
        <w:rPr>
          <w:rFonts w:cs="Arial"/>
        </w:rPr>
        <w:lastRenderedPageBreak/>
        <w:t>Significance test examines how differently terms are detected between independent experiment groups.  These two statistical methods can report differentially and abundantly discovered functions from microbial comminutes.</w:t>
      </w:r>
    </w:p>
    <w:p w14:paraId="3FDAC3E9" w14:textId="2218D1C4" w:rsidR="00EC4A1E" w:rsidRDefault="003B5BA9" w:rsidP="00D25BCA">
      <w:pPr>
        <w:spacing w:line="480" w:lineRule="auto"/>
        <w:ind w:firstLine="720"/>
        <w:rPr>
          <w:rFonts w:cs="Arial"/>
        </w:rPr>
      </w:pPr>
      <w:r>
        <w:rPr>
          <w:rFonts w:cs="Arial"/>
        </w:rPr>
        <w:t>Of many</w:t>
      </w:r>
      <w:r w:rsidR="009C5DF5">
        <w:rPr>
          <w:rFonts w:cs="Arial"/>
        </w:rPr>
        <w:t xml:space="preserve"> functional analysis tools, FAM </w:t>
      </w:r>
      <w:r w:rsidR="001A66D0">
        <w:rPr>
          <w:rFonts w:cs="Arial"/>
        </w:rPr>
        <w:t>may</w:t>
      </w:r>
      <w:r>
        <w:rPr>
          <w:rFonts w:cs="Arial"/>
        </w:rPr>
        <w:t xml:space="preserve"> be categorized to second-generation functional class scoring approaches (FCS)</w:t>
      </w:r>
      <w:r w:rsidR="00331570">
        <w:rPr>
          <w:rFonts w:cs="Arial"/>
        </w:rPr>
        <w:t>.</w:t>
      </w:r>
      <w:r w:rsidR="00134D35">
        <w:rPr>
          <w:rFonts w:cs="Arial"/>
        </w:rPr>
        <w:t xml:space="preserve">  Khatri et al</w:t>
      </w:r>
      <w:r w:rsidR="00692AE1">
        <w:rPr>
          <w:rFonts w:cs="Arial"/>
        </w:rPr>
        <w:t xml:space="preserve"> </w:t>
      </w:r>
      <w:r w:rsidR="00692AE1">
        <w:rPr>
          <w:rFonts w:cs="Arial"/>
        </w:rPr>
        <w:fldChar w:fldCharType="begin"/>
      </w:r>
      <w:r w:rsidR="00692AE1">
        <w:rPr>
          <w:rFonts w:cs="Arial"/>
        </w:rPr>
        <w:instrText xml:space="preserve"> ADDIN EN.CITE &lt;EndNote&gt;&lt;Cite&gt;&lt;Author&gt;Khatri&lt;/Author&gt;&lt;Year&gt;2012&lt;/Year&gt;&lt;RecNum&gt;96&lt;/RecNum&gt;&lt;DisplayText&gt;[90]&lt;/DisplayText&gt;&lt;record&gt;&lt;rec-number&gt;96&lt;/rec-number&gt;&lt;foreign-keys&gt;&lt;key app="EN" db-id="efx2002d5f0z21etvw3x9zp7tw2axpa2eez0" timestamp="1434316644"&gt;96&lt;/key&gt;&lt;/foreign-keys&gt;&lt;ref-type name="Journal Article"&gt;17&lt;/ref-type&gt;&lt;contributors&gt;&lt;authors&gt;&lt;author&gt;Khatri, Purvesh&lt;/author&gt;&lt;author&gt;Sirota, Marina&lt;/author&gt;&lt;author&gt;Butte, Atul J&lt;/author&gt;&lt;/authors&gt;&lt;/contributors&gt;&lt;titles&gt;&lt;title&gt;Ten years of pathway analysis: current approaches and outstanding challenges&lt;/title&gt;&lt;secondary-title&gt;PLoS Comput Biol&lt;/secondary-title&gt;&lt;/titles&gt;&lt;periodical&gt;&lt;full-title&gt;PLoS Comput Biol&lt;/full-title&gt;&lt;/periodical&gt;&lt;pages&gt;e1002375&lt;/pages&gt;&lt;volume&gt;8&lt;/volume&gt;&lt;number&gt;2&lt;/number&gt;&lt;dates&gt;&lt;year&gt;2012&lt;/year&gt;&lt;/dates&gt;&lt;urls&gt;&lt;/urls&gt;&lt;/record&gt;&lt;/Cite&gt;&lt;/EndNote&gt;</w:instrText>
      </w:r>
      <w:r w:rsidR="00692AE1">
        <w:rPr>
          <w:rFonts w:cs="Arial"/>
        </w:rPr>
        <w:fldChar w:fldCharType="separate"/>
      </w:r>
      <w:r w:rsidR="00692AE1">
        <w:rPr>
          <w:rFonts w:cs="Arial"/>
          <w:noProof/>
        </w:rPr>
        <w:t>[90]</w:t>
      </w:r>
      <w:r w:rsidR="00692AE1">
        <w:rPr>
          <w:rFonts w:cs="Arial"/>
        </w:rPr>
        <w:fldChar w:fldCharType="end"/>
      </w:r>
      <w:r w:rsidR="00134D35">
        <w:rPr>
          <w:rFonts w:cs="Arial"/>
        </w:rPr>
        <w:t xml:space="preserve"> grouped pathway analysis tools into three categories, over-representation analysis (ORA), FCS and pathway topology (PT)</w:t>
      </w:r>
      <w:r w:rsidR="009E5316">
        <w:rPr>
          <w:rFonts w:cs="Arial"/>
        </w:rPr>
        <w:t xml:space="preserve"> (Fig. 20)</w:t>
      </w:r>
      <w:r w:rsidR="008838E4">
        <w:rPr>
          <w:rFonts w:cs="Arial"/>
        </w:rPr>
        <w:t xml:space="preserve">.  </w:t>
      </w:r>
      <w:r w:rsidR="006679DC">
        <w:rPr>
          <w:rFonts w:cs="Arial"/>
        </w:rPr>
        <w:t>FCS tools utilize</w:t>
      </w:r>
      <w:r w:rsidR="00F06B73">
        <w:rPr>
          <w:rFonts w:cs="Arial"/>
        </w:rPr>
        <w:t xml:space="preserve"> expression profiles </w:t>
      </w:r>
      <w:r w:rsidR="00DF74E6">
        <w:rPr>
          <w:rFonts w:cs="Arial"/>
        </w:rPr>
        <w:t>for finding of significant functions</w:t>
      </w:r>
      <w:r w:rsidR="00865D23">
        <w:rPr>
          <w:rFonts w:cs="Arial"/>
        </w:rPr>
        <w:t>, similar to</w:t>
      </w:r>
      <w:r w:rsidR="00C1145C">
        <w:rPr>
          <w:rFonts w:cs="Arial"/>
        </w:rPr>
        <w:t xml:space="preserve"> FAM’s significance test using selfea, while </w:t>
      </w:r>
      <w:r w:rsidR="00A3753E">
        <w:rPr>
          <w:rFonts w:cs="Arial"/>
        </w:rPr>
        <w:t xml:space="preserve">ORA, first generation, </w:t>
      </w:r>
      <w:r w:rsidR="00FB1E60">
        <w:rPr>
          <w:rFonts w:cs="Arial"/>
        </w:rPr>
        <w:t xml:space="preserve">is relied </w:t>
      </w:r>
      <w:r w:rsidR="00C85375">
        <w:rPr>
          <w:rFonts w:cs="Arial"/>
        </w:rPr>
        <w:t>on pre-selected features, such as differentially expressed genes or proteins</w:t>
      </w:r>
      <w:r w:rsidR="001A4FC1">
        <w:rPr>
          <w:rFonts w:cs="Arial"/>
        </w:rPr>
        <w:t>.</w:t>
      </w:r>
      <w:r w:rsidR="00105D3F">
        <w:rPr>
          <w:rFonts w:cs="Arial"/>
        </w:rPr>
        <w:t xml:space="preserve">  FAM’s enrichment test is close to ORA group.  </w:t>
      </w:r>
      <w:r w:rsidR="001A66D0">
        <w:rPr>
          <w:rFonts w:cs="Arial"/>
        </w:rPr>
        <w:t xml:space="preserve">Therefore, FAM </w:t>
      </w:r>
      <w:r w:rsidR="009E7DB0">
        <w:rPr>
          <w:rFonts w:cs="Arial"/>
        </w:rPr>
        <w:t xml:space="preserve">approaches to functions by using two kinds of </w:t>
      </w:r>
      <w:r w:rsidR="00205910">
        <w:rPr>
          <w:rFonts w:cs="Arial"/>
        </w:rPr>
        <w:t xml:space="preserve">analytical methodologies, ORA and </w:t>
      </w:r>
      <w:r w:rsidR="002455CC">
        <w:rPr>
          <w:rFonts w:cs="Arial"/>
        </w:rPr>
        <w:t xml:space="preserve">FCS.  </w:t>
      </w:r>
      <w:r w:rsidR="00996E69">
        <w:rPr>
          <w:rFonts w:cs="Arial"/>
        </w:rPr>
        <w:t xml:space="preserve">These two methodologies, the enrichment test and significance test, are mutually related to generate </w:t>
      </w:r>
      <w:r w:rsidR="00B54123">
        <w:rPr>
          <w:rFonts w:cs="Arial"/>
        </w:rPr>
        <w:t>importantly and differentially detected functions.</w:t>
      </w:r>
      <w:r w:rsidR="00D25BCA">
        <w:rPr>
          <w:rFonts w:cs="Arial"/>
        </w:rPr>
        <w:t xml:space="preserve">  </w:t>
      </w:r>
      <w:r w:rsidR="002455CC">
        <w:rPr>
          <w:rFonts w:cs="Arial"/>
        </w:rPr>
        <w:t>FAM does n</w:t>
      </w:r>
      <w:r w:rsidR="005B6C4D">
        <w:rPr>
          <w:rFonts w:cs="Arial"/>
        </w:rPr>
        <w:t>ot consider network topology or different weights that are important issues in TP.</w:t>
      </w:r>
    </w:p>
    <w:p w14:paraId="4FE9F314" w14:textId="38B42011" w:rsidR="003A0933" w:rsidRDefault="003A0933" w:rsidP="003A0933">
      <w:pPr>
        <w:pStyle w:val="Heading3"/>
      </w:pPr>
      <w:bookmarkStart w:id="44" w:name="_Toc296333714"/>
      <w:r>
        <w:t xml:space="preserve">BioSystems </w:t>
      </w:r>
      <w:r w:rsidR="00D96298">
        <w:t>analysis</w:t>
      </w:r>
      <w:r>
        <w:t xml:space="preserve"> of FAM</w:t>
      </w:r>
      <w:bookmarkEnd w:id="44"/>
    </w:p>
    <w:p w14:paraId="5D1F35D5" w14:textId="71E98B59" w:rsidR="003A0933" w:rsidRDefault="003A0933" w:rsidP="003A0933">
      <w:pPr>
        <w:spacing w:line="480" w:lineRule="auto"/>
        <w:ind w:firstLine="720"/>
      </w:pPr>
      <w:r>
        <w:rPr>
          <w:rFonts w:cs="Arial"/>
        </w:rPr>
        <w:t xml:space="preserve">Biosystems part of FAM investigates KEGG, BioCyc </w:t>
      </w:r>
      <w:r>
        <w:rPr>
          <w:rFonts w:cs="Arial"/>
        </w:rPr>
        <w:fldChar w:fldCharType="begin"/>
      </w:r>
      <w:r>
        <w:rPr>
          <w:rFonts w:cs="Arial"/>
        </w:rPr>
        <w:instrText xml:space="preserve"> ADDIN EN.CITE &lt;EndNote&gt;&lt;Cite&gt;&lt;Author&gt;Caspi&lt;/Author&gt;&lt;Year&gt;2014&lt;/Year&gt;&lt;RecNum&gt;92&lt;/RecNum&gt;&lt;DisplayText&gt;[91]&lt;/DisplayText&gt;&lt;record&gt;&lt;rec-number&gt;92&lt;/rec-number&gt;&lt;foreign-keys&gt;&lt;key app="EN" db-id="efx2002d5f0z21etvw3x9zp7tw2axpa2eez0" timestamp="1434254515"&gt;92&lt;/key&gt;&lt;/foreign-keys&gt;&lt;ref-type name="Journal Article"&gt;17&lt;/ref-type&gt;&lt;contributors&gt;&lt;authors&gt;&lt;author&gt;Caspi, Ron&lt;/author&gt;&lt;author&gt;Altman, Tomer&lt;/author&gt;&lt;author&gt;Billington, Richard&lt;/author&gt;&lt;author&gt;Dreher, Kate&lt;/author&gt;&lt;author&gt;Foerster, Hartmut&lt;/author&gt;&lt;author&gt;Fulcher, Carol A&lt;/author&gt;&lt;author&gt;Holland, Timothy A&lt;/author&gt;&lt;author&gt;Keseler, Ingrid M&lt;/author&gt;&lt;author&gt;Kothari, Anamika&lt;/author&gt;&lt;author&gt;Kubo, Aya&lt;/author&gt;&lt;/authors&gt;&lt;/contributors&gt;&lt;titles&gt;&lt;title&gt;The MetaCyc database of metabolic pathways and enzymes and the BioCyc collection of Pathway/Genome Databases&lt;/title&gt;&lt;secondary-title&gt;Nucleic acids research&lt;/secondary-title&gt;&lt;/titles&gt;&lt;periodical&gt;&lt;full-title&gt;Nucleic acids research&lt;/full-title&gt;&lt;/periodical&gt;&lt;pages&gt;D459-D471&lt;/pages&gt;&lt;volume&gt;42&lt;/volume&gt;&lt;number&gt;D1&lt;/number&gt;&lt;dates&gt;&lt;year&gt;2014&lt;/year&gt;&lt;/dates&gt;&lt;isbn&gt;0305-1048&lt;/isbn&gt;&lt;urls&gt;&lt;/urls&gt;&lt;/record&gt;&lt;/Cite&gt;&lt;/EndNote&gt;</w:instrText>
      </w:r>
      <w:r>
        <w:rPr>
          <w:rFonts w:cs="Arial"/>
        </w:rPr>
        <w:fldChar w:fldCharType="separate"/>
      </w:r>
      <w:r>
        <w:rPr>
          <w:rFonts w:cs="Arial"/>
          <w:noProof/>
        </w:rPr>
        <w:t>[91]</w:t>
      </w:r>
      <w:r>
        <w:rPr>
          <w:rFonts w:cs="Arial"/>
        </w:rPr>
        <w:fldChar w:fldCharType="end"/>
      </w:r>
      <w:r>
        <w:rPr>
          <w:rFonts w:cs="Arial"/>
        </w:rPr>
        <w:t>, Reactome</w:t>
      </w:r>
      <w:r>
        <w:rPr>
          <w:rFonts w:cs="Arial"/>
        </w:rPr>
        <w:fldChar w:fldCharType="begin"/>
      </w:r>
      <w:r>
        <w:rPr>
          <w:rFonts w:cs="Arial"/>
        </w:rPr>
        <w:instrText xml:space="preserve"> ADDIN EN.CITE &lt;EndNote&gt;&lt;Cite&gt;&lt;Author&gt;Croft&lt;/Author&gt;&lt;Year&gt;2014&lt;/Year&gt;&lt;RecNum&gt;93&lt;/RecNum&gt;&lt;DisplayText&gt;[92]&lt;/DisplayText&gt;&lt;record&gt;&lt;rec-number&gt;93&lt;/rec-number&gt;&lt;foreign-keys&gt;&lt;key app="EN" db-id="efx2002d5f0z21etvw3x9zp7tw2axpa2eez0" timestamp="1434254628"&gt;93&lt;/key&gt;&lt;/foreign-keys&gt;&lt;ref-type name="Journal Article"&gt;17&lt;/ref-type&gt;&lt;contributors&gt;&lt;authors&gt;&lt;author&gt;Croft, David&lt;/author&gt;&lt;author&gt;Mundo, Antonio Fabregat&lt;/author&gt;&lt;author&gt;Haw, Robin&lt;/author&gt;&lt;author&gt;Milacic, Marija&lt;/author&gt;&lt;author&gt;Weiser, Joel&lt;/author&gt;&lt;author&gt;Wu, Guanming&lt;/author&gt;&lt;author&gt;Caudy, Michael&lt;/author&gt;&lt;author&gt;Garapati, Phani&lt;/author&gt;&lt;author&gt;Gillespie, Marc&lt;/author&gt;&lt;author&gt;Kamdar, Maulik R&lt;/author&gt;&lt;/authors&gt;&lt;/contributors&gt;&lt;titles&gt;&lt;title&gt;The Reactome pathway knowledgebase&lt;/title&gt;&lt;secondary-title&gt;Nucleic acids research&lt;/secondary-title&gt;&lt;/titles&gt;&lt;periodical&gt;&lt;full-title&gt;Nucleic acids research&lt;/full-title&gt;&lt;/periodical&gt;&lt;pages&gt;D472-D477&lt;/pages&gt;&lt;volume&gt;42&lt;/volume&gt;&lt;number&gt;D1&lt;/number&gt;&lt;dates&gt;&lt;year&gt;2014&lt;/year&gt;&lt;/dates&gt;&lt;isbn&gt;0305-1048&lt;/isbn&gt;&lt;urls&gt;&lt;/urls&gt;&lt;/record&gt;&lt;/Cite&gt;&lt;/EndNote&gt;</w:instrText>
      </w:r>
      <w:r>
        <w:rPr>
          <w:rFonts w:cs="Arial"/>
        </w:rPr>
        <w:fldChar w:fldCharType="separate"/>
      </w:r>
      <w:r>
        <w:rPr>
          <w:rFonts w:cs="Arial"/>
          <w:noProof/>
        </w:rPr>
        <w:t>[92]</w:t>
      </w:r>
      <w:r>
        <w:rPr>
          <w:rFonts w:cs="Arial"/>
        </w:rPr>
        <w:fldChar w:fldCharType="end"/>
      </w:r>
      <w:r>
        <w:rPr>
          <w:rFonts w:cs="Arial"/>
        </w:rPr>
        <w:t xml:space="preserve">, National cancer institute (NCI) pathway interaction database (PID) </w:t>
      </w:r>
      <w:r>
        <w:rPr>
          <w:rFonts w:cs="Arial"/>
        </w:rPr>
        <w:fldChar w:fldCharType="begin"/>
      </w:r>
      <w:r>
        <w:rPr>
          <w:rFonts w:cs="Arial"/>
        </w:rPr>
        <w:instrText xml:space="preserve"> ADDIN EN.CITE &lt;EndNote&gt;&lt;Cite&gt;&lt;Author&gt;Schaefer&lt;/Author&gt;&lt;Year&gt;2009&lt;/Year&gt;&lt;RecNum&gt;94&lt;/RecNum&gt;&lt;DisplayText&gt;[93]&lt;/DisplayText&gt;&lt;record&gt;&lt;rec-number&gt;94&lt;/rec-number&gt;&lt;foreign-keys&gt;&lt;key app="EN" db-id="efx2002d5f0z21etvw3x9zp7tw2axpa2eez0" timestamp="1434254747"&gt;94&lt;/key&gt;&lt;/foreign-keys&gt;&lt;ref-type name="Journal Article"&gt;17&lt;/ref-type&gt;&lt;contributors&gt;&lt;authors&gt;&lt;author&gt;Schaefer, Carl F&lt;/author&gt;&lt;author&gt;Anthony, Kira&lt;/author&gt;&lt;author&gt;Krupa, Shiva&lt;/author&gt;&lt;author&gt;Buchoff, Jeffrey&lt;/author&gt;&lt;author&gt;Day, Matthew&lt;/author&gt;&lt;author&gt;Hannay, Timo&lt;/author&gt;&lt;author&gt;Buetow, Kenneth H&lt;/author&gt;&lt;/authors&gt;&lt;/contributors&gt;&lt;titles&gt;&lt;title&gt;PID: the pathway interaction database&lt;/title&gt;&lt;secondary-title&gt;Nucleic acids research&lt;/secondary-title&gt;&lt;/titles&gt;&lt;periodical&gt;&lt;full-title&gt;Nucleic acids research&lt;/full-title&gt;&lt;/periodical&gt;&lt;pages&gt;D674-D679&lt;/pages&gt;&lt;volume&gt;37&lt;/volume&gt;&lt;number&gt;suppl 1&lt;/number&gt;&lt;dates&gt;&lt;year&gt;2009&lt;/year&gt;&lt;/dates&gt;&lt;isbn&gt;0305-1048&lt;/isbn&gt;&lt;urls&gt;&lt;/urls&gt;&lt;/record&gt;&lt;/Cite&gt;&lt;/EndNote&gt;</w:instrText>
      </w:r>
      <w:r>
        <w:rPr>
          <w:rFonts w:cs="Arial"/>
        </w:rPr>
        <w:fldChar w:fldCharType="separate"/>
      </w:r>
      <w:r>
        <w:rPr>
          <w:rFonts w:cs="Arial"/>
          <w:noProof/>
        </w:rPr>
        <w:t>[93]</w:t>
      </w:r>
      <w:r>
        <w:rPr>
          <w:rFonts w:cs="Arial"/>
        </w:rPr>
        <w:fldChar w:fldCharType="end"/>
      </w:r>
      <w:r>
        <w:rPr>
          <w:rFonts w:cs="Arial"/>
        </w:rPr>
        <w:t xml:space="preserve"> and GO </w:t>
      </w:r>
      <w:r>
        <w:rPr>
          <w:rFonts w:cs="Arial"/>
        </w:rPr>
        <w:fldChar w:fldCharType="begin"/>
      </w:r>
      <w:r>
        <w:rPr>
          <w:rFonts w:cs="Arial"/>
        </w:rPr>
        <w:instrText xml:space="preserve"> ADDIN EN.CITE &lt;EndNote&gt;&lt;Cite&gt;&lt;Author&gt;Ashburner&lt;/Author&gt;&lt;Year&gt;2000&lt;/Year&gt;&lt;RecNum&gt;95&lt;/RecNum&gt;&lt;DisplayText&gt;[94]&lt;/DisplayText&gt;&lt;record&gt;&lt;rec-number&gt;95&lt;/rec-number&gt;&lt;foreign-keys&gt;&lt;key app="EN" db-id="efx2002d5f0z21etvw3x9zp7tw2axpa2eez0" timestamp="1434254842"&gt;95&lt;/key&gt;&lt;/foreign-keys&gt;&lt;ref-type name="Journal Article"&gt;17&lt;/ref-type&gt;&lt;contributors&gt;&lt;authors&gt;&lt;author&gt;Ashburner, Michael&lt;/author&gt;&lt;author&gt;Ball, Catherine A&lt;/author&gt;&lt;author&gt;Blake, Judith A&lt;/author&gt;&lt;author&gt;Botstein, David&lt;/author&gt;&lt;author&gt;Butler, Heather&lt;/author&gt;&lt;author&gt;Cherry, J Michael&lt;/author&gt;&lt;author&gt;Davis, Allan P&lt;/author&gt;&lt;author&gt;Dolinski, Kara&lt;/author&gt;&lt;author&gt;Dwight, Selina S&lt;/author&gt;&lt;author&gt;Eppig, Janan T&lt;/author&gt;&lt;/authors&gt;&lt;/contributors&gt;&lt;titles&gt;&lt;title&gt;Gene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genetics&lt;/full-title&gt;&lt;/periodical&gt;&lt;pages&gt;25-29&lt;/pages&gt;&lt;volume&gt;25&lt;/volume&gt;&lt;number&gt;1&lt;/number&gt;&lt;dates&gt;&lt;year&gt;2000&lt;/year&gt;&lt;/dates&gt;&lt;urls&gt;&lt;/urls&gt;&lt;/record&gt;&lt;/Cite&gt;&lt;/EndNote&gt;</w:instrText>
      </w:r>
      <w:r>
        <w:rPr>
          <w:rFonts w:cs="Arial"/>
        </w:rPr>
        <w:fldChar w:fldCharType="separate"/>
      </w:r>
      <w:r>
        <w:rPr>
          <w:rFonts w:cs="Arial"/>
          <w:noProof/>
        </w:rPr>
        <w:t>[94]</w:t>
      </w:r>
      <w:r>
        <w:rPr>
          <w:rFonts w:cs="Arial"/>
        </w:rPr>
        <w:fldChar w:fldCharType="end"/>
      </w:r>
      <w:r>
        <w:rPr>
          <w:rFonts w:cs="Arial"/>
        </w:rPr>
        <w:t xml:space="preserve">.  </w:t>
      </w:r>
      <w:r>
        <w:t xml:space="preserve">All these are functional annotations of biosystems, such as biological pathways and disease, which can involve components (genes, proteins, metabolites and drugs).  KEGG and GO are most widely used functional terms.  </w:t>
      </w:r>
    </w:p>
    <w:p w14:paraId="2D341D80" w14:textId="77777777" w:rsidR="00EC4A1E" w:rsidRDefault="00EC4A1E">
      <w:pPr>
        <w:jc w:val="left"/>
        <w:rPr>
          <w:rFonts w:cs="Arial"/>
        </w:rPr>
      </w:pPr>
      <w:r>
        <w:rPr>
          <w:rFonts w:cs="Arial"/>
        </w:rPr>
        <w:br w:type="page"/>
      </w:r>
    </w:p>
    <w:p w14:paraId="216393A2" w14:textId="77777777" w:rsidR="00A04F28" w:rsidRDefault="0061266B" w:rsidP="00A04F28">
      <w:pPr>
        <w:keepNext/>
        <w:spacing w:line="480" w:lineRule="auto"/>
      </w:pPr>
      <w:r>
        <w:rPr>
          <w:rFonts w:cs="Arial"/>
          <w:noProof/>
        </w:rPr>
        <w:lastRenderedPageBreak/>
        <w:drawing>
          <wp:inline distT="0" distB="0" distL="0" distR="0" wp14:anchorId="46BD7C30" wp14:editId="15D6B96F">
            <wp:extent cx="5796740" cy="28575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96854" cy="2857556"/>
                    </a:xfrm>
                    <a:prstGeom prst="rect">
                      <a:avLst/>
                    </a:prstGeom>
                    <a:noFill/>
                    <a:ln>
                      <a:noFill/>
                    </a:ln>
                  </pic:spPr>
                </pic:pic>
              </a:graphicData>
            </a:graphic>
          </wp:inline>
        </w:drawing>
      </w:r>
    </w:p>
    <w:p w14:paraId="5F2C8906" w14:textId="3115926A" w:rsidR="00705F20" w:rsidRDefault="00A04F28" w:rsidP="00A04F28">
      <w:pPr>
        <w:pStyle w:val="Caption"/>
      </w:pPr>
      <w:bookmarkStart w:id="45" w:name="_Toc296333113"/>
      <w:r>
        <w:t xml:space="preserve">Figure </w:t>
      </w:r>
      <w:fldSimple w:instr=" SEQ Figure \* ARABIC ">
        <w:r w:rsidR="002B3E83">
          <w:rPr>
            <w:noProof/>
          </w:rPr>
          <w:t>20</w:t>
        </w:r>
      </w:fldSimple>
      <w:r>
        <w:t xml:space="preserve"> Overview of existing pathway analysis methods using gene expression data as an example</w:t>
      </w:r>
      <w:r w:rsidR="000316DE">
        <w:t>.</w:t>
      </w:r>
      <w:bookmarkEnd w:id="45"/>
    </w:p>
    <w:p w14:paraId="239EC526" w14:textId="77777777" w:rsidR="00705F20" w:rsidRDefault="00705F20">
      <w:pPr>
        <w:jc w:val="left"/>
        <w:rPr>
          <w:b/>
          <w:bCs/>
          <w:szCs w:val="20"/>
        </w:rPr>
      </w:pPr>
      <w:r>
        <w:br w:type="page"/>
      </w:r>
    </w:p>
    <w:p w14:paraId="2793CABF" w14:textId="212D42CE" w:rsidR="00875B2F" w:rsidRDefault="00875B2F" w:rsidP="00875B2F">
      <w:pPr>
        <w:spacing w:line="480" w:lineRule="auto"/>
      </w:pPr>
      <w:r>
        <w:lastRenderedPageBreak/>
        <w:t>BioCyc, Reactome and NCI PID have their own insights, such as pathway integration in BioCyc, reaction-focused in Reactome and PID for pathway interaction.</w:t>
      </w:r>
    </w:p>
    <w:p w14:paraId="2EBE56AF" w14:textId="77777777" w:rsidR="00B50D8F" w:rsidRDefault="002E16E7" w:rsidP="00B50D8F">
      <w:pPr>
        <w:spacing w:line="480" w:lineRule="auto"/>
        <w:ind w:firstLine="720"/>
      </w:pPr>
      <w:r>
        <w:t xml:space="preserve">FAM </w:t>
      </w:r>
      <w:r w:rsidR="000254E6">
        <w:t xml:space="preserve">consists of two parts, </w:t>
      </w:r>
      <w:r w:rsidR="00C11FCB">
        <w:t>enrichment test part and</w:t>
      </w:r>
      <w:r w:rsidR="00686D5E">
        <w:t xml:space="preserve"> annotation pipeline do</w:t>
      </w:r>
      <w:r w:rsidR="006106D4">
        <w:t xml:space="preserve">wnloading source files, parsing and </w:t>
      </w:r>
      <w:r w:rsidR="0007001F">
        <w:t>updating</w:t>
      </w:r>
      <w:r w:rsidR="006106D4">
        <w:t xml:space="preserve"> </w:t>
      </w:r>
      <w:r w:rsidR="005E3BAD">
        <w:t>reference files</w:t>
      </w:r>
      <w:r w:rsidR="00584185">
        <w:t xml:space="preserve"> for FAM analysis</w:t>
      </w:r>
      <w:r w:rsidR="00A66D9B">
        <w:t xml:space="preserve"> </w:t>
      </w:r>
      <w:r w:rsidR="0062748B">
        <w:t xml:space="preserve">in order to maintain up-to-date </w:t>
      </w:r>
      <w:r w:rsidR="00C12E07">
        <w:t>information</w:t>
      </w:r>
      <w:r w:rsidR="008241C7">
        <w:t xml:space="preserve"> (Fig. 21)</w:t>
      </w:r>
      <w:r w:rsidR="000C4B16">
        <w:t xml:space="preserve">.  </w:t>
      </w:r>
      <w:r w:rsidR="00E93601">
        <w:t xml:space="preserve">FAM </w:t>
      </w:r>
      <w:r w:rsidR="00E714ED">
        <w:t xml:space="preserve">annotation pipeline </w:t>
      </w:r>
      <w:r w:rsidR="00E93601">
        <w:t>downloads</w:t>
      </w:r>
      <w:r w:rsidR="005256A0">
        <w:t xml:space="preserve"> and parses</w:t>
      </w:r>
      <w:r w:rsidR="00E93601">
        <w:t xml:space="preserve"> </w:t>
      </w:r>
      <w:r w:rsidR="00EF4182">
        <w:t xml:space="preserve">NCBI </w:t>
      </w:r>
      <w:r w:rsidR="00030094">
        <w:t xml:space="preserve">Entrez </w:t>
      </w:r>
      <w:r w:rsidR="00451968">
        <w:t>Gene</w:t>
      </w:r>
      <w:r w:rsidR="00280AE3">
        <w:fldChar w:fldCharType="begin"/>
      </w:r>
      <w:r w:rsidR="00280AE3">
        <w:instrText xml:space="preserve"> ADDIN EN.CITE &lt;EndNote&gt;&lt;Cite&gt;&lt;Author&gt;Maglott&lt;/Author&gt;&lt;Year&gt;2005&lt;/Year&gt;&lt;RecNum&gt;97&lt;/RecNum&gt;&lt;DisplayText&gt;[95]&lt;/DisplayText&gt;&lt;record&gt;&lt;rec-number&gt;97&lt;/rec-number&gt;&lt;foreign-keys&gt;&lt;key app="EN" db-id="efx2002d5f0z21etvw3x9zp7tw2axpa2eez0" timestamp="1434319209"&gt;97&lt;/key&gt;&lt;/foreign-keys&gt;&lt;ref-type name="Journal Article"&gt;17&lt;/ref-type&gt;&lt;contributors&gt;&lt;authors&gt;&lt;author&gt;Maglott, Donna&lt;/author&gt;&lt;author&gt;Ostell, Jim&lt;/author&gt;&lt;author&gt;Pruitt, Kim D&lt;/author&gt;&lt;author&gt;Tatusova, Tatiana&lt;/author&gt;&lt;/authors&gt;&lt;/contributors&gt;&lt;titles&gt;&lt;title&gt;Entrez Gene: gene-centered information at NCBI&lt;/title&gt;&lt;secondary-title&gt;Nucleic acids research&lt;/secondary-title&gt;&lt;/titles&gt;&lt;periodical&gt;&lt;full-title&gt;Nucleic acids research&lt;/full-title&gt;&lt;/periodical&gt;&lt;pages&gt;D54-D58&lt;/pages&gt;&lt;volume&gt;33&lt;/volume&gt;&lt;number&gt;suppl 1&lt;/number&gt;&lt;dates&gt;&lt;year&gt;2005&lt;/year&gt;&lt;/dates&gt;&lt;isbn&gt;0305-1048&lt;/isbn&gt;&lt;urls&gt;&lt;/urls&gt;&lt;/record&gt;&lt;/Cite&gt;&lt;/EndNote&gt;</w:instrText>
      </w:r>
      <w:r w:rsidR="00280AE3">
        <w:fldChar w:fldCharType="separate"/>
      </w:r>
      <w:r w:rsidR="00280AE3">
        <w:rPr>
          <w:noProof/>
        </w:rPr>
        <w:t>[95]</w:t>
      </w:r>
      <w:r w:rsidR="00280AE3">
        <w:fldChar w:fldCharType="end"/>
      </w:r>
      <w:r w:rsidR="00280AE3">
        <w:t>, RefSeq</w:t>
      </w:r>
      <w:r w:rsidR="00030094">
        <w:fldChar w:fldCharType="begin"/>
      </w:r>
      <w:r w:rsidR="00030094">
        <w:instrText xml:space="preserve"> ADDIN EN.CITE &lt;EndNote&gt;&lt;Cite&gt;&lt;Author&gt;Pruitt&lt;/Author&gt;&lt;Year&gt;2001&lt;/Year&gt;&lt;RecNum&gt;98&lt;/RecNum&gt;&lt;DisplayText&gt;[96]&lt;/DisplayText&gt;&lt;record&gt;&lt;rec-number&gt;98&lt;/rec-number&gt;&lt;foreign-keys&gt;&lt;key app="EN" db-id="efx2002d5f0z21etvw3x9zp7tw2axpa2eez0" timestamp="1434319346"&gt;98&lt;/key&gt;&lt;/foreign-keys&gt;&lt;ref-type name="Journal Article"&gt;17&lt;/ref-type&gt;&lt;contributors&gt;&lt;authors&gt;&lt;author&gt;Pruitt, Kim D&lt;/author&gt;&lt;author&gt;Maglott, Donna R&lt;/author&gt;&lt;/authors&gt;&lt;/contributors&gt;&lt;titles&gt;&lt;title&gt;RefSeq and LocusLink: NCBI gene-centered resources&lt;/title&gt;&lt;secondary-title&gt;Nucleic acids research&lt;/secondary-title&gt;&lt;/titles&gt;&lt;periodical&gt;&lt;full-title&gt;Nucleic acids research&lt;/full-title&gt;&lt;/periodical&gt;&lt;pages&gt;137-140&lt;/pages&gt;&lt;volume&gt;29&lt;/volume&gt;&lt;number&gt;1&lt;/number&gt;&lt;dates&gt;&lt;year&gt;2001&lt;/year&gt;&lt;/dates&gt;&lt;isbn&gt;0305-1048&lt;/isbn&gt;&lt;urls&gt;&lt;/urls&gt;&lt;/record&gt;&lt;/Cite&gt;&lt;/EndNote&gt;</w:instrText>
      </w:r>
      <w:r w:rsidR="00030094">
        <w:fldChar w:fldCharType="separate"/>
      </w:r>
      <w:r w:rsidR="00030094">
        <w:rPr>
          <w:noProof/>
        </w:rPr>
        <w:t>[96]</w:t>
      </w:r>
      <w:r w:rsidR="00030094">
        <w:fldChar w:fldCharType="end"/>
      </w:r>
      <w:r w:rsidR="00030094">
        <w:t xml:space="preserve"> </w:t>
      </w:r>
      <w:r w:rsidR="00280AE3">
        <w:t xml:space="preserve"> and BioSystems</w:t>
      </w:r>
      <w:r w:rsidR="00A366BA">
        <w:t xml:space="preserve"> through file transfer protocol (FTP).  </w:t>
      </w:r>
      <w:r w:rsidR="00FF6005">
        <w:t xml:space="preserve">Then, FAM </w:t>
      </w:r>
      <w:r w:rsidR="005939AC">
        <w:t xml:space="preserve">starts parsing </w:t>
      </w:r>
      <w:r w:rsidR="0047261E">
        <w:t xml:space="preserve">the downloaded files and </w:t>
      </w:r>
      <w:r w:rsidR="00B63EFB">
        <w:t>updating flat-files</w:t>
      </w:r>
      <w:r w:rsidR="00426718">
        <w:t xml:space="preserve"> for NCBI BioSystems analysis.  </w:t>
      </w:r>
      <w:r w:rsidR="009C4DEF">
        <w:t xml:space="preserve">This process is </w:t>
      </w:r>
      <w:r w:rsidR="00560942">
        <w:t>automated</w:t>
      </w:r>
      <w:r w:rsidR="00C71410">
        <w:t xml:space="preserve"> and </w:t>
      </w:r>
      <w:r w:rsidR="00F0612D">
        <w:t>can be run regularly to keep up-to-date</w:t>
      </w:r>
      <w:r w:rsidR="00B50D8F">
        <w:t xml:space="preserve"> status.</w:t>
      </w:r>
    </w:p>
    <w:p w14:paraId="5BC1EF34" w14:textId="58EA0AD7" w:rsidR="00B2055F" w:rsidRDefault="00C33243" w:rsidP="00071176">
      <w:pPr>
        <w:spacing w:line="480" w:lineRule="auto"/>
      </w:pPr>
      <w:r>
        <w:t>Next</w:t>
      </w:r>
      <w:r w:rsidR="00556546">
        <w:t xml:space="preserve">, FAM executes enrichment test over </w:t>
      </w:r>
      <w:r w:rsidR="00DF27F0">
        <w:t>pathways</w:t>
      </w:r>
      <w:r w:rsidR="00556546">
        <w:t xml:space="preserve">.  </w:t>
      </w:r>
      <w:r w:rsidR="00612C00">
        <w:t xml:space="preserve">Proteins in user’s expression profile should have NCBI RefSeq ID, Entrez Gene or </w:t>
      </w:r>
      <w:r w:rsidR="00CE6751">
        <w:t>UniProt ID because FAM’s annotation reference f</w:t>
      </w:r>
      <w:r w:rsidR="00525E81">
        <w:t>iles are based on NCBI GenBank and UniProt</w:t>
      </w:r>
      <w:r w:rsidR="00690280">
        <w:t>’s SwissProt and TrEBML IDs</w:t>
      </w:r>
      <w:r w:rsidR="00DB18FD">
        <w:t>.  All of these IDs are transformed to Entrez Gene ID that is direct</w:t>
      </w:r>
      <w:r w:rsidR="005938CE">
        <w:t xml:space="preserve">ly connected to </w:t>
      </w:r>
      <w:r w:rsidR="00DF27F0">
        <w:t>pathways</w:t>
      </w:r>
      <w:r w:rsidR="005938CE">
        <w:t>.  After transformation,</w:t>
      </w:r>
      <w:r w:rsidR="00B677E9">
        <w:t xml:space="preserve"> the script finds </w:t>
      </w:r>
      <w:r w:rsidR="00DF27F0">
        <w:t>pathways</w:t>
      </w:r>
      <w:r w:rsidR="00B677E9">
        <w:t xml:space="preserve"> that are matched from Gene </w:t>
      </w:r>
      <w:r w:rsidR="00FD37AA">
        <w:t xml:space="preserve">IDs in the expression profile. </w:t>
      </w:r>
      <w:r w:rsidR="00EB4D8E">
        <w:t xml:space="preserve"> Counting the number of proteins for every </w:t>
      </w:r>
      <w:proofErr w:type="gramStart"/>
      <w:r w:rsidR="00EB4D8E">
        <w:t>pathways</w:t>
      </w:r>
      <w:proofErr w:type="gramEnd"/>
      <w:r w:rsidR="00EB4D8E">
        <w:t xml:space="preserve"> perceived at the </w:t>
      </w:r>
      <w:r w:rsidR="00EB4D8E" w:rsidRPr="00B951A5">
        <w:t>antecedent</w:t>
      </w:r>
      <w:r w:rsidR="00EB4D8E">
        <w:t xml:space="preserve"> step.  The enrichment test is rooted on contingency table operated by the number of observed proteins, the total number of proteins in the expression profile and the total number of proteins in the BioSystems DB (Table. 7).  </w:t>
      </w:r>
      <w:r w:rsidR="00071176">
        <w:t xml:space="preserve"> With the constructed contingency table, Fisher’s exact test is computed by using NumPy </w:t>
      </w:r>
      <w:r w:rsidR="00071176">
        <w:fldChar w:fldCharType="begin"/>
      </w:r>
      <w:r w:rsidR="00071176">
        <w:instrText xml:space="preserve"> ADDIN EN.CITE &lt;EndNote&gt;&lt;Cite&gt;&lt;Author&gt;Van Der Walt&lt;/Author&gt;&lt;Year&gt;2011&lt;/Year&gt;&lt;RecNum&gt;100&lt;/RecNum&gt;&lt;DisplayText&gt;[97]&lt;/DisplayText&gt;&lt;record&gt;&lt;rec-number&gt;100&lt;/rec-number&gt;&lt;foreign-keys&gt;&lt;key app="EN" db-id="efx2002d5f0z21etvw3x9zp7tw2axpa2eez0" timestamp="1434326410"&gt;100&lt;/key&gt;&lt;/foreign-keys&gt;&lt;ref-type name="Journal Article"&gt;17&lt;/ref-type&gt;&lt;contributors&gt;&lt;authors&gt;&lt;author&gt;Van Der Walt, Stefan&lt;/author&gt;&lt;author&gt;Colbert, S Chris&lt;/author&gt;&lt;author&gt;Varoquaux, Gael&lt;/author&gt;&lt;/authors&gt;&lt;/contributors&gt;&lt;titles&gt;&lt;title&gt;The NumPy array: a structure for efficient numerical computation&lt;/title&gt;&lt;secondary-title&gt;Computing in Science &amp;amp; Engineering&lt;/secondary-title&gt;&lt;/titles&gt;&lt;periodical&gt;&lt;full-title&gt;Computing in Science &amp;amp; Engineering&lt;/full-title&gt;&lt;/periodical&gt;&lt;pages&gt;22-30&lt;/pages&gt;&lt;volume&gt;13&lt;/volume&gt;&lt;number&gt;2&lt;/number&gt;&lt;dates&gt;&lt;year&gt;2011&lt;/year&gt;&lt;/dates&gt;&lt;isbn&gt;1521-9615&lt;/isbn&gt;&lt;urls&gt;&lt;/urls&gt;&lt;/record&gt;&lt;/Cite&gt;&lt;/EndNote&gt;</w:instrText>
      </w:r>
      <w:r w:rsidR="00071176">
        <w:fldChar w:fldCharType="separate"/>
      </w:r>
      <w:r w:rsidR="00071176">
        <w:rPr>
          <w:noProof/>
        </w:rPr>
        <w:t>[97]</w:t>
      </w:r>
      <w:r w:rsidR="00071176">
        <w:fldChar w:fldCharType="end"/>
      </w:r>
      <w:r w:rsidR="00071176">
        <w:t xml:space="preserve"> and SciPy </w:t>
      </w:r>
      <w:r w:rsidR="00071176">
        <w:fldChar w:fldCharType="begin"/>
      </w:r>
      <w:r w:rsidR="00071176">
        <w:instrText xml:space="preserve"> ADDIN EN.CITE &lt;EndNote&gt;&lt;Cite&gt;&lt;Author&gt;Jones&lt;/Author&gt;&lt;Year&gt;2014&lt;/Year&gt;&lt;RecNum&gt;101&lt;/RecNum&gt;&lt;DisplayText&gt;[98]&lt;/DisplayText&gt;&lt;record&gt;&lt;rec-number&gt;101&lt;/rec-number&gt;&lt;foreign-keys&gt;&lt;key app="EN" db-id="efx2002d5f0z21etvw3x9zp7tw2axpa2eez0" timestamp="1434326461"&gt;101&lt;/key&gt;&lt;/foreign-keys&gt;&lt;ref-type name="Journal Article"&gt;17&lt;/ref-type&gt;&lt;contributors&gt;&lt;authors&gt;&lt;author&gt;Jones, Eric&lt;/author&gt;&lt;author&gt;Oliphant, Travis&lt;/author&gt;&lt;author&gt;Peterson, Pearu&lt;/author&gt;&lt;/authors&gt;&lt;/contributors&gt;&lt;titles&gt;&lt;title&gt;{SciPy}: Open source scientific tools for {Python}&lt;/title&gt;&lt;/titles&gt;&lt;dates&gt;&lt;year&gt;2014&lt;/year&gt;&lt;/dates&gt;&lt;urls&gt;&lt;/urls&gt;&lt;/record&gt;&lt;/Cite&gt;&lt;/EndNote&gt;</w:instrText>
      </w:r>
      <w:r w:rsidR="00071176">
        <w:fldChar w:fldCharType="separate"/>
      </w:r>
      <w:r w:rsidR="00071176">
        <w:rPr>
          <w:noProof/>
        </w:rPr>
        <w:t>[98]</w:t>
      </w:r>
      <w:r w:rsidR="00071176">
        <w:fldChar w:fldCharType="end"/>
      </w:r>
      <w:r w:rsidR="00071176">
        <w:t xml:space="preserve"> packages.  The acquired p-values for every spotted pathways ID are adjusted by FDR.  </w:t>
      </w:r>
      <w:r w:rsidR="00B2055F">
        <w:br w:type="page"/>
      </w:r>
    </w:p>
    <w:p w14:paraId="25CAA4F7" w14:textId="77777777" w:rsidR="00377DE3" w:rsidRDefault="00377DE3" w:rsidP="00377DE3">
      <w:pPr>
        <w:keepNext/>
        <w:spacing w:line="480" w:lineRule="auto"/>
      </w:pPr>
      <w:r>
        <w:rPr>
          <w:noProof/>
        </w:rPr>
        <w:lastRenderedPageBreak/>
        <w:drawing>
          <wp:inline distT="0" distB="0" distL="0" distR="0" wp14:anchorId="26018A55" wp14:editId="7A5BCA32">
            <wp:extent cx="5575935" cy="4948317"/>
            <wp:effectExtent l="0" t="0" r="12065"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1.jpg"/>
                    <pic:cNvPicPr/>
                  </pic:nvPicPr>
                  <pic:blipFill rotWithShape="1">
                    <a:blip r:embed="rId41">
                      <a:extLst>
                        <a:ext uri="{28A0092B-C50C-407E-A947-70E740481C1C}">
                          <a14:useLocalDpi xmlns:a14="http://schemas.microsoft.com/office/drawing/2010/main" val="0"/>
                        </a:ext>
                      </a:extLst>
                    </a:blip>
                    <a:srcRect l="15488"/>
                    <a:stretch/>
                  </pic:blipFill>
                  <pic:spPr bwMode="auto">
                    <a:xfrm>
                      <a:off x="0" y="0"/>
                      <a:ext cx="5576716" cy="4949010"/>
                    </a:xfrm>
                    <a:prstGeom prst="rect">
                      <a:avLst/>
                    </a:prstGeom>
                    <a:ln>
                      <a:noFill/>
                    </a:ln>
                    <a:extLst>
                      <a:ext uri="{53640926-AAD7-44d8-BBD7-CCE9431645EC}">
                        <a14:shadowObscured xmlns:a14="http://schemas.microsoft.com/office/drawing/2010/main"/>
                      </a:ext>
                    </a:extLst>
                  </pic:spPr>
                </pic:pic>
              </a:graphicData>
            </a:graphic>
          </wp:inline>
        </w:drawing>
      </w:r>
    </w:p>
    <w:p w14:paraId="62EE7AAF" w14:textId="15BBBF52" w:rsidR="008A1458" w:rsidRDefault="00377DE3" w:rsidP="00377DE3">
      <w:pPr>
        <w:pStyle w:val="Caption"/>
        <w:rPr>
          <w:b w:val="0"/>
        </w:rPr>
      </w:pPr>
      <w:bookmarkStart w:id="46" w:name="_Toc296333114"/>
      <w:r>
        <w:t xml:space="preserve">Figure </w:t>
      </w:r>
      <w:fldSimple w:instr=" SEQ Figure \* ARABIC ">
        <w:r w:rsidR="002B3E83">
          <w:rPr>
            <w:noProof/>
          </w:rPr>
          <w:t>21</w:t>
        </w:r>
      </w:fldSimple>
      <w:r>
        <w:t xml:space="preserve"> A diagram of biosystems part of FAM.</w:t>
      </w:r>
      <w:r>
        <w:rPr>
          <w:b w:val="0"/>
        </w:rPr>
        <w:t xml:space="preserve">  </w:t>
      </w:r>
      <w:r w:rsidR="00834E85">
        <w:rPr>
          <w:b w:val="0"/>
        </w:rPr>
        <w:t xml:space="preserve">FAM </w:t>
      </w:r>
      <w:r w:rsidR="00475D14">
        <w:rPr>
          <w:b w:val="0"/>
        </w:rPr>
        <w:t>has two parts</w:t>
      </w:r>
      <w:r w:rsidR="009D3730">
        <w:rPr>
          <w:b w:val="0"/>
        </w:rPr>
        <w:t>,</w:t>
      </w:r>
      <w:r w:rsidR="00475D14">
        <w:rPr>
          <w:b w:val="0"/>
        </w:rPr>
        <w:t xml:space="preserve"> a script updating reference file up-to-date and </w:t>
      </w:r>
      <w:r w:rsidR="009D3730">
        <w:rPr>
          <w:b w:val="0"/>
        </w:rPr>
        <w:t xml:space="preserve">enrichment test part.  QAM </w:t>
      </w:r>
      <w:r w:rsidR="00DD45E3">
        <w:rPr>
          <w:b w:val="0"/>
        </w:rPr>
        <w:t>is incorporated into FAM for significance test</w:t>
      </w:r>
      <w:r w:rsidR="006801D0">
        <w:rPr>
          <w:b w:val="0"/>
        </w:rPr>
        <w:t>.</w:t>
      </w:r>
      <w:r w:rsidR="00C13551">
        <w:rPr>
          <w:b w:val="0"/>
        </w:rPr>
        <w:t xml:space="preserve">  User receives results from enrichment test and significance test</w:t>
      </w:r>
      <w:r w:rsidR="00E23B9B">
        <w:rPr>
          <w:b w:val="0"/>
        </w:rPr>
        <w:t xml:space="preserve"> in terms of Biosystems</w:t>
      </w:r>
      <w:r w:rsidR="00C13551">
        <w:rPr>
          <w:b w:val="0"/>
        </w:rPr>
        <w:t>.</w:t>
      </w:r>
      <w:bookmarkEnd w:id="46"/>
    </w:p>
    <w:p w14:paraId="5EA76F40" w14:textId="77777777" w:rsidR="008A1458" w:rsidRDefault="008A1458">
      <w:pPr>
        <w:jc w:val="left"/>
        <w:rPr>
          <w:bCs/>
          <w:szCs w:val="20"/>
        </w:rPr>
      </w:pPr>
      <w:r>
        <w:rPr>
          <w:b/>
        </w:rPr>
        <w:br w:type="page"/>
      </w:r>
    </w:p>
    <w:p w14:paraId="77002FB9" w14:textId="14F18D28" w:rsidR="001039CC" w:rsidRPr="00002818" w:rsidRDefault="001039CC" w:rsidP="001039CC">
      <w:pPr>
        <w:pStyle w:val="Caption"/>
        <w:keepNext/>
        <w:rPr>
          <w:b w:val="0"/>
        </w:rPr>
      </w:pPr>
      <w:bookmarkStart w:id="47" w:name="_Toc296333079"/>
      <w:r>
        <w:lastRenderedPageBreak/>
        <w:t xml:space="preserve">Table </w:t>
      </w:r>
      <w:fldSimple w:instr=" SEQ Table \* ARABIC ">
        <w:r w:rsidR="0093776B">
          <w:rPr>
            <w:noProof/>
          </w:rPr>
          <w:t>7</w:t>
        </w:r>
      </w:fldSimple>
      <w:r>
        <w:t xml:space="preserve"> An example contingency table</w:t>
      </w:r>
      <w:r w:rsidR="00EC38E9">
        <w:t xml:space="preserve"> for one </w:t>
      </w:r>
      <w:r w:rsidR="00DF27F0">
        <w:t>pathways</w:t>
      </w:r>
      <w:r w:rsidR="00EC38E9">
        <w:t xml:space="preserve"> ID</w:t>
      </w:r>
      <w:r>
        <w:t xml:space="preserve"> of the enrichment test of FAM.</w:t>
      </w:r>
      <w:r w:rsidR="00002818">
        <w:t xml:space="preserve">  </w:t>
      </w:r>
      <w:r w:rsidR="00002818">
        <w:rPr>
          <w:b w:val="0"/>
        </w:rPr>
        <w:t xml:space="preserve">Numbers in every </w:t>
      </w:r>
      <w:r w:rsidR="008E487B">
        <w:rPr>
          <w:b w:val="0"/>
        </w:rPr>
        <w:t>cell</w:t>
      </w:r>
      <w:r w:rsidR="00002818">
        <w:rPr>
          <w:b w:val="0"/>
        </w:rPr>
        <w:t xml:space="preserve"> are the number of proteins.</w:t>
      </w:r>
      <w:bookmarkEnd w:id="47"/>
    </w:p>
    <w:tbl>
      <w:tblPr>
        <w:tblW w:w="6955" w:type="dxa"/>
        <w:jc w:val="center"/>
        <w:tblCellMar>
          <w:left w:w="115" w:type="dxa"/>
          <w:right w:w="115" w:type="dxa"/>
        </w:tblCellMar>
        <w:tblLook w:val="04A0" w:firstRow="1" w:lastRow="0" w:firstColumn="1" w:lastColumn="0" w:noHBand="0" w:noVBand="1"/>
      </w:tblPr>
      <w:tblGrid>
        <w:gridCol w:w="1624"/>
        <w:gridCol w:w="3171"/>
        <w:gridCol w:w="2160"/>
      </w:tblGrid>
      <w:tr w:rsidR="007E6701" w14:paraId="00617C43" w14:textId="138774DE" w:rsidTr="006147E3">
        <w:trPr>
          <w:jc w:val="center"/>
        </w:trPr>
        <w:tc>
          <w:tcPr>
            <w:tcW w:w="1624" w:type="dxa"/>
          </w:tcPr>
          <w:p w14:paraId="4B6B2741" w14:textId="77777777" w:rsidR="007E6701" w:rsidRDefault="007E6701" w:rsidP="00A03450">
            <w:pPr>
              <w:pStyle w:val="Caption"/>
              <w:spacing w:line="240" w:lineRule="auto"/>
              <w:rPr>
                <w:b w:val="0"/>
                <w:lang w:eastAsia="ko-KR"/>
              </w:rPr>
            </w:pPr>
          </w:p>
        </w:tc>
        <w:tc>
          <w:tcPr>
            <w:tcW w:w="3171" w:type="dxa"/>
          </w:tcPr>
          <w:p w14:paraId="68CDB32A" w14:textId="3B7B2774" w:rsidR="007E6701" w:rsidRDefault="007E6701" w:rsidP="00A03450">
            <w:pPr>
              <w:pStyle w:val="Caption"/>
              <w:spacing w:line="240" w:lineRule="auto"/>
              <w:jc w:val="right"/>
              <w:rPr>
                <w:b w:val="0"/>
                <w:lang w:eastAsia="ko-KR"/>
              </w:rPr>
            </w:pPr>
            <w:r>
              <w:rPr>
                <w:b w:val="0"/>
                <w:lang w:eastAsia="ko-KR"/>
              </w:rPr>
              <w:t>Expression profile data</w:t>
            </w:r>
          </w:p>
        </w:tc>
        <w:tc>
          <w:tcPr>
            <w:tcW w:w="2160" w:type="dxa"/>
          </w:tcPr>
          <w:p w14:paraId="365F4832" w14:textId="7EA550DF" w:rsidR="007E6701" w:rsidRDefault="007E6701" w:rsidP="00A03450">
            <w:pPr>
              <w:pStyle w:val="Caption"/>
              <w:spacing w:line="240" w:lineRule="auto"/>
              <w:jc w:val="right"/>
              <w:rPr>
                <w:b w:val="0"/>
                <w:lang w:eastAsia="ko-KR"/>
              </w:rPr>
            </w:pPr>
            <w:r>
              <w:rPr>
                <w:b w:val="0"/>
                <w:lang w:eastAsia="ko-KR"/>
              </w:rPr>
              <w:t>BioSystems DB</w:t>
            </w:r>
          </w:p>
        </w:tc>
      </w:tr>
      <w:tr w:rsidR="007E6701" w14:paraId="79CC0D3B" w14:textId="31EE6E24" w:rsidTr="006147E3">
        <w:trPr>
          <w:trHeight w:val="300"/>
          <w:jc w:val="center"/>
        </w:trPr>
        <w:tc>
          <w:tcPr>
            <w:tcW w:w="1624" w:type="dxa"/>
          </w:tcPr>
          <w:p w14:paraId="36E8BE81" w14:textId="271C8302" w:rsidR="007E6701" w:rsidRDefault="007E6701" w:rsidP="00A03450">
            <w:pPr>
              <w:pStyle w:val="Caption"/>
              <w:spacing w:line="240" w:lineRule="auto"/>
              <w:rPr>
                <w:b w:val="0"/>
                <w:lang w:eastAsia="ko-KR"/>
              </w:rPr>
            </w:pPr>
            <w:r>
              <w:rPr>
                <w:b w:val="0"/>
                <w:lang w:eastAsia="ko-KR"/>
              </w:rPr>
              <w:t>Matched</w:t>
            </w:r>
          </w:p>
        </w:tc>
        <w:tc>
          <w:tcPr>
            <w:tcW w:w="3171" w:type="dxa"/>
          </w:tcPr>
          <w:p w14:paraId="19E11C21" w14:textId="06E1184D" w:rsidR="007E6701" w:rsidRDefault="007E6701" w:rsidP="00A03450">
            <w:pPr>
              <w:pStyle w:val="Caption"/>
              <w:spacing w:line="240" w:lineRule="auto"/>
              <w:jc w:val="right"/>
              <w:rPr>
                <w:b w:val="0"/>
                <w:lang w:eastAsia="ko-KR"/>
              </w:rPr>
            </w:pPr>
            <w:r>
              <w:rPr>
                <w:b w:val="0"/>
                <w:lang w:eastAsia="ko-KR"/>
              </w:rPr>
              <w:t>19</w:t>
            </w:r>
          </w:p>
        </w:tc>
        <w:tc>
          <w:tcPr>
            <w:tcW w:w="2160" w:type="dxa"/>
          </w:tcPr>
          <w:p w14:paraId="6C00E7DD" w14:textId="20B4B5B6" w:rsidR="007E6701" w:rsidRDefault="007E6701" w:rsidP="00A03450">
            <w:pPr>
              <w:pStyle w:val="Caption"/>
              <w:spacing w:line="240" w:lineRule="auto"/>
              <w:jc w:val="right"/>
              <w:rPr>
                <w:b w:val="0"/>
                <w:lang w:eastAsia="ko-KR"/>
              </w:rPr>
            </w:pPr>
            <w:r>
              <w:rPr>
                <w:b w:val="0"/>
                <w:lang w:eastAsia="ko-KR"/>
              </w:rPr>
              <w:t>37</w:t>
            </w:r>
          </w:p>
        </w:tc>
      </w:tr>
      <w:tr w:rsidR="007E6701" w14:paraId="0AD6234C" w14:textId="702792CE" w:rsidTr="006147E3">
        <w:trPr>
          <w:jc w:val="center"/>
        </w:trPr>
        <w:tc>
          <w:tcPr>
            <w:tcW w:w="1624" w:type="dxa"/>
          </w:tcPr>
          <w:p w14:paraId="24248BB1" w14:textId="23C47090" w:rsidR="007E6701" w:rsidRDefault="007E6701" w:rsidP="00A03450">
            <w:pPr>
              <w:pStyle w:val="Caption"/>
              <w:spacing w:line="240" w:lineRule="auto"/>
              <w:rPr>
                <w:b w:val="0"/>
                <w:lang w:eastAsia="ko-KR"/>
              </w:rPr>
            </w:pPr>
            <w:r>
              <w:rPr>
                <w:b w:val="0"/>
                <w:lang w:eastAsia="ko-KR"/>
              </w:rPr>
              <w:t>Unmatched</w:t>
            </w:r>
          </w:p>
        </w:tc>
        <w:tc>
          <w:tcPr>
            <w:tcW w:w="3171" w:type="dxa"/>
          </w:tcPr>
          <w:p w14:paraId="290FD780" w14:textId="28240D20" w:rsidR="007E6701" w:rsidRDefault="007E6701" w:rsidP="00A03450">
            <w:pPr>
              <w:pStyle w:val="Caption"/>
              <w:spacing w:line="240" w:lineRule="auto"/>
              <w:jc w:val="right"/>
              <w:rPr>
                <w:b w:val="0"/>
                <w:lang w:eastAsia="ko-KR"/>
              </w:rPr>
            </w:pPr>
            <w:r>
              <w:rPr>
                <w:b w:val="0"/>
                <w:lang w:eastAsia="ko-KR"/>
              </w:rPr>
              <w:t>52,934</w:t>
            </w:r>
          </w:p>
        </w:tc>
        <w:tc>
          <w:tcPr>
            <w:tcW w:w="2160" w:type="dxa"/>
          </w:tcPr>
          <w:p w14:paraId="5FCB06F1" w14:textId="4F7A7672" w:rsidR="007E6701" w:rsidRDefault="00C21C9C" w:rsidP="00A03450">
            <w:pPr>
              <w:pStyle w:val="Caption"/>
              <w:spacing w:line="240" w:lineRule="auto"/>
              <w:jc w:val="right"/>
              <w:rPr>
                <w:b w:val="0"/>
                <w:lang w:eastAsia="ko-KR"/>
              </w:rPr>
            </w:pPr>
            <w:r>
              <w:rPr>
                <w:b w:val="0"/>
                <w:lang w:eastAsia="ko-KR"/>
              </w:rPr>
              <w:t>9</w:t>
            </w:r>
            <w:r w:rsidR="007E6701">
              <w:rPr>
                <w:b w:val="0"/>
                <w:lang w:eastAsia="ko-KR"/>
              </w:rPr>
              <w:t>78,925</w:t>
            </w:r>
          </w:p>
        </w:tc>
      </w:tr>
      <w:tr w:rsidR="007E6701" w14:paraId="61F20282" w14:textId="77777777" w:rsidTr="006147E3">
        <w:trPr>
          <w:jc w:val="center"/>
        </w:trPr>
        <w:tc>
          <w:tcPr>
            <w:tcW w:w="1624" w:type="dxa"/>
          </w:tcPr>
          <w:p w14:paraId="6A506E04" w14:textId="797A1975" w:rsidR="007E6701" w:rsidRDefault="007E6701" w:rsidP="00A03450">
            <w:pPr>
              <w:pStyle w:val="Caption"/>
              <w:spacing w:line="240" w:lineRule="auto"/>
              <w:rPr>
                <w:b w:val="0"/>
                <w:lang w:eastAsia="ko-KR"/>
              </w:rPr>
            </w:pPr>
            <w:r>
              <w:rPr>
                <w:b w:val="0"/>
                <w:lang w:eastAsia="ko-KR"/>
              </w:rPr>
              <w:t>Total</w:t>
            </w:r>
          </w:p>
        </w:tc>
        <w:tc>
          <w:tcPr>
            <w:tcW w:w="3171" w:type="dxa"/>
          </w:tcPr>
          <w:p w14:paraId="2A997548" w14:textId="731DDC32" w:rsidR="007E6701" w:rsidRDefault="007E6701" w:rsidP="00A03450">
            <w:pPr>
              <w:pStyle w:val="Caption"/>
              <w:spacing w:line="240" w:lineRule="auto"/>
              <w:jc w:val="right"/>
              <w:rPr>
                <w:b w:val="0"/>
                <w:lang w:eastAsia="ko-KR"/>
              </w:rPr>
            </w:pPr>
            <w:r>
              <w:rPr>
                <w:b w:val="0"/>
                <w:lang w:eastAsia="ko-KR"/>
              </w:rPr>
              <w:t>52,953</w:t>
            </w:r>
          </w:p>
        </w:tc>
        <w:tc>
          <w:tcPr>
            <w:tcW w:w="2160" w:type="dxa"/>
          </w:tcPr>
          <w:p w14:paraId="5C351F39" w14:textId="71D865B0" w:rsidR="007E6701" w:rsidRDefault="00C21C9C" w:rsidP="00A03450">
            <w:pPr>
              <w:pStyle w:val="Caption"/>
              <w:spacing w:line="240" w:lineRule="auto"/>
              <w:jc w:val="right"/>
              <w:rPr>
                <w:b w:val="0"/>
                <w:lang w:eastAsia="ko-KR"/>
              </w:rPr>
            </w:pPr>
            <w:r>
              <w:rPr>
                <w:b w:val="0"/>
                <w:lang w:eastAsia="ko-KR"/>
              </w:rPr>
              <w:t>9</w:t>
            </w:r>
            <w:r w:rsidR="007E6701">
              <w:rPr>
                <w:b w:val="0"/>
                <w:lang w:eastAsia="ko-KR"/>
              </w:rPr>
              <w:t>78,962</w:t>
            </w:r>
          </w:p>
        </w:tc>
      </w:tr>
    </w:tbl>
    <w:p w14:paraId="1F86031F" w14:textId="77777777" w:rsidR="0000661E" w:rsidRDefault="0000661E" w:rsidP="00D84260">
      <w:pPr>
        <w:spacing w:line="480" w:lineRule="auto"/>
        <w:rPr>
          <w:bCs/>
          <w:szCs w:val="20"/>
          <w:lang w:eastAsia="ko-KR"/>
        </w:rPr>
      </w:pPr>
    </w:p>
    <w:p w14:paraId="333613E4" w14:textId="547DDE9D" w:rsidR="006266DB" w:rsidRDefault="00AF3FC0" w:rsidP="00D84260">
      <w:pPr>
        <w:spacing w:line="480" w:lineRule="auto"/>
      </w:pPr>
      <w:r>
        <w:t xml:space="preserve">This FDR is </w:t>
      </w:r>
      <w:r w:rsidR="007A2A81">
        <w:t xml:space="preserve">Benjamini-Hochberg method for controlling of false positives caused by repeated hypotheses tests, that is </w:t>
      </w:r>
      <w:r>
        <w:t>different method from what was used in PSM identification.</w:t>
      </w:r>
      <w:r w:rsidR="00F04892">
        <w:t xml:space="preserve"> </w:t>
      </w:r>
      <w:r w:rsidR="008F42E9">
        <w:t xml:space="preserve"> </w:t>
      </w:r>
    </w:p>
    <w:p w14:paraId="72070E1F" w14:textId="04BF0C0B" w:rsidR="00E957AE" w:rsidRDefault="00FD31F6" w:rsidP="00F864B6">
      <w:pPr>
        <w:spacing w:line="480" w:lineRule="auto"/>
      </w:pPr>
      <w:r>
        <w:tab/>
      </w:r>
      <w:r w:rsidR="004C4750">
        <w:t>Significance test is conducted by calling QAM subsequent to the enrichment test</w:t>
      </w:r>
      <w:r w:rsidR="00A838CF">
        <w:t xml:space="preserve">.  </w:t>
      </w:r>
      <w:r w:rsidR="00E039A7">
        <w:t>FAM</w:t>
      </w:r>
      <w:r w:rsidR="00A838CF">
        <w:t xml:space="preserve"> produces </w:t>
      </w:r>
      <w:r w:rsidR="00FD336B">
        <w:t xml:space="preserve">an </w:t>
      </w:r>
      <w:r w:rsidR="007A221E">
        <w:t xml:space="preserve">expression profile for </w:t>
      </w:r>
      <w:r w:rsidR="00325736">
        <w:t>pathways</w:t>
      </w:r>
      <w:r w:rsidR="007A221E">
        <w:t xml:space="preserve"> during orchestrating the enrichment test.  </w:t>
      </w:r>
      <w:r w:rsidR="00753070">
        <w:t xml:space="preserve">Pathway expression profile is constructed by </w:t>
      </w:r>
      <w:r w:rsidR="0053466D">
        <w:t>t</w:t>
      </w:r>
      <w:r w:rsidR="00753070">
        <w:t>ransferring s</w:t>
      </w:r>
      <w:r w:rsidR="005C6E87">
        <w:t xml:space="preserve">pectrum counting of member proteins to </w:t>
      </w:r>
      <w:r w:rsidR="00753070">
        <w:t>pathways.</w:t>
      </w:r>
      <w:r w:rsidR="0053466D">
        <w:t xml:space="preserve">  </w:t>
      </w:r>
      <w:r w:rsidR="00093375">
        <w:t xml:space="preserve">QAM </w:t>
      </w:r>
      <w:r w:rsidR="005A4EEC">
        <w:t>is executed in concert with</w:t>
      </w:r>
      <w:r w:rsidR="00263801">
        <w:t xml:space="preserve"> FAM to compute p-values and Cohen’s ES for </w:t>
      </w:r>
      <w:r w:rsidR="00E94192">
        <w:t xml:space="preserve">the pathway </w:t>
      </w:r>
      <w:r w:rsidR="00263801">
        <w:t>expression profile</w:t>
      </w:r>
      <w:r w:rsidR="00454733">
        <w:t>.</w:t>
      </w:r>
      <w:r w:rsidR="00C2056E">
        <w:t xml:space="preserve">  The significance test is for how differently </w:t>
      </w:r>
      <w:r w:rsidR="009A007C">
        <w:t xml:space="preserve">pathways are detected, while the enrichment test is about how many member proteins are </w:t>
      </w:r>
      <w:r w:rsidR="00394069">
        <w:t>discovered</w:t>
      </w:r>
      <w:r w:rsidR="009A007C">
        <w:t>.</w:t>
      </w:r>
      <w:r w:rsidR="00394069">
        <w:t xml:space="preserve">  </w:t>
      </w:r>
      <w:r w:rsidR="00910401">
        <w:t xml:space="preserve">Hence, those two tests </w:t>
      </w:r>
      <w:r w:rsidR="00131D45">
        <w:t xml:space="preserve">are mutually combined to report pathways that should be seriously considered when thinking of biological meanings.  </w:t>
      </w:r>
      <w:r w:rsidR="00CD3AD8">
        <w:t xml:space="preserve">Basically, </w:t>
      </w:r>
      <w:r w:rsidR="0065378A">
        <w:t>significant pathways have p-values less than 0.05</w:t>
      </w:r>
      <w:r w:rsidR="00AB5A80">
        <w:t xml:space="preserve"> for both of the tests</w:t>
      </w:r>
      <w:r w:rsidR="0065378A">
        <w:t xml:space="preserve"> and </w:t>
      </w:r>
      <w:r w:rsidR="00E13A9A">
        <w:t>Cohen’s ES larger than 80% statistical power.</w:t>
      </w:r>
      <w:r w:rsidR="00EC4D68">
        <w:t xml:space="preserve">  There are options for significance test methods, selfea provides, </w:t>
      </w:r>
      <w:r w:rsidR="0083312B">
        <w:t xml:space="preserve">such as quasi-Poisson model and Cohen’s </w:t>
      </w:r>
      <w:r w:rsidR="0083312B" w:rsidRPr="0083312B">
        <w:rPr>
          <w:i/>
        </w:rPr>
        <w:t>f</w:t>
      </w:r>
      <w:r w:rsidR="0083312B">
        <w:t xml:space="preserve"> and negative binomial model and Cohen’s w.</w:t>
      </w:r>
    </w:p>
    <w:p w14:paraId="0540132C" w14:textId="1291B88A" w:rsidR="00133D6C" w:rsidRPr="00AF4C75" w:rsidRDefault="00133D6C" w:rsidP="00133D6C">
      <w:pPr>
        <w:pStyle w:val="Caption"/>
        <w:keepNext/>
        <w:rPr>
          <w:b w:val="0"/>
        </w:rPr>
      </w:pPr>
      <w:bookmarkStart w:id="48" w:name="_Toc296333080"/>
      <w:r>
        <w:lastRenderedPageBreak/>
        <w:t xml:space="preserve">Table </w:t>
      </w:r>
      <w:fldSimple w:instr=" SEQ Table \* ARABIC ">
        <w:r w:rsidR="0093776B">
          <w:rPr>
            <w:noProof/>
          </w:rPr>
          <w:t>8</w:t>
        </w:r>
      </w:fldSimple>
      <w:r w:rsidR="00AF4C75">
        <w:t xml:space="preserve"> Example result of FAM.  </w:t>
      </w:r>
      <w:r w:rsidR="00AF4C75">
        <w:rPr>
          <w:b w:val="0"/>
        </w:rPr>
        <w:t xml:space="preserve">FAM provides three statistics, adjusted p-value of enrichment test and significance test and effect size.  </w:t>
      </w:r>
      <w:r w:rsidR="001973A1">
        <w:rPr>
          <w:b w:val="0"/>
        </w:rPr>
        <w:t xml:space="preserve">The table is </w:t>
      </w:r>
      <w:r w:rsidR="003A0A96">
        <w:rPr>
          <w:b w:val="0"/>
        </w:rPr>
        <w:t>filtered pathways</w:t>
      </w:r>
      <w:r w:rsidR="00C03FB3">
        <w:rPr>
          <w:b w:val="0"/>
        </w:rPr>
        <w:t xml:space="preserve"> from whole FAM analysis result (pathway = KEGG, p-value adjustment method = FDR, </w:t>
      </w:r>
      <w:r w:rsidR="008E1F15">
        <w:rPr>
          <w:b w:val="0"/>
        </w:rPr>
        <w:t xml:space="preserve">significance test method = quasi-Poisson and Cohen’s </w:t>
      </w:r>
      <w:r w:rsidR="008E1F15" w:rsidRPr="008E1F15">
        <w:rPr>
          <w:b w:val="0"/>
          <w:i/>
        </w:rPr>
        <w:t>f</w:t>
      </w:r>
      <w:r w:rsidR="008E1F15">
        <w:rPr>
          <w:b w:val="0"/>
        </w:rPr>
        <w:t xml:space="preserve">, </w:t>
      </w:r>
      <w:r w:rsidR="00C03FB3">
        <w:rPr>
          <w:b w:val="0"/>
        </w:rPr>
        <w:t xml:space="preserve">enrichment </w:t>
      </w:r>
      <w:r w:rsidR="00706360">
        <w:rPr>
          <w:b w:val="0"/>
        </w:rPr>
        <w:t xml:space="preserve">test </w:t>
      </w:r>
      <w:r w:rsidR="00C03FB3">
        <w:rPr>
          <w:b w:val="0"/>
        </w:rPr>
        <w:t>p-value &lt; 0.05, significance test p</w:t>
      </w:r>
      <w:r w:rsidR="008E1F15">
        <w:rPr>
          <w:b w:val="0"/>
        </w:rPr>
        <w:t>-value &lt; 0.05 and 80% statistical power.</w:t>
      </w:r>
      <w:r w:rsidR="00530635">
        <w:rPr>
          <w:b w:val="0"/>
        </w:rPr>
        <w:t xml:space="preserve">  # </w:t>
      </w:r>
      <w:proofErr w:type="gramStart"/>
      <w:r w:rsidR="00530635">
        <w:rPr>
          <w:b w:val="0"/>
        </w:rPr>
        <w:t>of</w:t>
      </w:r>
      <w:proofErr w:type="gramEnd"/>
      <w:r w:rsidR="00530635">
        <w:rPr>
          <w:b w:val="0"/>
        </w:rPr>
        <w:t xml:space="preserve"> proteins: the number of proteins</w:t>
      </w:r>
      <w:bookmarkEnd w:id="48"/>
    </w:p>
    <w:tbl>
      <w:tblPr>
        <w:tblW w:w="9198" w:type="dxa"/>
        <w:tblLayout w:type="fixed"/>
        <w:tblLook w:val="04A0" w:firstRow="1" w:lastRow="0" w:firstColumn="1" w:lastColumn="0" w:noHBand="0" w:noVBand="1"/>
      </w:tblPr>
      <w:tblGrid>
        <w:gridCol w:w="1008"/>
        <w:gridCol w:w="2430"/>
        <w:gridCol w:w="1350"/>
        <w:gridCol w:w="1080"/>
        <w:gridCol w:w="1080"/>
        <w:gridCol w:w="1080"/>
        <w:gridCol w:w="1170"/>
      </w:tblGrid>
      <w:tr w:rsidR="00C5584D" w:rsidRPr="00C5584D" w14:paraId="620D5EAD" w14:textId="77777777" w:rsidTr="003C6FBB">
        <w:trPr>
          <w:trHeight w:val="300"/>
        </w:trPr>
        <w:tc>
          <w:tcPr>
            <w:tcW w:w="1008" w:type="dxa"/>
            <w:noWrap/>
            <w:hideMark/>
          </w:tcPr>
          <w:p w14:paraId="38AA2FC3"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BS ID</w:t>
            </w:r>
          </w:p>
        </w:tc>
        <w:tc>
          <w:tcPr>
            <w:tcW w:w="2430" w:type="dxa"/>
            <w:noWrap/>
            <w:hideMark/>
          </w:tcPr>
          <w:p w14:paraId="73F70EF9"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Description</w:t>
            </w:r>
          </w:p>
        </w:tc>
        <w:tc>
          <w:tcPr>
            <w:tcW w:w="1350" w:type="dxa"/>
            <w:noWrap/>
            <w:hideMark/>
          </w:tcPr>
          <w:p w14:paraId="68065D11"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Enrichment FDR</w:t>
            </w:r>
          </w:p>
        </w:tc>
        <w:tc>
          <w:tcPr>
            <w:tcW w:w="1080" w:type="dxa"/>
            <w:noWrap/>
            <w:hideMark/>
          </w:tcPr>
          <w:p w14:paraId="572D43B2"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Source ID</w:t>
            </w:r>
          </w:p>
        </w:tc>
        <w:tc>
          <w:tcPr>
            <w:tcW w:w="1080" w:type="dxa"/>
            <w:noWrap/>
            <w:hideMark/>
          </w:tcPr>
          <w:p w14:paraId="7E8ADA6D" w14:textId="5D9074A0" w:rsidR="00C5584D" w:rsidRPr="00C5584D" w:rsidRDefault="00C5584D" w:rsidP="003C6FBB">
            <w:pPr>
              <w:jc w:val="left"/>
              <w:rPr>
                <w:rFonts w:ascii="Calibri" w:eastAsia="Times New Roman" w:hAnsi="Calibri"/>
                <w:color w:val="000000"/>
              </w:rPr>
            </w:pPr>
            <w:r w:rsidRPr="00C5584D">
              <w:rPr>
                <w:rFonts w:ascii="Calibri" w:eastAsia="Times New Roman" w:hAnsi="Calibri"/>
                <w:color w:val="000000"/>
              </w:rPr>
              <w:t xml:space="preserve"># </w:t>
            </w:r>
            <w:proofErr w:type="gramStart"/>
            <w:r w:rsidRPr="00C5584D">
              <w:rPr>
                <w:rFonts w:ascii="Calibri" w:eastAsia="Times New Roman" w:hAnsi="Calibri"/>
                <w:color w:val="000000"/>
              </w:rPr>
              <w:t>of</w:t>
            </w:r>
            <w:proofErr w:type="gramEnd"/>
            <w:r w:rsidRPr="00C5584D">
              <w:rPr>
                <w:rFonts w:ascii="Calibri" w:eastAsia="Times New Roman" w:hAnsi="Calibri"/>
                <w:color w:val="000000"/>
              </w:rPr>
              <w:t xml:space="preserve"> </w:t>
            </w:r>
            <w:r w:rsidR="003C6FBB">
              <w:rPr>
                <w:rFonts w:ascii="Calibri" w:eastAsia="Times New Roman" w:hAnsi="Calibri"/>
                <w:color w:val="000000"/>
              </w:rPr>
              <w:t>proteins</w:t>
            </w:r>
          </w:p>
        </w:tc>
        <w:tc>
          <w:tcPr>
            <w:tcW w:w="1080" w:type="dxa"/>
            <w:noWrap/>
            <w:hideMark/>
          </w:tcPr>
          <w:p w14:paraId="2FEA94D7" w14:textId="3FD49CE9" w:rsidR="00C5584D" w:rsidRPr="00C5584D" w:rsidRDefault="00C5584D" w:rsidP="008508C2">
            <w:pPr>
              <w:jc w:val="left"/>
              <w:rPr>
                <w:rFonts w:ascii="Calibri" w:eastAsia="Times New Roman" w:hAnsi="Calibri"/>
                <w:color w:val="000000"/>
              </w:rPr>
            </w:pPr>
            <w:r w:rsidRPr="00C5584D">
              <w:rPr>
                <w:rFonts w:ascii="Calibri" w:eastAsia="Times New Roman" w:hAnsi="Calibri"/>
                <w:color w:val="000000"/>
              </w:rPr>
              <w:t>Cohen</w:t>
            </w:r>
            <w:r w:rsidR="008508C2">
              <w:rPr>
                <w:rFonts w:ascii="Calibri" w:eastAsia="Times New Roman" w:hAnsi="Calibri"/>
                <w:color w:val="000000"/>
              </w:rPr>
              <w:t xml:space="preserve">’s </w:t>
            </w:r>
            <w:r w:rsidRPr="00C5584D">
              <w:rPr>
                <w:rFonts w:ascii="Calibri" w:eastAsia="Times New Roman" w:hAnsi="Calibri"/>
                <w:color w:val="000000"/>
              </w:rPr>
              <w:t>F</w:t>
            </w:r>
          </w:p>
        </w:tc>
        <w:tc>
          <w:tcPr>
            <w:tcW w:w="1170" w:type="dxa"/>
            <w:noWrap/>
            <w:hideMark/>
          </w:tcPr>
          <w:p w14:paraId="555CBEB7" w14:textId="09842F8E" w:rsidR="00C5584D" w:rsidRPr="00C5584D" w:rsidRDefault="008508C2" w:rsidP="00C5584D">
            <w:pPr>
              <w:jc w:val="left"/>
              <w:rPr>
                <w:rFonts w:ascii="Calibri" w:eastAsia="Times New Roman" w:hAnsi="Calibri"/>
                <w:color w:val="000000"/>
              </w:rPr>
            </w:pPr>
            <w:r>
              <w:rPr>
                <w:rFonts w:ascii="Calibri" w:eastAsia="Times New Roman" w:hAnsi="Calibri"/>
                <w:color w:val="000000"/>
              </w:rPr>
              <w:t>Quasi-Poisson FDR</w:t>
            </w:r>
          </w:p>
        </w:tc>
      </w:tr>
      <w:tr w:rsidR="00C5584D" w:rsidRPr="00C5584D" w14:paraId="1836E077" w14:textId="77777777" w:rsidTr="003C6FBB">
        <w:trPr>
          <w:trHeight w:val="300"/>
        </w:trPr>
        <w:tc>
          <w:tcPr>
            <w:tcW w:w="1008" w:type="dxa"/>
            <w:noWrap/>
            <w:hideMark/>
          </w:tcPr>
          <w:p w14:paraId="35F5F7C7"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287</w:t>
            </w:r>
          </w:p>
        </w:tc>
        <w:tc>
          <w:tcPr>
            <w:tcW w:w="2430" w:type="dxa"/>
            <w:noWrap/>
            <w:hideMark/>
          </w:tcPr>
          <w:p w14:paraId="382F5A78"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Glycolysis / Gluconeogenesis</w:t>
            </w:r>
          </w:p>
        </w:tc>
        <w:tc>
          <w:tcPr>
            <w:tcW w:w="1350" w:type="dxa"/>
            <w:noWrap/>
            <w:hideMark/>
          </w:tcPr>
          <w:p w14:paraId="0BAE8AE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2.49E-12</w:t>
            </w:r>
          </w:p>
        </w:tc>
        <w:tc>
          <w:tcPr>
            <w:tcW w:w="1080" w:type="dxa"/>
            <w:noWrap/>
            <w:hideMark/>
          </w:tcPr>
          <w:p w14:paraId="4212B90C"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ko00010</w:t>
            </w:r>
            <w:proofErr w:type="gramEnd"/>
          </w:p>
        </w:tc>
        <w:tc>
          <w:tcPr>
            <w:tcW w:w="1080" w:type="dxa"/>
            <w:noWrap/>
            <w:hideMark/>
          </w:tcPr>
          <w:p w14:paraId="6351DCFF"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38</w:t>
            </w:r>
          </w:p>
        </w:tc>
        <w:tc>
          <w:tcPr>
            <w:tcW w:w="1080" w:type="dxa"/>
            <w:noWrap/>
            <w:hideMark/>
          </w:tcPr>
          <w:p w14:paraId="56980218" w14:textId="791852D8"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2.523</w:t>
            </w:r>
            <w:r>
              <w:rPr>
                <w:rFonts w:ascii="Calibri" w:eastAsia="Times New Roman" w:hAnsi="Calibri"/>
                <w:color w:val="000000"/>
              </w:rPr>
              <w:t>6</w:t>
            </w:r>
          </w:p>
        </w:tc>
        <w:tc>
          <w:tcPr>
            <w:tcW w:w="1170" w:type="dxa"/>
            <w:noWrap/>
            <w:hideMark/>
          </w:tcPr>
          <w:p w14:paraId="20953C4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4.24E-07</w:t>
            </w:r>
          </w:p>
        </w:tc>
      </w:tr>
      <w:tr w:rsidR="00C5584D" w:rsidRPr="00C5584D" w14:paraId="401CBA56" w14:textId="77777777" w:rsidTr="003C6FBB">
        <w:trPr>
          <w:trHeight w:val="300"/>
        </w:trPr>
        <w:tc>
          <w:tcPr>
            <w:tcW w:w="1008" w:type="dxa"/>
            <w:noWrap/>
            <w:hideMark/>
          </w:tcPr>
          <w:p w14:paraId="0C4DF93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296</w:t>
            </w:r>
          </w:p>
        </w:tc>
        <w:tc>
          <w:tcPr>
            <w:tcW w:w="2430" w:type="dxa"/>
            <w:noWrap/>
            <w:hideMark/>
          </w:tcPr>
          <w:p w14:paraId="265D9CFA"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Fatty acid degradation</w:t>
            </w:r>
          </w:p>
        </w:tc>
        <w:tc>
          <w:tcPr>
            <w:tcW w:w="1350" w:type="dxa"/>
            <w:noWrap/>
            <w:hideMark/>
          </w:tcPr>
          <w:p w14:paraId="705BE3EE"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1.65E-06</w:t>
            </w:r>
          </w:p>
        </w:tc>
        <w:tc>
          <w:tcPr>
            <w:tcW w:w="1080" w:type="dxa"/>
            <w:noWrap/>
            <w:hideMark/>
          </w:tcPr>
          <w:p w14:paraId="10441BBF"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ko00071</w:t>
            </w:r>
            <w:proofErr w:type="gramEnd"/>
          </w:p>
        </w:tc>
        <w:tc>
          <w:tcPr>
            <w:tcW w:w="1080" w:type="dxa"/>
            <w:noWrap/>
            <w:hideMark/>
          </w:tcPr>
          <w:p w14:paraId="1FE932A6"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22</w:t>
            </w:r>
          </w:p>
        </w:tc>
        <w:tc>
          <w:tcPr>
            <w:tcW w:w="1080" w:type="dxa"/>
            <w:noWrap/>
            <w:hideMark/>
          </w:tcPr>
          <w:p w14:paraId="5048CFFD" w14:textId="60AC5F8D"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2.6618</w:t>
            </w:r>
          </w:p>
        </w:tc>
        <w:tc>
          <w:tcPr>
            <w:tcW w:w="1170" w:type="dxa"/>
            <w:noWrap/>
            <w:hideMark/>
          </w:tcPr>
          <w:p w14:paraId="145FF3E8"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4.81E-10</w:t>
            </w:r>
          </w:p>
        </w:tc>
      </w:tr>
      <w:tr w:rsidR="00C5584D" w:rsidRPr="00C5584D" w14:paraId="331B765C" w14:textId="77777777" w:rsidTr="003C6FBB">
        <w:trPr>
          <w:trHeight w:val="300"/>
        </w:trPr>
        <w:tc>
          <w:tcPr>
            <w:tcW w:w="1008" w:type="dxa"/>
            <w:noWrap/>
            <w:hideMark/>
          </w:tcPr>
          <w:p w14:paraId="292551C8"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817567</w:t>
            </w:r>
          </w:p>
        </w:tc>
        <w:tc>
          <w:tcPr>
            <w:tcW w:w="2430" w:type="dxa"/>
            <w:noWrap/>
            <w:hideMark/>
          </w:tcPr>
          <w:p w14:paraId="17BF25A6"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Carbon metabolism</w:t>
            </w:r>
          </w:p>
        </w:tc>
        <w:tc>
          <w:tcPr>
            <w:tcW w:w="1350" w:type="dxa"/>
            <w:noWrap/>
            <w:hideMark/>
          </w:tcPr>
          <w:p w14:paraId="1B14096E"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8.94E-11</w:t>
            </w:r>
          </w:p>
        </w:tc>
        <w:tc>
          <w:tcPr>
            <w:tcW w:w="1080" w:type="dxa"/>
            <w:noWrap/>
            <w:hideMark/>
          </w:tcPr>
          <w:p w14:paraId="6ABA764F"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ko01200</w:t>
            </w:r>
            <w:proofErr w:type="gramEnd"/>
          </w:p>
        </w:tc>
        <w:tc>
          <w:tcPr>
            <w:tcW w:w="1080" w:type="dxa"/>
            <w:noWrap/>
            <w:hideMark/>
          </w:tcPr>
          <w:p w14:paraId="0E599B21"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44</w:t>
            </w:r>
          </w:p>
        </w:tc>
        <w:tc>
          <w:tcPr>
            <w:tcW w:w="1080" w:type="dxa"/>
            <w:noWrap/>
            <w:hideMark/>
          </w:tcPr>
          <w:p w14:paraId="1EA10015" w14:textId="0C6DBA20"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2.614</w:t>
            </w:r>
            <w:r w:rsidR="002E6A2C">
              <w:rPr>
                <w:rFonts w:ascii="Calibri" w:eastAsia="Times New Roman" w:hAnsi="Calibri"/>
                <w:color w:val="000000"/>
              </w:rPr>
              <w:t>3</w:t>
            </w:r>
          </w:p>
        </w:tc>
        <w:tc>
          <w:tcPr>
            <w:tcW w:w="1170" w:type="dxa"/>
            <w:noWrap/>
            <w:hideMark/>
          </w:tcPr>
          <w:p w14:paraId="218CD6D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2.41E-07</w:t>
            </w:r>
          </w:p>
        </w:tc>
      </w:tr>
      <w:tr w:rsidR="00C5584D" w:rsidRPr="00C5584D" w14:paraId="28736899" w14:textId="77777777" w:rsidTr="003C6FBB">
        <w:trPr>
          <w:trHeight w:val="300"/>
        </w:trPr>
        <w:tc>
          <w:tcPr>
            <w:tcW w:w="1008" w:type="dxa"/>
            <w:noWrap/>
            <w:hideMark/>
          </w:tcPr>
          <w:p w14:paraId="3F98895A"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795174</w:t>
            </w:r>
          </w:p>
        </w:tc>
        <w:tc>
          <w:tcPr>
            <w:tcW w:w="2430" w:type="dxa"/>
            <w:noWrap/>
            <w:hideMark/>
          </w:tcPr>
          <w:p w14:paraId="59DA2B0B"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Biosynthesis of amino acids</w:t>
            </w:r>
          </w:p>
        </w:tc>
        <w:tc>
          <w:tcPr>
            <w:tcW w:w="1350" w:type="dxa"/>
            <w:noWrap/>
            <w:hideMark/>
          </w:tcPr>
          <w:p w14:paraId="21B22DA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3.57E-09</w:t>
            </w:r>
          </w:p>
        </w:tc>
        <w:tc>
          <w:tcPr>
            <w:tcW w:w="1080" w:type="dxa"/>
            <w:noWrap/>
            <w:hideMark/>
          </w:tcPr>
          <w:p w14:paraId="4B8EEFCF"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ko01230</w:t>
            </w:r>
            <w:proofErr w:type="gramEnd"/>
          </w:p>
        </w:tc>
        <w:tc>
          <w:tcPr>
            <w:tcW w:w="1080" w:type="dxa"/>
            <w:noWrap/>
            <w:hideMark/>
          </w:tcPr>
          <w:p w14:paraId="4592A740"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34</w:t>
            </w:r>
          </w:p>
        </w:tc>
        <w:tc>
          <w:tcPr>
            <w:tcW w:w="1080" w:type="dxa"/>
            <w:noWrap/>
            <w:hideMark/>
          </w:tcPr>
          <w:p w14:paraId="26270DEE" w14:textId="688A1897"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2.5554</w:t>
            </w:r>
          </w:p>
        </w:tc>
        <w:tc>
          <w:tcPr>
            <w:tcW w:w="1170" w:type="dxa"/>
            <w:noWrap/>
            <w:hideMark/>
          </w:tcPr>
          <w:p w14:paraId="434E2878"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6.84E-07</w:t>
            </w:r>
          </w:p>
        </w:tc>
      </w:tr>
      <w:tr w:rsidR="00C5584D" w:rsidRPr="00C5584D" w14:paraId="60E374EC" w14:textId="77777777" w:rsidTr="003C6FBB">
        <w:trPr>
          <w:trHeight w:val="300"/>
        </w:trPr>
        <w:tc>
          <w:tcPr>
            <w:tcW w:w="1008" w:type="dxa"/>
            <w:noWrap/>
            <w:hideMark/>
          </w:tcPr>
          <w:p w14:paraId="6E8089B9"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478</w:t>
            </w:r>
          </w:p>
        </w:tc>
        <w:tc>
          <w:tcPr>
            <w:tcW w:w="2430" w:type="dxa"/>
            <w:noWrap/>
            <w:hideMark/>
          </w:tcPr>
          <w:p w14:paraId="54307DBC"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Focal adhesion</w:t>
            </w:r>
          </w:p>
        </w:tc>
        <w:tc>
          <w:tcPr>
            <w:tcW w:w="1350" w:type="dxa"/>
            <w:noWrap/>
            <w:hideMark/>
          </w:tcPr>
          <w:p w14:paraId="63547521"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3.03E-06</w:t>
            </w:r>
          </w:p>
        </w:tc>
        <w:tc>
          <w:tcPr>
            <w:tcW w:w="1080" w:type="dxa"/>
            <w:noWrap/>
            <w:hideMark/>
          </w:tcPr>
          <w:p w14:paraId="3A1E590B"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ko04510</w:t>
            </w:r>
            <w:proofErr w:type="gramEnd"/>
          </w:p>
        </w:tc>
        <w:tc>
          <w:tcPr>
            <w:tcW w:w="1080" w:type="dxa"/>
            <w:noWrap/>
            <w:hideMark/>
          </w:tcPr>
          <w:p w14:paraId="394ABD9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52</w:t>
            </w:r>
          </w:p>
        </w:tc>
        <w:tc>
          <w:tcPr>
            <w:tcW w:w="1080" w:type="dxa"/>
            <w:noWrap/>
            <w:hideMark/>
          </w:tcPr>
          <w:p w14:paraId="0358CF82" w14:textId="14DE5730"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2.5316</w:t>
            </w:r>
          </w:p>
        </w:tc>
        <w:tc>
          <w:tcPr>
            <w:tcW w:w="1170" w:type="dxa"/>
            <w:noWrap/>
            <w:hideMark/>
          </w:tcPr>
          <w:p w14:paraId="011D6CC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1.81E-07</w:t>
            </w:r>
          </w:p>
        </w:tc>
      </w:tr>
      <w:tr w:rsidR="00C5584D" w:rsidRPr="00C5584D" w14:paraId="03B1D76F" w14:textId="77777777" w:rsidTr="003C6FBB">
        <w:trPr>
          <w:trHeight w:val="300"/>
        </w:trPr>
        <w:tc>
          <w:tcPr>
            <w:tcW w:w="1008" w:type="dxa"/>
            <w:noWrap/>
            <w:hideMark/>
          </w:tcPr>
          <w:p w14:paraId="11095F06"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498</w:t>
            </w:r>
          </w:p>
        </w:tc>
        <w:tc>
          <w:tcPr>
            <w:tcW w:w="2430" w:type="dxa"/>
            <w:noWrap/>
            <w:hideMark/>
          </w:tcPr>
          <w:p w14:paraId="2F8F2D97"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Olfactory transduction</w:t>
            </w:r>
          </w:p>
        </w:tc>
        <w:tc>
          <w:tcPr>
            <w:tcW w:w="1350" w:type="dxa"/>
            <w:noWrap/>
            <w:hideMark/>
          </w:tcPr>
          <w:p w14:paraId="22D4CD7A"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2.39E-06</w:t>
            </w:r>
          </w:p>
        </w:tc>
        <w:tc>
          <w:tcPr>
            <w:tcW w:w="1080" w:type="dxa"/>
            <w:noWrap/>
            <w:hideMark/>
          </w:tcPr>
          <w:p w14:paraId="58DB9012"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ko04740</w:t>
            </w:r>
            <w:proofErr w:type="gramEnd"/>
          </w:p>
        </w:tc>
        <w:tc>
          <w:tcPr>
            <w:tcW w:w="1080" w:type="dxa"/>
            <w:noWrap/>
            <w:hideMark/>
          </w:tcPr>
          <w:p w14:paraId="7A32D8B4"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11</w:t>
            </w:r>
          </w:p>
        </w:tc>
        <w:tc>
          <w:tcPr>
            <w:tcW w:w="1080" w:type="dxa"/>
            <w:noWrap/>
            <w:hideMark/>
          </w:tcPr>
          <w:p w14:paraId="0BB06D40" w14:textId="47A1398F"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1.609</w:t>
            </w:r>
            <w:r w:rsidR="002E6A2C">
              <w:rPr>
                <w:rFonts w:ascii="Calibri" w:eastAsia="Times New Roman" w:hAnsi="Calibri"/>
                <w:color w:val="000000"/>
              </w:rPr>
              <w:t>9</w:t>
            </w:r>
          </w:p>
        </w:tc>
        <w:tc>
          <w:tcPr>
            <w:tcW w:w="1170" w:type="dxa"/>
            <w:noWrap/>
            <w:hideMark/>
          </w:tcPr>
          <w:p w14:paraId="0A5BED78" w14:textId="53C5D439" w:rsidR="00C5584D" w:rsidRPr="00C5584D" w:rsidRDefault="00AC025A" w:rsidP="00C5584D">
            <w:pPr>
              <w:jc w:val="right"/>
              <w:rPr>
                <w:rFonts w:ascii="Calibri" w:eastAsia="Times New Roman" w:hAnsi="Calibri"/>
                <w:color w:val="000000"/>
              </w:rPr>
            </w:pPr>
            <w:r>
              <w:rPr>
                <w:rFonts w:ascii="Calibri" w:eastAsia="Times New Roman" w:hAnsi="Calibri"/>
                <w:color w:val="000000"/>
              </w:rPr>
              <w:t>1.25E-04</w:t>
            </w:r>
          </w:p>
        </w:tc>
      </w:tr>
      <w:tr w:rsidR="00C5584D" w:rsidRPr="00C5584D" w14:paraId="06EFA3AC" w14:textId="77777777" w:rsidTr="003C6FBB">
        <w:trPr>
          <w:trHeight w:val="300"/>
        </w:trPr>
        <w:tc>
          <w:tcPr>
            <w:tcW w:w="1008" w:type="dxa"/>
            <w:noWrap/>
            <w:hideMark/>
          </w:tcPr>
          <w:p w14:paraId="58A271B3"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169295</w:t>
            </w:r>
          </w:p>
        </w:tc>
        <w:tc>
          <w:tcPr>
            <w:tcW w:w="2430" w:type="dxa"/>
            <w:noWrap/>
            <w:hideMark/>
          </w:tcPr>
          <w:p w14:paraId="6AF0B897"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Pancreatic secretion</w:t>
            </w:r>
          </w:p>
        </w:tc>
        <w:tc>
          <w:tcPr>
            <w:tcW w:w="1350" w:type="dxa"/>
            <w:noWrap/>
            <w:hideMark/>
          </w:tcPr>
          <w:p w14:paraId="2FE66D85"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3.01E-10</w:t>
            </w:r>
          </w:p>
        </w:tc>
        <w:tc>
          <w:tcPr>
            <w:tcW w:w="1080" w:type="dxa"/>
            <w:noWrap/>
            <w:hideMark/>
          </w:tcPr>
          <w:p w14:paraId="36045A1D"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ko04972</w:t>
            </w:r>
            <w:proofErr w:type="gramEnd"/>
          </w:p>
        </w:tc>
        <w:tc>
          <w:tcPr>
            <w:tcW w:w="1080" w:type="dxa"/>
            <w:noWrap/>
            <w:hideMark/>
          </w:tcPr>
          <w:p w14:paraId="6001D95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41</w:t>
            </w:r>
          </w:p>
        </w:tc>
        <w:tc>
          <w:tcPr>
            <w:tcW w:w="1080" w:type="dxa"/>
            <w:noWrap/>
            <w:hideMark/>
          </w:tcPr>
          <w:p w14:paraId="41FC7B8F" w14:textId="0F29FDEA"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4.2238</w:t>
            </w:r>
          </w:p>
        </w:tc>
        <w:tc>
          <w:tcPr>
            <w:tcW w:w="1170" w:type="dxa"/>
            <w:noWrap/>
            <w:hideMark/>
          </w:tcPr>
          <w:p w14:paraId="0E1CEE53"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9.48E-10</w:t>
            </w:r>
          </w:p>
        </w:tc>
      </w:tr>
      <w:tr w:rsidR="00C5584D" w:rsidRPr="00C5584D" w14:paraId="1CF66376" w14:textId="77777777" w:rsidTr="003C6FBB">
        <w:trPr>
          <w:trHeight w:val="300"/>
        </w:trPr>
        <w:tc>
          <w:tcPr>
            <w:tcW w:w="1008" w:type="dxa"/>
            <w:noWrap/>
            <w:hideMark/>
          </w:tcPr>
          <w:p w14:paraId="3266B5D5"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171868</w:t>
            </w:r>
          </w:p>
        </w:tc>
        <w:tc>
          <w:tcPr>
            <w:tcW w:w="2430" w:type="dxa"/>
            <w:noWrap/>
            <w:hideMark/>
          </w:tcPr>
          <w:p w14:paraId="295A76A2"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Protein digestion and absorption</w:t>
            </w:r>
          </w:p>
        </w:tc>
        <w:tc>
          <w:tcPr>
            <w:tcW w:w="1350" w:type="dxa"/>
            <w:noWrap/>
            <w:hideMark/>
          </w:tcPr>
          <w:p w14:paraId="0E85FEEB"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1.61E-09</w:t>
            </w:r>
          </w:p>
        </w:tc>
        <w:tc>
          <w:tcPr>
            <w:tcW w:w="1080" w:type="dxa"/>
            <w:noWrap/>
            <w:hideMark/>
          </w:tcPr>
          <w:p w14:paraId="45913D96"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ko04974</w:t>
            </w:r>
            <w:proofErr w:type="gramEnd"/>
          </w:p>
        </w:tc>
        <w:tc>
          <w:tcPr>
            <w:tcW w:w="1080" w:type="dxa"/>
            <w:noWrap/>
            <w:hideMark/>
          </w:tcPr>
          <w:p w14:paraId="6FF47084"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38</w:t>
            </w:r>
          </w:p>
        </w:tc>
        <w:tc>
          <w:tcPr>
            <w:tcW w:w="1080" w:type="dxa"/>
            <w:noWrap/>
            <w:hideMark/>
          </w:tcPr>
          <w:p w14:paraId="0F8D6DAB" w14:textId="40435DD6"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2.943</w:t>
            </w:r>
            <w:r w:rsidR="002E6A2C">
              <w:rPr>
                <w:rFonts w:ascii="Calibri" w:eastAsia="Times New Roman" w:hAnsi="Calibri"/>
                <w:color w:val="000000"/>
              </w:rPr>
              <w:t>2</w:t>
            </w:r>
          </w:p>
        </w:tc>
        <w:tc>
          <w:tcPr>
            <w:tcW w:w="1170" w:type="dxa"/>
            <w:noWrap/>
            <w:hideMark/>
          </w:tcPr>
          <w:p w14:paraId="3FB4FA6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2.82E-07</w:t>
            </w:r>
          </w:p>
        </w:tc>
      </w:tr>
      <w:tr w:rsidR="00C5584D" w:rsidRPr="00C5584D" w14:paraId="30DF823B" w14:textId="77777777" w:rsidTr="003C6FBB">
        <w:trPr>
          <w:trHeight w:val="300"/>
        </w:trPr>
        <w:tc>
          <w:tcPr>
            <w:tcW w:w="1008" w:type="dxa"/>
            <w:noWrap/>
            <w:hideMark/>
          </w:tcPr>
          <w:p w14:paraId="335261E3"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516</w:t>
            </w:r>
          </w:p>
        </w:tc>
        <w:tc>
          <w:tcPr>
            <w:tcW w:w="2430" w:type="dxa"/>
            <w:noWrap/>
            <w:hideMark/>
          </w:tcPr>
          <w:p w14:paraId="7A8207E5"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Pathogenic Escherichia coli infection</w:t>
            </w:r>
          </w:p>
        </w:tc>
        <w:tc>
          <w:tcPr>
            <w:tcW w:w="1350" w:type="dxa"/>
            <w:noWrap/>
            <w:hideMark/>
          </w:tcPr>
          <w:p w14:paraId="6975D280"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8.45E-08</w:t>
            </w:r>
          </w:p>
        </w:tc>
        <w:tc>
          <w:tcPr>
            <w:tcW w:w="1080" w:type="dxa"/>
            <w:noWrap/>
            <w:hideMark/>
          </w:tcPr>
          <w:p w14:paraId="68197182"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ko05130</w:t>
            </w:r>
            <w:proofErr w:type="gramEnd"/>
          </w:p>
        </w:tc>
        <w:tc>
          <w:tcPr>
            <w:tcW w:w="1080" w:type="dxa"/>
            <w:noWrap/>
            <w:hideMark/>
          </w:tcPr>
          <w:p w14:paraId="33246F7B"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27</w:t>
            </w:r>
          </w:p>
        </w:tc>
        <w:tc>
          <w:tcPr>
            <w:tcW w:w="1080" w:type="dxa"/>
            <w:noWrap/>
            <w:hideMark/>
          </w:tcPr>
          <w:p w14:paraId="17D580B3" w14:textId="37FD9426"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1.647</w:t>
            </w:r>
            <w:r w:rsidR="002E6A2C">
              <w:rPr>
                <w:rFonts w:ascii="Calibri" w:eastAsia="Times New Roman" w:hAnsi="Calibri"/>
                <w:color w:val="000000"/>
              </w:rPr>
              <w:t>9</w:t>
            </w:r>
          </w:p>
        </w:tc>
        <w:tc>
          <w:tcPr>
            <w:tcW w:w="1170" w:type="dxa"/>
            <w:noWrap/>
            <w:hideMark/>
          </w:tcPr>
          <w:p w14:paraId="74B723A6" w14:textId="22200BCC" w:rsidR="00C5584D" w:rsidRPr="00C5584D" w:rsidRDefault="00AC025A" w:rsidP="00C5584D">
            <w:pPr>
              <w:jc w:val="right"/>
              <w:rPr>
                <w:rFonts w:ascii="Calibri" w:eastAsia="Times New Roman" w:hAnsi="Calibri"/>
                <w:color w:val="000000"/>
              </w:rPr>
            </w:pPr>
            <w:r>
              <w:rPr>
                <w:rFonts w:ascii="Calibri" w:eastAsia="Times New Roman" w:hAnsi="Calibri"/>
                <w:color w:val="000000"/>
              </w:rPr>
              <w:t>1.07E-04</w:t>
            </w:r>
          </w:p>
        </w:tc>
      </w:tr>
      <w:tr w:rsidR="00C5584D" w:rsidRPr="00C5584D" w14:paraId="00B18707" w14:textId="77777777" w:rsidTr="003C6FBB">
        <w:trPr>
          <w:trHeight w:val="300"/>
        </w:trPr>
        <w:tc>
          <w:tcPr>
            <w:tcW w:w="1008" w:type="dxa"/>
            <w:noWrap/>
            <w:hideMark/>
          </w:tcPr>
          <w:p w14:paraId="0993CCB5"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167191</w:t>
            </w:r>
          </w:p>
        </w:tc>
        <w:tc>
          <w:tcPr>
            <w:tcW w:w="2430" w:type="dxa"/>
            <w:noWrap/>
            <w:hideMark/>
          </w:tcPr>
          <w:p w14:paraId="0620E2DF"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Amoebiasis</w:t>
            </w:r>
          </w:p>
        </w:tc>
        <w:tc>
          <w:tcPr>
            <w:tcW w:w="1350" w:type="dxa"/>
            <w:noWrap/>
            <w:hideMark/>
          </w:tcPr>
          <w:p w14:paraId="36AC317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4.87E-08</w:t>
            </w:r>
          </w:p>
        </w:tc>
        <w:tc>
          <w:tcPr>
            <w:tcW w:w="1080" w:type="dxa"/>
            <w:noWrap/>
            <w:hideMark/>
          </w:tcPr>
          <w:p w14:paraId="06F1B13E"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ko05146</w:t>
            </w:r>
            <w:proofErr w:type="gramEnd"/>
          </w:p>
        </w:tc>
        <w:tc>
          <w:tcPr>
            <w:tcW w:w="1080" w:type="dxa"/>
            <w:noWrap/>
            <w:hideMark/>
          </w:tcPr>
          <w:p w14:paraId="01294E4D"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39</w:t>
            </w:r>
          </w:p>
        </w:tc>
        <w:tc>
          <w:tcPr>
            <w:tcW w:w="1080" w:type="dxa"/>
            <w:noWrap/>
            <w:hideMark/>
          </w:tcPr>
          <w:p w14:paraId="28AD8AFC" w14:textId="477FDA08"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2.27</w:t>
            </w:r>
            <w:r w:rsidR="002E6A2C">
              <w:rPr>
                <w:rFonts w:ascii="Calibri" w:eastAsia="Times New Roman" w:hAnsi="Calibri"/>
                <w:color w:val="000000"/>
              </w:rPr>
              <w:t>70</w:t>
            </w:r>
          </w:p>
        </w:tc>
        <w:tc>
          <w:tcPr>
            <w:tcW w:w="1170" w:type="dxa"/>
            <w:noWrap/>
            <w:hideMark/>
          </w:tcPr>
          <w:p w14:paraId="24B9A311"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1.16E-06</w:t>
            </w:r>
          </w:p>
        </w:tc>
      </w:tr>
      <w:tr w:rsidR="00C5584D" w:rsidRPr="00C5584D" w14:paraId="476D8C91" w14:textId="77777777" w:rsidTr="003C6FBB">
        <w:trPr>
          <w:trHeight w:val="300"/>
        </w:trPr>
        <w:tc>
          <w:tcPr>
            <w:tcW w:w="1008" w:type="dxa"/>
            <w:noWrap/>
            <w:hideMark/>
          </w:tcPr>
          <w:p w14:paraId="3595CA15"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662842</w:t>
            </w:r>
          </w:p>
        </w:tc>
        <w:tc>
          <w:tcPr>
            <w:tcW w:w="2430" w:type="dxa"/>
            <w:noWrap/>
            <w:hideMark/>
          </w:tcPr>
          <w:p w14:paraId="4E76621B"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Viral carcinogenesis</w:t>
            </w:r>
          </w:p>
        </w:tc>
        <w:tc>
          <w:tcPr>
            <w:tcW w:w="1350" w:type="dxa"/>
            <w:noWrap/>
            <w:hideMark/>
          </w:tcPr>
          <w:p w14:paraId="2E9E84AB"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6.77E-09</w:t>
            </w:r>
          </w:p>
        </w:tc>
        <w:tc>
          <w:tcPr>
            <w:tcW w:w="1080" w:type="dxa"/>
            <w:noWrap/>
            <w:hideMark/>
          </w:tcPr>
          <w:p w14:paraId="12546C51" w14:textId="77777777" w:rsidR="00C5584D" w:rsidRPr="00C5584D" w:rsidRDefault="00C5584D" w:rsidP="00C5584D">
            <w:pPr>
              <w:jc w:val="left"/>
              <w:rPr>
                <w:rFonts w:ascii="Calibri" w:eastAsia="Times New Roman" w:hAnsi="Calibri"/>
                <w:color w:val="000000"/>
              </w:rPr>
            </w:pPr>
            <w:proofErr w:type="gramStart"/>
            <w:r w:rsidRPr="00C5584D">
              <w:rPr>
                <w:rFonts w:ascii="Calibri" w:eastAsia="Times New Roman" w:hAnsi="Calibri"/>
                <w:color w:val="000000"/>
              </w:rPr>
              <w:t>ko05203</w:t>
            </w:r>
            <w:proofErr w:type="gramEnd"/>
          </w:p>
        </w:tc>
        <w:tc>
          <w:tcPr>
            <w:tcW w:w="1080" w:type="dxa"/>
            <w:noWrap/>
            <w:hideMark/>
          </w:tcPr>
          <w:p w14:paraId="4BCC0AE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59</w:t>
            </w:r>
          </w:p>
        </w:tc>
        <w:tc>
          <w:tcPr>
            <w:tcW w:w="1080" w:type="dxa"/>
            <w:noWrap/>
            <w:hideMark/>
          </w:tcPr>
          <w:p w14:paraId="6DCA676D" w14:textId="310146D6"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1.513</w:t>
            </w:r>
            <w:r w:rsidR="002E6A2C">
              <w:rPr>
                <w:rFonts w:ascii="Calibri" w:eastAsia="Times New Roman" w:hAnsi="Calibri"/>
                <w:color w:val="000000"/>
              </w:rPr>
              <w:t>3</w:t>
            </w:r>
          </w:p>
        </w:tc>
        <w:tc>
          <w:tcPr>
            <w:tcW w:w="1170" w:type="dxa"/>
            <w:noWrap/>
            <w:hideMark/>
          </w:tcPr>
          <w:p w14:paraId="08EEACF3" w14:textId="0F3E5636" w:rsidR="00C5584D" w:rsidRPr="00C5584D" w:rsidRDefault="00AC025A" w:rsidP="00C5584D">
            <w:pPr>
              <w:jc w:val="right"/>
              <w:rPr>
                <w:rFonts w:ascii="Calibri" w:eastAsia="Times New Roman" w:hAnsi="Calibri"/>
                <w:color w:val="000000"/>
              </w:rPr>
            </w:pPr>
            <w:r>
              <w:rPr>
                <w:rFonts w:ascii="Calibri" w:eastAsia="Times New Roman" w:hAnsi="Calibri"/>
                <w:color w:val="000000"/>
              </w:rPr>
              <w:t>2.16E-04</w:t>
            </w:r>
          </w:p>
        </w:tc>
      </w:tr>
      <w:tr w:rsidR="00C5584D" w:rsidRPr="00C5584D" w14:paraId="5F8A4168" w14:textId="77777777" w:rsidTr="003C6FBB">
        <w:trPr>
          <w:trHeight w:val="300"/>
        </w:trPr>
        <w:tc>
          <w:tcPr>
            <w:tcW w:w="1008" w:type="dxa"/>
            <w:noWrap/>
            <w:hideMark/>
          </w:tcPr>
          <w:p w14:paraId="50B6698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468194</w:t>
            </w:r>
          </w:p>
        </w:tc>
        <w:tc>
          <w:tcPr>
            <w:tcW w:w="2430" w:type="dxa"/>
            <w:noWrap/>
            <w:hideMark/>
          </w:tcPr>
          <w:p w14:paraId="00FBF5A8"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Glycolysis (Embden-Meyerhof pathway), glucose =&gt; pyruvate</w:t>
            </w:r>
          </w:p>
        </w:tc>
        <w:tc>
          <w:tcPr>
            <w:tcW w:w="1350" w:type="dxa"/>
            <w:noWrap/>
            <w:hideMark/>
          </w:tcPr>
          <w:p w14:paraId="5D0BE0AE"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4.87E-07</w:t>
            </w:r>
          </w:p>
        </w:tc>
        <w:tc>
          <w:tcPr>
            <w:tcW w:w="1080" w:type="dxa"/>
            <w:noWrap/>
            <w:hideMark/>
          </w:tcPr>
          <w:p w14:paraId="2BB76B53"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M00001</w:t>
            </w:r>
          </w:p>
        </w:tc>
        <w:tc>
          <w:tcPr>
            <w:tcW w:w="1080" w:type="dxa"/>
            <w:noWrap/>
            <w:hideMark/>
          </w:tcPr>
          <w:p w14:paraId="369D149D"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18</w:t>
            </w:r>
          </w:p>
        </w:tc>
        <w:tc>
          <w:tcPr>
            <w:tcW w:w="1080" w:type="dxa"/>
            <w:noWrap/>
            <w:hideMark/>
          </w:tcPr>
          <w:p w14:paraId="432C8D1F" w14:textId="19075D2E"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2.4862</w:t>
            </w:r>
          </w:p>
        </w:tc>
        <w:tc>
          <w:tcPr>
            <w:tcW w:w="1170" w:type="dxa"/>
            <w:noWrap/>
            <w:hideMark/>
          </w:tcPr>
          <w:p w14:paraId="1F2EC00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6.24E-07</w:t>
            </w:r>
          </w:p>
        </w:tc>
      </w:tr>
      <w:tr w:rsidR="00C5584D" w:rsidRPr="00C5584D" w14:paraId="44DE5F44" w14:textId="77777777" w:rsidTr="003C6FBB">
        <w:trPr>
          <w:trHeight w:val="300"/>
        </w:trPr>
        <w:tc>
          <w:tcPr>
            <w:tcW w:w="1008" w:type="dxa"/>
            <w:noWrap/>
            <w:hideMark/>
          </w:tcPr>
          <w:p w14:paraId="55FC23B2"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468195</w:t>
            </w:r>
          </w:p>
        </w:tc>
        <w:tc>
          <w:tcPr>
            <w:tcW w:w="2430" w:type="dxa"/>
            <w:noWrap/>
            <w:hideMark/>
          </w:tcPr>
          <w:p w14:paraId="44F2599A"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Glycolysis, core module involving three-carbon compounds</w:t>
            </w:r>
          </w:p>
        </w:tc>
        <w:tc>
          <w:tcPr>
            <w:tcW w:w="1350" w:type="dxa"/>
            <w:noWrap/>
            <w:hideMark/>
          </w:tcPr>
          <w:p w14:paraId="20643F0A"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9.19E-06</w:t>
            </w:r>
          </w:p>
        </w:tc>
        <w:tc>
          <w:tcPr>
            <w:tcW w:w="1080" w:type="dxa"/>
            <w:noWrap/>
            <w:hideMark/>
          </w:tcPr>
          <w:p w14:paraId="40D33128"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M00002</w:t>
            </w:r>
          </w:p>
        </w:tc>
        <w:tc>
          <w:tcPr>
            <w:tcW w:w="1080" w:type="dxa"/>
            <w:noWrap/>
            <w:hideMark/>
          </w:tcPr>
          <w:p w14:paraId="0111B329"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12</w:t>
            </w:r>
          </w:p>
        </w:tc>
        <w:tc>
          <w:tcPr>
            <w:tcW w:w="1080" w:type="dxa"/>
            <w:noWrap/>
            <w:hideMark/>
          </w:tcPr>
          <w:p w14:paraId="1F12E764" w14:textId="4A8E7498"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2.3486</w:t>
            </w:r>
          </w:p>
        </w:tc>
        <w:tc>
          <w:tcPr>
            <w:tcW w:w="1170" w:type="dxa"/>
            <w:noWrap/>
            <w:hideMark/>
          </w:tcPr>
          <w:p w14:paraId="3343A359"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1.03E-06</w:t>
            </w:r>
          </w:p>
        </w:tc>
      </w:tr>
      <w:tr w:rsidR="00C5584D" w:rsidRPr="00C5584D" w14:paraId="42B8051D" w14:textId="77777777" w:rsidTr="003C6FBB">
        <w:trPr>
          <w:trHeight w:val="300"/>
        </w:trPr>
        <w:tc>
          <w:tcPr>
            <w:tcW w:w="1008" w:type="dxa"/>
            <w:noWrap/>
            <w:hideMark/>
          </w:tcPr>
          <w:p w14:paraId="21F9924D"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468196</w:t>
            </w:r>
          </w:p>
        </w:tc>
        <w:tc>
          <w:tcPr>
            <w:tcW w:w="2430" w:type="dxa"/>
            <w:noWrap/>
            <w:hideMark/>
          </w:tcPr>
          <w:p w14:paraId="7E6E66FD"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Gluconeogenesis, oxaloacetate =&gt; fructose-6P</w:t>
            </w:r>
          </w:p>
        </w:tc>
        <w:tc>
          <w:tcPr>
            <w:tcW w:w="1350" w:type="dxa"/>
            <w:noWrap/>
            <w:hideMark/>
          </w:tcPr>
          <w:p w14:paraId="6C720200"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1.13E-06</w:t>
            </w:r>
          </w:p>
        </w:tc>
        <w:tc>
          <w:tcPr>
            <w:tcW w:w="1080" w:type="dxa"/>
            <w:noWrap/>
            <w:hideMark/>
          </w:tcPr>
          <w:p w14:paraId="6CC3B135" w14:textId="77777777" w:rsidR="00C5584D" w:rsidRPr="00C5584D" w:rsidRDefault="00C5584D" w:rsidP="00C5584D">
            <w:pPr>
              <w:jc w:val="left"/>
              <w:rPr>
                <w:rFonts w:ascii="Calibri" w:eastAsia="Times New Roman" w:hAnsi="Calibri"/>
                <w:color w:val="000000"/>
              </w:rPr>
            </w:pPr>
            <w:r w:rsidRPr="00C5584D">
              <w:rPr>
                <w:rFonts w:ascii="Calibri" w:eastAsia="Times New Roman" w:hAnsi="Calibri"/>
                <w:color w:val="000000"/>
              </w:rPr>
              <w:t>M00003</w:t>
            </w:r>
          </w:p>
        </w:tc>
        <w:tc>
          <w:tcPr>
            <w:tcW w:w="1080" w:type="dxa"/>
            <w:noWrap/>
            <w:hideMark/>
          </w:tcPr>
          <w:p w14:paraId="2A723E28"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15</w:t>
            </w:r>
          </w:p>
        </w:tc>
        <w:tc>
          <w:tcPr>
            <w:tcW w:w="1080" w:type="dxa"/>
            <w:noWrap/>
            <w:hideMark/>
          </w:tcPr>
          <w:p w14:paraId="7BC760C4" w14:textId="561BBE9D" w:rsidR="00C5584D" w:rsidRPr="00C5584D" w:rsidRDefault="00C5584D" w:rsidP="002E6A2C">
            <w:pPr>
              <w:jc w:val="right"/>
              <w:rPr>
                <w:rFonts w:ascii="Calibri" w:eastAsia="Times New Roman" w:hAnsi="Calibri"/>
                <w:color w:val="000000"/>
              </w:rPr>
            </w:pPr>
            <w:r w:rsidRPr="00C5584D">
              <w:rPr>
                <w:rFonts w:ascii="Calibri" w:eastAsia="Times New Roman" w:hAnsi="Calibri"/>
                <w:color w:val="000000"/>
              </w:rPr>
              <w:t>2.4402</w:t>
            </w:r>
          </w:p>
        </w:tc>
        <w:tc>
          <w:tcPr>
            <w:tcW w:w="1170" w:type="dxa"/>
            <w:noWrap/>
            <w:hideMark/>
          </w:tcPr>
          <w:p w14:paraId="2AD8300C" w14:textId="77777777" w:rsidR="00C5584D" w:rsidRPr="00C5584D" w:rsidRDefault="00C5584D" w:rsidP="00C5584D">
            <w:pPr>
              <w:jc w:val="right"/>
              <w:rPr>
                <w:rFonts w:ascii="Calibri" w:eastAsia="Times New Roman" w:hAnsi="Calibri"/>
                <w:color w:val="000000"/>
              </w:rPr>
            </w:pPr>
            <w:r w:rsidRPr="00C5584D">
              <w:rPr>
                <w:rFonts w:ascii="Calibri" w:eastAsia="Times New Roman" w:hAnsi="Calibri"/>
                <w:color w:val="000000"/>
              </w:rPr>
              <w:t>7.27E-07</w:t>
            </w:r>
          </w:p>
        </w:tc>
      </w:tr>
    </w:tbl>
    <w:p w14:paraId="30C7CCC5" w14:textId="5FF11DB6" w:rsidR="002669EF" w:rsidRDefault="002669EF" w:rsidP="00F864B6">
      <w:pPr>
        <w:spacing w:line="480" w:lineRule="auto"/>
      </w:pPr>
    </w:p>
    <w:p w14:paraId="294D53B0" w14:textId="77777777" w:rsidR="00A80792" w:rsidRDefault="001E7DEE" w:rsidP="00D67CF2">
      <w:pPr>
        <w:pStyle w:val="Heading3"/>
      </w:pPr>
      <w:bookmarkStart w:id="49" w:name="_Toc296333715"/>
      <w:r>
        <w:lastRenderedPageBreak/>
        <w:t>COG analysis of FAM</w:t>
      </w:r>
      <w:bookmarkEnd w:id="49"/>
    </w:p>
    <w:p w14:paraId="7309D220" w14:textId="0DC28423" w:rsidR="004C06E6" w:rsidRDefault="00D67CF2" w:rsidP="00D244BA">
      <w:pPr>
        <w:spacing w:line="480" w:lineRule="auto"/>
        <w:ind w:firstLine="720"/>
      </w:pPr>
      <w:r>
        <w:tab/>
      </w:r>
      <w:r w:rsidR="00B32F55">
        <w:t xml:space="preserve">COG analysis is better </w:t>
      </w:r>
      <w:r w:rsidR="00570960">
        <w:t xml:space="preserve">approach </w:t>
      </w:r>
      <w:r w:rsidR="00B32F55">
        <w:t xml:space="preserve">to </w:t>
      </w:r>
      <w:r w:rsidR="00146FB8">
        <w:t>explain characteristics of microbial community</w:t>
      </w:r>
      <w:r w:rsidR="00F44E2C">
        <w:t xml:space="preserve"> than pathway analysis</w:t>
      </w:r>
      <w:r w:rsidR="00B32F55">
        <w:t>.</w:t>
      </w:r>
      <w:r w:rsidR="007B6BF6">
        <w:t xml:space="preserve"> </w:t>
      </w:r>
      <w:r w:rsidR="00CB6EAB">
        <w:t xml:space="preserve"> </w:t>
      </w:r>
      <w:r>
        <w:t>COG is not d</w:t>
      </w:r>
      <w:r w:rsidR="001B3F43">
        <w:t>ependent on database annotation</w:t>
      </w:r>
      <w:r w:rsidR="00897933">
        <w:t>, so it has better coverage than pathway annotations</w:t>
      </w:r>
      <w:r w:rsidR="001B3F43">
        <w:t xml:space="preserve">. </w:t>
      </w:r>
      <w:r w:rsidR="00BA4E7B">
        <w:t xml:space="preserve"> </w:t>
      </w:r>
      <w:r w:rsidR="00494DDF">
        <w:t xml:space="preserve">Model organisms, such as human, mouse, budding yeast and </w:t>
      </w:r>
      <w:r w:rsidR="00494DDF" w:rsidRPr="00494DDF">
        <w:rPr>
          <w:i/>
        </w:rPr>
        <w:t>Escherichia coli</w:t>
      </w:r>
      <w:r w:rsidR="00494DDF">
        <w:t xml:space="preserve">, </w:t>
      </w:r>
      <w:r w:rsidR="00D0045D">
        <w:t xml:space="preserve">have very good annotation because those were examined for a long time.  </w:t>
      </w:r>
      <w:r w:rsidR="00BC0A3E">
        <w:t>However, s</w:t>
      </w:r>
      <w:r w:rsidR="0039443C">
        <w:t>ince almost all the microbes</w:t>
      </w:r>
      <w:r w:rsidR="00BA4E7B">
        <w:t xml:space="preserve"> are not </w:t>
      </w:r>
      <w:r w:rsidR="007405B8">
        <w:t>cultivable</w:t>
      </w:r>
      <w:r w:rsidR="00BA4E7B">
        <w:t xml:space="preserve"> in laboratories, </w:t>
      </w:r>
      <w:r w:rsidR="00555465">
        <w:t xml:space="preserve">many of microbes are not studied well.  </w:t>
      </w:r>
      <w:r w:rsidR="0016255B">
        <w:t>Hence, available annotations of microorganisms are very limited in reference database, suc</w:t>
      </w:r>
      <w:r w:rsidR="00B56380">
        <w:t>h as NCBI Gene and BioSystems</w:t>
      </w:r>
      <w:r w:rsidR="00E11E01">
        <w:t>, in contrast to model organisms</w:t>
      </w:r>
      <w:r w:rsidR="00B56380">
        <w:t>.</w:t>
      </w:r>
      <w:r w:rsidR="00BD2A08">
        <w:t xml:space="preserve">  Many annotations of microbial proteins are inferred by </w:t>
      </w:r>
      <w:r w:rsidR="004C162B">
        <w:t>se</w:t>
      </w:r>
      <w:r w:rsidR="00EC0491">
        <w:t>quenc</w:t>
      </w:r>
      <w:r w:rsidR="00D56046">
        <w:t>e alignment, but</w:t>
      </w:r>
      <w:r w:rsidR="00E829D5">
        <w:t xml:space="preserve"> still not enough</w:t>
      </w:r>
      <w:r w:rsidR="001F6CD6">
        <w:t xml:space="preserve">.  For example, we counted the number of pathway-annotated and COG-assigned </w:t>
      </w:r>
      <w:r w:rsidR="00C147CC">
        <w:t xml:space="preserve">microbial </w:t>
      </w:r>
      <w:r w:rsidR="001F6CD6">
        <w:t>proteins</w:t>
      </w:r>
      <w:r w:rsidR="00CB2DE7">
        <w:t xml:space="preserve"> in human fecal proteo</w:t>
      </w:r>
      <w:r w:rsidR="001608DA">
        <w:t xml:space="preserve">me </w:t>
      </w:r>
      <w:r w:rsidR="006F356C">
        <w:t>study of chapter 4</w:t>
      </w:r>
      <w:r w:rsidR="00592BF4">
        <w:t xml:space="preserve"> (Table 9)</w:t>
      </w:r>
      <w:r w:rsidR="00A91C13">
        <w:t>.</w:t>
      </w:r>
    </w:p>
    <w:p w14:paraId="379FAA5E" w14:textId="140153BF" w:rsidR="00740B6C" w:rsidRPr="004C29A4" w:rsidRDefault="00740B6C" w:rsidP="00740B6C">
      <w:pPr>
        <w:pStyle w:val="Caption"/>
        <w:keepNext/>
        <w:rPr>
          <w:b w:val="0"/>
        </w:rPr>
      </w:pPr>
      <w:bookmarkStart w:id="50" w:name="_Toc296333081"/>
      <w:r>
        <w:t xml:space="preserve">Table </w:t>
      </w:r>
      <w:fldSimple w:instr=" SEQ Table \* ARABIC ">
        <w:r w:rsidR="0093776B">
          <w:rPr>
            <w:noProof/>
          </w:rPr>
          <w:t>9</w:t>
        </w:r>
      </w:fldSimple>
      <w:r>
        <w:t xml:space="preserve"> Comparison of the number annotated proteins between KEGG pathway and COG.</w:t>
      </w:r>
      <w:r w:rsidR="004C29A4">
        <w:t xml:space="preserve">  </w:t>
      </w:r>
      <w:r w:rsidR="004C29A4">
        <w:rPr>
          <w:b w:val="0"/>
        </w:rPr>
        <w:t>Total number of identified microbial proteins is 5,354.</w:t>
      </w:r>
      <w:bookmarkEnd w:id="50"/>
    </w:p>
    <w:tbl>
      <w:tblPr>
        <w:tblW w:w="0" w:type="auto"/>
        <w:jc w:val="center"/>
        <w:tblLook w:val="04A0" w:firstRow="1" w:lastRow="0" w:firstColumn="1" w:lastColumn="0" w:noHBand="0" w:noVBand="1"/>
      </w:tblPr>
      <w:tblGrid>
        <w:gridCol w:w="4012"/>
        <w:gridCol w:w="2077"/>
        <w:gridCol w:w="1904"/>
      </w:tblGrid>
      <w:tr w:rsidR="00FB24BD" w14:paraId="74A03500" w14:textId="77777777" w:rsidTr="00C56623">
        <w:trPr>
          <w:jc w:val="center"/>
        </w:trPr>
        <w:tc>
          <w:tcPr>
            <w:tcW w:w="4012" w:type="dxa"/>
          </w:tcPr>
          <w:p w14:paraId="5D79D044" w14:textId="77777777" w:rsidR="00FB24BD" w:rsidRDefault="00FB24BD" w:rsidP="007441DF">
            <w:pPr>
              <w:spacing w:line="480" w:lineRule="auto"/>
              <w:jc w:val="center"/>
            </w:pPr>
          </w:p>
        </w:tc>
        <w:tc>
          <w:tcPr>
            <w:tcW w:w="2077" w:type="dxa"/>
          </w:tcPr>
          <w:p w14:paraId="2537A842" w14:textId="2ACA1A3F" w:rsidR="00FB24BD" w:rsidRDefault="00740B6C" w:rsidP="00C56623">
            <w:pPr>
              <w:spacing w:line="480" w:lineRule="auto"/>
              <w:jc w:val="right"/>
            </w:pPr>
            <w:r>
              <w:t>KEGG Pathway</w:t>
            </w:r>
          </w:p>
        </w:tc>
        <w:tc>
          <w:tcPr>
            <w:tcW w:w="1904" w:type="dxa"/>
          </w:tcPr>
          <w:p w14:paraId="633EA080" w14:textId="265DACD8" w:rsidR="00FB24BD" w:rsidRDefault="00740B6C" w:rsidP="00C56623">
            <w:pPr>
              <w:spacing w:line="480" w:lineRule="auto"/>
              <w:jc w:val="right"/>
            </w:pPr>
            <w:r>
              <w:t>COG</w:t>
            </w:r>
          </w:p>
        </w:tc>
      </w:tr>
      <w:tr w:rsidR="00FB24BD" w14:paraId="7424D5F9" w14:textId="77777777" w:rsidTr="00C56623">
        <w:trPr>
          <w:jc w:val="center"/>
        </w:trPr>
        <w:tc>
          <w:tcPr>
            <w:tcW w:w="4012" w:type="dxa"/>
          </w:tcPr>
          <w:p w14:paraId="411E2D6C" w14:textId="347B591D" w:rsidR="00FB24BD" w:rsidRDefault="00FB24BD" w:rsidP="007441DF">
            <w:pPr>
              <w:spacing w:line="480" w:lineRule="auto"/>
              <w:jc w:val="center"/>
            </w:pPr>
            <w:r>
              <w:t xml:space="preserve">The number of proteins </w:t>
            </w:r>
            <w:r w:rsidR="00740B6C">
              <w:t>annotated</w:t>
            </w:r>
          </w:p>
        </w:tc>
        <w:tc>
          <w:tcPr>
            <w:tcW w:w="2077" w:type="dxa"/>
          </w:tcPr>
          <w:p w14:paraId="3DC15BC8" w14:textId="1AA9D99D" w:rsidR="00740B6C" w:rsidRDefault="00740B6C" w:rsidP="00C56623">
            <w:pPr>
              <w:spacing w:line="480" w:lineRule="auto"/>
              <w:jc w:val="right"/>
            </w:pPr>
            <w:r>
              <w:t>2</w:t>
            </w:r>
            <w:r w:rsidR="000D4032">
              <w:t>,</w:t>
            </w:r>
            <w:r>
              <w:t>254</w:t>
            </w:r>
            <w:r w:rsidR="007441DF">
              <w:t xml:space="preserve"> (42.1%)</w:t>
            </w:r>
          </w:p>
        </w:tc>
        <w:tc>
          <w:tcPr>
            <w:tcW w:w="1904" w:type="dxa"/>
          </w:tcPr>
          <w:p w14:paraId="3DEACF70" w14:textId="43D320A3" w:rsidR="00FB24BD" w:rsidRDefault="00740B6C" w:rsidP="00C56623">
            <w:pPr>
              <w:spacing w:line="480" w:lineRule="auto"/>
              <w:jc w:val="right"/>
            </w:pPr>
            <w:r>
              <w:t>4</w:t>
            </w:r>
            <w:r w:rsidR="000D4032">
              <w:t>,</w:t>
            </w:r>
            <w:r>
              <w:t>905</w:t>
            </w:r>
            <w:r w:rsidR="007441DF">
              <w:t xml:space="preserve"> (91.6%)</w:t>
            </w:r>
          </w:p>
        </w:tc>
      </w:tr>
    </w:tbl>
    <w:p w14:paraId="6CBBBEF4" w14:textId="77777777" w:rsidR="00A91C13" w:rsidRDefault="00A91C13" w:rsidP="00F864B6">
      <w:pPr>
        <w:spacing w:line="480" w:lineRule="auto"/>
      </w:pPr>
    </w:p>
    <w:p w14:paraId="12E1B223" w14:textId="49285EF1" w:rsidR="007C2B52" w:rsidRDefault="0089159E" w:rsidP="0089159E">
      <w:pPr>
        <w:spacing w:line="480" w:lineRule="auto"/>
        <w:ind w:firstLine="720"/>
      </w:pPr>
      <w:r>
        <w:t>There ar</w:t>
      </w:r>
      <w:r w:rsidR="00CE1574">
        <w:t>e two reason</w:t>
      </w:r>
      <w:r w:rsidR="007E0FA4">
        <w:t>s</w:t>
      </w:r>
      <w:r w:rsidR="00CE1574">
        <w:t xml:space="preserve"> explaining </w:t>
      </w:r>
      <w:r w:rsidR="007E0FA4">
        <w:t>why COG has better coverage than pathways</w:t>
      </w:r>
      <w:r w:rsidR="00CE1574">
        <w:t xml:space="preserve">.  </w:t>
      </w:r>
      <w:r w:rsidR="00100D10">
        <w:t xml:space="preserve">First, </w:t>
      </w:r>
      <w:r w:rsidR="007324E5">
        <w:t>s</w:t>
      </w:r>
      <w:r w:rsidR="00B77805">
        <w:t>equence comparison is not efficient way to annotate pathway information</w:t>
      </w:r>
      <w:r w:rsidR="007324E5">
        <w:t>, while COG is originally rooted on sequence comparisons</w:t>
      </w:r>
      <w:r w:rsidR="0099012A">
        <w:t>.</w:t>
      </w:r>
      <w:r w:rsidR="00A61435">
        <w:t xml:space="preserve"> </w:t>
      </w:r>
      <w:r w:rsidR="00946D9D">
        <w:t xml:space="preserve"> Although</w:t>
      </w:r>
      <w:r w:rsidR="00A61435">
        <w:t xml:space="preserve"> there </w:t>
      </w:r>
      <w:r w:rsidR="00917F43">
        <w:t xml:space="preserve">are </w:t>
      </w:r>
      <w:r w:rsidR="00946D9D">
        <w:t>common</w:t>
      </w:r>
      <w:r w:rsidR="00A61435">
        <w:t xml:space="preserve"> pathways, many microbes have different pathways </w:t>
      </w:r>
      <w:r w:rsidR="00C16368">
        <w:t xml:space="preserve">adapted </w:t>
      </w:r>
      <w:r w:rsidR="00C16368">
        <w:lastRenderedPageBreak/>
        <w:t>fo</w:t>
      </w:r>
      <w:r w:rsidR="00DB4AD5">
        <w:t>r survival in new environment.  Therefore, sequence comparison</w:t>
      </w:r>
      <w:r w:rsidR="008F7070">
        <w:t xml:space="preserve"> for pathway annotation</w:t>
      </w:r>
      <w:r w:rsidR="00DB4AD5">
        <w:t xml:space="preserve"> is </w:t>
      </w:r>
      <w:r w:rsidR="006944A7">
        <w:t xml:space="preserve">restricted </w:t>
      </w:r>
      <w:r w:rsidR="007C74AE">
        <w:t>to</w:t>
      </w:r>
      <w:r w:rsidR="00DB4AD5">
        <w:t xml:space="preserve"> universally shared pathways.  </w:t>
      </w:r>
      <w:r w:rsidR="00996909">
        <w:t xml:space="preserve">However, protein functions can cover various </w:t>
      </w:r>
      <w:r w:rsidR="00917736">
        <w:t>things that are not covered by pathways</w:t>
      </w:r>
      <w:r w:rsidR="00996909">
        <w:t xml:space="preserve">.  </w:t>
      </w:r>
      <w:r w:rsidR="009D0B4E">
        <w:t>Another reason is that pathway is</w:t>
      </w:r>
      <w:r w:rsidR="007306C6">
        <w:t xml:space="preserve"> limited information.  </w:t>
      </w:r>
      <w:proofErr w:type="gramStart"/>
      <w:r w:rsidR="007306C6">
        <w:t>Pathways are</w:t>
      </w:r>
      <w:r w:rsidR="009D0B4E">
        <w:t xml:space="preserve"> manual</w:t>
      </w:r>
      <w:r w:rsidR="007306C6">
        <w:t xml:space="preserve">ly generated </w:t>
      </w:r>
      <w:r w:rsidR="00AA5480">
        <w:t xml:space="preserve">by </w:t>
      </w:r>
      <w:r w:rsidR="007306C6">
        <w:t xml:space="preserve">reading </w:t>
      </w:r>
      <w:r w:rsidR="00B634C9">
        <w:t>papers</w:t>
      </w:r>
      <w:proofErr w:type="gramEnd"/>
      <w:r w:rsidR="00B634C9">
        <w:t xml:space="preserve"> </w:t>
      </w:r>
      <w:r w:rsidR="007306C6">
        <w:t xml:space="preserve">and </w:t>
      </w:r>
      <w:r w:rsidR="00037F6A">
        <w:t>organizing accumulated research findings</w:t>
      </w:r>
      <w:r w:rsidR="00751715">
        <w:t>.</w:t>
      </w:r>
      <w:r w:rsidR="008875BA">
        <w:t xml:space="preserve">  Theoretically, all the proteins should be involved in at least one pathway, but </w:t>
      </w:r>
      <w:r w:rsidR="002A0BB0">
        <w:t>many evidences are necessary to uncover a pat</w:t>
      </w:r>
      <w:r w:rsidR="00B9092F">
        <w:t>h</w:t>
      </w:r>
      <w:r w:rsidR="002A0BB0">
        <w:t xml:space="preserve">way.  </w:t>
      </w:r>
      <w:r w:rsidR="007B3938">
        <w:t xml:space="preserve">However, most microbes are not studied well as is described above.  </w:t>
      </w:r>
      <w:r w:rsidR="00B9092F">
        <w:t xml:space="preserve">Therefore, pathway annotation is not </w:t>
      </w:r>
      <w:r w:rsidR="00E91699">
        <w:t>applicable</w:t>
      </w:r>
      <w:r w:rsidR="00B9092F">
        <w:t xml:space="preserve"> to many </w:t>
      </w:r>
      <w:r w:rsidR="00C119E2">
        <w:t xml:space="preserve">microbial </w:t>
      </w:r>
      <w:r w:rsidR="00B9092F">
        <w:t>proteins.</w:t>
      </w:r>
    </w:p>
    <w:p w14:paraId="45CE6459" w14:textId="0F73ADD9" w:rsidR="0075598D" w:rsidRDefault="00FB2FCC" w:rsidP="00AE49C8">
      <w:pPr>
        <w:spacing w:line="480" w:lineRule="auto"/>
        <w:ind w:firstLine="720"/>
      </w:pPr>
      <w:r>
        <w:t xml:space="preserve">COG assignment is built on </w:t>
      </w:r>
      <w:r w:rsidR="006E54DC">
        <w:t xml:space="preserve">protein </w:t>
      </w:r>
      <w:r w:rsidR="00B05FC2">
        <w:t>sequence</w:t>
      </w:r>
      <w:r w:rsidR="006E54DC">
        <w:t>s</w:t>
      </w:r>
      <w:r w:rsidR="00B05FC2">
        <w:t xml:space="preserve"> </w:t>
      </w:r>
      <w:r w:rsidR="00B80B4A">
        <w:t xml:space="preserve">that </w:t>
      </w:r>
      <w:r w:rsidR="0007461D">
        <w:t>are</w:t>
      </w:r>
      <w:r w:rsidR="00B80B4A">
        <w:t xml:space="preserve"> always available in metaproteomics</w:t>
      </w:r>
      <w:r w:rsidR="00B05FC2">
        <w:t xml:space="preserve">.  </w:t>
      </w:r>
      <w:r w:rsidR="00A84B08">
        <w:t xml:space="preserve">COG term is generated by </w:t>
      </w:r>
      <w:r w:rsidR="004432F9">
        <w:t>sequence comparisons</w:t>
      </w:r>
      <w:r w:rsidR="00896961">
        <w:t xml:space="preserve"> of</w:t>
      </w:r>
      <w:r w:rsidR="004432F9">
        <w:t xml:space="preserve"> all to all and all to COG DB</w:t>
      </w:r>
      <w:r w:rsidR="00772994">
        <w:t>.</w:t>
      </w:r>
      <w:r w:rsidR="00A172A4">
        <w:t xml:space="preserve">  Each COG has </w:t>
      </w:r>
      <w:r w:rsidR="00681E7E">
        <w:t xml:space="preserve">protein </w:t>
      </w:r>
      <w:r w:rsidR="00681E7E" w:rsidRPr="00681E7E">
        <w:t>paralogs</w:t>
      </w:r>
      <w:r w:rsidR="00681E7E">
        <w:t xml:space="preserve"> </w:t>
      </w:r>
      <w:r w:rsidR="00A172A4">
        <w:t>from at least three lineages</w:t>
      </w:r>
      <w:r w:rsidR="006E7F71">
        <w:t>, so s</w:t>
      </w:r>
      <w:r w:rsidR="00246797">
        <w:t xml:space="preserve">pecies and sequence similarity are </w:t>
      </w:r>
      <w:r w:rsidR="006E7F71">
        <w:t>required</w:t>
      </w:r>
      <w:r w:rsidR="00246797">
        <w:t xml:space="preserve"> to decide COG assignment.  </w:t>
      </w:r>
      <w:r w:rsidR="006E7F71">
        <w:t>COG is widely used t</w:t>
      </w:r>
      <w:r w:rsidR="00BF0FE8">
        <w:t>o find orthologous proteins, but its update was stopped after 2005</w:t>
      </w:r>
      <w:r w:rsidR="00D873D8">
        <w:t xml:space="preserve"> by NCBI</w:t>
      </w:r>
      <w:r w:rsidR="00933F0D">
        <w:t xml:space="preserve">.  </w:t>
      </w:r>
      <w:r w:rsidR="00E76ABA">
        <w:t>F</w:t>
      </w:r>
      <w:r w:rsidR="00F42E9D">
        <w:t xml:space="preserve">rom 2010 NCBI </w:t>
      </w:r>
      <w:r w:rsidR="00AC72C4">
        <w:t>released the updated</w:t>
      </w:r>
      <w:r w:rsidR="00F42E9D">
        <w:t xml:space="preserve"> COG database by expanding species</w:t>
      </w:r>
      <w:r w:rsidR="00F60020">
        <w:t xml:space="preserve"> and </w:t>
      </w:r>
      <w:r w:rsidR="00C73580">
        <w:t>introducing</w:t>
      </w:r>
      <w:r w:rsidR="00F60020">
        <w:t xml:space="preserve"> new COG assignment algorithm, COG software </w:t>
      </w:r>
      <w:r w:rsidR="00C31397">
        <w:fldChar w:fldCharType="begin"/>
      </w:r>
      <w:r w:rsidR="00C31397">
        <w:instrText xml:space="preserve"> ADDIN EN.CITE &lt;EndNote&gt;&lt;Cite&gt;&lt;Author&gt;Kristensen&lt;/Author&gt;&lt;Year&gt;2010&lt;/Year&gt;&lt;RecNum&gt;103&lt;/RecNum&gt;&lt;DisplayText&gt;[99]&lt;/DisplayText&gt;&lt;record&gt;&lt;rec-number&gt;103&lt;/rec-number&gt;&lt;foreign-keys&gt;&lt;key app="EN" db-id="efx2002d5f0z21etvw3x9zp7tw2axpa2eez0" timestamp="1434341757"&gt;103&lt;/key&gt;&lt;/foreign-keys&gt;&lt;ref-type name="Journal Article"&gt;17&lt;/ref-type&gt;&lt;contributors&gt;&lt;authors&gt;&lt;author&gt;Kristensen, David M&lt;/author&gt;&lt;author&gt;Kannan, Lavanya&lt;/author&gt;&lt;author&gt;Coleman, Michael K&lt;/author&gt;&lt;author&gt;Wolf, Yuri I&lt;/author&gt;&lt;author&gt;Sorokin, Alexander&lt;/author&gt;&lt;author&gt;Koonin, Eugene V&lt;/author&gt;&lt;author&gt;Mushegian, Arcady&lt;/author&gt;&lt;/authors&gt;&lt;/contributors&gt;&lt;titles&gt;&lt;title&gt;A low-polynomial algorithm for assembling clusters of orthologous groups from intergenomic symmetric best matches&lt;/title&gt;&lt;secondary-title&gt;Bioinformatics&lt;/secondary-title&gt;&lt;/titles&gt;&lt;periodical&gt;&lt;full-title&gt;Bioinformatics&lt;/full-title&gt;&lt;/periodical&gt;&lt;pages&gt;1481-1487&lt;/pages&gt;&lt;volume&gt;26&lt;/volume&gt;&lt;number&gt;12&lt;/number&gt;&lt;dates&gt;&lt;year&gt;2010&lt;/year&gt;&lt;/dates&gt;&lt;isbn&gt;1367-4803&lt;/isbn&gt;&lt;urls&gt;&lt;/urls&gt;&lt;/record&gt;&lt;/Cite&gt;&lt;/EndNote&gt;</w:instrText>
      </w:r>
      <w:r w:rsidR="00C31397">
        <w:fldChar w:fldCharType="separate"/>
      </w:r>
      <w:r w:rsidR="00C31397">
        <w:rPr>
          <w:noProof/>
        </w:rPr>
        <w:t>[99]</w:t>
      </w:r>
      <w:r w:rsidR="00C31397">
        <w:fldChar w:fldCharType="end"/>
      </w:r>
      <w:r w:rsidR="00F60020">
        <w:t>.</w:t>
      </w:r>
      <w:r w:rsidR="00C31397">
        <w:t xml:space="preserve">  </w:t>
      </w:r>
      <w:r w:rsidR="00244E86">
        <w:t xml:space="preserve">Until new COGnitor, a tool for COG allocation, </w:t>
      </w:r>
      <w:r w:rsidR="00702CB8">
        <w:t>was come out</w:t>
      </w:r>
      <w:r w:rsidR="00B96B7C">
        <w:t xml:space="preserve">, </w:t>
      </w:r>
      <w:r w:rsidR="00383D34">
        <w:t xml:space="preserve">finding similar </w:t>
      </w:r>
      <w:r w:rsidR="008B58A8">
        <w:t xml:space="preserve">COG ID through running </w:t>
      </w:r>
      <w:r w:rsidR="00791C4E">
        <w:t>RPS-BLAST</w:t>
      </w:r>
      <w:r w:rsidR="007518E4">
        <w:t xml:space="preserve"> </w:t>
      </w:r>
      <w:r w:rsidR="007518E4">
        <w:fldChar w:fldCharType="begin"/>
      </w:r>
      <w:r w:rsidR="007518E4">
        <w:instrText xml:space="preserve"> ADDIN EN.CITE &lt;EndNote&gt;&lt;Cite&gt;&lt;Author&gt;Marchler-Bauer&lt;/Author&gt;&lt;Year&gt;2002&lt;/Year&gt;&lt;RecNum&gt;104&lt;/RecNum&gt;&lt;DisplayText&gt;[100]&lt;/DisplayText&gt;&lt;record&gt;&lt;rec-number&gt;104&lt;/rec-number&gt;&lt;foreign-keys&gt;&lt;key app="EN" db-id="efx2002d5f0z21etvw3x9zp7tw2axpa2eez0" timestamp="1434343007"&gt;104&lt;/key&gt;&lt;/foreign-keys&gt;&lt;ref-type name="Journal Article"&gt;17&lt;/ref-type&gt;&lt;contributors&gt;&lt;authors&gt;&lt;author&gt;Marchler-Bauer, Aron&lt;/author&gt;&lt;author&gt;Panchenko, Anna R&lt;/author&gt;&lt;author&gt;Shoemaker, Benjamin A&lt;/author&gt;&lt;author&gt;Thiessen, Paul A&lt;/author&gt;&lt;author&gt;Geer, Lewis Y&lt;/author&gt;&lt;author&gt;Bryant, Stephen H&lt;/author&gt;&lt;/authors&gt;&lt;/contributors&gt;&lt;titles&gt;&lt;title&gt;CDD: a database of conserved domain alignments with links to domain three-dimensional structure&lt;/title&gt;&lt;secondary-title&gt;Nucleic acids research&lt;/secondary-title&gt;&lt;/titles&gt;&lt;periodical&gt;&lt;full-title&gt;Nucleic acids research&lt;/full-title&gt;&lt;/periodical&gt;&lt;pages&gt;281-283&lt;/pages&gt;&lt;volume&gt;30&lt;/volume&gt;&lt;number&gt;1&lt;/number&gt;&lt;dates&gt;&lt;year&gt;2002&lt;/year&gt;&lt;/dates&gt;&lt;isbn&gt;0305-1048&lt;/isbn&gt;&lt;urls&gt;&lt;/urls&gt;&lt;/record&gt;&lt;/Cite&gt;&lt;/EndNote&gt;</w:instrText>
      </w:r>
      <w:r w:rsidR="007518E4">
        <w:fldChar w:fldCharType="separate"/>
      </w:r>
      <w:r w:rsidR="007518E4">
        <w:rPr>
          <w:noProof/>
        </w:rPr>
        <w:t>[100]</w:t>
      </w:r>
      <w:r w:rsidR="007518E4">
        <w:fldChar w:fldCharType="end"/>
      </w:r>
      <w:r w:rsidR="00791C4E">
        <w:t xml:space="preserve"> or PSI-BLAST</w:t>
      </w:r>
      <w:r w:rsidR="007518E4">
        <w:t xml:space="preserve"> </w:t>
      </w:r>
      <w:r w:rsidR="007518E4">
        <w:fldChar w:fldCharType="begin"/>
      </w:r>
      <w:r w:rsidR="007518E4">
        <w:instrText xml:space="preserve"> ADDIN EN.CITE &lt;EndNote&gt;&lt;Cite&gt;&lt;Author&gt;Altschul&lt;/Author&gt;&lt;Year&gt;1997&lt;/Year&gt;&lt;RecNum&gt;105&lt;/RecNum&gt;&lt;DisplayText&gt;[101]&lt;/DisplayText&gt;&lt;record&gt;&lt;rec-number&gt;105&lt;/rec-number&gt;&lt;foreign-keys&gt;&lt;key app="EN" db-id="efx2002d5f0z21etvw3x9zp7tw2axpa2eez0" timestamp="1434343050"&gt;105&lt;/key&gt;&lt;/foreign-keys&gt;&lt;ref-type name="Journal Article"&gt;17&lt;/ref-type&gt;&lt;contributors&gt;&lt;authors&gt;&lt;author&gt;Altschul, Stephen F&lt;/author&gt;&lt;author&gt;Madden, Thomas L&lt;/author&gt;&lt;author&gt;Schäffer, Alejandro A&lt;/author&gt;&lt;author&gt;Zhang, Jinghui&lt;/author&gt;&lt;author&gt;Zhang, Zheng&lt;/author&gt;&lt;author&gt;Miller, Webb&lt;/author&gt;&lt;author&gt;Lipman, David J&lt;/author&gt;&lt;/authors&gt;&lt;/contributors&gt;&lt;titles&gt;&lt;title&gt;Gapped BLAST and PSI-BLAST: a new generation of protein database search programs&lt;/title&gt;&lt;secondary-title&gt;Nucleic acids research&lt;/secondary-title&gt;&lt;/titles&gt;&lt;periodical&gt;&lt;full-title&gt;Nucleic acids research&lt;/full-title&gt;&lt;/periodical&gt;&lt;pages&gt;3389-3402&lt;/pages&gt;&lt;volume&gt;25&lt;/volume&gt;&lt;number&gt;17&lt;/number&gt;&lt;dates&gt;&lt;year&gt;1997&lt;/year&gt;&lt;/dates&gt;&lt;isbn&gt;0305-1048&lt;/isbn&gt;&lt;urls&gt;&lt;/urls&gt;&lt;/record&gt;&lt;/Cite&gt;&lt;/EndNote&gt;</w:instrText>
      </w:r>
      <w:r w:rsidR="007518E4">
        <w:fldChar w:fldCharType="separate"/>
      </w:r>
      <w:r w:rsidR="007518E4">
        <w:rPr>
          <w:noProof/>
        </w:rPr>
        <w:t>[101]</w:t>
      </w:r>
      <w:r w:rsidR="007518E4">
        <w:fldChar w:fldCharType="end"/>
      </w:r>
      <w:r w:rsidR="00791C4E">
        <w:t xml:space="preserve"> </w:t>
      </w:r>
      <w:r w:rsidR="00423FE9">
        <w:t xml:space="preserve">at </w:t>
      </w:r>
      <w:r w:rsidR="00791C4E">
        <w:t>certain level of E-value, such as 0.00000001</w:t>
      </w:r>
      <w:r w:rsidR="00C73580">
        <w:t>, have</w:t>
      </w:r>
      <w:r w:rsidR="0092543D">
        <w:t xml:space="preserve"> been used</w:t>
      </w:r>
      <w:r w:rsidR="00791C4E">
        <w:t>.</w:t>
      </w:r>
      <w:r w:rsidR="00B96B7C">
        <w:t xml:space="preserve">  </w:t>
      </w:r>
      <w:r w:rsidR="00002BD7">
        <w:t>However, this old approach is different from the original COG construction</w:t>
      </w:r>
      <w:r w:rsidR="00D06868">
        <w:t xml:space="preserve"> in terms of requirements for</w:t>
      </w:r>
      <w:r w:rsidR="00002BD7">
        <w:t xml:space="preserve"> </w:t>
      </w:r>
      <w:r w:rsidR="00D06868">
        <w:t xml:space="preserve">being </w:t>
      </w:r>
      <w:r w:rsidR="00002BD7">
        <w:t xml:space="preserve">COG. </w:t>
      </w:r>
      <w:r w:rsidR="000E680B">
        <w:t xml:space="preserve"> COG requires at least three proteins from different lineages and </w:t>
      </w:r>
      <w:r w:rsidR="00641B64">
        <w:t>needs to shows</w:t>
      </w:r>
      <w:r w:rsidR="00A35CC6">
        <w:t xml:space="preserve"> </w:t>
      </w:r>
      <w:r w:rsidR="00641B64">
        <w:t xml:space="preserve">enough level of </w:t>
      </w:r>
      <w:r w:rsidR="00A35CC6">
        <w:t>similar</w:t>
      </w:r>
      <w:r w:rsidR="00641B64">
        <w:t>ity</w:t>
      </w:r>
      <w:r w:rsidR="00A35CC6">
        <w:t xml:space="preserve"> to members of COGs</w:t>
      </w:r>
      <w:r w:rsidR="00641B64">
        <w:t>, not only one</w:t>
      </w:r>
      <w:r w:rsidR="00A35CC6">
        <w:t xml:space="preserve">.  </w:t>
      </w:r>
      <w:r w:rsidR="001676BE">
        <w:t xml:space="preserve">However, </w:t>
      </w:r>
      <w:r w:rsidR="001E7341">
        <w:t xml:space="preserve">the simple method using </w:t>
      </w:r>
      <w:r w:rsidR="002239DE">
        <w:t>RPS-BLAST and PSI-BLAST</w:t>
      </w:r>
      <w:r w:rsidR="001E7341">
        <w:t xml:space="preserve"> </w:t>
      </w:r>
      <w:r w:rsidR="002239DE">
        <w:t xml:space="preserve">were </w:t>
      </w:r>
      <w:r w:rsidR="001E7341">
        <w:t xml:space="preserve">widely </w:t>
      </w:r>
      <w:r w:rsidR="002239DE">
        <w:lastRenderedPageBreak/>
        <w:t xml:space="preserve">accepted because </w:t>
      </w:r>
      <w:r w:rsidR="00732B5B">
        <w:t xml:space="preserve">those are easy to conduct and </w:t>
      </w:r>
      <w:r w:rsidR="001676BE">
        <w:t xml:space="preserve">original COG assignment algorithm, SymBet, is </w:t>
      </w:r>
      <w:r w:rsidR="00A01878">
        <w:t xml:space="preserve">hard to </w:t>
      </w:r>
      <w:r w:rsidR="006F1772">
        <w:t>follow</w:t>
      </w:r>
      <w:r w:rsidR="00A01878">
        <w:t xml:space="preserve">.  SymBet is </w:t>
      </w:r>
      <w:r w:rsidR="001676BE">
        <w:t xml:space="preserve">complicated and </w:t>
      </w:r>
      <w:r w:rsidR="000E0584">
        <w:t>too</w:t>
      </w:r>
      <w:r w:rsidR="001676BE">
        <w:t xml:space="preserve"> slow</w:t>
      </w:r>
      <w:r w:rsidR="000E0584">
        <w:t xml:space="preserve"> to run in local desktop</w:t>
      </w:r>
      <w:r w:rsidR="001676BE">
        <w:t xml:space="preserve">.  </w:t>
      </w:r>
    </w:p>
    <w:p w14:paraId="5EA8E90E" w14:textId="7E3EC98B" w:rsidR="00BD325D" w:rsidRDefault="007511C3" w:rsidP="00E21A27">
      <w:pPr>
        <w:spacing w:line="480" w:lineRule="auto"/>
        <w:ind w:firstLine="720"/>
        <w:rPr>
          <w:lang w:eastAsia="ko-KR"/>
        </w:rPr>
      </w:pPr>
      <w:r>
        <w:t xml:space="preserve">Newly released </w:t>
      </w:r>
      <w:r w:rsidR="00DC0AC7">
        <w:t xml:space="preserve">COGSoftware </w:t>
      </w:r>
      <w:r w:rsidR="00667B37">
        <w:t xml:space="preserve">employed EdgeSearch algorithm that is faster and </w:t>
      </w:r>
      <w:r w:rsidR="000E680B">
        <w:t>less complex</w:t>
      </w:r>
      <w:r w:rsidR="00667B37">
        <w:t xml:space="preserve"> than </w:t>
      </w:r>
      <w:r w:rsidR="00211086">
        <w:t>SymBet</w:t>
      </w:r>
      <w:r w:rsidR="00803E9C">
        <w:t xml:space="preserve"> so that new </w:t>
      </w:r>
      <w:r w:rsidR="00211086">
        <w:t xml:space="preserve">COGnitor enables us to assign COG ID to proteins in our dataset avoiding </w:t>
      </w:r>
      <w:r w:rsidR="00BA2FA7">
        <w:t>violation of</w:t>
      </w:r>
      <w:r w:rsidR="00211086">
        <w:t xml:space="preserve"> COG construction rules.</w:t>
      </w:r>
      <w:r w:rsidR="00C720EA">
        <w:t xml:space="preserve">  COG analysis of FAM</w:t>
      </w:r>
      <w:r w:rsidR="00734C28">
        <w:t xml:space="preserve"> employs</w:t>
      </w:r>
      <w:r w:rsidR="00C720EA">
        <w:t xml:space="preserve"> COGSoftware</w:t>
      </w:r>
      <w:r w:rsidR="00856B18">
        <w:t xml:space="preserve"> for COG allocation</w:t>
      </w:r>
      <w:r w:rsidR="00C720EA">
        <w:t>.</w:t>
      </w:r>
      <w:r w:rsidR="0075598D">
        <w:t xml:space="preserve">  </w:t>
      </w:r>
      <w:r w:rsidR="00774A74">
        <w:t xml:space="preserve">COGSoftware go through </w:t>
      </w:r>
      <w:r w:rsidR="003E781A">
        <w:t>two</w:t>
      </w:r>
      <w:r w:rsidR="00774A74">
        <w:t xml:space="preserve"> steps to assign COG to new protein</w:t>
      </w:r>
      <w:r w:rsidR="002E5BED">
        <w:t xml:space="preserve">s.  </w:t>
      </w:r>
      <w:r w:rsidR="00346A05">
        <w:t xml:space="preserve">Prior to COG assignment, COGSoftware requires </w:t>
      </w:r>
      <w:r w:rsidR="009E2BBD">
        <w:t>PSI-BLAST results compared</w:t>
      </w:r>
      <w:r w:rsidR="00CF0444">
        <w:t xml:space="preserve"> query protein sequences against </w:t>
      </w:r>
      <w:r w:rsidR="009E2BBD">
        <w:t>COG DB</w:t>
      </w:r>
      <w:r w:rsidR="002E5BED">
        <w:t xml:space="preserve"> and query against itself.</w:t>
      </w:r>
      <w:r w:rsidR="002D2F40">
        <w:t xml:space="preserve">  </w:t>
      </w:r>
      <w:r w:rsidR="00B70591">
        <w:t>With these multiple sequence alignment</w:t>
      </w:r>
      <w:r w:rsidR="00E930F6">
        <w:t xml:space="preserve">, COGSoftware </w:t>
      </w:r>
      <w:r w:rsidR="002002A5">
        <w:t>finds be</w:t>
      </w:r>
      <w:r w:rsidR="00DA7AD1">
        <w:t xml:space="preserve">st COG terms to query proteins.  </w:t>
      </w:r>
    </w:p>
    <w:p w14:paraId="177834DE" w14:textId="2A49138F" w:rsidR="006E5BD3" w:rsidRDefault="000E3110" w:rsidP="0075598D">
      <w:pPr>
        <w:spacing w:line="480" w:lineRule="auto"/>
        <w:ind w:firstLine="720"/>
      </w:pPr>
      <w:r>
        <w:t xml:space="preserve">FAM </w:t>
      </w:r>
      <w:r w:rsidR="00BE4EA9">
        <w:t xml:space="preserve">controls COGSoftware and distributes </w:t>
      </w:r>
      <w:r w:rsidR="00B31371">
        <w:t>PSI-BLAST</w:t>
      </w:r>
      <w:r w:rsidR="00BE4EA9">
        <w:t xml:space="preserve"> job to 48 CPUs </w:t>
      </w:r>
      <w:r w:rsidR="00234E35">
        <w:t>for speed up</w:t>
      </w:r>
      <w:r w:rsidR="00CD0B3C">
        <w:t xml:space="preserve"> (Fig. 22)</w:t>
      </w:r>
      <w:r w:rsidR="00BE614C">
        <w:t>.</w:t>
      </w:r>
      <w:r w:rsidR="00477F0B">
        <w:t xml:space="preserve">  Sequence comparisons using PSI-BLAST takes most of time of COG analysis.  </w:t>
      </w:r>
      <w:r w:rsidR="00340E31">
        <w:t xml:space="preserve">PSI-BLAST execution time depends on </w:t>
      </w:r>
      <w:r w:rsidR="001E3C92">
        <w:t>BLAST DB size and query protein size.</w:t>
      </w:r>
      <w:r w:rsidR="00BE3CEA">
        <w:t xml:space="preserve">  Size of the </w:t>
      </w:r>
      <w:r w:rsidR="00D33EC0">
        <w:t xml:space="preserve">BLAST DB and </w:t>
      </w:r>
      <w:r w:rsidR="00BE3CEA">
        <w:t xml:space="preserve">the </w:t>
      </w:r>
      <w:r w:rsidR="00D33EC0">
        <w:t>query protein FASTA file are large</w:t>
      </w:r>
      <w:r w:rsidR="00F70E53">
        <w:t xml:space="preserve"> because FAM requires whole protein sequence database, used for PSM search of LC-MS/MS data.  </w:t>
      </w:r>
      <w:r w:rsidR="008F27F2">
        <w:t xml:space="preserve">In metaproteomics, this DB </w:t>
      </w:r>
      <w:r w:rsidR="00C322CB">
        <w:t>is</w:t>
      </w:r>
      <w:r w:rsidR="008F27F2">
        <w:t xml:space="preserve"> </w:t>
      </w:r>
      <w:r w:rsidR="00BE3CEA">
        <w:t>several hundred</w:t>
      </w:r>
      <w:r w:rsidR="001268F7">
        <w:t xml:space="preserve">s megabytes.  </w:t>
      </w:r>
      <w:r w:rsidR="00D10FD7">
        <w:t>FAM divides the large protein DB</w:t>
      </w:r>
      <w:r w:rsidR="009872DD">
        <w:t xml:space="preserve"> into small chunks and </w:t>
      </w:r>
      <w:r w:rsidR="008B3CDC">
        <w:t xml:space="preserve">runs PSI-BLAST simultaneously.  </w:t>
      </w:r>
      <w:r w:rsidR="007A2478">
        <w:t>FAM also waits until a</w:t>
      </w:r>
      <w:r w:rsidR="002B7BE6">
        <w:t>ll the PSI</w:t>
      </w:r>
      <w:r w:rsidR="007A2478">
        <w:t xml:space="preserve">-BLAST jobs are done, </w:t>
      </w:r>
      <w:r w:rsidR="002B7BE6">
        <w:t>and then</w:t>
      </w:r>
      <w:r w:rsidR="007A2478">
        <w:t xml:space="preserve"> it executes COGSoftware </w:t>
      </w:r>
      <w:r w:rsidR="002B7BE6">
        <w:t>to process PSI</w:t>
      </w:r>
      <w:r w:rsidR="00BA6FC5">
        <w:t>-BLAST results.</w:t>
      </w:r>
      <w:r w:rsidR="001E5A38">
        <w:t xml:space="preserve">  This process is automated and controlled by python script.</w:t>
      </w:r>
    </w:p>
    <w:p w14:paraId="7FFE4567" w14:textId="6B38D67F" w:rsidR="006E5BD3" w:rsidRDefault="00C51F7B" w:rsidP="00C51F7B">
      <w:pPr>
        <w:keepNext/>
        <w:spacing w:line="480" w:lineRule="auto"/>
        <w:ind w:firstLine="720"/>
      </w:pPr>
      <w:r>
        <w:t>Next step of COG analysis is the enrichment test (Fig. 22).  This enrichment test is similar to what was done in BioSystems analysis.</w:t>
      </w:r>
      <w:r w:rsidR="006E5BD3">
        <w:br w:type="page"/>
      </w:r>
      <w:r w:rsidR="006E5BD3">
        <w:rPr>
          <w:noProof/>
        </w:rPr>
        <w:lastRenderedPageBreak/>
        <w:drawing>
          <wp:inline distT="0" distB="0" distL="0" distR="0" wp14:anchorId="3BDB9641" wp14:editId="4C137C68">
            <wp:extent cx="5555495" cy="491490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2.jpg"/>
                    <pic:cNvPicPr/>
                  </pic:nvPicPr>
                  <pic:blipFill rotWithShape="1">
                    <a:blip r:embed="rId42">
                      <a:extLst>
                        <a:ext uri="{28A0092B-C50C-407E-A947-70E740481C1C}">
                          <a14:useLocalDpi xmlns:a14="http://schemas.microsoft.com/office/drawing/2010/main" val="0"/>
                        </a:ext>
                      </a:extLst>
                    </a:blip>
                    <a:srcRect l="15224"/>
                    <a:stretch/>
                  </pic:blipFill>
                  <pic:spPr bwMode="auto">
                    <a:xfrm>
                      <a:off x="0" y="0"/>
                      <a:ext cx="5556347" cy="4915654"/>
                    </a:xfrm>
                    <a:prstGeom prst="rect">
                      <a:avLst/>
                    </a:prstGeom>
                    <a:ln>
                      <a:noFill/>
                    </a:ln>
                    <a:extLst>
                      <a:ext uri="{53640926-AAD7-44d8-BBD7-CCE9431645EC}">
                        <a14:shadowObscured xmlns:a14="http://schemas.microsoft.com/office/drawing/2010/main"/>
                      </a:ext>
                    </a:extLst>
                  </pic:spPr>
                </pic:pic>
              </a:graphicData>
            </a:graphic>
          </wp:inline>
        </w:drawing>
      </w:r>
    </w:p>
    <w:p w14:paraId="58B97DFF" w14:textId="404248B4" w:rsidR="001E5A38" w:rsidRDefault="006E5BD3" w:rsidP="000C1AD7">
      <w:pPr>
        <w:pStyle w:val="Caption"/>
        <w:rPr>
          <w:b w:val="0"/>
        </w:rPr>
      </w:pPr>
      <w:bookmarkStart w:id="51" w:name="_Toc296333115"/>
      <w:r>
        <w:t xml:space="preserve">Figure </w:t>
      </w:r>
      <w:fldSimple w:instr=" SEQ Figure \* ARABIC ">
        <w:r w:rsidR="002B3E83">
          <w:rPr>
            <w:noProof/>
          </w:rPr>
          <w:t>22</w:t>
        </w:r>
      </w:fldSimple>
      <w:r>
        <w:t xml:space="preserve"> COG analysis part of FAM.  </w:t>
      </w:r>
      <w:r>
        <w:rPr>
          <w:b w:val="0"/>
        </w:rPr>
        <w:t xml:space="preserve">COG analysis starts running PSI-BLAST and COGSoftware to identify COG IDs of query proteins.  With the identified COG IDs, </w:t>
      </w:r>
      <w:proofErr w:type="gramStart"/>
      <w:r>
        <w:rPr>
          <w:b w:val="0"/>
        </w:rPr>
        <w:t>enrichment test and significance test are conducted by the R and Python scripts of FAM</w:t>
      </w:r>
      <w:proofErr w:type="gramEnd"/>
      <w:r>
        <w:rPr>
          <w:b w:val="0"/>
        </w:rPr>
        <w:t xml:space="preserve">.  </w:t>
      </w:r>
      <w:r w:rsidR="0083076E">
        <w:rPr>
          <w:b w:val="0"/>
        </w:rPr>
        <w:t>Orange color box: input files, blue oval shape: python and R scripts, Green box: COGSoftware and PSI-BLAST, purple box: distributed jobs and light purple box: output files</w:t>
      </w:r>
      <w:bookmarkEnd w:id="51"/>
    </w:p>
    <w:p w14:paraId="49EBFEAD" w14:textId="77777777" w:rsidR="001E5A38" w:rsidRDefault="001E5A38">
      <w:pPr>
        <w:jc w:val="left"/>
        <w:rPr>
          <w:bCs/>
          <w:szCs w:val="20"/>
        </w:rPr>
      </w:pPr>
      <w:r>
        <w:rPr>
          <w:b/>
        </w:rPr>
        <w:br w:type="page"/>
      </w:r>
    </w:p>
    <w:p w14:paraId="7D961227" w14:textId="2DBD9D4F" w:rsidR="001E5A38" w:rsidRDefault="00303C09" w:rsidP="00371062">
      <w:pPr>
        <w:spacing w:line="480" w:lineRule="auto"/>
      </w:pPr>
      <w:r>
        <w:lastRenderedPageBreak/>
        <w:t>However, COG identification of the whole protein DB</w:t>
      </w:r>
      <w:r w:rsidR="00C0792A">
        <w:t xml:space="preserve"> is limited or not provided from publicly available databases</w:t>
      </w:r>
      <w:r w:rsidR="000A1A06">
        <w:t>, while BioSystems get this information from NCBI BioSystems.</w:t>
      </w:r>
      <w:r w:rsidR="00371062">
        <w:t xml:space="preserve">  Hence, FAM identifies</w:t>
      </w:r>
      <w:r w:rsidR="001E5A38">
        <w:t xml:space="preserve"> all the possible COGs in the whole metaproteomics protein DB at the precedent step despite of long </w:t>
      </w:r>
      <w:r w:rsidR="00AC47B4">
        <w:t>PSI-BLAST running time (Fig. 22</w:t>
      </w:r>
      <w:r w:rsidR="001E5A38">
        <w:t xml:space="preserve">).  </w:t>
      </w:r>
      <w:r w:rsidR="00840BE8">
        <w:t xml:space="preserve">To annotate protein DB used for fecal proteome study in chapter 4, </w:t>
      </w:r>
      <w:r w:rsidR="00975017">
        <w:t xml:space="preserve">almost </w:t>
      </w:r>
      <w:r w:rsidR="00717D7A">
        <w:t xml:space="preserve">12 hours was required even though we distributed </w:t>
      </w:r>
      <w:r w:rsidR="000B5BE9">
        <w:t>sequences</w:t>
      </w:r>
      <w:r w:rsidR="00717D7A">
        <w:t xml:space="preserve"> to 48 CPUs.</w:t>
      </w:r>
      <w:r w:rsidR="00975017">
        <w:t xml:space="preserve">  </w:t>
      </w:r>
      <w:r w:rsidR="001E5A38">
        <w:t xml:space="preserve">Since the enrichment test measures how significantly the expression profile is enriched from the total DB, </w:t>
      </w:r>
      <w:r w:rsidR="00C65D7A">
        <w:t>FAM needs COG identification of</w:t>
      </w:r>
      <w:r w:rsidR="009A1E2E">
        <w:t xml:space="preserve"> </w:t>
      </w:r>
      <w:r w:rsidR="001A4B27">
        <w:t xml:space="preserve">whole </w:t>
      </w:r>
      <w:r w:rsidR="000B5BE9">
        <w:t>protein pool.</w:t>
      </w:r>
      <w:r w:rsidR="00D15F92">
        <w:t xml:space="preserve">  FAM makes the contingency table for every COG (Table 10) and calculate p-value using Fisher’s exact test</w:t>
      </w:r>
      <w:r w:rsidR="00792755">
        <w:t xml:space="preserve">. </w:t>
      </w:r>
    </w:p>
    <w:p w14:paraId="0143642C" w14:textId="77777777" w:rsidR="001E5A38" w:rsidRPr="00D50CA3" w:rsidRDefault="001E5A38" w:rsidP="001E5A38">
      <w:pPr>
        <w:pStyle w:val="Caption"/>
        <w:keepNext/>
        <w:rPr>
          <w:b w:val="0"/>
        </w:rPr>
      </w:pPr>
      <w:bookmarkStart w:id="52" w:name="_Toc296333082"/>
      <w:r>
        <w:t xml:space="preserve">Table </w:t>
      </w:r>
      <w:fldSimple w:instr=" SEQ Table \* ARABIC ">
        <w:r w:rsidR="0093776B">
          <w:rPr>
            <w:noProof/>
          </w:rPr>
          <w:t>10</w:t>
        </w:r>
      </w:fldSimple>
      <w:r>
        <w:t xml:space="preserve"> An example contingency table for one COG ID of the enrichment test of FAM.  </w:t>
      </w:r>
      <w:r>
        <w:rPr>
          <w:b w:val="0"/>
        </w:rPr>
        <w:t>Numbers in every cell are the number proteins.</w:t>
      </w:r>
      <w:bookmarkEnd w:id="52"/>
    </w:p>
    <w:tbl>
      <w:tblPr>
        <w:tblW w:w="7567" w:type="dxa"/>
        <w:jc w:val="center"/>
        <w:tblCellMar>
          <w:left w:w="115" w:type="dxa"/>
          <w:right w:w="115" w:type="dxa"/>
        </w:tblCellMar>
        <w:tblLook w:val="04A0" w:firstRow="1" w:lastRow="0" w:firstColumn="1" w:lastColumn="0" w:noHBand="0" w:noVBand="1"/>
      </w:tblPr>
      <w:tblGrid>
        <w:gridCol w:w="1624"/>
        <w:gridCol w:w="3171"/>
        <w:gridCol w:w="2772"/>
      </w:tblGrid>
      <w:tr w:rsidR="001E5A38" w14:paraId="4C659477" w14:textId="77777777" w:rsidTr="00303C09">
        <w:trPr>
          <w:jc w:val="center"/>
        </w:trPr>
        <w:tc>
          <w:tcPr>
            <w:tcW w:w="1624" w:type="dxa"/>
          </w:tcPr>
          <w:p w14:paraId="1166A528" w14:textId="77777777" w:rsidR="001E5A38" w:rsidRDefault="001E5A38" w:rsidP="00303C09">
            <w:pPr>
              <w:pStyle w:val="Caption"/>
              <w:spacing w:line="240" w:lineRule="auto"/>
              <w:rPr>
                <w:b w:val="0"/>
                <w:lang w:eastAsia="ko-KR"/>
              </w:rPr>
            </w:pPr>
          </w:p>
        </w:tc>
        <w:tc>
          <w:tcPr>
            <w:tcW w:w="3171" w:type="dxa"/>
          </w:tcPr>
          <w:p w14:paraId="29DAB9B7" w14:textId="77777777" w:rsidR="001E5A38" w:rsidRDefault="001E5A38" w:rsidP="00303C09">
            <w:pPr>
              <w:pStyle w:val="Caption"/>
              <w:spacing w:line="240" w:lineRule="auto"/>
              <w:jc w:val="right"/>
              <w:rPr>
                <w:b w:val="0"/>
                <w:lang w:eastAsia="ko-KR"/>
              </w:rPr>
            </w:pPr>
            <w:r>
              <w:rPr>
                <w:b w:val="0"/>
                <w:lang w:eastAsia="ko-KR"/>
              </w:rPr>
              <w:t>Expression profile data</w:t>
            </w:r>
          </w:p>
        </w:tc>
        <w:tc>
          <w:tcPr>
            <w:tcW w:w="2772" w:type="dxa"/>
          </w:tcPr>
          <w:p w14:paraId="471359B7" w14:textId="77777777" w:rsidR="001E5A38" w:rsidRDefault="001E5A38" w:rsidP="00303C09">
            <w:pPr>
              <w:pStyle w:val="Caption"/>
              <w:spacing w:line="240" w:lineRule="auto"/>
              <w:jc w:val="right"/>
              <w:rPr>
                <w:b w:val="0"/>
                <w:lang w:eastAsia="ko-KR"/>
              </w:rPr>
            </w:pPr>
            <w:r>
              <w:rPr>
                <w:b w:val="0"/>
                <w:lang w:eastAsia="ko-KR"/>
              </w:rPr>
              <w:t>Entire proteins in metaproteomics DB</w:t>
            </w:r>
          </w:p>
        </w:tc>
      </w:tr>
      <w:tr w:rsidR="001E5A38" w14:paraId="03E5D827" w14:textId="77777777" w:rsidTr="00303C09">
        <w:trPr>
          <w:trHeight w:val="300"/>
          <w:jc w:val="center"/>
        </w:trPr>
        <w:tc>
          <w:tcPr>
            <w:tcW w:w="1624" w:type="dxa"/>
          </w:tcPr>
          <w:p w14:paraId="6FFD6641" w14:textId="77777777" w:rsidR="001E5A38" w:rsidRDefault="001E5A38" w:rsidP="00303C09">
            <w:pPr>
              <w:pStyle w:val="Caption"/>
              <w:spacing w:line="240" w:lineRule="auto"/>
              <w:rPr>
                <w:b w:val="0"/>
                <w:lang w:eastAsia="ko-KR"/>
              </w:rPr>
            </w:pPr>
            <w:r>
              <w:rPr>
                <w:b w:val="0"/>
                <w:lang w:eastAsia="ko-KR"/>
              </w:rPr>
              <w:t>Matched</w:t>
            </w:r>
          </w:p>
        </w:tc>
        <w:tc>
          <w:tcPr>
            <w:tcW w:w="3171" w:type="dxa"/>
          </w:tcPr>
          <w:p w14:paraId="6748C153" w14:textId="77777777" w:rsidR="001E5A38" w:rsidRDefault="001E5A38" w:rsidP="00303C09">
            <w:pPr>
              <w:pStyle w:val="Caption"/>
              <w:spacing w:line="240" w:lineRule="auto"/>
              <w:jc w:val="right"/>
              <w:rPr>
                <w:b w:val="0"/>
                <w:lang w:eastAsia="ko-KR"/>
              </w:rPr>
            </w:pPr>
            <w:r>
              <w:rPr>
                <w:b w:val="0"/>
                <w:lang w:eastAsia="ko-KR"/>
              </w:rPr>
              <w:t>34</w:t>
            </w:r>
          </w:p>
        </w:tc>
        <w:tc>
          <w:tcPr>
            <w:tcW w:w="2772" w:type="dxa"/>
          </w:tcPr>
          <w:p w14:paraId="6D2D74C7" w14:textId="77777777" w:rsidR="001E5A38" w:rsidRDefault="001E5A38" w:rsidP="00303C09">
            <w:pPr>
              <w:pStyle w:val="Caption"/>
              <w:spacing w:line="240" w:lineRule="auto"/>
              <w:jc w:val="right"/>
              <w:rPr>
                <w:b w:val="0"/>
                <w:lang w:eastAsia="ko-KR"/>
              </w:rPr>
            </w:pPr>
            <w:r>
              <w:rPr>
                <w:b w:val="0"/>
                <w:lang w:eastAsia="ko-KR"/>
              </w:rPr>
              <w:t>77</w:t>
            </w:r>
          </w:p>
        </w:tc>
      </w:tr>
      <w:tr w:rsidR="001E5A38" w14:paraId="56C38D58" w14:textId="77777777" w:rsidTr="00303C09">
        <w:trPr>
          <w:jc w:val="center"/>
        </w:trPr>
        <w:tc>
          <w:tcPr>
            <w:tcW w:w="1624" w:type="dxa"/>
          </w:tcPr>
          <w:p w14:paraId="23A20C56" w14:textId="77777777" w:rsidR="001E5A38" w:rsidRDefault="001E5A38" w:rsidP="00303C09">
            <w:pPr>
              <w:pStyle w:val="Caption"/>
              <w:spacing w:line="240" w:lineRule="auto"/>
              <w:rPr>
                <w:b w:val="0"/>
                <w:lang w:eastAsia="ko-KR"/>
              </w:rPr>
            </w:pPr>
            <w:r>
              <w:rPr>
                <w:b w:val="0"/>
                <w:lang w:eastAsia="ko-KR"/>
              </w:rPr>
              <w:t>Unmatched</w:t>
            </w:r>
          </w:p>
        </w:tc>
        <w:tc>
          <w:tcPr>
            <w:tcW w:w="3171" w:type="dxa"/>
          </w:tcPr>
          <w:p w14:paraId="1AC0139D" w14:textId="77777777" w:rsidR="001E5A38" w:rsidRDefault="001E5A38" w:rsidP="00303C09">
            <w:pPr>
              <w:pStyle w:val="Caption"/>
              <w:spacing w:line="240" w:lineRule="auto"/>
              <w:jc w:val="right"/>
              <w:rPr>
                <w:b w:val="0"/>
                <w:lang w:eastAsia="ko-KR"/>
              </w:rPr>
            </w:pPr>
            <w:r>
              <w:rPr>
                <w:b w:val="0"/>
                <w:lang w:eastAsia="ko-KR"/>
              </w:rPr>
              <w:t>48,934</w:t>
            </w:r>
          </w:p>
        </w:tc>
        <w:tc>
          <w:tcPr>
            <w:tcW w:w="2772" w:type="dxa"/>
          </w:tcPr>
          <w:p w14:paraId="55BD35BE" w14:textId="77777777" w:rsidR="001E5A38" w:rsidRDefault="001E5A38" w:rsidP="00303C09">
            <w:pPr>
              <w:pStyle w:val="Caption"/>
              <w:spacing w:line="240" w:lineRule="auto"/>
              <w:jc w:val="right"/>
              <w:rPr>
                <w:b w:val="0"/>
                <w:lang w:eastAsia="ko-KR"/>
              </w:rPr>
            </w:pPr>
            <w:r>
              <w:rPr>
                <w:b w:val="0"/>
                <w:lang w:eastAsia="ko-KR"/>
              </w:rPr>
              <w:t>263,921</w:t>
            </w:r>
          </w:p>
        </w:tc>
      </w:tr>
      <w:tr w:rsidR="001E5A38" w14:paraId="07F4C007" w14:textId="77777777" w:rsidTr="00303C09">
        <w:trPr>
          <w:jc w:val="center"/>
        </w:trPr>
        <w:tc>
          <w:tcPr>
            <w:tcW w:w="1624" w:type="dxa"/>
          </w:tcPr>
          <w:p w14:paraId="27124236" w14:textId="77777777" w:rsidR="001E5A38" w:rsidRDefault="001E5A38" w:rsidP="00303C09">
            <w:pPr>
              <w:pStyle w:val="Caption"/>
              <w:spacing w:line="240" w:lineRule="auto"/>
              <w:rPr>
                <w:b w:val="0"/>
                <w:lang w:eastAsia="ko-KR"/>
              </w:rPr>
            </w:pPr>
            <w:r>
              <w:rPr>
                <w:b w:val="0"/>
                <w:lang w:eastAsia="ko-KR"/>
              </w:rPr>
              <w:t>Total</w:t>
            </w:r>
          </w:p>
        </w:tc>
        <w:tc>
          <w:tcPr>
            <w:tcW w:w="3171" w:type="dxa"/>
          </w:tcPr>
          <w:p w14:paraId="0282D1E9" w14:textId="77777777" w:rsidR="001E5A38" w:rsidRDefault="001E5A38" w:rsidP="00303C09">
            <w:pPr>
              <w:pStyle w:val="Caption"/>
              <w:spacing w:line="240" w:lineRule="auto"/>
              <w:jc w:val="right"/>
              <w:rPr>
                <w:b w:val="0"/>
                <w:lang w:eastAsia="ko-KR"/>
              </w:rPr>
            </w:pPr>
            <w:r>
              <w:rPr>
                <w:b w:val="0"/>
                <w:lang w:eastAsia="ko-KR"/>
              </w:rPr>
              <w:t>48,968</w:t>
            </w:r>
          </w:p>
        </w:tc>
        <w:tc>
          <w:tcPr>
            <w:tcW w:w="2772" w:type="dxa"/>
          </w:tcPr>
          <w:p w14:paraId="6FBB8546" w14:textId="77777777" w:rsidR="001E5A38" w:rsidRDefault="001E5A38" w:rsidP="00303C09">
            <w:pPr>
              <w:pStyle w:val="Caption"/>
              <w:spacing w:line="240" w:lineRule="auto"/>
              <w:jc w:val="right"/>
              <w:rPr>
                <w:b w:val="0"/>
                <w:lang w:eastAsia="ko-KR"/>
              </w:rPr>
            </w:pPr>
            <w:r>
              <w:rPr>
                <w:b w:val="0"/>
                <w:lang w:eastAsia="ko-KR"/>
              </w:rPr>
              <w:t>263,998</w:t>
            </w:r>
          </w:p>
        </w:tc>
      </w:tr>
    </w:tbl>
    <w:p w14:paraId="65AD7142" w14:textId="77777777" w:rsidR="00033957" w:rsidRDefault="00033957" w:rsidP="00033957">
      <w:pPr>
        <w:spacing w:line="480" w:lineRule="auto"/>
      </w:pPr>
    </w:p>
    <w:p w14:paraId="587CC791" w14:textId="551F8EF1" w:rsidR="00163D3C" w:rsidRDefault="00033957" w:rsidP="00033957">
      <w:pPr>
        <w:spacing w:line="480" w:lineRule="auto"/>
      </w:pPr>
      <w:r>
        <w:t>P-values are adjusted by user-selected method, such as FDR, foll</w:t>
      </w:r>
      <w:r w:rsidR="00AA0515">
        <w:t xml:space="preserve">owing the enrichment test.  </w:t>
      </w:r>
      <w:r w:rsidR="00B578FD">
        <w:t xml:space="preserve">The enrichment test script produces expression </w:t>
      </w:r>
      <w:r w:rsidR="00630C04">
        <w:t>profile of every identified COG</w:t>
      </w:r>
      <w:r w:rsidR="00B578FD">
        <w:t xml:space="preserve">.  </w:t>
      </w:r>
      <w:r w:rsidR="00CA1145">
        <w:t>This expression profile gets</w:t>
      </w:r>
      <w:r w:rsidR="003359ED">
        <w:t xml:space="preserve"> through significance test of QAM.  </w:t>
      </w:r>
      <w:r w:rsidR="00CA1145">
        <w:t xml:space="preserve">Results of significance test and enrichment test are integrated and </w:t>
      </w:r>
      <w:r w:rsidR="00BB7516">
        <w:t xml:space="preserve">finally </w:t>
      </w:r>
      <w:r w:rsidR="00272235">
        <w:t>significant COGs are reported</w:t>
      </w:r>
      <w:r w:rsidR="00E653AA">
        <w:t xml:space="preserve"> (Table 11)</w:t>
      </w:r>
      <w:r w:rsidR="00272235">
        <w:t>.</w:t>
      </w:r>
    </w:p>
    <w:p w14:paraId="3DF839B4" w14:textId="78129F82" w:rsidR="00257F17" w:rsidRPr="00927F75" w:rsidRDefault="00257F17" w:rsidP="00257F17">
      <w:pPr>
        <w:pStyle w:val="Caption"/>
        <w:keepNext/>
        <w:rPr>
          <w:b w:val="0"/>
        </w:rPr>
      </w:pPr>
      <w:bookmarkStart w:id="53" w:name="_Toc296333083"/>
      <w:r>
        <w:lastRenderedPageBreak/>
        <w:t xml:space="preserve">Table </w:t>
      </w:r>
      <w:fldSimple w:instr=" SEQ Table \* ARABIC ">
        <w:r w:rsidR="0093776B">
          <w:rPr>
            <w:noProof/>
          </w:rPr>
          <w:t>11</w:t>
        </w:r>
      </w:fldSimple>
      <w:r>
        <w:t xml:space="preserve"> Example result of </w:t>
      </w:r>
      <w:r w:rsidR="00927F75">
        <w:t xml:space="preserve">COG analysis in FAM.  </w:t>
      </w:r>
      <w:r w:rsidR="00495B74">
        <w:rPr>
          <w:b w:val="0"/>
        </w:rPr>
        <w:t xml:space="preserve">Same threshold was applied to BioSystem analysis in table 8.  Func. </w:t>
      </w:r>
      <w:proofErr w:type="gramStart"/>
      <w:r w:rsidR="00495B74">
        <w:rPr>
          <w:b w:val="0"/>
        </w:rPr>
        <w:t>cat</w:t>
      </w:r>
      <w:proofErr w:type="gramEnd"/>
      <w:r w:rsidR="00495B74">
        <w:rPr>
          <w:b w:val="0"/>
        </w:rPr>
        <w:t>.: COG functional category</w:t>
      </w:r>
      <w:bookmarkEnd w:id="53"/>
    </w:p>
    <w:tbl>
      <w:tblPr>
        <w:tblW w:w="9092" w:type="dxa"/>
        <w:tblLayout w:type="fixed"/>
        <w:tblLook w:val="04A0" w:firstRow="1" w:lastRow="0" w:firstColumn="1" w:lastColumn="0" w:noHBand="0" w:noVBand="1"/>
      </w:tblPr>
      <w:tblGrid>
        <w:gridCol w:w="1278"/>
        <w:gridCol w:w="2520"/>
        <w:gridCol w:w="1341"/>
        <w:gridCol w:w="757"/>
        <w:gridCol w:w="1052"/>
        <w:gridCol w:w="990"/>
        <w:gridCol w:w="1154"/>
      </w:tblGrid>
      <w:tr w:rsidR="00257F17" w:rsidRPr="00257F17" w14:paraId="6A1B21A3" w14:textId="77777777" w:rsidTr="00257F17">
        <w:trPr>
          <w:trHeight w:val="300"/>
        </w:trPr>
        <w:tc>
          <w:tcPr>
            <w:tcW w:w="1278" w:type="dxa"/>
            <w:noWrap/>
            <w:hideMark/>
          </w:tcPr>
          <w:p w14:paraId="55B87EFE"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 ID</w:t>
            </w:r>
          </w:p>
        </w:tc>
        <w:tc>
          <w:tcPr>
            <w:tcW w:w="2520" w:type="dxa"/>
            <w:noWrap/>
            <w:hideMark/>
          </w:tcPr>
          <w:p w14:paraId="21ECB177" w14:textId="12EF21D5" w:rsidR="00257F17" w:rsidRPr="00257F17" w:rsidRDefault="00257F17" w:rsidP="00257F17">
            <w:pPr>
              <w:jc w:val="left"/>
              <w:rPr>
                <w:rFonts w:ascii="Calibri" w:eastAsia="Times New Roman" w:hAnsi="Calibri"/>
                <w:color w:val="000000"/>
              </w:rPr>
            </w:pPr>
            <w:r w:rsidRPr="00C5584D">
              <w:rPr>
                <w:rFonts w:ascii="Calibri" w:eastAsia="Times New Roman" w:hAnsi="Calibri"/>
                <w:color w:val="000000"/>
              </w:rPr>
              <w:t>Description</w:t>
            </w:r>
          </w:p>
        </w:tc>
        <w:tc>
          <w:tcPr>
            <w:tcW w:w="1341" w:type="dxa"/>
            <w:noWrap/>
            <w:hideMark/>
          </w:tcPr>
          <w:p w14:paraId="1060D7E2" w14:textId="212BBB49" w:rsidR="00257F17" w:rsidRPr="00257F17" w:rsidRDefault="00257F17" w:rsidP="00257F17">
            <w:pPr>
              <w:jc w:val="left"/>
              <w:rPr>
                <w:rFonts w:ascii="Calibri" w:eastAsia="Times New Roman" w:hAnsi="Calibri"/>
                <w:color w:val="000000"/>
              </w:rPr>
            </w:pPr>
            <w:r w:rsidRPr="00C5584D">
              <w:rPr>
                <w:rFonts w:ascii="Calibri" w:eastAsia="Times New Roman" w:hAnsi="Calibri"/>
                <w:color w:val="000000"/>
              </w:rPr>
              <w:t>Enrichment FDR</w:t>
            </w:r>
          </w:p>
        </w:tc>
        <w:tc>
          <w:tcPr>
            <w:tcW w:w="757" w:type="dxa"/>
            <w:noWrap/>
            <w:hideMark/>
          </w:tcPr>
          <w:p w14:paraId="6E46AEAC" w14:textId="506E5CEF" w:rsidR="00257F17" w:rsidRPr="00257F17" w:rsidRDefault="00257F17" w:rsidP="00257F17">
            <w:pPr>
              <w:jc w:val="left"/>
              <w:rPr>
                <w:rFonts w:ascii="Calibri" w:eastAsia="Times New Roman" w:hAnsi="Calibri"/>
                <w:color w:val="000000"/>
              </w:rPr>
            </w:pPr>
            <w:r>
              <w:rPr>
                <w:rFonts w:ascii="Calibri" w:eastAsia="Times New Roman" w:hAnsi="Calibri"/>
                <w:color w:val="000000"/>
              </w:rPr>
              <w:t xml:space="preserve">Func. </w:t>
            </w:r>
            <w:proofErr w:type="gramStart"/>
            <w:r>
              <w:rPr>
                <w:rFonts w:ascii="Calibri" w:eastAsia="Times New Roman" w:hAnsi="Calibri"/>
                <w:color w:val="000000"/>
              </w:rPr>
              <w:t>cat</w:t>
            </w:r>
            <w:proofErr w:type="gramEnd"/>
            <w:r>
              <w:rPr>
                <w:rFonts w:ascii="Calibri" w:eastAsia="Times New Roman" w:hAnsi="Calibri"/>
                <w:color w:val="000000"/>
              </w:rPr>
              <w:t>.</w:t>
            </w:r>
          </w:p>
        </w:tc>
        <w:tc>
          <w:tcPr>
            <w:tcW w:w="1052" w:type="dxa"/>
            <w:noWrap/>
            <w:hideMark/>
          </w:tcPr>
          <w:p w14:paraId="28A7F7D1" w14:textId="5B61C74C" w:rsidR="00257F17" w:rsidRPr="00257F17" w:rsidRDefault="00257F17" w:rsidP="00257F17">
            <w:pPr>
              <w:jc w:val="left"/>
              <w:rPr>
                <w:rFonts w:ascii="Calibri" w:eastAsia="Times New Roman" w:hAnsi="Calibri"/>
                <w:color w:val="000000"/>
              </w:rPr>
            </w:pPr>
            <w:r w:rsidRPr="00C5584D">
              <w:rPr>
                <w:rFonts w:ascii="Calibri" w:eastAsia="Times New Roman" w:hAnsi="Calibri"/>
                <w:color w:val="000000"/>
              </w:rPr>
              <w:t xml:space="preserve"># </w:t>
            </w:r>
            <w:proofErr w:type="gramStart"/>
            <w:r w:rsidRPr="00C5584D">
              <w:rPr>
                <w:rFonts w:ascii="Calibri" w:eastAsia="Times New Roman" w:hAnsi="Calibri"/>
                <w:color w:val="000000"/>
              </w:rPr>
              <w:t>of</w:t>
            </w:r>
            <w:proofErr w:type="gramEnd"/>
            <w:r w:rsidRPr="00C5584D">
              <w:rPr>
                <w:rFonts w:ascii="Calibri" w:eastAsia="Times New Roman" w:hAnsi="Calibri"/>
                <w:color w:val="000000"/>
              </w:rPr>
              <w:t xml:space="preserve"> </w:t>
            </w:r>
            <w:r>
              <w:rPr>
                <w:rFonts w:ascii="Calibri" w:eastAsia="Times New Roman" w:hAnsi="Calibri"/>
                <w:color w:val="000000"/>
              </w:rPr>
              <w:t>proteins</w:t>
            </w:r>
          </w:p>
        </w:tc>
        <w:tc>
          <w:tcPr>
            <w:tcW w:w="990" w:type="dxa"/>
            <w:noWrap/>
            <w:hideMark/>
          </w:tcPr>
          <w:p w14:paraId="4EDAE62A" w14:textId="791142C0" w:rsidR="00257F17" w:rsidRPr="00257F17" w:rsidRDefault="00257F17" w:rsidP="00257F17">
            <w:pPr>
              <w:jc w:val="left"/>
              <w:rPr>
                <w:rFonts w:ascii="Calibri" w:eastAsia="Times New Roman" w:hAnsi="Calibri"/>
                <w:color w:val="000000"/>
              </w:rPr>
            </w:pPr>
            <w:r w:rsidRPr="00C5584D">
              <w:rPr>
                <w:rFonts w:ascii="Calibri" w:eastAsia="Times New Roman" w:hAnsi="Calibri"/>
                <w:color w:val="000000"/>
              </w:rPr>
              <w:t>Cohen</w:t>
            </w:r>
            <w:r>
              <w:rPr>
                <w:rFonts w:ascii="Calibri" w:eastAsia="Times New Roman" w:hAnsi="Calibri"/>
                <w:color w:val="000000"/>
              </w:rPr>
              <w:t xml:space="preserve">’s </w:t>
            </w:r>
            <w:r w:rsidRPr="00C5584D">
              <w:rPr>
                <w:rFonts w:ascii="Calibri" w:eastAsia="Times New Roman" w:hAnsi="Calibri"/>
                <w:color w:val="000000"/>
              </w:rPr>
              <w:t>F</w:t>
            </w:r>
          </w:p>
        </w:tc>
        <w:tc>
          <w:tcPr>
            <w:tcW w:w="1154" w:type="dxa"/>
            <w:noWrap/>
            <w:hideMark/>
          </w:tcPr>
          <w:p w14:paraId="3EBCBFE9" w14:textId="36308D68" w:rsidR="00257F17" w:rsidRPr="00257F17" w:rsidRDefault="00257F17" w:rsidP="00257F17">
            <w:pPr>
              <w:jc w:val="left"/>
              <w:rPr>
                <w:rFonts w:ascii="Calibri" w:eastAsia="Times New Roman" w:hAnsi="Calibri"/>
                <w:color w:val="000000"/>
              </w:rPr>
            </w:pPr>
            <w:r>
              <w:rPr>
                <w:rFonts w:ascii="Calibri" w:eastAsia="Times New Roman" w:hAnsi="Calibri"/>
                <w:color w:val="000000"/>
              </w:rPr>
              <w:t>Quasi-Poisson FDR</w:t>
            </w:r>
          </w:p>
        </w:tc>
      </w:tr>
      <w:tr w:rsidR="00257F17" w:rsidRPr="00257F17" w14:paraId="63119E02" w14:textId="77777777" w:rsidTr="00257F17">
        <w:trPr>
          <w:trHeight w:val="300"/>
        </w:trPr>
        <w:tc>
          <w:tcPr>
            <w:tcW w:w="1278" w:type="dxa"/>
            <w:noWrap/>
            <w:hideMark/>
          </w:tcPr>
          <w:p w14:paraId="2DE65BCF"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COG00542</w:t>
            </w:r>
          </w:p>
        </w:tc>
        <w:tc>
          <w:tcPr>
            <w:tcW w:w="2520" w:type="dxa"/>
            <w:noWrap/>
            <w:hideMark/>
          </w:tcPr>
          <w:p w14:paraId="795CD5C2"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ATPases with chaperone activity; ATP-binding subunit</w:t>
            </w:r>
          </w:p>
        </w:tc>
        <w:tc>
          <w:tcPr>
            <w:tcW w:w="1341" w:type="dxa"/>
            <w:noWrap/>
            <w:hideMark/>
          </w:tcPr>
          <w:p w14:paraId="79817134"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2.33E-13</w:t>
            </w:r>
          </w:p>
        </w:tc>
        <w:tc>
          <w:tcPr>
            <w:tcW w:w="757" w:type="dxa"/>
            <w:noWrap/>
            <w:hideMark/>
          </w:tcPr>
          <w:p w14:paraId="75E0D04C"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O</w:t>
            </w:r>
          </w:p>
        </w:tc>
        <w:tc>
          <w:tcPr>
            <w:tcW w:w="1052" w:type="dxa"/>
            <w:noWrap/>
            <w:hideMark/>
          </w:tcPr>
          <w:p w14:paraId="4CA3EFEA"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36</w:t>
            </w:r>
          </w:p>
        </w:tc>
        <w:tc>
          <w:tcPr>
            <w:tcW w:w="990" w:type="dxa"/>
            <w:noWrap/>
            <w:hideMark/>
          </w:tcPr>
          <w:p w14:paraId="4837CB0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3.1885</w:t>
            </w:r>
          </w:p>
        </w:tc>
        <w:tc>
          <w:tcPr>
            <w:tcW w:w="1154" w:type="dxa"/>
            <w:noWrap/>
            <w:hideMark/>
          </w:tcPr>
          <w:p w14:paraId="1F74E8B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4.27E-07</w:t>
            </w:r>
          </w:p>
        </w:tc>
      </w:tr>
      <w:tr w:rsidR="00257F17" w:rsidRPr="00257F17" w14:paraId="2FDA54EC" w14:textId="77777777" w:rsidTr="00257F17">
        <w:trPr>
          <w:trHeight w:val="300"/>
        </w:trPr>
        <w:tc>
          <w:tcPr>
            <w:tcW w:w="1278" w:type="dxa"/>
            <w:noWrap/>
            <w:hideMark/>
          </w:tcPr>
          <w:p w14:paraId="35E79C87"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COG00050</w:t>
            </w:r>
          </w:p>
        </w:tc>
        <w:tc>
          <w:tcPr>
            <w:tcW w:w="2520" w:type="dxa"/>
            <w:noWrap/>
            <w:hideMark/>
          </w:tcPr>
          <w:p w14:paraId="116CACCE"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GTPases - translation elongation factors</w:t>
            </w:r>
          </w:p>
        </w:tc>
        <w:tc>
          <w:tcPr>
            <w:tcW w:w="1341" w:type="dxa"/>
            <w:noWrap/>
            <w:hideMark/>
          </w:tcPr>
          <w:p w14:paraId="112E1270"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5.32E-12</w:t>
            </w:r>
          </w:p>
        </w:tc>
        <w:tc>
          <w:tcPr>
            <w:tcW w:w="757" w:type="dxa"/>
            <w:noWrap/>
            <w:hideMark/>
          </w:tcPr>
          <w:p w14:paraId="2F85FD9F"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425F99AC"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26</w:t>
            </w:r>
          </w:p>
        </w:tc>
        <w:tc>
          <w:tcPr>
            <w:tcW w:w="990" w:type="dxa"/>
            <w:noWrap/>
            <w:hideMark/>
          </w:tcPr>
          <w:p w14:paraId="68973E50"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1.5264</w:t>
            </w:r>
          </w:p>
        </w:tc>
        <w:tc>
          <w:tcPr>
            <w:tcW w:w="1154" w:type="dxa"/>
            <w:noWrap/>
            <w:hideMark/>
          </w:tcPr>
          <w:p w14:paraId="0D3E734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8.32E-05</w:t>
            </w:r>
          </w:p>
        </w:tc>
      </w:tr>
      <w:tr w:rsidR="00257F17" w:rsidRPr="00257F17" w14:paraId="2BEBFBD2" w14:textId="77777777" w:rsidTr="00257F17">
        <w:trPr>
          <w:trHeight w:val="300"/>
        </w:trPr>
        <w:tc>
          <w:tcPr>
            <w:tcW w:w="1278" w:type="dxa"/>
            <w:noWrap/>
            <w:hideMark/>
          </w:tcPr>
          <w:p w14:paraId="65F8B68D"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COG00480</w:t>
            </w:r>
          </w:p>
        </w:tc>
        <w:tc>
          <w:tcPr>
            <w:tcW w:w="2520" w:type="dxa"/>
            <w:noWrap/>
            <w:hideMark/>
          </w:tcPr>
          <w:p w14:paraId="118030BE"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Translation elongation factors (GTPases)</w:t>
            </w:r>
          </w:p>
        </w:tc>
        <w:tc>
          <w:tcPr>
            <w:tcW w:w="1341" w:type="dxa"/>
            <w:noWrap/>
            <w:hideMark/>
          </w:tcPr>
          <w:p w14:paraId="7DDAA39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5.32E-12</w:t>
            </w:r>
          </w:p>
        </w:tc>
        <w:tc>
          <w:tcPr>
            <w:tcW w:w="757" w:type="dxa"/>
            <w:noWrap/>
            <w:hideMark/>
          </w:tcPr>
          <w:p w14:paraId="47C3BFE3"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3BA53910"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32</w:t>
            </w:r>
          </w:p>
        </w:tc>
        <w:tc>
          <w:tcPr>
            <w:tcW w:w="990" w:type="dxa"/>
            <w:noWrap/>
            <w:hideMark/>
          </w:tcPr>
          <w:p w14:paraId="4C8AED3C"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2.5506</w:t>
            </w:r>
          </w:p>
        </w:tc>
        <w:tc>
          <w:tcPr>
            <w:tcW w:w="1154" w:type="dxa"/>
            <w:noWrap/>
            <w:hideMark/>
          </w:tcPr>
          <w:p w14:paraId="08BBE926"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9.50E-07</w:t>
            </w:r>
          </w:p>
        </w:tc>
      </w:tr>
      <w:tr w:rsidR="00257F17" w:rsidRPr="00257F17" w14:paraId="29C15D22" w14:textId="77777777" w:rsidTr="00257F17">
        <w:trPr>
          <w:trHeight w:val="300"/>
        </w:trPr>
        <w:tc>
          <w:tcPr>
            <w:tcW w:w="1278" w:type="dxa"/>
            <w:noWrap/>
            <w:hideMark/>
          </w:tcPr>
          <w:p w14:paraId="172876CA"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COG00055</w:t>
            </w:r>
          </w:p>
        </w:tc>
        <w:tc>
          <w:tcPr>
            <w:tcW w:w="2520" w:type="dxa"/>
            <w:noWrap/>
            <w:hideMark/>
          </w:tcPr>
          <w:p w14:paraId="0661F283"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F0F1-type ATP synthase; beta subunit</w:t>
            </w:r>
          </w:p>
        </w:tc>
        <w:tc>
          <w:tcPr>
            <w:tcW w:w="1341" w:type="dxa"/>
            <w:noWrap/>
            <w:hideMark/>
          </w:tcPr>
          <w:p w14:paraId="76A137D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1.42E-11</w:t>
            </w:r>
          </w:p>
        </w:tc>
        <w:tc>
          <w:tcPr>
            <w:tcW w:w="757" w:type="dxa"/>
            <w:noWrap/>
            <w:hideMark/>
          </w:tcPr>
          <w:p w14:paraId="21E94D44"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w:t>
            </w:r>
          </w:p>
        </w:tc>
        <w:tc>
          <w:tcPr>
            <w:tcW w:w="1052" w:type="dxa"/>
            <w:noWrap/>
            <w:hideMark/>
          </w:tcPr>
          <w:p w14:paraId="0E45E8D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24</w:t>
            </w:r>
          </w:p>
        </w:tc>
        <w:tc>
          <w:tcPr>
            <w:tcW w:w="990" w:type="dxa"/>
            <w:noWrap/>
            <w:hideMark/>
          </w:tcPr>
          <w:p w14:paraId="2B036B36"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2.7013</w:t>
            </w:r>
          </w:p>
        </w:tc>
        <w:tc>
          <w:tcPr>
            <w:tcW w:w="1154" w:type="dxa"/>
            <w:noWrap/>
            <w:hideMark/>
          </w:tcPr>
          <w:p w14:paraId="3D34B2E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1.14E-06</w:t>
            </w:r>
          </w:p>
        </w:tc>
      </w:tr>
      <w:tr w:rsidR="00257F17" w:rsidRPr="00257F17" w14:paraId="26F8684F" w14:textId="77777777" w:rsidTr="00257F17">
        <w:trPr>
          <w:trHeight w:val="300"/>
        </w:trPr>
        <w:tc>
          <w:tcPr>
            <w:tcW w:w="1278" w:type="dxa"/>
            <w:noWrap/>
            <w:hideMark/>
          </w:tcPr>
          <w:p w14:paraId="7A1EA0D0"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COG00465</w:t>
            </w:r>
          </w:p>
        </w:tc>
        <w:tc>
          <w:tcPr>
            <w:tcW w:w="2520" w:type="dxa"/>
            <w:noWrap/>
            <w:hideMark/>
          </w:tcPr>
          <w:p w14:paraId="040C4600"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ATP-dependent Zn proteases</w:t>
            </w:r>
          </w:p>
        </w:tc>
        <w:tc>
          <w:tcPr>
            <w:tcW w:w="1341" w:type="dxa"/>
            <w:noWrap/>
            <w:hideMark/>
          </w:tcPr>
          <w:p w14:paraId="65E619FB"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8.86E-11</w:t>
            </w:r>
          </w:p>
        </w:tc>
        <w:tc>
          <w:tcPr>
            <w:tcW w:w="757" w:type="dxa"/>
            <w:noWrap/>
            <w:hideMark/>
          </w:tcPr>
          <w:p w14:paraId="477FA3ED"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O</w:t>
            </w:r>
          </w:p>
        </w:tc>
        <w:tc>
          <w:tcPr>
            <w:tcW w:w="1052" w:type="dxa"/>
            <w:noWrap/>
            <w:hideMark/>
          </w:tcPr>
          <w:p w14:paraId="06C08A9A"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27</w:t>
            </w:r>
          </w:p>
        </w:tc>
        <w:tc>
          <w:tcPr>
            <w:tcW w:w="990" w:type="dxa"/>
            <w:noWrap/>
            <w:hideMark/>
          </w:tcPr>
          <w:p w14:paraId="2391DEB5"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3.3691</w:t>
            </w:r>
          </w:p>
        </w:tc>
        <w:tc>
          <w:tcPr>
            <w:tcW w:w="1154" w:type="dxa"/>
            <w:noWrap/>
            <w:hideMark/>
          </w:tcPr>
          <w:p w14:paraId="2E199867"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5.58E-08</w:t>
            </w:r>
          </w:p>
        </w:tc>
      </w:tr>
      <w:tr w:rsidR="00257F17" w:rsidRPr="00257F17" w14:paraId="5A7ED441" w14:textId="77777777" w:rsidTr="00257F17">
        <w:trPr>
          <w:trHeight w:val="300"/>
        </w:trPr>
        <w:tc>
          <w:tcPr>
            <w:tcW w:w="1278" w:type="dxa"/>
            <w:noWrap/>
            <w:hideMark/>
          </w:tcPr>
          <w:p w14:paraId="22C65DB7"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COG00653</w:t>
            </w:r>
          </w:p>
        </w:tc>
        <w:tc>
          <w:tcPr>
            <w:tcW w:w="2520" w:type="dxa"/>
            <w:noWrap/>
            <w:hideMark/>
          </w:tcPr>
          <w:p w14:paraId="2F06061B"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Preprotein translocase subunit SecA (ATPase; RNA helicase)</w:t>
            </w:r>
          </w:p>
        </w:tc>
        <w:tc>
          <w:tcPr>
            <w:tcW w:w="1341" w:type="dxa"/>
            <w:noWrap/>
            <w:hideMark/>
          </w:tcPr>
          <w:p w14:paraId="1524FE5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1.99E-10</w:t>
            </w:r>
          </w:p>
        </w:tc>
        <w:tc>
          <w:tcPr>
            <w:tcW w:w="757" w:type="dxa"/>
            <w:noWrap/>
            <w:hideMark/>
          </w:tcPr>
          <w:p w14:paraId="473F3DB4"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U</w:t>
            </w:r>
          </w:p>
        </w:tc>
        <w:tc>
          <w:tcPr>
            <w:tcW w:w="1052" w:type="dxa"/>
            <w:noWrap/>
            <w:hideMark/>
          </w:tcPr>
          <w:p w14:paraId="602F0F43"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23</w:t>
            </w:r>
          </w:p>
        </w:tc>
        <w:tc>
          <w:tcPr>
            <w:tcW w:w="990" w:type="dxa"/>
            <w:noWrap/>
            <w:hideMark/>
          </w:tcPr>
          <w:p w14:paraId="08695443"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1.4936</w:t>
            </w:r>
          </w:p>
        </w:tc>
        <w:tc>
          <w:tcPr>
            <w:tcW w:w="1154" w:type="dxa"/>
            <w:noWrap/>
            <w:hideMark/>
          </w:tcPr>
          <w:p w14:paraId="4BD2366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2.55E-04</w:t>
            </w:r>
          </w:p>
        </w:tc>
      </w:tr>
      <w:tr w:rsidR="00257F17" w:rsidRPr="00257F17" w14:paraId="7A162776" w14:textId="77777777" w:rsidTr="00257F17">
        <w:trPr>
          <w:trHeight w:val="300"/>
        </w:trPr>
        <w:tc>
          <w:tcPr>
            <w:tcW w:w="1278" w:type="dxa"/>
            <w:noWrap/>
            <w:hideMark/>
          </w:tcPr>
          <w:p w14:paraId="4EA1A797"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COG00086</w:t>
            </w:r>
          </w:p>
        </w:tc>
        <w:tc>
          <w:tcPr>
            <w:tcW w:w="2520" w:type="dxa"/>
            <w:noWrap/>
            <w:hideMark/>
          </w:tcPr>
          <w:p w14:paraId="2AA72DDD"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DNA-directed RNA polymerase; beta' subunit/160 kD subunit</w:t>
            </w:r>
          </w:p>
        </w:tc>
        <w:tc>
          <w:tcPr>
            <w:tcW w:w="1341" w:type="dxa"/>
            <w:noWrap/>
            <w:hideMark/>
          </w:tcPr>
          <w:p w14:paraId="6A97413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1.99E-10</w:t>
            </w:r>
          </w:p>
        </w:tc>
        <w:tc>
          <w:tcPr>
            <w:tcW w:w="757" w:type="dxa"/>
            <w:noWrap/>
            <w:hideMark/>
          </w:tcPr>
          <w:p w14:paraId="47AEA5B7"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K</w:t>
            </w:r>
          </w:p>
        </w:tc>
        <w:tc>
          <w:tcPr>
            <w:tcW w:w="1052" w:type="dxa"/>
            <w:noWrap/>
            <w:hideMark/>
          </w:tcPr>
          <w:p w14:paraId="12182E2E"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22</w:t>
            </w:r>
          </w:p>
        </w:tc>
        <w:tc>
          <w:tcPr>
            <w:tcW w:w="990" w:type="dxa"/>
            <w:noWrap/>
            <w:hideMark/>
          </w:tcPr>
          <w:p w14:paraId="44B0663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1.5654</w:t>
            </w:r>
          </w:p>
        </w:tc>
        <w:tc>
          <w:tcPr>
            <w:tcW w:w="1154" w:type="dxa"/>
            <w:noWrap/>
            <w:hideMark/>
          </w:tcPr>
          <w:p w14:paraId="3E4F0F9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1.30E-04</w:t>
            </w:r>
          </w:p>
        </w:tc>
      </w:tr>
      <w:tr w:rsidR="00257F17" w:rsidRPr="00257F17" w14:paraId="422247A6" w14:textId="77777777" w:rsidTr="00257F17">
        <w:trPr>
          <w:trHeight w:val="300"/>
        </w:trPr>
        <w:tc>
          <w:tcPr>
            <w:tcW w:w="1278" w:type="dxa"/>
            <w:noWrap/>
            <w:hideMark/>
          </w:tcPr>
          <w:p w14:paraId="3EF4D3A0"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COG00048</w:t>
            </w:r>
          </w:p>
        </w:tc>
        <w:tc>
          <w:tcPr>
            <w:tcW w:w="2520" w:type="dxa"/>
            <w:noWrap/>
            <w:hideMark/>
          </w:tcPr>
          <w:p w14:paraId="51678168"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Ribosomal protein S12</w:t>
            </w:r>
          </w:p>
        </w:tc>
        <w:tc>
          <w:tcPr>
            <w:tcW w:w="1341" w:type="dxa"/>
            <w:noWrap/>
            <w:hideMark/>
          </w:tcPr>
          <w:p w14:paraId="0ADC5C4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1.99E-10</w:t>
            </w:r>
          </w:p>
        </w:tc>
        <w:tc>
          <w:tcPr>
            <w:tcW w:w="757" w:type="dxa"/>
            <w:noWrap/>
            <w:hideMark/>
          </w:tcPr>
          <w:p w14:paraId="42CD0668"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4E7B8BD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21</w:t>
            </w:r>
          </w:p>
        </w:tc>
        <w:tc>
          <w:tcPr>
            <w:tcW w:w="990" w:type="dxa"/>
            <w:noWrap/>
            <w:hideMark/>
          </w:tcPr>
          <w:p w14:paraId="74B16D15"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1.6682</w:t>
            </w:r>
          </w:p>
        </w:tc>
        <w:tc>
          <w:tcPr>
            <w:tcW w:w="1154" w:type="dxa"/>
            <w:noWrap/>
            <w:hideMark/>
          </w:tcPr>
          <w:p w14:paraId="55B2A9A0"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1.27E-04</w:t>
            </w:r>
          </w:p>
        </w:tc>
      </w:tr>
      <w:tr w:rsidR="00257F17" w:rsidRPr="00257F17" w14:paraId="46EC4057" w14:textId="77777777" w:rsidTr="00257F17">
        <w:trPr>
          <w:trHeight w:val="300"/>
        </w:trPr>
        <w:tc>
          <w:tcPr>
            <w:tcW w:w="1278" w:type="dxa"/>
            <w:noWrap/>
            <w:hideMark/>
          </w:tcPr>
          <w:p w14:paraId="3823940E"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COG00100</w:t>
            </w:r>
          </w:p>
        </w:tc>
        <w:tc>
          <w:tcPr>
            <w:tcW w:w="2520" w:type="dxa"/>
            <w:noWrap/>
            <w:hideMark/>
          </w:tcPr>
          <w:p w14:paraId="47F3B461"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Ribosomal protein S11</w:t>
            </w:r>
          </w:p>
        </w:tc>
        <w:tc>
          <w:tcPr>
            <w:tcW w:w="1341" w:type="dxa"/>
            <w:noWrap/>
            <w:hideMark/>
          </w:tcPr>
          <w:p w14:paraId="6B5BB82A"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1.99E-10</w:t>
            </w:r>
          </w:p>
        </w:tc>
        <w:tc>
          <w:tcPr>
            <w:tcW w:w="757" w:type="dxa"/>
            <w:noWrap/>
            <w:hideMark/>
          </w:tcPr>
          <w:p w14:paraId="38B515AD"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160D4F6A"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21</w:t>
            </w:r>
          </w:p>
        </w:tc>
        <w:tc>
          <w:tcPr>
            <w:tcW w:w="990" w:type="dxa"/>
            <w:noWrap/>
            <w:hideMark/>
          </w:tcPr>
          <w:p w14:paraId="17AC4684"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2.0664</w:t>
            </w:r>
          </w:p>
        </w:tc>
        <w:tc>
          <w:tcPr>
            <w:tcW w:w="1154" w:type="dxa"/>
            <w:noWrap/>
            <w:hideMark/>
          </w:tcPr>
          <w:p w14:paraId="4719E17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4.58E-06</w:t>
            </w:r>
          </w:p>
        </w:tc>
      </w:tr>
      <w:tr w:rsidR="00257F17" w:rsidRPr="00257F17" w14:paraId="18627AE2" w14:textId="77777777" w:rsidTr="00257F17">
        <w:trPr>
          <w:trHeight w:val="300"/>
        </w:trPr>
        <w:tc>
          <w:tcPr>
            <w:tcW w:w="1278" w:type="dxa"/>
            <w:noWrap/>
            <w:hideMark/>
          </w:tcPr>
          <w:p w14:paraId="706D31D4"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COG00085</w:t>
            </w:r>
          </w:p>
        </w:tc>
        <w:tc>
          <w:tcPr>
            <w:tcW w:w="2520" w:type="dxa"/>
            <w:noWrap/>
            <w:hideMark/>
          </w:tcPr>
          <w:p w14:paraId="281D8542"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DNA-directed RNA polymerase; beta subunit/140 kD subunit</w:t>
            </w:r>
          </w:p>
        </w:tc>
        <w:tc>
          <w:tcPr>
            <w:tcW w:w="1341" w:type="dxa"/>
            <w:noWrap/>
            <w:hideMark/>
          </w:tcPr>
          <w:p w14:paraId="0F8DF68B"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2.75E-10</w:t>
            </w:r>
          </w:p>
        </w:tc>
        <w:tc>
          <w:tcPr>
            <w:tcW w:w="757" w:type="dxa"/>
            <w:noWrap/>
            <w:hideMark/>
          </w:tcPr>
          <w:p w14:paraId="5437E380"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K</w:t>
            </w:r>
          </w:p>
        </w:tc>
        <w:tc>
          <w:tcPr>
            <w:tcW w:w="1052" w:type="dxa"/>
            <w:noWrap/>
            <w:hideMark/>
          </w:tcPr>
          <w:p w14:paraId="7F1F7765"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22</w:t>
            </w:r>
          </w:p>
        </w:tc>
        <w:tc>
          <w:tcPr>
            <w:tcW w:w="990" w:type="dxa"/>
            <w:noWrap/>
            <w:hideMark/>
          </w:tcPr>
          <w:p w14:paraId="75344BFC"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1.9143</w:t>
            </w:r>
          </w:p>
        </w:tc>
        <w:tc>
          <w:tcPr>
            <w:tcW w:w="1154" w:type="dxa"/>
            <w:noWrap/>
            <w:hideMark/>
          </w:tcPr>
          <w:p w14:paraId="7253EAC5"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4.63E-06</w:t>
            </w:r>
          </w:p>
        </w:tc>
      </w:tr>
      <w:tr w:rsidR="00257F17" w:rsidRPr="00257F17" w14:paraId="61B866C1" w14:textId="77777777" w:rsidTr="00257F17">
        <w:trPr>
          <w:trHeight w:val="300"/>
        </w:trPr>
        <w:tc>
          <w:tcPr>
            <w:tcW w:w="1278" w:type="dxa"/>
            <w:noWrap/>
            <w:hideMark/>
          </w:tcPr>
          <w:p w14:paraId="1510F88F"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COG00459</w:t>
            </w:r>
          </w:p>
        </w:tc>
        <w:tc>
          <w:tcPr>
            <w:tcW w:w="2520" w:type="dxa"/>
            <w:noWrap/>
            <w:hideMark/>
          </w:tcPr>
          <w:p w14:paraId="471C523A"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Chaperonin GroEL (HSP60 family)</w:t>
            </w:r>
          </w:p>
        </w:tc>
        <w:tc>
          <w:tcPr>
            <w:tcW w:w="1341" w:type="dxa"/>
            <w:noWrap/>
            <w:hideMark/>
          </w:tcPr>
          <w:p w14:paraId="248B5177"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2.75E-10</w:t>
            </w:r>
          </w:p>
        </w:tc>
        <w:tc>
          <w:tcPr>
            <w:tcW w:w="757" w:type="dxa"/>
            <w:noWrap/>
            <w:hideMark/>
          </w:tcPr>
          <w:p w14:paraId="0FC10645"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O</w:t>
            </w:r>
          </w:p>
        </w:tc>
        <w:tc>
          <w:tcPr>
            <w:tcW w:w="1052" w:type="dxa"/>
            <w:noWrap/>
            <w:hideMark/>
          </w:tcPr>
          <w:p w14:paraId="7B1A35D7"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22</w:t>
            </w:r>
          </w:p>
        </w:tc>
        <w:tc>
          <w:tcPr>
            <w:tcW w:w="990" w:type="dxa"/>
            <w:noWrap/>
            <w:hideMark/>
          </w:tcPr>
          <w:p w14:paraId="379082D3"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2.9585</w:t>
            </w:r>
          </w:p>
        </w:tc>
        <w:tc>
          <w:tcPr>
            <w:tcW w:w="1154" w:type="dxa"/>
            <w:noWrap/>
            <w:hideMark/>
          </w:tcPr>
          <w:p w14:paraId="3DF7AD1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7.46E-08</w:t>
            </w:r>
          </w:p>
        </w:tc>
      </w:tr>
      <w:tr w:rsidR="00257F17" w:rsidRPr="00257F17" w14:paraId="0423C9F9" w14:textId="77777777" w:rsidTr="00257F17">
        <w:trPr>
          <w:trHeight w:val="300"/>
        </w:trPr>
        <w:tc>
          <w:tcPr>
            <w:tcW w:w="1278" w:type="dxa"/>
            <w:noWrap/>
            <w:hideMark/>
          </w:tcPr>
          <w:p w14:paraId="7A4AEFAC"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COG00052</w:t>
            </w:r>
          </w:p>
        </w:tc>
        <w:tc>
          <w:tcPr>
            <w:tcW w:w="2520" w:type="dxa"/>
            <w:noWrap/>
            <w:hideMark/>
          </w:tcPr>
          <w:p w14:paraId="27D99977"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Ribosomal protein S2</w:t>
            </w:r>
          </w:p>
        </w:tc>
        <w:tc>
          <w:tcPr>
            <w:tcW w:w="1341" w:type="dxa"/>
            <w:noWrap/>
            <w:hideMark/>
          </w:tcPr>
          <w:p w14:paraId="61E126F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7.43E-10</w:t>
            </w:r>
          </w:p>
        </w:tc>
        <w:tc>
          <w:tcPr>
            <w:tcW w:w="757" w:type="dxa"/>
            <w:noWrap/>
            <w:hideMark/>
          </w:tcPr>
          <w:p w14:paraId="15A1EA64"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7FA9CB6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20</w:t>
            </w:r>
          </w:p>
        </w:tc>
        <w:tc>
          <w:tcPr>
            <w:tcW w:w="990" w:type="dxa"/>
            <w:noWrap/>
            <w:hideMark/>
          </w:tcPr>
          <w:p w14:paraId="2FEE1148"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1.5196</w:t>
            </w:r>
          </w:p>
        </w:tc>
        <w:tc>
          <w:tcPr>
            <w:tcW w:w="1154" w:type="dxa"/>
            <w:noWrap/>
            <w:hideMark/>
          </w:tcPr>
          <w:p w14:paraId="5B19B43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7.50E-05</w:t>
            </w:r>
          </w:p>
        </w:tc>
      </w:tr>
      <w:tr w:rsidR="00257F17" w:rsidRPr="00257F17" w14:paraId="3BEBB309" w14:textId="77777777" w:rsidTr="00257F17">
        <w:trPr>
          <w:trHeight w:val="300"/>
        </w:trPr>
        <w:tc>
          <w:tcPr>
            <w:tcW w:w="1278" w:type="dxa"/>
            <w:noWrap/>
            <w:hideMark/>
          </w:tcPr>
          <w:p w14:paraId="6C081212"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COG00185</w:t>
            </w:r>
          </w:p>
        </w:tc>
        <w:tc>
          <w:tcPr>
            <w:tcW w:w="2520" w:type="dxa"/>
            <w:noWrap/>
            <w:hideMark/>
          </w:tcPr>
          <w:p w14:paraId="0CAA3AB9"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Ribosomal protein S19</w:t>
            </w:r>
          </w:p>
        </w:tc>
        <w:tc>
          <w:tcPr>
            <w:tcW w:w="1341" w:type="dxa"/>
            <w:noWrap/>
            <w:hideMark/>
          </w:tcPr>
          <w:p w14:paraId="799B7A2F"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7.43E-10</w:t>
            </w:r>
          </w:p>
        </w:tc>
        <w:tc>
          <w:tcPr>
            <w:tcW w:w="757" w:type="dxa"/>
            <w:noWrap/>
            <w:hideMark/>
          </w:tcPr>
          <w:p w14:paraId="5CAB5901"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J</w:t>
            </w:r>
          </w:p>
        </w:tc>
        <w:tc>
          <w:tcPr>
            <w:tcW w:w="1052" w:type="dxa"/>
            <w:noWrap/>
            <w:hideMark/>
          </w:tcPr>
          <w:p w14:paraId="348265F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20</w:t>
            </w:r>
          </w:p>
        </w:tc>
        <w:tc>
          <w:tcPr>
            <w:tcW w:w="990" w:type="dxa"/>
            <w:noWrap/>
            <w:hideMark/>
          </w:tcPr>
          <w:p w14:paraId="098F6099"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1.6309</w:t>
            </w:r>
          </w:p>
        </w:tc>
        <w:tc>
          <w:tcPr>
            <w:tcW w:w="1154" w:type="dxa"/>
            <w:noWrap/>
            <w:hideMark/>
          </w:tcPr>
          <w:p w14:paraId="5C797E36"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6.39E-04</w:t>
            </w:r>
          </w:p>
        </w:tc>
      </w:tr>
      <w:tr w:rsidR="00257F17" w:rsidRPr="00257F17" w14:paraId="439E50D3" w14:textId="77777777" w:rsidTr="00257F17">
        <w:trPr>
          <w:trHeight w:val="300"/>
        </w:trPr>
        <w:tc>
          <w:tcPr>
            <w:tcW w:w="1278" w:type="dxa"/>
            <w:noWrap/>
            <w:hideMark/>
          </w:tcPr>
          <w:p w14:paraId="5C403CCE"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COG00057</w:t>
            </w:r>
          </w:p>
        </w:tc>
        <w:tc>
          <w:tcPr>
            <w:tcW w:w="2520" w:type="dxa"/>
            <w:noWrap/>
            <w:hideMark/>
          </w:tcPr>
          <w:p w14:paraId="27699131"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Glyceraldehyde-3-phosphate dehydrogenase/erythrose-4-phosphate dehydrogenase</w:t>
            </w:r>
          </w:p>
        </w:tc>
        <w:tc>
          <w:tcPr>
            <w:tcW w:w="1341" w:type="dxa"/>
            <w:noWrap/>
            <w:hideMark/>
          </w:tcPr>
          <w:p w14:paraId="17F3BCED"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7.43E-10</w:t>
            </w:r>
          </w:p>
        </w:tc>
        <w:tc>
          <w:tcPr>
            <w:tcW w:w="757" w:type="dxa"/>
            <w:noWrap/>
            <w:hideMark/>
          </w:tcPr>
          <w:p w14:paraId="7CA38571"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G</w:t>
            </w:r>
          </w:p>
        </w:tc>
        <w:tc>
          <w:tcPr>
            <w:tcW w:w="1052" w:type="dxa"/>
            <w:noWrap/>
            <w:hideMark/>
          </w:tcPr>
          <w:p w14:paraId="28434CD8"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23</w:t>
            </w:r>
          </w:p>
        </w:tc>
        <w:tc>
          <w:tcPr>
            <w:tcW w:w="990" w:type="dxa"/>
            <w:noWrap/>
            <w:hideMark/>
          </w:tcPr>
          <w:p w14:paraId="38E7B9A2"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1.9770</w:t>
            </w:r>
          </w:p>
        </w:tc>
        <w:tc>
          <w:tcPr>
            <w:tcW w:w="1154" w:type="dxa"/>
            <w:noWrap/>
            <w:hideMark/>
          </w:tcPr>
          <w:p w14:paraId="2CC95A6A"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1.11E-05</w:t>
            </w:r>
          </w:p>
        </w:tc>
      </w:tr>
      <w:tr w:rsidR="00257F17" w:rsidRPr="00257F17" w14:paraId="4A0CE641" w14:textId="77777777" w:rsidTr="00257F17">
        <w:trPr>
          <w:trHeight w:val="300"/>
        </w:trPr>
        <w:tc>
          <w:tcPr>
            <w:tcW w:w="1278" w:type="dxa"/>
            <w:noWrap/>
            <w:hideMark/>
          </w:tcPr>
          <w:p w14:paraId="2B8F90F6"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COG01629</w:t>
            </w:r>
          </w:p>
        </w:tc>
        <w:tc>
          <w:tcPr>
            <w:tcW w:w="2520" w:type="dxa"/>
            <w:noWrap/>
            <w:hideMark/>
          </w:tcPr>
          <w:p w14:paraId="3DB8ECD5"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Outer membrane receptor proteins; mostly Fe transport</w:t>
            </w:r>
          </w:p>
        </w:tc>
        <w:tc>
          <w:tcPr>
            <w:tcW w:w="1341" w:type="dxa"/>
            <w:noWrap/>
            <w:hideMark/>
          </w:tcPr>
          <w:p w14:paraId="7A627B72"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7.43E-10</w:t>
            </w:r>
          </w:p>
        </w:tc>
        <w:tc>
          <w:tcPr>
            <w:tcW w:w="757" w:type="dxa"/>
            <w:noWrap/>
            <w:hideMark/>
          </w:tcPr>
          <w:p w14:paraId="2F26BCFA" w14:textId="77777777" w:rsidR="00257F17" w:rsidRPr="00257F17" w:rsidRDefault="00257F17" w:rsidP="00257F17">
            <w:pPr>
              <w:jc w:val="left"/>
              <w:rPr>
                <w:rFonts w:ascii="Calibri" w:eastAsia="Times New Roman" w:hAnsi="Calibri"/>
                <w:color w:val="000000"/>
              </w:rPr>
            </w:pPr>
            <w:r w:rsidRPr="00257F17">
              <w:rPr>
                <w:rFonts w:ascii="Calibri" w:eastAsia="Times New Roman" w:hAnsi="Calibri"/>
                <w:color w:val="000000"/>
              </w:rPr>
              <w:t>P</w:t>
            </w:r>
          </w:p>
        </w:tc>
        <w:tc>
          <w:tcPr>
            <w:tcW w:w="1052" w:type="dxa"/>
            <w:noWrap/>
            <w:hideMark/>
          </w:tcPr>
          <w:p w14:paraId="7C2C8055"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45</w:t>
            </w:r>
          </w:p>
        </w:tc>
        <w:tc>
          <w:tcPr>
            <w:tcW w:w="990" w:type="dxa"/>
            <w:noWrap/>
            <w:hideMark/>
          </w:tcPr>
          <w:p w14:paraId="524441F3"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2.0563</w:t>
            </w:r>
          </w:p>
        </w:tc>
        <w:tc>
          <w:tcPr>
            <w:tcW w:w="1154" w:type="dxa"/>
            <w:noWrap/>
            <w:hideMark/>
          </w:tcPr>
          <w:p w14:paraId="1FA2F7E6" w14:textId="77777777" w:rsidR="00257F17" w:rsidRPr="00257F17" w:rsidRDefault="00257F17" w:rsidP="00257F17">
            <w:pPr>
              <w:jc w:val="right"/>
              <w:rPr>
                <w:rFonts w:ascii="Calibri" w:eastAsia="Times New Roman" w:hAnsi="Calibri"/>
                <w:color w:val="000000"/>
              </w:rPr>
            </w:pPr>
            <w:r w:rsidRPr="00257F17">
              <w:rPr>
                <w:rFonts w:ascii="Calibri" w:eastAsia="Times New Roman" w:hAnsi="Calibri"/>
                <w:color w:val="000000"/>
              </w:rPr>
              <w:t>2.90E-05</w:t>
            </w:r>
          </w:p>
        </w:tc>
      </w:tr>
    </w:tbl>
    <w:p w14:paraId="59CACE59" w14:textId="77777777" w:rsidR="00C4755E" w:rsidRDefault="00C4755E" w:rsidP="00033957">
      <w:pPr>
        <w:spacing w:line="480" w:lineRule="auto"/>
      </w:pPr>
    </w:p>
    <w:p w14:paraId="6C2A7DC2" w14:textId="77777777" w:rsidR="007656B3" w:rsidRPr="006F0880" w:rsidRDefault="007656B3" w:rsidP="007656B3">
      <w:pPr>
        <w:spacing w:line="480" w:lineRule="auto"/>
        <w:ind w:firstLine="720"/>
        <w:rPr>
          <w:b/>
        </w:rPr>
      </w:pPr>
      <w:r>
        <w:lastRenderedPageBreak/>
        <w:t xml:space="preserve">COG analysis of FAM enables us to get differentially and abundantly expressed COG terms.  Same analysis is repeated to COG functional categories, broad functional terms of individual COG terms, in order to provide wider view of functional features of the microbial community.  Since none of COG analysis tools provide enrichment test and significance test at the same time, FAM is very unique tool among many of functional analysis software.  </w:t>
      </w:r>
    </w:p>
    <w:p w14:paraId="5DE0EB1A" w14:textId="44FF43E5" w:rsidR="006B7D71" w:rsidRDefault="007E1EBF" w:rsidP="007E1EBF">
      <w:pPr>
        <w:pStyle w:val="Heading3"/>
      </w:pPr>
      <w:bookmarkStart w:id="54" w:name="_Toc296333716"/>
      <w:r>
        <w:t>Other modules of QFAM</w:t>
      </w:r>
      <w:bookmarkEnd w:id="54"/>
    </w:p>
    <w:p w14:paraId="0FDC8DCC" w14:textId="658FF1A2" w:rsidR="007E1EBF" w:rsidRDefault="007E1EBF" w:rsidP="00842BA6">
      <w:pPr>
        <w:spacing w:line="480" w:lineRule="auto"/>
        <w:ind w:firstLine="720"/>
      </w:pPr>
      <w:r>
        <w:t>QFAM has other modules be</w:t>
      </w:r>
      <w:r w:rsidR="00A85226">
        <w:t xml:space="preserve">sides PSM search, QAM and FAM.  </w:t>
      </w:r>
      <w:r w:rsidR="00FF589F">
        <w:t xml:space="preserve">First, it has a module for </w:t>
      </w:r>
      <w:r w:rsidR="000478E6">
        <w:t>metagenome proteins, translated</w:t>
      </w:r>
      <w:r w:rsidR="00003E1A">
        <w:t xml:space="preserve"> from metagenome sequ</w:t>
      </w:r>
      <w:r w:rsidR="00ED36E2">
        <w:t>ences.  Metag</w:t>
      </w:r>
      <w:r w:rsidR="00D0222A">
        <w:t>enome has vast, various and unannotated sequence</w:t>
      </w:r>
      <w:r w:rsidR="0064675E">
        <w:t xml:space="preserve">s, so metagenome </w:t>
      </w:r>
      <w:r w:rsidR="009C3173">
        <w:t>sequences are</w:t>
      </w:r>
      <w:r w:rsidR="0064675E">
        <w:t xml:space="preserve"> not characterized </w:t>
      </w:r>
      <w:r w:rsidR="009C3173">
        <w:t xml:space="preserve">even though those are differentially </w:t>
      </w:r>
      <w:r w:rsidR="00842BA6">
        <w:t xml:space="preserve">detected.  </w:t>
      </w:r>
      <w:r w:rsidR="00AA3371">
        <w:t xml:space="preserve">Metagenome is </w:t>
      </w:r>
      <w:r w:rsidR="007E182F">
        <w:t xml:space="preserve">functionally </w:t>
      </w:r>
      <w:r w:rsidR="00AA3371">
        <w:t>analyzed</w:t>
      </w:r>
      <w:r w:rsidR="00903A82">
        <w:t xml:space="preserve"> </w:t>
      </w:r>
      <w:r w:rsidR="007E182F">
        <w:t xml:space="preserve">by </w:t>
      </w:r>
      <w:r w:rsidR="00920CB2">
        <w:t>COG identification</w:t>
      </w:r>
      <w:r w:rsidR="00AA3371">
        <w:t xml:space="preserve"> in QFAM</w:t>
      </w:r>
      <w:r w:rsidR="00920CB2">
        <w:t xml:space="preserve">, however </w:t>
      </w:r>
      <w:r w:rsidR="002C1649">
        <w:t xml:space="preserve">annotation is required for </w:t>
      </w:r>
      <w:r w:rsidR="002973E5">
        <w:t xml:space="preserve">analysis using </w:t>
      </w:r>
      <w:r w:rsidR="007E7B11">
        <w:t xml:space="preserve">reference database, such as </w:t>
      </w:r>
      <w:r w:rsidR="00C47287">
        <w:t xml:space="preserve">pathway analysis and </w:t>
      </w:r>
      <w:r w:rsidR="00C579D8">
        <w:t xml:space="preserve">protein </w:t>
      </w:r>
      <w:r w:rsidR="00886E0A">
        <w:t xml:space="preserve">location.  </w:t>
      </w:r>
      <w:r w:rsidR="00BE1AE6">
        <w:t xml:space="preserve">Therefore, QFAM has </w:t>
      </w:r>
      <w:r w:rsidR="003B5D74">
        <w:t>a module for pro</w:t>
      </w:r>
      <w:r w:rsidR="00803E02">
        <w:t xml:space="preserve">tein annotation of metagenome.  This module uses BLAST for </w:t>
      </w:r>
      <w:r w:rsidR="00AD7A2E">
        <w:t>sequence comparison</w:t>
      </w:r>
      <w:r w:rsidR="00761B81">
        <w:t xml:space="preserve"> with</w:t>
      </w:r>
      <w:r w:rsidR="00AD7A2E">
        <w:t xml:space="preserve"> UniProt</w:t>
      </w:r>
      <w:r w:rsidR="00FB5395">
        <w:t>, which has</w:t>
      </w:r>
      <w:r w:rsidR="007B1CF7">
        <w:t xml:space="preserve"> extensive </w:t>
      </w:r>
      <w:r w:rsidR="00B76F7B">
        <w:t xml:space="preserve">protein </w:t>
      </w:r>
      <w:r w:rsidR="007B1CF7">
        <w:t>sequence</w:t>
      </w:r>
      <w:r w:rsidR="00E508A8">
        <w:t xml:space="preserve"> poo</w:t>
      </w:r>
      <w:r w:rsidR="00840EBD">
        <w:t>l collected for a long time</w:t>
      </w:r>
      <w:r w:rsidR="00A7476A">
        <w:t xml:space="preserve">.  </w:t>
      </w:r>
      <w:r w:rsidR="001C50C5">
        <w:t>Of t</w:t>
      </w:r>
      <w:r w:rsidR="00367ECD">
        <w:t>op BLAST hits</w:t>
      </w:r>
      <w:r w:rsidR="001C50C5">
        <w:t>,</w:t>
      </w:r>
      <w:r w:rsidR="004739CE">
        <w:t xml:space="preserve"> </w:t>
      </w:r>
      <w:r w:rsidR="00CC6D18">
        <w:t xml:space="preserve">the </w:t>
      </w:r>
      <w:r w:rsidR="00956D18">
        <w:t xml:space="preserve">most similar UniProt ID is given to a </w:t>
      </w:r>
      <w:r w:rsidR="004F027E">
        <w:t xml:space="preserve">metagenome protein if </w:t>
      </w:r>
      <w:r w:rsidR="007C20E1">
        <w:t>the</w:t>
      </w:r>
      <w:r w:rsidR="004F35B2">
        <w:t>ir</w:t>
      </w:r>
      <w:r w:rsidR="007C20E1">
        <w:t xml:space="preserve"> alignment does not have gap-open and </w:t>
      </w:r>
      <w:r w:rsidR="004F35B2">
        <w:t>shows</w:t>
      </w:r>
      <w:r w:rsidR="007C20E1">
        <w:t xml:space="preserve"> more than 95% sequence similarity.  </w:t>
      </w:r>
      <w:r w:rsidR="004F35B2">
        <w:t>Sequence similarity is calculated as described below:</w:t>
      </w:r>
    </w:p>
    <w:p w14:paraId="4CD369D5" w14:textId="5E35CB36" w:rsidR="004F35B2" w:rsidRDefault="004F35B2" w:rsidP="00842BA6">
      <w:pPr>
        <w:spacing w:line="480" w:lineRule="auto"/>
        <w:ind w:firstLine="720"/>
      </w:pPr>
      <m:oMathPara>
        <m:oMath>
          <m:r>
            <w:rPr>
              <w:rFonts w:ascii="Cambria Math" w:hAnsi="Cambria Math"/>
            </w:rPr>
            <m:t>Similarity=</m:t>
          </m:r>
          <m:f>
            <m:fPr>
              <m:ctrlPr>
                <w:rPr>
                  <w:rFonts w:ascii="Cambria Math" w:hAnsi="Cambria Math"/>
                  <w:i/>
                </w:rPr>
              </m:ctrlPr>
            </m:fPr>
            <m:num>
              <m:r>
                <w:rPr>
                  <w:rFonts w:ascii="Cambria Math" w:hAnsi="Cambria Math"/>
                </w:rPr>
                <m:t>Aligned length</m:t>
              </m:r>
            </m:num>
            <m:den>
              <m:r>
                <w:rPr>
                  <w:rFonts w:ascii="Cambria Math" w:hAnsi="Cambria Math"/>
                </w:rPr>
                <m:t>Protein length</m:t>
              </m:r>
            </m:den>
          </m:f>
          <m:r>
            <w:rPr>
              <w:rFonts w:ascii="Cambria Math" w:hAnsi="Cambria Math"/>
            </w:rPr>
            <m:t>×Percent identity</m:t>
          </m:r>
        </m:oMath>
      </m:oMathPara>
    </w:p>
    <w:p w14:paraId="3ACB799E" w14:textId="77777777" w:rsidR="008A4C8F" w:rsidRDefault="00F9591D" w:rsidP="00033957">
      <w:pPr>
        <w:spacing w:line="480" w:lineRule="auto"/>
      </w:pPr>
      <w:r>
        <w:lastRenderedPageBreak/>
        <w:t>Where</w:t>
      </w:r>
      <w:r w:rsidR="0009174F">
        <w:t xml:space="preserve"> aligned length and percent identify are of BLAST result</w:t>
      </w:r>
      <w:r w:rsidR="00C44F51">
        <w:t xml:space="preserve"> and protein length is the </w:t>
      </w:r>
      <w:r w:rsidR="00D86460">
        <w:t xml:space="preserve">number of amino acid residues.  </w:t>
      </w:r>
      <w:r w:rsidR="00622924">
        <w:t>Since</w:t>
      </w:r>
      <w:r w:rsidR="004C51C6">
        <w:t xml:space="preserve"> generally metaproteme DB has </w:t>
      </w:r>
      <w:r w:rsidR="00622924">
        <w:t xml:space="preserve">a lots of metagenome proteins, BLAST running process is divided into multi-cores and </w:t>
      </w:r>
      <w:r w:rsidR="00DD5F9A">
        <w:t xml:space="preserve">merged after all the jobs are completed.  </w:t>
      </w:r>
      <w:r w:rsidR="008A4C8F">
        <w:t>With this annotation, we can apply reference DB-based analysis to metagenome proteins.</w:t>
      </w:r>
    </w:p>
    <w:p w14:paraId="61B4EE28" w14:textId="77777777" w:rsidR="00FC6F70" w:rsidRDefault="00FC6F70" w:rsidP="008A4C8F">
      <w:pPr>
        <w:spacing w:line="480" w:lineRule="auto"/>
        <w:ind w:firstLine="720"/>
      </w:pPr>
    </w:p>
    <w:p w14:paraId="785C8C34" w14:textId="77777777" w:rsidR="00D94C65" w:rsidRDefault="00FC6F70" w:rsidP="008A4C8F">
      <w:pPr>
        <w:spacing w:line="480" w:lineRule="auto"/>
        <w:ind w:firstLine="720"/>
      </w:pPr>
      <w:r>
        <w:t>QFAM provides R library for drawing graphs including bar- and line-graph and heat-</w:t>
      </w:r>
      <w:r w:rsidR="006052B9">
        <w:t>map using ‘ggplot2’ package.</w:t>
      </w:r>
      <w:r w:rsidR="00DB5569">
        <w:t xml:space="preserve">  Since </w:t>
      </w:r>
      <w:r w:rsidR="00AB1121">
        <w:t>biologically meaningful images are</w:t>
      </w:r>
      <w:r w:rsidR="00DB5569">
        <w:t xml:space="preserve"> manually </w:t>
      </w:r>
      <w:r w:rsidR="00FC7748">
        <w:t xml:space="preserve">drawn, QFAM does not provide automated </w:t>
      </w:r>
      <w:r w:rsidR="00AB1121">
        <w:t xml:space="preserve">module for making figures.  However, </w:t>
      </w:r>
      <w:r w:rsidR="00050651">
        <w:t xml:space="preserve">if </w:t>
      </w:r>
      <w:r w:rsidR="006F2D02">
        <w:t xml:space="preserve">manually curated information is provided, </w:t>
      </w:r>
      <w:r w:rsidR="00040738">
        <w:t>QFAM can prod</w:t>
      </w:r>
      <w:r w:rsidR="00942ACB">
        <w:t xml:space="preserve">uce publication-class figures.  Bar- and line-graphs are </w:t>
      </w:r>
      <w:r w:rsidR="00723C49">
        <w:t xml:space="preserve">for showing expression profile of remarkably changed proteins across different experiment groups (Fig. </w:t>
      </w:r>
      <w:r w:rsidR="00F014F8">
        <w:t xml:space="preserve">23).  </w:t>
      </w:r>
      <w:r w:rsidR="00D46CDA">
        <w:t xml:space="preserve">Line graph can show expression profiles of multiple proteins over different samples.  </w:t>
      </w:r>
      <w:r w:rsidR="006309AF">
        <w:t xml:space="preserve">Proteins </w:t>
      </w:r>
      <w:r w:rsidR="0020531C">
        <w:t xml:space="preserve">are colored differently. QFAM’s </w:t>
      </w:r>
      <w:r w:rsidR="00B44528">
        <w:t>bar graph</w:t>
      </w:r>
      <w:r w:rsidR="0020531C">
        <w:t xml:space="preserve"> is </w:t>
      </w:r>
      <w:r w:rsidR="00E500D0">
        <w:t xml:space="preserve">for showing multiple </w:t>
      </w:r>
      <w:r w:rsidR="00402E78">
        <w:t>proteins, pathways or COGs</w:t>
      </w:r>
      <w:r w:rsidR="00B44528">
        <w:t xml:space="preserve"> in different experiment groups.  </w:t>
      </w:r>
      <w:r w:rsidR="00F34601">
        <w:t xml:space="preserve">Significance </w:t>
      </w:r>
      <w:proofErr w:type="gramStart"/>
      <w:r w:rsidR="00F34601">
        <w:t>is able to</w:t>
      </w:r>
      <w:proofErr w:type="gramEnd"/>
      <w:r w:rsidR="00282831">
        <w:t xml:space="preserve"> be marked by red asterisks and error bars are also </w:t>
      </w:r>
      <w:r w:rsidR="008E6A1E">
        <w:t xml:space="preserve">added to show data variation.  </w:t>
      </w:r>
    </w:p>
    <w:p w14:paraId="4FBD4B92" w14:textId="285212F0" w:rsidR="00DC1074" w:rsidRDefault="008E6A1E" w:rsidP="00C15445">
      <w:pPr>
        <w:spacing w:line="480" w:lineRule="auto"/>
        <w:ind w:firstLine="720"/>
      </w:pPr>
      <w:r>
        <w:t>Drawing heat-map is serviced by QFAM’</w:t>
      </w:r>
      <w:r w:rsidR="00D94C65">
        <w:t>s R library</w:t>
      </w:r>
      <w:r w:rsidR="00B94AC7">
        <w:t xml:space="preserve"> (Fig. 24)</w:t>
      </w:r>
      <w:r w:rsidR="00D94C65">
        <w:t xml:space="preserve">.  </w:t>
      </w:r>
      <w:r w:rsidR="006A125B">
        <w:t xml:space="preserve">Heat-map is widely used to display expression profile of many proteins or genes.  </w:t>
      </w:r>
      <w:r w:rsidR="00176F5F">
        <w:t>Although hea</w:t>
      </w:r>
      <w:r w:rsidR="00452156">
        <w:t xml:space="preserve">t-map can show global trends in whole dataset, it is not able to </w:t>
      </w:r>
      <w:r w:rsidR="0073094D">
        <w:t xml:space="preserve">exhibit detail information.  </w:t>
      </w:r>
      <w:r w:rsidR="00696C54">
        <w:t>Heat-map is often combined to hierarchical clustering to group similarly expressed proteins.</w:t>
      </w:r>
      <w:r w:rsidR="00C87DFD">
        <w:t xml:space="preserve">  </w:t>
      </w:r>
      <w:r w:rsidR="00EB77FA">
        <w:t>QFAM provides protein and experiment group clustering.</w:t>
      </w:r>
      <w:r w:rsidR="000D1F1B">
        <w:t xml:space="preserve">  </w:t>
      </w:r>
      <w:r w:rsidR="00DC1074">
        <w:br w:type="page"/>
      </w:r>
    </w:p>
    <w:p w14:paraId="657E683C" w14:textId="5346BBA8" w:rsidR="00033957" w:rsidRDefault="00DC1074" w:rsidP="00DC1074">
      <w:pPr>
        <w:spacing w:line="480" w:lineRule="auto"/>
      </w:pPr>
      <w:r>
        <w:rPr>
          <w:noProof/>
        </w:rPr>
        <w:lastRenderedPageBreak/>
        <mc:AlternateContent>
          <mc:Choice Requires="wps">
            <w:drawing>
              <wp:anchor distT="0" distB="0" distL="114300" distR="114300" simplePos="0" relativeHeight="251675648" behindDoc="0" locked="0" layoutInCell="1" allowOverlap="1" wp14:anchorId="5B99F8DE" wp14:editId="4800CCB6">
                <wp:simplePos x="0" y="0"/>
                <wp:positionH relativeFrom="column">
                  <wp:posOffset>-118745</wp:posOffset>
                </wp:positionH>
                <wp:positionV relativeFrom="paragraph">
                  <wp:posOffset>2171700</wp:posOffset>
                </wp:positionV>
                <wp:extent cx="356235" cy="342900"/>
                <wp:effectExtent l="0" t="0" r="0" b="12700"/>
                <wp:wrapNone/>
                <wp:docPr id="28" name="Text Box 28"/>
                <wp:cNvGraphicFramePr/>
                <a:graphic xmlns:a="http://schemas.openxmlformats.org/drawingml/2006/main">
                  <a:graphicData uri="http://schemas.microsoft.com/office/word/2010/wordprocessingShape">
                    <wps:wsp>
                      <wps:cNvSpPr txBox="1"/>
                      <wps:spPr>
                        <a:xfrm>
                          <a:off x="0" y="0"/>
                          <a:ext cx="35623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3D3D98" w14:textId="4169EE5D" w:rsidR="008864ED" w:rsidRPr="00FA55C1" w:rsidRDefault="008864ED" w:rsidP="00DC1074">
                            <w:pPr>
                              <w:rPr>
                                <w:b/>
                              </w:rPr>
                            </w:pPr>
                            <w:r w:rsidRPr="00FA55C1">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30" type="#_x0000_t202" style="position:absolute;left:0;text-align:left;margin-left:-9.3pt;margin-top:171pt;width:28.05pt;height:2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JOUNMCAAAW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" filled="f" stroked="f">
                <v:textbox>
                  <w:txbxContent>
                    <w:p w14:paraId="5A3D3D98" w14:textId="4169EE5D" w:rsidR="008864ED" w:rsidRPr="00FA55C1" w:rsidRDefault="008864ED" w:rsidP="00DC1074">
                      <w:pPr>
                        <w:rPr>
                          <w:b/>
                        </w:rPr>
                      </w:pPr>
                      <w:r w:rsidRPr="00FA55C1">
                        <w:rPr>
                          <w:b/>
                        </w:rPr>
                        <w:t>B)</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11738F31" wp14:editId="43FD8348">
                <wp:simplePos x="0" y="0"/>
                <wp:positionH relativeFrom="column">
                  <wp:posOffset>-118745</wp:posOffset>
                </wp:positionH>
                <wp:positionV relativeFrom="paragraph">
                  <wp:posOffset>-114300</wp:posOffset>
                </wp:positionV>
                <wp:extent cx="356235" cy="342900"/>
                <wp:effectExtent l="0" t="0" r="0" b="12700"/>
                <wp:wrapNone/>
                <wp:docPr id="25" name="Text Box 25"/>
                <wp:cNvGraphicFramePr/>
                <a:graphic xmlns:a="http://schemas.openxmlformats.org/drawingml/2006/main">
                  <a:graphicData uri="http://schemas.microsoft.com/office/word/2010/wordprocessingShape">
                    <wps:wsp>
                      <wps:cNvSpPr txBox="1"/>
                      <wps:spPr>
                        <a:xfrm>
                          <a:off x="0" y="0"/>
                          <a:ext cx="35623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D5F977" w14:textId="6F56B715" w:rsidR="008864ED" w:rsidRPr="00FA55C1" w:rsidRDefault="008864ED">
                            <w:pPr>
                              <w:rPr>
                                <w:b/>
                              </w:rPr>
                            </w:pPr>
                            <w:r w:rsidRPr="00FA55C1">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31" type="#_x0000_t202" style="position:absolute;left:0;text-align:left;margin-left:-9.3pt;margin-top:-8.95pt;width:28.05pt;height:2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45dRdICAAAWBgAADgAAAGRycy9lMm9Eb2MueG1srFRLb9swDL4P2H8QdE9tp07X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" filled="f" stroked="f">
                <v:textbox>
                  <w:txbxContent>
                    <w:p w14:paraId="03D5F977" w14:textId="6F56B715" w:rsidR="008864ED" w:rsidRPr="00FA55C1" w:rsidRDefault="008864ED">
                      <w:pPr>
                        <w:rPr>
                          <w:b/>
                        </w:rPr>
                      </w:pPr>
                      <w:r w:rsidRPr="00FA55C1">
                        <w:rPr>
                          <w:b/>
                        </w:rPr>
                        <w:t>A)</w:t>
                      </w:r>
                    </w:p>
                  </w:txbxContent>
                </v:textbox>
              </v:shape>
            </w:pict>
          </mc:Fallback>
        </mc:AlternateContent>
      </w:r>
      <w:r>
        <w:rPr>
          <w:noProof/>
        </w:rPr>
        <w:drawing>
          <wp:inline distT="0" distB="0" distL="0" distR="0" wp14:anchorId="6F138EBF" wp14:editId="544E25FF">
            <wp:extent cx="5486400" cy="21945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B.tiff"/>
                    <pic:cNvPicPr/>
                  </pic:nvPicPr>
                  <pic:blipFill>
                    <a:blip r:embed="rId43">
                      <a:extLst>
                        <a:ext uri="{28A0092B-C50C-407E-A947-70E740481C1C}">
                          <a14:useLocalDpi xmlns:a14="http://schemas.microsoft.com/office/drawing/2010/main" val="0"/>
                        </a:ext>
                      </a:extLst>
                    </a:blip>
                    <a:stretch>
                      <a:fillRect/>
                    </a:stretch>
                  </pic:blipFill>
                  <pic:spPr>
                    <a:xfrm>
                      <a:off x="0" y="0"/>
                      <a:ext cx="5486400" cy="2194560"/>
                    </a:xfrm>
                    <a:prstGeom prst="rect">
                      <a:avLst/>
                    </a:prstGeom>
                  </pic:spPr>
                </pic:pic>
              </a:graphicData>
            </a:graphic>
          </wp:inline>
        </w:drawing>
      </w:r>
    </w:p>
    <w:p w14:paraId="1605FF6E" w14:textId="77777777" w:rsidR="00DC1074" w:rsidRDefault="00DC1074" w:rsidP="00DC1074">
      <w:pPr>
        <w:keepNext/>
        <w:spacing w:line="480" w:lineRule="auto"/>
      </w:pPr>
      <w:r>
        <w:rPr>
          <w:noProof/>
        </w:rPr>
        <w:drawing>
          <wp:inline distT="0" distB="0" distL="0" distR="0" wp14:anchorId="685841FC" wp14:editId="18E8C207">
            <wp:extent cx="5486400" cy="2194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A.tiff"/>
                    <pic:cNvPicPr/>
                  </pic:nvPicPr>
                  <pic:blipFill>
                    <a:blip r:embed="rId44">
                      <a:extLst>
                        <a:ext uri="{28A0092B-C50C-407E-A947-70E740481C1C}">
                          <a14:useLocalDpi xmlns:a14="http://schemas.microsoft.com/office/drawing/2010/main" val="0"/>
                        </a:ext>
                      </a:extLst>
                    </a:blip>
                    <a:stretch>
                      <a:fillRect/>
                    </a:stretch>
                  </pic:blipFill>
                  <pic:spPr>
                    <a:xfrm>
                      <a:off x="0" y="0"/>
                      <a:ext cx="5486400" cy="2194560"/>
                    </a:xfrm>
                    <a:prstGeom prst="rect">
                      <a:avLst/>
                    </a:prstGeom>
                  </pic:spPr>
                </pic:pic>
              </a:graphicData>
            </a:graphic>
          </wp:inline>
        </w:drawing>
      </w:r>
    </w:p>
    <w:p w14:paraId="17EA495E" w14:textId="7833C5E0" w:rsidR="00696C54" w:rsidRDefault="00DC1074" w:rsidP="00DC1074">
      <w:pPr>
        <w:pStyle w:val="Caption"/>
        <w:rPr>
          <w:b w:val="0"/>
        </w:rPr>
      </w:pPr>
      <w:bookmarkStart w:id="55" w:name="_Toc296333116"/>
      <w:r>
        <w:t xml:space="preserve">Figure </w:t>
      </w:r>
      <w:fldSimple w:instr=" SEQ Figure \* ARABIC ">
        <w:r w:rsidR="002B3E83">
          <w:rPr>
            <w:noProof/>
          </w:rPr>
          <w:t>23</w:t>
        </w:r>
      </w:fldSimple>
      <w:r>
        <w:t xml:space="preserve"> </w:t>
      </w:r>
      <w:r w:rsidR="002F3D83">
        <w:t>Examples of bar-</w:t>
      </w:r>
      <w:r>
        <w:t xml:space="preserve"> and </w:t>
      </w:r>
      <w:r w:rsidR="002F3D83">
        <w:t>line-graph</w:t>
      </w:r>
      <w:r>
        <w:t xml:space="preserve"> generated by QFAM.  </w:t>
      </w:r>
      <w:r w:rsidR="002F3D83">
        <w:rPr>
          <w:b w:val="0"/>
        </w:rPr>
        <w:t xml:space="preserve">QFAM provides R library for drawing </w:t>
      </w:r>
      <w:r w:rsidR="001E7417">
        <w:rPr>
          <w:b w:val="0"/>
        </w:rPr>
        <w:t>A) line graph and B) bar graph</w:t>
      </w:r>
      <w:r w:rsidR="00663205">
        <w:rPr>
          <w:b w:val="0"/>
        </w:rPr>
        <w:t xml:space="preserve"> from analysis result of QFAM.</w:t>
      </w:r>
      <w:bookmarkEnd w:id="55"/>
    </w:p>
    <w:p w14:paraId="39558CBF" w14:textId="77777777" w:rsidR="006F0880" w:rsidRDefault="00696C54" w:rsidP="006F0880">
      <w:pPr>
        <w:keepNext/>
        <w:jc w:val="left"/>
      </w:pPr>
      <w:r>
        <w:rPr>
          <w:b/>
        </w:rPr>
        <w:br w:type="page"/>
      </w:r>
      <w:r w:rsidR="006F0880">
        <w:rPr>
          <w:noProof/>
        </w:rPr>
        <w:lastRenderedPageBreak/>
        <w:drawing>
          <wp:inline distT="0" distB="0" distL="0" distR="0" wp14:anchorId="65A3A000" wp14:editId="5601CC99">
            <wp:extent cx="5486400" cy="31349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tiff"/>
                    <pic:cNvPicPr/>
                  </pic:nvPicPr>
                  <pic:blipFill>
                    <a:blip r:embed="rId45">
                      <a:extLst>
                        <a:ext uri="{28A0092B-C50C-407E-A947-70E740481C1C}">
                          <a14:useLocalDpi xmlns:a14="http://schemas.microsoft.com/office/drawing/2010/main" val="0"/>
                        </a:ext>
                      </a:extLst>
                    </a:blip>
                    <a:stretch>
                      <a:fillRect/>
                    </a:stretch>
                  </pic:blipFill>
                  <pic:spPr>
                    <a:xfrm>
                      <a:off x="0" y="0"/>
                      <a:ext cx="5486400" cy="3134995"/>
                    </a:xfrm>
                    <a:prstGeom prst="rect">
                      <a:avLst/>
                    </a:prstGeom>
                  </pic:spPr>
                </pic:pic>
              </a:graphicData>
            </a:graphic>
          </wp:inline>
        </w:drawing>
      </w:r>
    </w:p>
    <w:p w14:paraId="22055A2C" w14:textId="607ACFC0" w:rsidR="002E5D60" w:rsidRDefault="006F0880" w:rsidP="00CD64D1">
      <w:pPr>
        <w:pStyle w:val="Caption"/>
        <w:rPr>
          <w:b w:val="0"/>
        </w:rPr>
      </w:pPr>
      <w:bookmarkStart w:id="56" w:name="_Toc296333117"/>
      <w:r>
        <w:t xml:space="preserve">Figure </w:t>
      </w:r>
      <w:fldSimple w:instr=" SEQ Figure \* ARABIC ">
        <w:r w:rsidR="002B3E83">
          <w:rPr>
            <w:noProof/>
          </w:rPr>
          <w:t>24</w:t>
        </w:r>
      </w:fldSimple>
      <w:r>
        <w:t xml:space="preserve"> Example heat-map drew by QFAM’s R library.  </w:t>
      </w:r>
      <w:r w:rsidR="00FB19E9">
        <w:rPr>
          <w:b w:val="0"/>
        </w:rPr>
        <w:t>Heat-map, colored</w:t>
      </w:r>
      <w:r w:rsidR="00086923">
        <w:rPr>
          <w:b w:val="0"/>
        </w:rPr>
        <w:t xml:space="preserve"> by steal blue and white, can display global trend of protein expression.  </w:t>
      </w:r>
      <w:r w:rsidR="006913EF">
        <w:rPr>
          <w:b w:val="0"/>
        </w:rPr>
        <w:t xml:space="preserve">Hierarchical clustering for proteins and for experimental groups are </w:t>
      </w:r>
      <w:r w:rsidR="000C5BE2">
        <w:rPr>
          <w:b w:val="0"/>
        </w:rPr>
        <w:t>available in QFAM’s R library</w:t>
      </w:r>
      <w:r w:rsidR="00CD64D1">
        <w:rPr>
          <w:b w:val="0"/>
        </w:rPr>
        <w:t xml:space="preserve">.  In this example, only proteins are clustered to show </w:t>
      </w:r>
      <w:r w:rsidR="00CF2A74">
        <w:rPr>
          <w:b w:val="0"/>
        </w:rPr>
        <w:t xml:space="preserve">how protein expressions are changed in different groups (color bars of upper side of heat-map).  </w:t>
      </w:r>
      <w:r w:rsidR="004204F8">
        <w:rPr>
          <w:b w:val="0"/>
        </w:rPr>
        <w:t>Heat-map’s cells a</w:t>
      </w:r>
      <w:r w:rsidR="00C53C4C">
        <w:rPr>
          <w:b w:val="0"/>
        </w:rPr>
        <w:t>re standardized spectral counts by mean and variance.</w:t>
      </w:r>
      <w:bookmarkEnd w:id="56"/>
    </w:p>
    <w:p w14:paraId="6280D6B5" w14:textId="77777777" w:rsidR="002E5D60" w:rsidRDefault="002E5D60">
      <w:pPr>
        <w:jc w:val="left"/>
        <w:rPr>
          <w:bCs/>
          <w:szCs w:val="20"/>
        </w:rPr>
      </w:pPr>
      <w:r>
        <w:rPr>
          <w:b/>
        </w:rPr>
        <w:br w:type="page"/>
      </w:r>
    </w:p>
    <w:p w14:paraId="65BFE474" w14:textId="77777777" w:rsidR="00B70A1F" w:rsidRDefault="00B70A1F" w:rsidP="0046324D">
      <w:pPr>
        <w:spacing w:line="480" w:lineRule="auto"/>
      </w:pPr>
      <w:r>
        <w:lastRenderedPageBreak/>
        <w:t>Coloring of expression is standardized spectral counts calculated by (spectral counts – mean) / standard deviation.  Colored bars located at upper side of heat-map can display experimental groups.  Color-key is also provided by QFAM.</w:t>
      </w:r>
    </w:p>
    <w:p w14:paraId="03B9D56B" w14:textId="77777777" w:rsidR="002E5D60" w:rsidRDefault="002E5D60" w:rsidP="004376B6">
      <w:pPr>
        <w:pStyle w:val="Heading2"/>
      </w:pPr>
      <w:bookmarkStart w:id="57" w:name="_Toc296333717"/>
      <w:r>
        <w:t>Conclusion</w:t>
      </w:r>
      <w:bookmarkEnd w:id="57"/>
    </w:p>
    <w:p w14:paraId="7E63371F" w14:textId="77777777" w:rsidR="004376B6" w:rsidRPr="004376B6" w:rsidRDefault="004376B6" w:rsidP="004376B6"/>
    <w:p w14:paraId="5B812A9D" w14:textId="72F8F9C9" w:rsidR="005B621A" w:rsidRDefault="00192E1D" w:rsidP="002E5D60">
      <w:pPr>
        <w:spacing w:line="480" w:lineRule="auto"/>
      </w:pPr>
      <w:r>
        <w:tab/>
        <w:t xml:space="preserve">We developed QFAM for quantitative and functional analysis of metaproteome data.  </w:t>
      </w:r>
      <w:r w:rsidR="005B621A">
        <w:t>Since metaproteome data is highly complicated</w:t>
      </w:r>
      <w:r w:rsidR="00810DFC">
        <w:t xml:space="preserve"> and </w:t>
      </w:r>
      <w:r w:rsidR="000F1BFF">
        <w:t>less annotated</w:t>
      </w:r>
      <w:r w:rsidR="005B621A">
        <w:t xml:space="preserve">, </w:t>
      </w:r>
      <w:r w:rsidR="00A41F35">
        <w:t xml:space="preserve">analysis pipeline should be able to run </w:t>
      </w:r>
      <w:r w:rsidR="000F1BFF">
        <w:t xml:space="preserve">its </w:t>
      </w:r>
      <w:r w:rsidR="00A41F35">
        <w:t xml:space="preserve">processes in parallel environment and </w:t>
      </w:r>
      <w:r w:rsidR="003740DF">
        <w:t>functionally</w:t>
      </w:r>
      <w:r w:rsidR="00B0165A">
        <w:t xml:space="preserve"> interpret</w:t>
      </w:r>
      <w:r w:rsidR="003740DF">
        <w:t xml:space="preserve"> metaprotome proteins.  </w:t>
      </w:r>
      <w:r w:rsidR="00B0165A">
        <w:t>In terms</w:t>
      </w:r>
      <w:r w:rsidR="00FD4C15">
        <w:t xml:space="preserve"> of these requirements, QFAM is useful and decent pipeline for metaproteome data analysis.</w:t>
      </w:r>
      <w:r w:rsidR="004E295B">
        <w:t xml:space="preserve">  </w:t>
      </w:r>
      <w:r w:rsidR="00ED2703">
        <w:t>QFAM can run Myri</w:t>
      </w:r>
      <w:r w:rsidR="001A4E1D">
        <w:t xml:space="preserve">Match and IDPicker with 48 CPUs and automatically </w:t>
      </w:r>
      <w:r w:rsidR="00697201">
        <w:t xml:space="preserve">control </w:t>
      </w:r>
      <w:r w:rsidR="001A4E1D">
        <w:t>al</w:t>
      </w:r>
      <w:r w:rsidR="00340C74">
        <w:t xml:space="preserve">l the processes of PSM search.  MPA is another pipeline for metaproteome, but it doesn’t provide </w:t>
      </w:r>
      <w:r w:rsidR="00DF6D89">
        <w:t xml:space="preserve">multithreading </w:t>
      </w:r>
      <w:r w:rsidR="00347ACE">
        <w:t>and multiprocessing execution of PSM search steps</w:t>
      </w:r>
      <w:r w:rsidR="00DF6D89">
        <w:t>.</w:t>
      </w:r>
      <w:r w:rsidR="0048077E">
        <w:t xml:space="preserve">  Therefore, </w:t>
      </w:r>
      <w:r w:rsidR="005E5B71">
        <w:t xml:space="preserve">QFAM has </w:t>
      </w:r>
      <w:r w:rsidR="00FF4216">
        <w:t>an</w:t>
      </w:r>
      <w:r w:rsidR="005E5B71">
        <w:t xml:space="preserve"> important advant</w:t>
      </w:r>
      <w:r w:rsidR="00132A60">
        <w:t xml:space="preserve">age to MPA in terms of </w:t>
      </w:r>
      <w:r w:rsidR="005E5B71">
        <w:t>PSM search</w:t>
      </w:r>
      <w:r w:rsidR="00132A60">
        <w:t xml:space="preserve"> speed</w:t>
      </w:r>
      <w:r w:rsidR="005E5B71">
        <w:t>.</w:t>
      </w:r>
    </w:p>
    <w:p w14:paraId="5BA601E7" w14:textId="77777777" w:rsidR="00DC6F70" w:rsidRDefault="00132A60" w:rsidP="002E5D60">
      <w:pPr>
        <w:spacing w:line="480" w:lineRule="auto"/>
      </w:pPr>
      <w:r>
        <w:tab/>
      </w:r>
      <w:r w:rsidR="00FF4216">
        <w:t xml:space="preserve">In addition to fast search speed, QFAM </w:t>
      </w:r>
      <w:r w:rsidR="00AF101A">
        <w:t>has</w:t>
      </w:r>
      <w:r w:rsidR="00FF4216">
        <w:t xml:space="preserve"> </w:t>
      </w:r>
      <w:r w:rsidR="003346B2">
        <w:t xml:space="preserve">QAM </w:t>
      </w:r>
      <w:r w:rsidR="007D4A76">
        <w:t xml:space="preserve">module </w:t>
      </w:r>
      <w:r w:rsidR="003346B2">
        <w:t xml:space="preserve">for </w:t>
      </w:r>
      <w:r w:rsidR="00FF4216">
        <w:t xml:space="preserve">reliable </w:t>
      </w:r>
      <w:r w:rsidR="004376B6">
        <w:t>feature selection</w:t>
      </w:r>
      <w:r w:rsidR="00EA2775">
        <w:t>.  Q</w:t>
      </w:r>
      <w:r w:rsidR="004376B6">
        <w:t xml:space="preserve">AM employs selfea R package for finding of differentially expressed proteins.  </w:t>
      </w:r>
      <w:r w:rsidR="00AF101A">
        <w:t xml:space="preserve">Selfea provides three </w:t>
      </w:r>
      <w:r w:rsidR="001426A6">
        <w:t>widely used</w:t>
      </w:r>
      <w:r w:rsidR="00AF101A">
        <w:t xml:space="preserve"> probability models, quasi-Poisson, negative binomial and normal distribution, </w:t>
      </w:r>
      <w:r w:rsidR="00F905DF">
        <w:t>with Cohen’</w:t>
      </w:r>
      <w:r w:rsidR="001426A6">
        <w:t xml:space="preserve">s effect-sizes, such as Cohen’s </w:t>
      </w:r>
      <w:r w:rsidR="001426A6" w:rsidRPr="001426A6">
        <w:rPr>
          <w:i/>
        </w:rPr>
        <w:t>f</w:t>
      </w:r>
      <w:r w:rsidR="001426A6">
        <w:t xml:space="preserve"> and </w:t>
      </w:r>
      <w:r w:rsidR="001426A6" w:rsidRPr="001426A6">
        <w:rPr>
          <w:i/>
        </w:rPr>
        <w:t>w</w:t>
      </w:r>
      <w:r w:rsidR="001426A6">
        <w:t xml:space="preserve">.  </w:t>
      </w:r>
      <w:r w:rsidR="009614F2">
        <w:t xml:space="preserve">Combination of p-values and effect-sizes is able to produce </w:t>
      </w:r>
      <w:r w:rsidR="0035623A">
        <w:t xml:space="preserve">reproducible research findings.  </w:t>
      </w:r>
      <w:r w:rsidR="00110ECC">
        <w:t xml:space="preserve">Detail explanation of selfea is in </w:t>
      </w:r>
      <w:r w:rsidR="000445B9">
        <w:t xml:space="preserve">chapter 3. </w:t>
      </w:r>
    </w:p>
    <w:p w14:paraId="37A0A242" w14:textId="0AA3E53F" w:rsidR="00234E09" w:rsidRDefault="00234E09" w:rsidP="00DC6F70">
      <w:pPr>
        <w:spacing w:line="480" w:lineRule="auto"/>
        <w:ind w:firstLine="720"/>
      </w:pPr>
      <w:r>
        <w:lastRenderedPageBreak/>
        <w:t xml:space="preserve">QFAM </w:t>
      </w:r>
      <w:r w:rsidR="00944319">
        <w:t>services functional analysis module</w:t>
      </w:r>
      <w:r w:rsidR="00C03DEA">
        <w:t>, FAM,</w:t>
      </w:r>
      <w:r w:rsidR="00944319">
        <w:t xml:space="preserve"> for met</w:t>
      </w:r>
      <w:r w:rsidR="00AD2052">
        <w:t xml:space="preserve">aproteome data interpretation.  FAM has two parts, BioSystems and COG analysis.  BioSystems </w:t>
      </w:r>
      <w:r w:rsidR="00132C33">
        <w:t>is</w:t>
      </w:r>
      <w:r w:rsidR="00AD2052">
        <w:t xml:space="preserve"> based </w:t>
      </w:r>
      <w:r w:rsidR="00132C33">
        <w:t xml:space="preserve">on reference databases of NCB, while COG is derived </w:t>
      </w:r>
      <w:r w:rsidR="0080564B">
        <w:t xml:space="preserve">from sequence comparisons.  BioSystems analysis is favored to </w:t>
      </w:r>
      <w:r w:rsidR="002F3F4F">
        <w:t xml:space="preserve">well-annotated organisms, such as human, mouse and yeast, while COG is </w:t>
      </w:r>
      <w:r w:rsidR="00CE1492">
        <w:t xml:space="preserve">the best analysis approach to metagenome proteins that takes biggest portion of metaproteome data.  </w:t>
      </w:r>
      <w:r w:rsidR="00985F97">
        <w:t xml:space="preserve">Through COG analysis and BioSystems analysis, </w:t>
      </w:r>
      <w:r w:rsidR="002B6327">
        <w:t>FAM can cover from well-known species to undiscovered species.  Since metap</w:t>
      </w:r>
      <w:r w:rsidR="00F605BE">
        <w:t xml:space="preserve">roteome has mixed proteome with </w:t>
      </w:r>
      <w:proofErr w:type="gramStart"/>
      <w:r w:rsidR="00F605BE">
        <w:t>deeply-studied</w:t>
      </w:r>
      <w:proofErr w:type="gramEnd"/>
      <w:r w:rsidR="00F605BE">
        <w:t xml:space="preserve"> organisms and </w:t>
      </w:r>
      <w:r w:rsidR="00656750">
        <w:t xml:space="preserve">never-found microbes, </w:t>
      </w:r>
      <w:r w:rsidR="00BB4CFD">
        <w:t>FAM is appropriate analysis pipeline for metaproteomics.</w:t>
      </w:r>
    </w:p>
    <w:p w14:paraId="5A2A9E6E" w14:textId="77777777" w:rsidR="00B9507F" w:rsidRDefault="00554B59" w:rsidP="009A449E">
      <w:pPr>
        <w:spacing w:line="480" w:lineRule="auto"/>
        <w:ind w:firstLine="720"/>
      </w:pPr>
      <w:r>
        <w:t>Moreover, FAM provides two statistical tests</w:t>
      </w:r>
      <w:r w:rsidR="006C72E3">
        <w:t>, enrichment test and significance test,</w:t>
      </w:r>
      <w:r>
        <w:t xml:space="preserve"> for every functional </w:t>
      </w:r>
      <w:r w:rsidR="006C72E3">
        <w:t xml:space="preserve">term including pathways and COGs.  Enrichment test measures how many proteins are enriched from total proteins, while significance test is for </w:t>
      </w:r>
      <w:r w:rsidR="00F564E0">
        <w:t xml:space="preserve">getting differentially detected terms over different experiment groups.  Both of two tests can </w:t>
      </w:r>
      <w:r w:rsidR="005C47FA">
        <w:t xml:space="preserve">be </w:t>
      </w:r>
      <w:r w:rsidR="00F564E0">
        <w:t xml:space="preserve">mutually </w:t>
      </w:r>
      <w:r w:rsidR="005C47FA">
        <w:t xml:space="preserve">analyzed to </w:t>
      </w:r>
      <w:r w:rsidR="0073125D">
        <w:t>provide differentially and meaningfully enriched characteris</w:t>
      </w:r>
      <w:r w:rsidR="001060BF">
        <w:t>tics of microbial communities.  This FAM’s approach is unique in many of publis</w:t>
      </w:r>
      <w:r w:rsidR="009A449E">
        <w:t>hed functional analysis tools because FAM integrates enrichment test and significance test together.</w:t>
      </w:r>
    </w:p>
    <w:p w14:paraId="012DBFFC" w14:textId="77777777" w:rsidR="00F2297E" w:rsidRDefault="00863597" w:rsidP="00717900">
      <w:pPr>
        <w:spacing w:line="480" w:lineRule="auto"/>
        <w:ind w:firstLine="720"/>
      </w:pPr>
      <w:r>
        <w:t xml:space="preserve">Even though QFAM </w:t>
      </w:r>
      <w:r w:rsidR="00A62B8D">
        <w:t>provides</w:t>
      </w:r>
      <w:r>
        <w:t xml:space="preserve"> useful and </w:t>
      </w:r>
      <w:r w:rsidR="00A62B8D">
        <w:t>practical analytical methodologies</w:t>
      </w:r>
      <w:r w:rsidR="00A76402">
        <w:t xml:space="preserve">, </w:t>
      </w:r>
      <w:r w:rsidR="00717900">
        <w:t>it has several disadvantages.  First, i</w:t>
      </w:r>
      <w:r w:rsidR="00A76402">
        <w:t xml:space="preserve">t is opened </w:t>
      </w:r>
      <w:r w:rsidR="00A62B8D">
        <w:t xml:space="preserve">only </w:t>
      </w:r>
      <w:r w:rsidR="00A76402">
        <w:t xml:space="preserve">to people of University of Tennessee because it is installed in Newton cluster.  </w:t>
      </w:r>
      <w:r w:rsidR="00A62B8D">
        <w:t>Also, it doe</w:t>
      </w:r>
      <w:r w:rsidR="007F0F20">
        <w:t>s not have graphical interface</w:t>
      </w:r>
      <w:r w:rsidR="00265C44">
        <w:t xml:space="preserve"> that is greatly provided by another metaproteomics pipeline, MPA.  </w:t>
      </w:r>
      <w:r w:rsidR="00F72754">
        <w:t>Since job controller is designed for sun grid engine</w:t>
      </w:r>
      <w:r w:rsidR="000D56BF">
        <w:t xml:space="preserve"> of Newton </w:t>
      </w:r>
      <w:r w:rsidR="000D56BF">
        <w:lastRenderedPageBreak/>
        <w:t>cluster</w:t>
      </w:r>
      <w:r w:rsidR="00F72754">
        <w:t>, it can</w:t>
      </w:r>
      <w:r w:rsidR="00105F95">
        <w:t>’t</w:t>
      </w:r>
      <w:r w:rsidR="00F72754">
        <w:t xml:space="preserve"> be transferred to another </w:t>
      </w:r>
      <w:r w:rsidR="001A3FB5">
        <w:t xml:space="preserve">MPI engines.  QFAM’s ability, such as execution speed, is </w:t>
      </w:r>
      <w:r w:rsidR="00014376">
        <w:t>dependent Newton cluster.</w:t>
      </w:r>
      <w:r w:rsidR="008908B1">
        <w:t xml:space="preserve">  </w:t>
      </w:r>
      <w:r w:rsidR="002E6744">
        <w:t>For example, QFAM can’</w:t>
      </w:r>
      <w:r w:rsidR="00A0168C">
        <w:t xml:space="preserve">t use more than 48 CPUs.  In spite of these drawbacks, </w:t>
      </w:r>
      <w:r w:rsidR="002346E3">
        <w:t xml:space="preserve">it is for sure that </w:t>
      </w:r>
      <w:r w:rsidR="004F3BDB">
        <w:t>QFAM has unique algorithms and practical analysis methodologies for metaproteomics.</w:t>
      </w:r>
    </w:p>
    <w:p w14:paraId="11E90373" w14:textId="532AE8EF" w:rsidR="00236E6D" w:rsidRPr="009A449E" w:rsidRDefault="00270F20" w:rsidP="00717900">
      <w:pPr>
        <w:spacing w:line="480" w:lineRule="auto"/>
        <w:ind w:firstLine="720"/>
      </w:pPr>
      <w:r>
        <w:br w:type="page"/>
      </w:r>
    </w:p>
    <w:p w14:paraId="0C7A0E48" w14:textId="02F873EC" w:rsidR="00F7354F" w:rsidRPr="004030F5" w:rsidRDefault="00F7354F" w:rsidP="00F2297E">
      <w:pPr>
        <w:pStyle w:val="Heading1"/>
        <w:jc w:val="center"/>
      </w:pPr>
      <w:bookmarkStart w:id="58" w:name="_Toc296333718"/>
      <w:r w:rsidRPr="004030F5">
        <w:lastRenderedPageBreak/>
        <w:t>CHAPTER III</w:t>
      </w:r>
      <w:r w:rsidRPr="004030F5">
        <w:br/>
      </w:r>
      <w:r>
        <w:t>Selfea: R package for reliable feature selection</w:t>
      </w:r>
      <w:bookmarkEnd w:id="58"/>
    </w:p>
    <w:p w14:paraId="41829043" w14:textId="77777777" w:rsidR="00F7354F" w:rsidRPr="004030F5" w:rsidRDefault="00F7354F" w:rsidP="004432F9">
      <w:pPr>
        <w:pStyle w:val="Heading1"/>
        <w:spacing w:line="480" w:lineRule="auto"/>
        <w:rPr>
          <w:rFonts w:cs="Arial"/>
        </w:rPr>
      </w:pPr>
    </w:p>
    <w:p w14:paraId="48E52558" w14:textId="77777777" w:rsidR="00F7354F" w:rsidRPr="004030F5" w:rsidRDefault="00F7354F" w:rsidP="004432F9">
      <w:pPr>
        <w:pStyle w:val="Heading2"/>
        <w:spacing w:line="480" w:lineRule="auto"/>
      </w:pPr>
      <w:bookmarkStart w:id="59" w:name="_Toc296333719"/>
      <w:r w:rsidRPr="004030F5">
        <w:t>Introduction</w:t>
      </w:r>
      <w:bookmarkEnd w:id="59"/>
    </w:p>
    <w:p w14:paraId="2F089A13" w14:textId="03BE7615" w:rsidR="00DB0181" w:rsidRPr="00C16570" w:rsidRDefault="00DB0181" w:rsidP="00DB0181">
      <w:pPr>
        <w:spacing w:line="480" w:lineRule="auto"/>
        <w:ind w:firstLine="720"/>
        <w:rPr>
          <w:rFonts w:eastAsia="Batang"/>
          <w:lang w:eastAsia="ko-KR"/>
        </w:rPr>
      </w:pPr>
      <w:r>
        <w:rPr>
          <w:rFonts w:eastAsia="Batang"/>
          <w:lang w:eastAsia="ko-KR"/>
        </w:rPr>
        <w:t xml:space="preserve">In </w:t>
      </w:r>
      <w:r w:rsidRPr="009E3CD0">
        <w:rPr>
          <w:rFonts w:eastAsia="Batang"/>
          <w:lang w:eastAsia="ko-KR"/>
        </w:rPr>
        <w:t xml:space="preserve">data analysis </w:t>
      </w:r>
      <w:r>
        <w:rPr>
          <w:rFonts w:eastAsia="Batang"/>
          <w:lang w:eastAsia="ko-KR"/>
        </w:rPr>
        <w:t xml:space="preserve">from biological studies it’s often </w:t>
      </w:r>
      <w:r w:rsidRPr="009E3CD0">
        <w:rPr>
          <w:rFonts w:eastAsia="Batang"/>
          <w:lang w:eastAsia="ko-KR"/>
        </w:rPr>
        <w:t xml:space="preserve">a struggle </w:t>
      </w:r>
      <w:r>
        <w:rPr>
          <w:rFonts w:eastAsia="Batang"/>
          <w:lang w:eastAsia="ko-KR"/>
        </w:rPr>
        <w:t>to obtain</w:t>
      </w:r>
      <w:r w:rsidRPr="009E3CD0">
        <w:rPr>
          <w:rFonts w:eastAsia="Batang"/>
          <w:lang w:eastAsia="ko-KR"/>
        </w:rPr>
        <w:t xml:space="preserve"> reproducible</w:t>
      </w:r>
      <w:r>
        <w:rPr>
          <w:rFonts w:eastAsia="Batang"/>
          <w:lang w:eastAsia="ko-KR"/>
        </w:rPr>
        <w:t xml:space="preserve"> confident</w:t>
      </w:r>
      <w:r w:rsidRPr="009E3CD0">
        <w:rPr>
          <w:rFonts w:eastAsia="Batang"/>
          <w:lang w:eastAsia="ko-KR"/>
        </w:rPr>
        <w:t xml:space="preserve"> results.  Most</w:t>
      </w:r>
      <w:r>
        <w:rPr>
          <w:rFonts w:eastAsia="Batang"/>
          <w:lang w:eastAsia="ko-KR"/>
        </w:rPr>
        <w:t xml:space="preserve"> </w:t>
      </w:r>
      <w:r w:rsidRPr="009E3CD0">
        <w:rPr>
          <w:rFonts w:eastAsia="Batang"/>
          <w:lang w:eastAsia="ko-KR"/>
        </w:rPr>
        <w:t>scientific discoveries</w:t>
      </w:r>
      <w:r>
        <w:rPr>
          <w:rFonts w:eastAsia="Batang"/>
          <w:lang w:eastAsia="ko-KR"/>
        </w:rPr>
        <w:t xml:space="preserve">, in the biological sciences, </w:t>
      </w:r>
      <w:r w:rsidRPr="009E3CD0">
        <w:rPr>
          <w:rFonts w:eastAsia="Batang"/>
          <w:lang w:eastAsia="ko-KR"/>
        </w:rPr>
        <w:t xml:space="preserve">are statistically supported by p-value that is not </w:t>
      </w:r>
      <w:r>
        <w:rPr>
          <w:rFonts w:eastAsia="Batang"/>
          <w:lang w:eastAsia="ko-KR"/>
        </w:rPr>
        <w:t xml:space="preserve">always </w:t>
      </w:r>
      <w:r w:rsidRPr="009E3CD0">
        <w:rPr>
          <w:rFonts w:eastAsia="Batang"/>
          <w:lang w:eastAsia="ko-KR"/>
        </w:rPr>
        <w:t>reliable evidence unless statistical power is high enough (</w:t>
      </w:r>
      <w:r w:rsidRPr="009E3CD0">
        <w:rPr>
          <w:rFonts w:eastAsia="MS Gothic"/>
          <w:color w:val="000000"/>
        </w:rPr>
        <w:t>≥</w:t>
      </w:r>
      <w:r w:rsidRPr="009E3CD0">
        <w:rPr>
          <w:rFonts w:eastAsia="Batang"/>
          <w:lang w:eastAsia="ko-KR"/>
        </w:rPr>
        <w:t>90%)</w:t>
      </w:r>
      <w:r w:rsidR="00AF0DCD">
        <w:rPr>
          <w:rFonts w:eastAsia="Batang"/>
          <w:lang w:eastAsia="ko-KR"/>
        </w:rPr>
        <w:t xml:space="preserve"> </w:t>
      </w:r>
      <w:r w:rsidRPr="009E3CD0">
        <w:rPr>
          <w:rFonts w:eastAsia="Batang"/>
          <w:lang w:eastAsia="ko-KR"/>
        </w:rPr>
        <w:fldChar w:fldCharType="begin"/>
      </w:r>
      <w:r w:rsidR="00986B19">
        <w:rPr>
          <w:rFonts w:eastAsia="Batang"/>
          <w:lang w:eastAsia="ko-KR"/>
        </w:rPr>
        <w:instrText xml:space="preserve"> ADDIN EN.CITE &lt;EndNote&gt;&lt;Cite&gt;&lt;Author&gt;Halsey&lt;/Author&gt;&lt;Year&gt;2015&lt;/Year&gt;&lt;RecNum&gt;115&lt;/RecNum&gt;&lt;DisplayText&gt;[102]&lt;/DisplayText&gt;&lt;record&gt;&lt;rec-number&gt;115&lt;/rec-number&gt;&lt;foreign-keys&gt;&lt;key app="EN" db-id="efx2002d5f0z21etvw3x9zp7tw2axpa2eez0" timestamp="1434471120"&gt;115&lt;/key&gt;&lt;/foreign-keys&gt;&lt;ref-type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EndNote&gt;</w:instrText>
      </w:r>
      <w:r w:rsidRPr="009E3CD0">
        <w:rPr>
          <w:rFonts w:eastAsia="Batang"/>
          <w:lang w:eastAsia="ko-KR"/>
        </w:rPr>
        <w:fldChar w:fldCharType="separate"/>
      </w:r>
      <w:r w:rsidR="009B2AC9">
        <w:rPr>
          <w:rFonts w:eastAsia="Batang"/>
          <w:noProof/>
          <w:lang w:eastAsia="ko-KR"/>
        </w:rPr>
        <w:t>[102]</w:t>
      </w:r>
      <w:r w:rsidRPr="009E3CD0">
        <w:rPr>
          <w:rFonts w:eastAsia="Batang"/>
          <w:lang w:eastAsia="ko-KR"/>
        </w:rPr>
        <w:fldChar w:fldCharType="end"/>
      </w:r>
      <w:r w:rsidRPr="009E3CD0">
        <w:rPr>
          <w:rFonts w:eastAsia="Batang"/>
          <w:lang w:eastAsia="ko-KR"/>
        </w:rPr>
        <w:t xml:space="preserve">.  However, many of biology experiments are not conducted </w:t>
      </w:r>
      <w:r>
        <w:rPr>
          <w:rFonts w:eastAsia="Batang"/>
          <w:lang w:eastAsia="ko-KR"/>
        </w:rPr>
        <w:t>with parameters that have</w:t>
      </w:r>
      <w:r w:rsidRPr="009E3CD0">
        <w:rPr>
          <w:rFonts w:eastAsia="Batang"/>
          <w:lang w:eastAsia="ko-KR"/>
        </w:rPr>
        <w:t xml:space="preserve"> enough statistical power due to limited budget and time.  Button et al showed that 42 of 49 neurological studies, published in 2011</w:t>
      </w:r>
      <w:r w:rsidRPr="00C16570">
        <w:rPr>
          <w:rFonts w:eastAsia="Batang"/>
          <w:lang w:eastAsia="ko-KR"/>
        </w:rPr>
        <w:t>, have less</w:t>
      </w:r>
      <w:r>
        <w:rPr>
          <w:rFonts w:eastAsia="Batang"/>
          <w:lang w:eastAsia="ko-KR"/>
        </w:rPr>
        <w:t xml:space="preserve"> than 9</w:t>
      </w:r>
      <w:r w:rsidRPr="00C16570">
        <w:rPr>
          <w:rFonts w:eastAsia="Batang"/>
          <w:lang w:eastAsia="ko-KR"/>
        </w:rPr>
        <w:t>0% power that is typically recommended level for reliable hypothesis tests</w:t>
      </w:r>
      <w:r w:rsidR="004F0687">
        <w:rPr>
          <w:rFonts w:eastAsia="Batang"/>
          <w:lang w:eastAsia="ko-KR"/>
        </w:rPr>
        <w:t xml:space="preserve"> </w:t>
      </w:r>
      <w:r w:rsidRPr="009E3CD0">
        <w:rPr>
          <w:rFonts w:eastAsia="Batang"/>
          <w:lang w:eastAsia="ko-KR"/>
        </w:rPr>
        <w:fldChar w:fldCharType="begin"/>
      </w:r>
      <w:r w:rsidR="00986B19">
        <w:rPr>
          <w:rFonts w:eastAsia="Batang"/>
          <w:lang w:eastAsia="ko-KR"/>
        </w:rPr>
        <w:instrText xml:space="preserve"> ADDIN EN.CITE &lt;EndNote&gt;&lt;Cite&gt;&lt;Author&gt;Halsey&lt;/Author&gt;&lt;Year&gt;2015&lt;/Year&gt;&lt;RecNum&gt;115&lt;/RecNum&gt;&lt;DisplayText&gt;[102,103]&lt;/DisplayText&gt;&lt;record&gt;&lt;rec-number&gt;115&lt;/rec-number&gt;&lt;foreign-keys&gt;&lt;key app="EN" db-id="efx2002d5f0z21etvw3x9zp7tw2axpa2eez0" timestamp="1434471120"&gt;115&lt;/key&gt;&lt;/foreign-keys&gt;&lt;ref-type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Cite&gt;&lt;Author&gt;Button&lt;/Author&gt;&lt;Year&gt;2013&lt;/Year&gt;&lt;RecNum&gt;107&lt;/RecNum&gt;&lt;record&gt;&lt;rec-number&gt;107&lt;/rec-number&gt;&lt;foreign-keys&gt;&lt;key app="EN" db-id="efx2002d5f0z21etvw3x9zp7tw2axpa2eez0" timestamp="1434471120"&gt;107&lt;/key&gt;&lt;/foreign-keys&gt;&lt;ref-type name="Journal Article"&gt;17&lt;/ref-type&gt;&lt;contributors&gt;&lt;authors&gt;&lt;author&gt;Button, Katherine S&lt;/author&gt;&lt;author&gt;Ioannidis, John PA&lt;/author&gt;&lt;author&gt;Mokrysz, Claire&lt;/author&gt;&lt;author&gt;Nosek, Brian A&lt;/author&gt;&lt;author&gt;Flint, Jonathan&lt;/author&gt;&lt;author&gt;Robinson, Emma SJ&lt;/author&gt;&lt;author&gt;Munafò, Marcus R&lt;/author&gt;&lt;/authors&gt;&lt;/contributors&gt;&lt;titles&gt;&lt;title&gt;Power failure: why small sample size undermines the reliability of neuroscience&lt;/title&gt;&lt;secondary-title&gt;Nature Reviews Neuroscience&lt;/secondary-title&gt;&lt;/titles&gt;&lt;periodical&gt;&lt;full-title&gt;Nature Reviews Neuroscience&lt;/full-title&gt;&lt;/periodical&gt;&lt;pages&gt;365-376&lt;/pages&gt;&lt;volume&gt;14&lt;/volume&gt;&lt;number&gt;5&lt;/number&gt;&lt;dates&gt;&lt;year&gt;2013&lt;/year&gt;&lt;/dates&gt;&lt;isbn&gt;1471-003X&lt;/isbn&gt;&lt;urls&gt;&lt;/urls&gt;&lt;/record&gt;&lt;/Cite&gt;&lt;/EndNote&gt;</w:instrText>
      </w:r>
      <w:r w:rsidRPr="009E3CD0">
        <w:rPr>
          <w:rFonts w:eastAsia="Batang"/>
          <w:lang w:eastAsia="ko-KR"/>
        </w:rPr>
        <w:fldChar w:fldCharType="separate"/>
      </w:r>
      <w:r w:rsidR="009B2AC9">
        <w:rPr>
          <w:rFonts w:eastAsia="Batang"/>
          <w:noProof/>
          <w:lang w:eastAsia="ko-KR"/>
        </w:rPr>
        <w:t>[102,103]</w:t>
      </w:r>
      <w:r w:rsidRPr="009E3CD0">
        <w:rPr>
          <w:rFonts w:eastAsia="Batang"/>
          <w:lang w:eastAsia="ko-KR"/>
        </w:rPr>
        <w:fldChar w:fldCharType="end"/>
      </w:r>
      <w:r w:rsidR="00162043">
        <w:rPr>
          <w:rFonts w:eastAsia="Batang"/>
          <w:lang w:eastAsia="ko-KR"/>
        </w:rPr>
        <w:t xml:space="preserve"> (Fig. 25)</w:t>
      </w:r>
      <w:r w:rsidRPr="00C16570">
        <w:rPr>
          <w:rFonts w:eastAsia="Batang"/>
          <w:lang w:eastAsia="ko-KR"/>
        </w:rPr>
        <w:t xml:space="preserve">.  </w:t>
      </w:r>
      <w:r>
        <w:rPr>
          <w:rFonts w:eastAsia="Batang"/>
          <w:lang w:eastAsia="ko-KR"/>
        </w:rPr>
        <w:t>Since p-value is fickle at insufficient power, it</w:t>
      </w:r>
      <w:r w:rsidRPr="00C16570">
        <w:rPr>
          <w:rFonts w:eastAsia="Batang"/>
          <w:lang w:eastAsia="ko-KR"/>
        </w:rPr>
        <w:t xml:space="preserve"> is often accompanied by </w:t>
      </w:r>
      <w:r>
        <w:rPr>
          <w:rFonts w:eastAsia="Batang"/>
          <w:lang w:eastAsia="ko-KR"/>
        </w:rPr>
        <w:t>effect size (ES), such as fold change (FC), in biological studies, to increase result confidence</w:t>
      </w:r>
      <w:r w:rsidRPr="00C16570">
        <w:rPr>
          <w:rFonts w:eastAsia="Batang"/>
          <w:lang w:eastAsia="ko-KR"/>
        </w:rPr>
        <w:fldChar w:fldCharType="begin"/>
      </w:r>
      <w:r w:rsidR="00986B19">
        <w:rPr>
          <w:rFonts w:eastAsia="Batang"/>
          <w:lang w:eastAsia="ko-KR"/>
        </w:rPr>
        <w:instrText xml:space="preserve"> ADDIN EN.CITE &lt;EndNote&gt;&lt;Cite&gt;&lt;Author&gt;Sullivan&lt;/Author&gt;&lt;Year&gt;2012&lt;/Year&gt;&lt;RecNum&gt;119&lt;/RecNum&gt;&lt;DisplayText&gt;[104,105]&lt;/DisplayText&gt;&lt;record&gt;&lt;rec-number&gt;119&lt;/rec-number&gt;&lt;foreign-keys&gt;&lt;key app="EN" db-id="efx2002d5f0z21etvw3x9zp7tw2axpa2eez0" timestamp="1434471120"&gt;119&lt;/key&gt;&lt;/foreign-keys&gt;&lt;ref-type name="Journal Article"&gt;17&lt;/ref-type&gt;&lt;contributors&gt;&lt;authors&gt;&lt;author&gt;Sullivan, Gail M&lt;/author&gt;&lt;author&gt;Feinn, Richard&lt;/author&gt;&lt;/authors&gt;&lt;/contributors&gt;&lt;titles&gt;&lt;title&gt;Using effect size-or why the P value is not enough&lt;/title&gt;&lt;secondary-title&gt;Journal of graduate medical education&lt;/secondary-title&gt;&lt;/titles&gt;&lt;periodical&gt;&lt;full-title&gt;Journal of graduate medical education&lt;/full-title&gt;&lt;/periodical&gt;&lt;pages&gt;279-282&lt;/pages&gt;&lt;volume&gt;4&lt;/volume&gt;&lt;number&gt;3&lt;/number&gt;&lt;dates&gt;&lt;year&gt;2012&lt;/year&gt;&lt;/dates&gt;&lt;isbn&gt;1949-8357&lt;/isbn&gt;&lt;urls&gt;&lt;/urls&gt;&lt;/record&gt;&lt;/Cite&gt;&lt;Cite&gt;&lt;Author&gt;Gregori&lt;/Author&gt;&lt;Year&gt;2013&lt;/Year&gt;&lt;RecNum&gt;114&lt;/RecNum&gt;&lt;record&gt;&lt;rec-number&gt;114&lt;/rec-number&gt;&lt;foreign-keys&gt;&lt;key app="EN" db-id="efx2002d5f0z21etvw3x9zp7tw2axpa2eez0" timestamp="1434471120"&gt;114&lt;/key&gt;&lt;/foreign-keys&gt;&lt;ref-type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Proteomics&lt;/full-title&gt;&lt;/periodical&gt;&lt;pages&gt;55-65&lt;/pages&gt;&lt;volume&gt;95&lt;/volume&gt;&lt;dates&gt;&lt;year&gt;2013&lt;/year&gt;&lt;/dates&gt;&lt;isbn&gt;1874-3919&lt;/isbn&gt;&lt;urls&gt;&lt;/urls&gt;&lt;/record&gt;&lt;/Cite&gt;&lt;/EndNote&gt;</w:instrText>
      </w:r>
      <w:r w:rsidRPr="00C16570">
        <w:rPr>
          <w:rFonts w:eastAsia="Batang"/>
          <w:lang w:eastAsia="ko-KR"/>
        </w:rPr>
        <w:fldChar w:fldCharType="separate"/>
      </w:r>
      <w:r w:rsidR="009B2AC9">
        <w:rPr>
          <w:rFonts w:eastAsia="Batang"/>
          <w:noProof/>
          <w:lang w:eastAsia="ko-KR"/>
        </w:rPr>
        <w:t>[104,105]</w:t>
      </w:r>
      <w:r w:rsidRPr="00C16570">
        <w:rPr>
          <w:rFonts w:eastAsia="Batang"/>
          <w:lang w:eastAsia="ko-KR"/>
        </w:rPr>
        <w:fldChar w:fldCharType="end"/>
      </w:r>
      <w:r w:rsidRPr="00C16570">
        <w:rPr>
          <w:rFonts w:eastAsia="Batang"/>
          <w:lang w:eastAsia="ko-KR"/>
        </w:rPr>
        <w:t xml:space="preserve">.  ES can show the magnitude of difference between experiment groups, while p-value assesses </w:t>
      </w:r>
      <w:r>
        <w:rPr>
          <w:rFonts w:eastAsia="Batang"/>
          <w:lang w:eastAsia="ko-KR"/>
        </w:rPr>
        <w:t xml:space="preserve">if </w:t>
      </w:r>
      <w:r w:rsidRPr="00C16570">
        <w:rPr>
          <w:rFonts w:eastAsia="Batang"/>
          <w:lang w:eastAsia="ko-KR"/>
        </w:rPr>
        <w:t>an effect exists</w:t>
      </w:r>
      <w:r w:rsidRPr="00C16570">
        <w:rPr>
          <w:rFonts w:eastAsia="Batang"/>
          <w:lang w:eastAsia="ko-KR"/>
        </w:rPr>
        <w:fldChar w:fldCharType="begin"/>
      </w:r>
      <w:r w:rsidR="00986B19">
        <w:rPr>
          <w:rFonts w:eastAsia="Batang"/>
          <w:lang w:eastAsia="ko-KR"/>
        </w:rPr>
        <w:instrText xml:space="preserve"> ADDIN EN.CITE &lt;EndNote&gt;&lt;Cite&gt;&lt;Author&gt;Sullivan&lt;/Author&gt;&lt;Year&gt;2012&lt;/Year&gt;&lt;RecNum&gt;119&lt;/RecNum&gt;&lt;DisplayText&gt;[104]&lt;/DisplayText&gt;&lt;record&gt;&lt;rec-number&gt;119&lt;/rec-number&gt;&lt;foreign-keys&gt;&lt;key app="EN" db-id="efx2002d5f0z21etvw3x9zp7tw2axpa2eez0" timestamp="1434471120"&gt;119&lt;/key&gt;&lt;/foreign-keys&gt;&lt;ref-type name="Journal Article"&gt;17&lt;/ref-type&gt;&lt;contributors&gt;&lt;authors&gt;&lt;author&gt;Sullivan, Gail M&lt;/author&gt;&lt;author&gt;Feinn, Richard&lt;/author&gt;&lt;/authors&gt;&lt;/contributors&gt;&lt;titles&gt;&lt;title&gt;Using effect size-or why the P value is not enough&lt;/title&gt;&lt;secondary-title&gt;Journal of graduate medical education&lt;/secondary-title&gt;&lt;/titles&gt;&lt;periodical&gt;&lt;full-title&gt;Journal of graduate medical education&lt;/full-title&gt;&lt;/periodical&gt;&lt;pages&gt;279-282&lt;/pages&gt;&lt;volume&gt;4&lt;/volume&gt;&lt;number&gt;3&lt;/number&gt;&lt;dates&gt;&lt;year&gt;2012&lt;/year&gt;&lt;/dates&gt;&lt;isbn&gt;1949-8357&lt;/isbn&gt;&lt;urls&gt;&lt;/urls&gt;&lt;/record&gt;&lt;/Cite&gt;&lt;/EndNote&gt;</w:instrText>
      </w:r>
      <w:r w:rsidRPr="00C16570">
        <w:rPr>
          <w:rFonts w:eastAsia="Batang"/>
          <w:lang w:eastAsia="ko-KR"/>
        </w:rPr>
        <w:fldChar w:fldCharType="separate"/>
      </w:r>
      <w:r w:rsidR="009B2AC9">
        <w:rPr>
          <w:rFonts w:eastAsia="Batang"/>
          <w:noProof/>
          <w:lang w:eastAsia="ko-KR"/>
        </w:rPr>
        <w:t>[104]</w:t>
      </w:r>
      <w:r w:rsidRPr="00C16570">
        <w:rPr>
          <w:rFonts w:eastAsia="Batang"/>
          <w:lang w:eastAsia="ko-KR"/>
        </w:rPr>
        <w:fldChar w:fldCharType="end"/>
      </w:r>
      <w:r w:rsidRPr="00C16570">
        <w:rPr>
          <w:rFonts w:eastAsia="Batang"/>
          <w:lang w:eastAsia="ko-KR"/>
        </w:rPr>
        <w:t>.  Combination of ES and significance filter can improve reproducibility</w:t>
      </w:r>
      <w:r w:rsidRPr="00C16570">
        <w:rPr>
          <w:rFonts w:eastAsia="Batang"/>
          <w:lang w:eastAsia="ko-KR"/>
        </w:rPr>
        <w:fldChar w:fldCharType="begin"/>
      </w:r>
      <w:r w:rsidR="00986B19">
        <w:rPr>
          <w:rFonts w:eastAsia="Batang"/>
          <w:lang w:eastAsia="ko-KR"/>
        </w:rPr>
        <w:instrText xml:space="preserve"> ADDIN EN.CITE &lt;EndNote&gt;&lt;Cite&gt;&lt;Author&gt;Gregori&lt;/Author&gt;&lt;Year&gt;2013&lt;/Year&gt;&lt;RecNum&gt;114&lt;/RecNum&gt;&lt;DisplayText&gt;[105]&lt;/DisplayText&gt;&lt;record&gt;&lt;rec-number&gt;114&lt;/rec-number&gt;&lt;foreign-keys&gt;&lt;key app="EN" db-id="efx2002d5f0z21etvw3x9zp7tw2axpa2eez0" timestamp="1434471120"&gt;114&lt;/key&gt;&lt;/foreign-keys&gt;&lt;ref-type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Proteomics&lt;/full-title&gt;&lt;/periodical&gt;&lt;pages&gt;55-65&lt;/pages&gt;&lt;volume&gt;95&lt;/volume&gt;&lt;dates&gt;&lt;year&gt;2013&lt;/year&gt;&lt;/dates&gt;&lt;isbn&gt;1874-3919&lt;/isbn&gt;&lt;urls&gt;&lt;/urls&gt;&lt;/record&gt;&lt;/Cite&gt;&lt;/EndNote&gt;</w:instrText>
      </w:r>
      <w:r w:rsidRPr="00C16570">
        <w:rPr>
          <w:rFonts w:eastAsia="Batang"/>
          <w:lang w:eastAsia="ko-KR"/>
        </w:rPr>
        <w:fldChar w:fldCharType="separate"/>
      </w:r>
      <w:r w:rsidR="009B2AC9">
        <w:rPr>
          <w:rFonts w:eastAsia="Batang"/>
          <w:noProof/>
          <w:lang w:eastAsia="ko-KR"/>
        </w:rPr>
        <w:t>[105]</w:t>
      </w:r>
      <w:r w:rsidRPr="00C16570">
        <w:rPr>
          <w:rFonts w:eastAsia="Batang"/>
          <w:lang w:eastAsia="ko-KR"/>
        </w:rPr>
        <w:fldChar w:fldCharType="end"/>
      </w:r>
      <w:r w:rsidRPr="00C16570">
        <w:rPr>
          <w:rFonts w:eastAsia="Batang"/>
          <w:lang w:eastAsia="ko-KR"/>
        </w:rPr>
        <w:t>.  FC is, however, not sufficient to supplement p-value.</w:t>
      </w:r>
    </w:p>
    <w:p w14:paraId="71893A09" w14:textId="77777777" w:rsidR="00162043" w:rsidRDefault="00DB0181" w:rsidP="00DB0181">
      <w:pPr>
        <w:spacing w:line="480" w:lineRule="auto"/>
        <w:ind w:firstLine="720"/>
        <w:rPr>
          <w:rFonts w:eastAsia="Batang"/>
          <w:lang w:eastAsia="ko-KR"/>
        </w:rPr>
      </w:pPr>
      <w:r w:rsidRPr="00C16570">
        <w:rPr>
          <w:rFonts w:eastAsia="Batang"/>
          <w:lang w:eastAsia="ko-KR"/>
        </w:rPr>
        <w:t xml:space="preserve">FC is easy to calculate and a ratio for relative comparison, familiar to biological research, but it has obvious limits.  First, FC threshold </w:t>
      </w:r>
      <w:r>
        <w:rPr>
          <w:rFonts w:eastAsia="Batang"/>
          <w:lang w:eastAsia="ko-KR"/>
        </w:rPr>
        <w:t>is rooted on empirical evidence of biologists</w:t>
      </w:r>
      <w:r w:rsidRPr="00C16570">
        <w:rPr>
          <w:rFonts w:eastAsia="Batang"/>
          <w:lang w:eastAsia="ko-KR"/>
        </w:rPr>
        <w:t>.</w:t>
      </w:r>
      <w:r>
        <w:rPr>
          <w:rFonts w:eastAsia="Batang"/>
          <w:lang w:eastAsia="ko-KR"/>
        </w:rPr>
        <w:t xml:space="preserve">  </w:t>
      </w:r>
      <w:r w:rsidRPr="00C16570">
        <w:rPr>
          <w:rFonts w:eastAsia="Batang"/>
          <w:lang w:eastAsia="ko-KR"/>
        </w:rPr>
        <w:t xml:space="preserve">FC is </w:t>
      </w:r>
      <w:r>
        <w:rPr>
          <w:rFonts w:eastAsia="Batang"/>
          <w:lang w:eastAsia="ko-KR"/>
        </w:rPr>
        <w:t>traditionally</w:t>
      </w:r>
      <w:r w:rsidRPr="00C16570">
        <w:rPr>
          <w:rFonts w:eastAsia="Batang"/>
          <w:lang w:eastAsia="ko-KR"/>
        </w:rPr>
        <w:t xml:space="preserve"> accepted</w:t>
      </w:r>
      <w:r>
        <w:rPr>
          <w:rFonts w:eastAsia="Batang"/>
          <w:lang w:eastAsia="ko-KR"/>
        </w:rPr>
        <w:t xml:space="preserve"> because it means observable changes that are clear to the naked eye.  </w:t>
      </w:r>
    </w:p>
    <w:p w14:paraId="4702A1FC" w14:textId="77777777" w:rsidR="00162043" w:rsidRDefault="00162043">
      <w:pPr>
        <w:jc w:val="left"/>
        <w:rPr>
          <w:rFonts w:eastAsia="Batang"/>
          <w:lang w:eastAsia="ko-KR"/>
        </w:rPr>
      </w:pPr>
      <w:r>
        <w:rPr>
          <w:rFonts w:eastAsia="Batang"/>
          <w:lang w:eastAsia="ko-KR"/>
        </w:rPr>
        <w:br w:type="page"/>
      </w:r>
    </w:p>
    <w:p w14:paraId="36B317D4" w14:textId="77777777" w:rsidR="00162043" w:rsidRDefault="00162043" w:rsidP="00162043">
      <w:pPr>
        <w:keepNext/>
        <w:jc w:val="left"/>
      </w:pPr>
      <w:r>
        <w:rPr>
          <w:rFonts w:eastAsia="Batang"/>
          <w:noProof/>
        </w:rPr>
        <w:lastRenderedPageBreak/>
        <w:drawing>
          <wp:inline distT="0" distB="0" distL="0" distR="0" wp14:anchorId="1E276480" wp14:editId="59E3CBD4">
            <wp:extent cx="5457190" cy="3368765"/>
            <wp:effectExtent l="0" t="0" r="3810" b="9525"/>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57190" cy="3368765"/>
                    </a:xfrm>
                    <a:prstGeom prst="rect">
                      <a:avLst/>
                    </a:prstGeom>
                    <a:noFill/>
                    <a:ln>
                      <a:noFill/>
                    </a:ln>
                  </pic:spPr>
                </pic:pic>
              </a:graphicData>
            </a:graphic>
          </wp:inline>
        </w:drawing>
      </w:r>
    </w:p>
    <w:p w14:paraId="0FA5E22E" w14:textId="53DA7AD4" w:rsidR="00162043" w:rsidRPr="00C044A1" w:rsidRDefault="00162043" w:rsidP="00EA13C4">
      <w:pPr>
        <w:pStyle w:val="Caption"/>
        <w:rPr>
          <w:b w:val="0"/>
          <w:lang w:eastAsia="ko-KR"/>
        </w:rPr>
      </w:pPr>
      <w:bookmarkStart w:id="60" w:name="_Toc296333118"/>
      <w:r>
        <w:t xml:space="preserve">Figure </w:t>
      </w:r>
      <w:fldSimple w:instr=" SEQ Figure \* ARABIC ">
        <w:r w:rsidR="002B3E83">
          <w:rPr>
            <w:noProof/>
          </w:rPr>
          <w:t>25</w:t>
        </w:r>
      </w:fldSimple>
      <w:r>
        <w:t xml:space="preserve"> Median power of studies included</w:t>
      </w:r>
      <w:r w:rsidR="00C044A1">
        <w:t xml:space="preserve"> in neuroscience meta-analyses.  </w:t>
      </w:r>
      <w:r w:rsidR="00C044A1">
        <w:rPr>
          <w:b w:val="0"/>
        </w:rPr>
        <w:t xml:space="preserve">This figure shows a histogram </w:t>
      </w:r>
      <w:r w:rsidR="0093683B">
        <w:rPr>
          <w:b w:val="0"/>
        </w:rPr>
        <w:t xml:space="preserve">of median statistical power of neuroscience papers published in 2011.  </w:t>
      </w:r>
      <w:r w:rsidR="00EA13C4">
        <w:rPr>
          <w:b w:val="0"/>
        </w:rPr>
        <w:t xml:space="preserve">If this figure was based on minimum power as we used, the power of papers should be far more below than 80%.  This illustration was borrowed from </w:t>
      </w:r>
      <w:r w:rsidR="00E51519">
        <w:rPr>
          <w:b w:val="0"/>
        </w:rPr>
        <w:t>Button et al</w:t>
      </w:r>
      <w:r w:rsidR="00986B19">
        <w:rPr>
          <w:b w:val="0"/>
        </w:rPr>
        <w:t xml:space="preserve"> </w:t>
      </w:r>
      <w:r w:rsidR="00986B19">
        <w:rPr>
          <w:b w:val="0"/>
        </w:rPr>
        <w:fldChar w:fldCharType="begin"/>
      </w:r>
      <w:r w:rsidR="00986B19">
        <w:rPr>
          <w:b w:val="0"/>
        </w:rPr>
        <w:instrText xml:space="preserve"> ADDIN EN.CITE &lt;EndNote&gt;&lt;Cite&gt;&lt;Author&gt;Button&lt;/Author&gt;&lt;Year&gt;2013&lt;/Year&gt;&lt;RecNum&gt;107&lt;/RecNum&gt;&lt;DisplayText&gt;[103]&lt;/DisplayText&gt;&lt;record&gt;&lt;rec-number&gt;107&lt;/rec-number&gt;&lt;foreign-keys&gt;&lt;key app="EN" db-id="efx2002d5f0z21etvw3x9zp7tw2axpa2eez0" timestamp="1434471120"&gt;107&lt;/key&gt;&lt;/foreign-keys&gt;&lt;ref-type name="Journal Article"&gt;17&lt;/ref-type&gt;&lt;contributors&gt;&lt;authors&gt;&lt;author&gt;Button, Katherine S&lt;/author&gt;&lt;author&gt;Ioannidis, John PA&lt;/author&gt;&lt;author&gt;Mokrysz, Claire&lt;/author&gt;&lt;author&gt;Nosek, Brian A&lt;/author&gt;&lt;author&gt;Flint, Jonathan&lt;/author&gt;&lt;author&gt;Robinson, Emma SJ&lt;/author&gt;&lt;author&gt;Munafò, Marcus R&lt;/author&gt;&lt;/authors&gt;&lt;/contributors&gt;&lt;titles&gt;&lt;title&gt;Power failure: why small sample size undermines the reliability of neuroscience&lt;/title&gt;&lt;secondary-title&gt;Nature Reviews Neuroscience&lt;/secondary-title&gt;&lt;/titles&gt;&lt;periodical&gt;&lt;full-title&gt;Nature Reviews Neuroscience&lt;/full-title&gt;&lt;/periodical&gt;&lt;pages&gt;365-376&lt;/pages&gt;&lt;volume&gt;14&lt;/volume&gt;&lt;number&gt;5&lt;/number&gt;&lt;dates&gt;&lt;year&gt;2013&lt;/year&gt;&lt;/dates&gt;&lt;isbn&gt;1471-003X&lt;/isbn&gt;&lt;urls&gt;&lt;/urls&gt;&lt;/record&gt;&lt;/Cite&gt;&lt;/EndNote&gt;</w:instrText>
      </w:r>
      <w:r w:rsidR="00986B19">
        <w:rPr>
          <w:b w:val="0"/>
        </w:rPr>
        <w:fldChar w:fldCharType="separate"/>
      </w:r>
      <w:r w:rsidR="00986B19">
        <w:rPr>
          <w:b w:val="0"/>
          <w:noProof/>
        </w:rPr>
        <w:t>[103]</w:t>
      </w:r>
      <w:r w:rsidR="00986B19">
        <w:rPr>
          <w:b w:val="0"/>
        </w:rPr>
        <w:fldChar w:fldCharType="end"/>
      </w:r>
      <w:r w:rsidR="00E51519">
        <w:rPr>
          <w:b w:val="0"/>
        </w:rPr>
        <w:t>.</w:t>
      </w:r>
      <w:r w:rsidR="00986B19">
        <w:rPr>
          <w:b w:val="0"/>
        </w:rPr>
        <w:t xml:space="preserve">  N: the number of papers, </w:t>
      </w:r>
      <w:proofErr w:type="gramStart"/>
      <w:r w:rsidR="00986B19">
        <w:rPr>
          <w:b w:val="0"/>
        </w:rPr>
        <w:t>Power(</w:t>
      </w:r>
      <w:proofErr w:type="gramEnd"/>
      <w:r w:rsidR="00986B19">
        <w:rPr>
          <w:b w:val="0"/>
        </w:rPr>
        <w:t>%): median statistical power</w:t>
      </w:r>
      <w:bookmarkEnd w:id="60"/>
    </w:p>
    <w:p w14:paraId="4E3356BC" w14:textId="0D0FEAE5" w:rsidR="00162043" w:rsidRDefault="00162043">
      <w:pPr>
        <w:jc w:val="left"/>
        <w:rPr>
          <w:rFonts w:eastAsia="Batang"/>
          <w:lang w:eastAsia="ko-KR"/>
        </w:rPr>
      </w:pPr>
      <w:r>
        <w:rPr>
          <w:rFonts w:eastAsia="Batang"/>
          <w:lang w:eastAsia="ko-KR"/>
        </w:rPr>
        <w:br w:type="page"/>
      </w:r>
    </w:p>
    <w:p w14:paraId="704F2859" w14:textId="549B7C03" w:rsidR="00F7354F" w:rsidRDefault="00DB0181" w:rsidP="00DB0181">
      <w:pPr>
        <w:spacing w:line="480" w:lineRule="auto"/>
        <w:ind w:firstLine="720"/>
        <w:rPr>
          <w:rFonts w:eastAsia="Batang"/>
          <w:lang w:eastAsia="ko-KR"/>
        </w:rPr>
      </w:pPr>
      <w:r>
        <w:rPr>
          <w:rFonts w:eastAsia="Batang"/>
          <w:lang w:eastAsia="ko-KR"/>
        </w:rPr>
        <w:lastRenderedPageBreak/>
        <w:t>However, this visible difference doesn’t always mean significant effect, considering signal intensity and variation within replicates.  The</w:t>
      </w:r>
      <w:r w:rsidRPr="00C16570">
        <w:rPr>
          <w:rFonts w:eastAsia="Batang"/>
          <w:lang w:eastAsia="ko-KR"/>
        </w:rPr>
        <w:t xml:space="preserve"> same FC threshold is generally applied to various data regardless of dataset’s characteristics, such as variance and sample size.  Furthermore, since FC is a relative ratio, it cannot distinguish absolute quantitative difference, </w:t>
      </w:r>
      <w:r>
        <w:rPr>
          <w:rFonts w:eastAsia="Batang"/>
          <w:lang w:eastAsia="ko-KR"/>
        </w:rPr>
        <w:t>which</w:t>
      </w:r>
      <w:r w:rsidRPr="00C16570">
        <w:rPr>
          <w:rFonts w:eastAsia="Batang"/>
          <w:lang w:eastAsia="ko-KR"/>
        </w:rPr>
        <w:t xml:space="preserve"> is main purpose of ES</w:t>
      </w:r>
      <w:r w:rsidRPr="00C16570">
        <w:rPr>
          <w:rFonts w:eastAsia="Batang"/>
          <w:lang w:eastAsia="ko-KR"/>
        </w:rPr>
        <w:fldChar w:fldCharType="begin"/>
      </w:r>
      <w:r w:rsidR="00986B19">
        <w:rPr>
          <w:rFonts w:eastAsia="Batang"/>
          <w:lang w:eastAsia="ko-KR"/>
        </w:rPr>
        <w:instrText xml:space="preserve"> ADDIN EN.CITE &lt;EndNote&gt;&lt;Cite&gt;&lt;Author&gt;Sullivan&lt;/Author&gt;&lt;Year&gt;2012&lt;/Year&gt;&lt;RecNum&gt;119&lt;/RecNum&gt;&lt;DisplayText&gt;[104]&lt;/DisplayText&gt;&lt;record&gt;&lt;rec-number&gt;119&lt;/rec-number&gt;&lt;foreign-keys&gt;&lt;key app="EN" db-id="efx2002d5f0z21etvw3x9zp7tw2axpa2eez0" timestamp="1434471120"&gt;119&lt;/key&gt;&lt;/foreign-keys&gt;&lt;ref-type name="Journal Article"&gt;17&lt;/ref-type&gt;&lt;contributors&gt;&lt;authors&gt;&lt;author&gt;Sullivan, Gail M&lt;/author&gt;&lt;author&gt;Feinn, Richard&lt;/author&gt;&lt;/authors&gt;&lt;/contributors&gt;&lt;titles&gt;&lt;title&gt;Using effect size-or why the P value is not enough&lt;/title&gt;&lt;secondary-title&gt;Journal of graduate medical education&lt;/secondary-title&gt;&lt;/titles&gt;&lt;periodical&gt;&lt;full-title&gt;Journal of graduate medical education&lt;/full-title&gt;&lt;/periodical&gt;&lt;pages&gt;279-282&lt;/pages&gt;&lt;volume&gt;4&lt;/volume&gt;&lt;number&gt;3&lt;/number&gt;&lt;dates&gt;&lt;year&gt;2012&lt;/year&gt;&lt;/dates&gt;&lt;isbn&gt;1949-8357&lt;/isbn&gt;&lt;urls&gt;&lt;/urls&gt;&lt;/record&gt;&lt;/Cite&gt;&lt;/EndNote&gt;</w:instrText>
      </w:r>
      <w:r w:rsidRPr="00C16570">
        <w:rPr>
          <w:rFonts w:eastAsia="Batang"/>
          <w:lang w:eastAsia="ko-KR"/>
        </w:rPr>
        <w:fldChar w:fldCharType="separate"/>
      </w:r>
      <w:r w:rsidR="009B2AC9">
        <w:rPr>
          <w:rFonts w:eastAsia="Batang"/>
          <w:noProof/>
          <w:lang w:eastAsia="ko-KR"/>
        </w:rPr>
        <w:t>[104]</w:t>
      </w:r>
      <w:r w:rsidRPr="00C16570">
        <w:rPr>
          <w:rFonts w:eastAsia="Batang"/>
          <w:lang w:eastAsia="ko-KR"/>
        </w:rPr>
        <w:fldChar w:fldCharType="end"/>
      </w:r>
      <w:r w:rsidRPr="00C16570">
        <w:rPr>
          <w:rFonts w:eastAsia="Batang"/>
          <w:lang w:eastAsia="ko-KR"/>
        </w:rPr>
        <w:t xml:space="preserve">.  For instance, in label-free proteomics experiment, if expression level of proteinA </w:t>
      </w:r>
      <w:r>
        <w:rPr>
          <w:rFonts w:eastAsia="Batang"/>
          <w:lang w:eastAsia="ko-KR"/>
        </w:rPr>
        <w:t>has an observed</w:t>
      </w:r>
      <w:r w:rsidRPr="00C16570">
        <w:rPr>
          <w:rFonts w:eastAsia="Batang"/>
          <w:lang w:eastAsia="ko-KR"/>
        </w:rPr>
        <w:t xml:space="preserve"> 1 spectrum count (SC) in control and 2 SC in test group, FC of proteinA is 2.  It is still same </w:t>
      </w:r>
      <w:r>
        <w:rPr>
          <w:rFonts w:eastAsia="Batang"/>
          <w:lang w:eastAsia="ko-KR"/>
        </w:rPr>
        <w:t>2-FC</w:t>
      </w:r>
      <w:r w:rsidRPr="00C16570">
        <w:rPr>
          <w:rFonts w:eastAsia="Batang"/>
          <w:lang w:eastAsia="ko-KR"/>
        </w:rPr>
        <w:t>, however, to another proteinB whose expression level is 1,000 SC in control and 2,000 SC in test group.  Difference in the two groups for proteinA is 1 SC while for proteinB is 1,000 SC.  We may not</w:t>
      </w:r>
      <w:r>
        <w:rPr>
          <w:rFonts w:eastAsia="Batang"/>
          <w:lang w:eastAsia="ko-KR"/>
        </w:rPr>
        <w:t xml:space="preserve"> be sure whether</w:t>
      </w:r>
      <w:r w:rsidRPr="00C16570">
        <w:rPr>
          <w:rFonts w:eastAsia="Batang"/>
          <w:lang w:eastAsia="ko-KR"/>
        </w:rPr>
        <w:t xml:space="preserve"> the 1 SC difference of proteinA is true or </w:t>
      </w:r>
      <w:r>
        <w:rPr>
          <w:rFonts w:eastAsia="Batang"/>
          <w:lang w:eastAsia="ko-KR"/>
        </w:rPr>
        <w:t>from systematic-</w:t>
      </w:r>
      <w:r w:rsidRPr="00C16570">
        <w:rPr>
          <w:rFonts w:eastAsia="Batang"/>
          <w:lang w:eastAsia="ko-KR"/>
        </w:rPr>
        <w:t xml:space="preserve">error because </w:t>
      </w:r>
      <w:r>
        <w:rPr>
          <w:rFonts w:eastAsia="Batang"/>
          <w:lang w:eastAsia="ko-KR"/>
        </w:rPr>
        <w:t>protein detection and quantitation are</w:t>
      </w:r>
      <w:r w:rsidRPr="00C16570">
        <w:rPr>
          <w:rFonts w:eastAsia="Batang"/>
          <w:lang w:eastAsia="ko-KR"/>
        </w:rPr>
        <w:t xml:space="preserve"> limited by the sensitivity of the instrumentation making the measuremen</w:t>
      </w:r>
      <w:r>
        <w:rPr>
          <w:rFonts w:eastAsia="Batang"/>
          <w:lang w:eastAsia="ko-KR"/>
        </w:rPr>
        <w:t>t (low spectral count proteins in label free proteomics is always suspect).  As was confirmed in microarray</w:t>
      </w:r>
      <w:r>
        <w:rPr>
          <w:rFonts w:eastAsia="Batang"/>
          <w:lang w:eastAsia="ko-KR"/>
        </w:rPr>
        <w:fldChar w:fldCharType="begin"/>
      </w:r>
      <w:r w:rsidR="00986B19">
        <w:rPr>
          <w:rFonts w:eastAsia="Batang"/>
          <w:lang w:eastAsia="ko-KR"/>
        </w:rPr>
        <w:instrText xml:space="preserve"> ADDIN EN.CITE &lt;EndNote&gt;&lt;Cite&gt;&lt;Author&gt;Tusher&lt;/Author&gt;&lt;Year&gt;2001&lt;/Year&gt;&lt;RecNum&gt;120&lt;/RecNum&gt;&lt;DisplayText&gt;[106]&lt;/DisplayText&gt;&lt;record&gt;&lt;rec-number&gt;120&lt;/rec-number&gt;&lt;foreign-keys&gt;&lt;key app="EN" db-id="efx2002d5f0z21etvw3x9zp7tw2axpa2eez0" timestamp="1434471120"&gt;120&lt;/key&gt;&lt;/foreign-keys&gt;&lt;ref-type name="Journal Article"&gt;17&lt;/ref-type&gt;&lt;contributors&gt;&lt;authors&gt;&lt;author&gt;Tusher, Virginia Goss&lt;/author&gt;&lt;author&gt;Tibshirani, Robert&lt;/author&gt;&lt;author&gt;Chu, Gilbert&lt;/author&gt;&lt;/authors&gt;&lt;/contributors&gt;&lt;titles&gt;&lt;title&gt;Significance analysis of microarrays applied to the ionizing radiation response&lt;/title&gt;&lt;secondary-title&gt;Proceedings of the National Academy of Sciences&lt;/secondary-title&gt;&lt;/titles&gt;&lt;periodical&gt;&lt;full-title&gt;Proceedings of the National Academy of Sciences&lt;/full-title&gt;&lt;/periodical&gt;&lt;pages&gt;5116-5121&lt;/pages&gt;&lt;volume&gt;98&lt;/volume&gt;&lt;number&gt;9&lt;/number&gt;&lt;dates&gt;&lt;year&gt;2001&lt;/year&gt;&lt;/dates&gt;&lt;isbn&gt;0027-8424&lt;/isbn&gt;&lt;urls&gt;&lt;/urls&gt;&lt;/record&gt;&lt;/Cite&gt;&lt;/EndNote&gt;</w:instrText>
      </w:r>
      <w:r>
        <w:rPr>
          <w:rFonts w:eastAsia="Batang"/>
          <w:lang w:eastAsia="ko-KR"/>
        </w:rPr>
        <w:fldChar w:fldCharType="separate"/>
      </w:r>
      <w:r w:rsidR="009B2AC9">
        <w:rPr>
          <w:rFonts w:eastAsia="Batang"/>
          <w:noProof/>
          <w:lang w:eastAsia="ko-KR"/>
        </w:rPr>
        <w:t>[106]</w:t>
      </w:r>
      <w:r>
        <w:rPr>
          <w:rFonts w:eastAsia="Batang"/>
          <w:lang w:eastAsia="ko-KR"/>
        </w:rPr>
        <w:fldChar w:fldCharType="end"/>
      </w:r>
      <w:r>
        <w:rPr>
          <w:rFonts w:eastAsia="Batang"/>
          <w:lang w:eastAsia="ko-KR"/>
        </w:rPr>
        <w:t>,</w:t>
      </w:r>
      <w:r w:rsidRPr="00871C77">
        <w:rPr>
          <w:rFonts w:eastAsia="Batang"/>
          <w:lang w:eastAsia="ko-KR"/>
        </w:rPr>
        <w:t xml:space="preserve"> FC is </w:t>
      </w:r>
      <w:r>
        <w:rPr>
          <w:rFonts w:eastAsia="Batang"/>
          <w:lang w:eastAsia="ko-KR"/>
        </w:rPr>
        <w:t>no-good</w:t>
      </w:r>
      <w:r w:rsidRPr="00871C77">
        <w:rPr>
          <w:rFonts w:eastAsia="Batang"/>
          <w:lang w:eastAsia="ko-KR"/>
        </w:rPr>
        <w:t xml:space="preserve"> at handling low expression level features (genes or proteins) that are prevalent in biological data.</w:t>
      </w:r>
    </w:p>
    <w:p w14:paraId="67667A0E" w14:textId="77777777" w:rsidR="002457C4" w:rsidRDefault="002457C4" w:rsidP="002457C4">
      <w:pPr>
        <w:spacing w:line="480" w:lineRule="auto"/>
        <w:rPr>
          <w:rFonts w:eastAsia="Batang"/>
          <w:lang w:eastAsia="ko-KR"/>
        </w:rPr>
      </w:pPr>
    </w:p>
    <w:p w14:paraId="5F3BA2A4" w14:textId="184CD37C" w:rsidR="00137F27" w:rsidRDefault="00871023" w:rsidP="00871023">
      <w:pPr>
        <w:pStyle w:val="Heading2"/>
        <w:rPr>
          <w:lang w:eastAsia="ko-KR"/>
        </w:rPr>
      </w:pPr>
      <w:bookmarkStart w:id="61" w:name="_Toc296333720"/>
      <w:r>
        <w:rPr>
          <w:lang w:eastAsia="ko-KR"/>
        </w:rPr>
        <w:t>Methods</w:t>
      </w:r>
      <w:bookmarkEnd w:id="61"/>
    </w:p>
    <w:p w14:paraId="56B25546" w14:textId="77777777" w:rsidR="00871023" w:rsidRPr="00C16570" w:rsidRDefault="00871023" w:rsidP="00871023">
      <w:pPr>
        <w:pStyle w:val="Heading3"/>
        <w:rPr>
          <w:lang w:eastAsia="ko-KR"/>
        </w:rPr>
      </w:pPr>
      <w:bookmarkStart w:id="62" w:name="_Toc296333721"/>
      <w:r w:rsidRPr="00C16570">
        <w:rPr>
          <w:lang w:eastAsia="ko-KR"/>
        </w:rPr>
        <w:t>Label free LC-MS/MS Proteomics Data</w:t>
      </w:r>
      <w:bookmarkEnd w:id="62"/>
    </w:p>
    <w:p w14:paraId="127E3FC4" w14:textId="395D3B7A" w:rsidR="00871023" w:rsidRPr="00C16570" w:rsidRDefault="00871023" w:rsidP="00871023">
      <w:pPr>
        <w:spacing w:line="480" w:lineRule="auto"/>
        <w:rPr>
          <w:rFonts w:eastAsia="Batang"/>
          <w:lang w:eastAsia="ko-KR"/>
        </w:rPr>
      </w:pPr>
      <w:r w:rsidRPr="00C16570">
        <w:rPr>
          <w:rFonts w:eastAsia="Batang"/>
          <w:lang w:eastAsia="ko-KR"/>
        </w:rPr>
        <w:t>Gregori data were obtained from ‘msmsTests’ R package</w:t>
      </w:r>
      <w:r w:rsidRPr="00C16570">
        <w:rPr>
          <w:rFonts w:eastAsia="Batang"/>
          <w:lang w:eastAsia="ko-KR"/>
        </w:rPr>
        <w:fldChar w:fldCharType="begin"/>
      </w:r>
      <w:r w:rsidR="00910455">
        <w:rPr>
          <w:rFonts w:eastAsia="Batang"/>
          <w:lang w:eastAsia="ko-KR"/>
        </w:rPr>
        <w:instrText xml:space="preserve"> ADDIN EN.CITE &lt;EndNote&gt;&lt;Cite&gt;&lt;Author&gt;Gregori&lt;/Author&gt;&lt;Year&gt;2013&lt;/Year&gt;&lt;RecNum&gt;4&lt;/RecNum&gt;&lt;DisplayText&gt;[105,107]&lt;/DisplayText&gt;&lt;record&gt;&lt;rec-number&gt;4&lt;/rec-number&gt;&lt;foreign-keys&gt;&lt;key app="EN" db-id="205wv52at2eswbe5fv7p9a0ydfp2f9a29af2" timestamp="1432311099"&gt;4&lt;/key&gt;&lt;/foreign-keys&gt;&lt;ref-type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Cite&gt;&lt;Author&gt;Gregori&lt;/Author&gt;&lt;Year&gt;2013&lt;/Year&gt;&lt;RecNum&gt;113&lt;/RecNum&gt;&lt;record&gt;&lt;rec-number&gt;113&lt;/rec-number&gt;&lt;foreign-keys&gt;&lt;key app="EN" db-id="efx2002d5f0z21etvw3x9zp7tw2axpa2eez0" timestamp="1434471120"&gt;113&lt;/key&gt;&lt;/foreign-keys&gt;&lt;ref-type name="Computer Program"&gt;9&lt;/ref-type&gt;&lt;contributors&gt;&lt;authors&gt;&lt;author&gt;Josep Gregori&lt;/author&gt;&lt;author&gt;Alex Sanchez&lt;/author&gt;&lt;author&gt;Josep Villanueva&lt;/author&gt;&lt;/authors&gt;&lt;/contributors&gt;&lt;titles&gt;&lt;title&gt;msmsTests&lt;/title&gt;&lt;/titles&gt;&lt;pages&gt;msmsTests, http://www.bioconductor.org/packages/release/bioc/html/msmsTests.html&lt;/pages&gt;&lt;dates&gt;&lt;year&gt;2013&lt;/year&gt;&lt;/dates&gt;&lt;pub-location&gt;Bioconductor&lt;/pub-location&gt;&lt;urls&gt;&lt;/urls&gt;&lt;/record&gt;&lt;/Cite&gt;&lt;/EndNote&gt;</w:instrText>
      </w:r>
      <w:r w:rsidRPr="00C16570">
        <w:rPr>
          <w:rFonts w:eastAsia="Batang"/>
          <w:lang w:eastAsia="ko-KR"/>
        </w:rPr>
        <w:fldChar w:fldCharType="separate"/>
      </w:r>
      <w:r w:rsidR="00910455">
        <w:rPr>
          <w:rFonts w:eastAsia="Batang"/>
          <w:noProof/>
          <w:lang w:eastAsia="ko-KR"/>
        </w:rPr>
        <w:t>[105,107]</w:t>
      </w:r>
      <w:r w:rsidRPr="00C16570">
        <w:rPr>
          <w:rFonts w:eastAsia="Batang"/>
          <w:lang w:eastAsia="ko-KR"/>
        </w:rPr>
        <w:fldChar w:fldCharType="end"/>
      </w:r>
      <w:r w:rsidRPr="00C16570">
        <w:rPr>
          <w:rFonts w:eastAsia="Batang"/>
          <w:lang w:eastAsia="ko-KR"/>
        </w:rPr>
        <w:t xml:space="preserve">.  Fecal proteome data were generated in a study of </w:t>
      </w:r>
      <w:r w:rsidR="00047FA2">
        <w:rPr>
          <w:rFonts w:eastAsia="Batang"/>
          <w:lang w:eastAsia="ko-KR"/>
        </w:rPr>
        <w:t xml:space="preserve">chapter 4, human fecal proteome </w:t>
      </w:r>
      <w:r w:rsidR="00047FA2">
        <w:rPr>
          <w:rFonts w:eastAsia="Batang"/>
          <w:lang w:eastAsia="ko-KR"/>
        </w:rPr>
        <w:lastRenderedPageBreak/>
        <w:t xml:space="preserve">study, </w:t>
      </w:r>
      <w:r w:rsidRPr="00C16570">
        <w:rPr>
          <w:rFonts w:eastAsia="Batang"/>
          <w:lang w:eastAsia="ko-KR"/>
        </w:rPr>
        <w:t xml:space="preserve">via label free shotgun proteomics.  The </w:t>
      </w:r>
      <w:r w:rsidR="000E7E80">
        <w:rPr>
          <w:rFonts w:eastAsia="Batang"/>
          <w:lang w:eastAsia="ko-KR"/>
        </w:rPr>
        <w:t xml:space="preserve">detail </w:t>
      </w:r>
      <w:r w:rsidR="002E244B">
        <w:rPr>
          <w:rFonts w:eastAsia="Batang"/>
          <w:lang w:eastAsia="ko-KR"/>
        </w:rPr>
        <w:t>information of data generation</w:t>
      </w:r>
      <w:r w:rsidR="000E7E80">
        <w:rPr>
          <w:rFonts w:eastAsia="Batang"/>
          <w:lang w:eastAsia="ko-KR"/>
        </w:rPr>
        <w:t xml:space="preserve"> </w:t>
      </w:r>
      <w:r w:rsidR="002E244B">
        <w:rPr>
          <w:rFonts w:eastAsia="Batang"/>
          <w:lang w:eastAsia="ko-KR"/>
        </w:rPr>
        <w:t>is</w:t>
      </w:r>
      <w:r w:rsidR="000E7E80">
        <w:rPr>
          <w:rFonts w:eastAsia="Batang"/>
          <w:lang w:eastAsia="ko-KR"/>
        </w:rPr>
        <w:t xml:space="preserve"> in </w:t>
      </w:r>
      <w:r w:rsidR="00CD35C4">
        <w:rPr>
          <w:rFonts w:eastAsia="Batang"/>
          <w:lang w:eastAsia="ko-KR"/>
        </w:rPr>
        <w:t xml:space="preserve">method part of </w:t>
      </w:r>
      <w:r w:rsidR="000E7E80">
        <w:rPr>
          <w:rFonts w:eastAsia="Batang"/>
          <w:lang w:eastAsia="ko-KR"/>
        </w:rPr>
        <w:t>chapter 4.</w:t>
      </w:r>
    </w:p>
    <w:p w14:paraId="1060F3CF" w14:textId="77777777" w:rsidR="00871023" w:rsidRPr="00C16570" w:rsidRDefault="00871023" w:rsidP="00871023">
      <w:pPr>
        <w:spacing w:line="480" w:lineRule="auto"/>
        <w:rPr>
          <w:rFonts w:eastAsia="Batang"/>
          <w:b/>
          <w:lang w:eastAsia="ko-KR"/>
        </w:rPr>
      </w:pPr>
    </w:p>
    <w:p w14:paraId="7276091D" w14:textId="77777777" w:rsidR="00871023" w:rsidRPr="00C16570" w:rsidRDefault="00871023" w:rsidP="00871023">
      <w:pPr>
        <w:pStyle w:val="Heading3"/>
        <w:rPr>
          <w:lang w:eastAsia="ko-KR"/>
        </w:rPr>
      </w:pPr>
      <w:bookmarkStart w:id="63" w:name="_Toc296333722"/>
      <w:r w:rsidRPr="00C16570">
        <w:rPr>
          <w:lang w:eastAsia="ko-KR"/>
        </w:rPr>
        <w:t>Calculation of Cohen’s effect sizes and statistics</w:t>
      </w:r>
      <w:bookmarkEnd w:id="63"/>
    </w:p>
    <w:p w14:paraId="3548913A" w14:textId="77777777" w:rsidR="00871023" w:rsidRPr="00C16570" w:rsidRDefault="00871023" w:rsidP="00871023">
      <w:pPr>
        <w:spacing w:line="480" w:lineRule="auto"/>
        <w:rPr>
          <w:rFonts w:eastAsia="Batang"/>
          <w:lang w:eastAsia="ko-KR"/>
        </w:rPr>
      </w:pPr>
      <w:r w:rsidRPr="00C16570">
        <w:rPr>
          <w:rFonts w:eastAsia="Batang"/>
          <w:lang w:eastAsia="ko-KR"/>
        </w:rPr>
        <w:t xml:space="preserve">All the statistical analysis, used in this study, was done with R 3.1.3.  Cohen’s effect sizes, fold change and p-values were obtained by ‘selfea’ R package we developed.  Selfea is available at </w:t>
      </w:r>
      <w:hyperlink r:id="rId47" w:history="1">
        <w:r w:rsidRPr="00C16570">
          <w:rPr>
            <w:rStyle w:val="Hyperlink"/>
            <w:rFonts w:eastAsia="Batang"/>
            <w:lang w:eastAsia="ko-KR"/>
          </w:rPr>
          <w:t>http://cran.r-project.org/web/packages/selfea/</w:t>
        </w:r>
      </w:hyperlink>
      <w:r w:rsidRPr="00C16570">
        <w:rPr>
          <w:rFonts w:eastAsia="Batang"/>
          <w:lang w:eastAsia="ko-KR"/>
        </w:rPr>
        <w:t xml:space="preserve">.  Selfea calculates Cohen’s </w:t>
      </w:r>
      <w:r w:rsidRPr="00C16570">
        <w:rPr>
          <w:rFonts w:eastAsia="Batang"/>
          <w:i/>
          <w:lang w:eastAsia="ko-KR"/>
        </w:rPr>
        <w:t>f</w:t>
      </w:r>
      <w:r w:rsidRPr="00C16570">
        <w:rPr>
          <w:rFonts w:eastAsia="Batang"/>
          <w:lang w:eastAsia="ko-KR"/>
        </w:rPr>
        <w:t xml:space="preserve"> as described below:</w:t>
      </w:r>
    </w:p>
    <w:p w14:paraId="3BF822EE" w14:textId="77777777" w:rsidR="00871023" w:rsidRPr="00C16570" w:rsidRDefault="00871023" w:rsidP="00871023">
      <w:pPr>
        <w:spacing w:line="480" w:lineRule="auto"/>
        <w:rPr>
          <w:rFonts w:eastAsia="Batang"/>
          <w:lang w:eastAsia="ko-KR"/>
        </w:rPr>
      </w:pPr>
      <m:oMathPara>
        <m:oMath>
          <m:r>
            <w:rPr>
              <w:rFonts w:ascii="Cambria Math" w:eastAsia="Batang" w:hAnsi="Cambria Math"/>
              <w:lang w:eastAsia="ko-KR"/>
            </w:rPr>
            <m:t xml:space="preserve">f= </m:t>
          </m:r>
          <m:rad>
            <m:radPr>
              <m:degHide m:val="1"/>
              <m:ctrlPr>
                <w:rPr>
                  <w:rFonts w:ascii="Cambria Math" w:eastAsia="Batang" w:hAnsi="Cambria Math"/>
                  <w:i/>
                  <w:lang w:eastAsia="ko-KR"/>
                </w:rPr>
              </m:ctrlPr>
            </m:radPr>
            <m:deg/>
            <m:e>
              <m:f>
                <m:fPr>
                  <m:ctrlPr>
                    <w:rPr>
                      <w:rFonts w:ascii="Cambria Math" w:eastAsia="Batang" w:hAnsi="Cambria Math"/>
                      <w:i/>
                      <w:lang w:eastAsia="ko-KR"/>
                    </w:rPr>
                  </m:ctrlPr>
                </m:fPr>
                <m:num>
                  <m:nary>
                    <m:naryPr>
                      <m:chr m:val="∑"/>
                      <m:limLoc m:val="undOvr"/>
                      <m:ctrlPr>
                        <w:rPr>
                          <w:rFonts w:ascii="Cambria Math" w:eastAsia="Batang" w:hAnsi="Cambria Math"/>
                          <w:i/>
                          <w:lang w:eastAsia="ko-KR"/>
                        </w:rPr>
                      </m:ctrlPr>
                    </m:naryPr>
                    <m:sub>
                      <m:r>
                        <w:rPr>
                          <w:rFonts w:ascii="Cambria Math" w:eastAsia="Batang" w:hAnsi="Cambria Math"/>
                          <w:lang w:eastAsia="ko-KR"/>
                        </w:rPr>
                        <m:t>i=1</m:t>
                      </m:r>
                    </m:sub>
                    <m:sup>
                      <m:r>
                        <w:rPr>
                          <w:rFonts w:ascii="Cambria Math" w:eastAsia="Batang" w:hAnsi="Cambria Math"/>
                          <w:lang w:eastAsia="ko-KR"/>
                        </w:rPr>
                        <m:t>k</m:t>
                      </m:r>
                    </m:sup>
                    <m:e>
                      <m:sSub>
                        <m:sSubPr>
                          <m:ctrlPr>
                            <w:rPr>
                              <w:rFonts w:ascii="Cambria Math" w:eastAsia="Batang" w:hAnsi="Cambria Math"/>
                              <w:i/>
                              <w:lang w:eastAsia="ko-KR"/>
                            </w:rPr>
                          </m:ctrlPr>
                        </m:sSubPr>
                        <m:e>
                          <m:r>
                            <w:rPr>
                              <w:rFonts w:ascii="Cambria Math" w:eastAsia="Batang" w:hAnsi="Cambria Math"/>
                              <w:lang w:eastAsia="ko-KR"/>
                            </w:rPr>
                            <m:t>p</m:t>
                          </m:r>
                        </m:e>
                        <m:sub>
                          <m:r>
                            <w:rPr>
                              <w:rFonts w:ascii="Cambria Math" w:eastAsia="Batang" w:hAnsi="Cambria Math"/>
                              <w:lang w:eastAsia="ko-KR"/>
                            </w:rPr>
                            <m:t>i</m:t>
                          </m:r>
                        </m:sub>
                      </m:sSub>
                      <m:sSup>
                        <m:sSupPr>
                          <m:ctrlPr>
                            <w:rPr>
                              <w:rFonts w:ascii="Cambria Math" w:eastAsia="Batang" w:hAnsi="Cambria Math"/>
                              <w:i/>
                              <w:lang w:eastAsia="ko-KR"/>
                            </w:rPr>
                          </m:ctrlPr>
                        </m:sSupPr>
                        <m:e>
                          <m:d>
                            <m:dPr>
                              <m:ctrlPr>
                                <w:rPr>
                                  <w:rFonts w:ascii="Cambria Math" w:eastAsia="Batang" w:hAnsi="Cambria Math"/>
                                  <w:i/>
                                  <w:lang w:eastAsia="ko-KR"/>
                                </w:rPr>
                              </m:ctrlPr>
                            </m:dPr>
                            <m:e>
                              <m:sSub>
                                <m:sSubPr>
                                  <m:ctrlPr>
                                    <w:rPr>
                                      <w:rFonts w:ascii="Cambria Math" w:eastAsia="Batang" w:hAnsi="Cambria Math"/>
                                      <w:i/>
                                      <w:lang w:eastAsia="ko-KR"/>
                                    </w:rPr>
                                  </m:ctrlPr>
                                </m:sSubPr>
                                <m:e>
                                  <m:r>
                                    <w:rPr>
                                      <w:rFonts w:ascii="Cambria Math" w:eastAsia="Batang" w:hAnsi="Cambria Math"/>
                                      <w:lang w:eastAsia="ko-KR"/>
                                    </w:rPr>
                                    <m:t>μ</m:t>
                                  </m:r>
                                </m:e>
                                <m:sub>
                                  <m:r>
                                    <w:rPr>
                                      <w:rFonts w:ascii="Cambria Math" w:eastAsia="Batang" w:hAnsi="Cambria Math"/>
                                      <w:lang w:eastAsia="ko-KR"/>
                                    </w:rPr>
                                    <m:t>i</m:t>
                                  </m:r>
                                </m:sub>
                              </m:sSub>
                              <m:r>
                                <w:rPr>
                                  <w:rFonts w:ascii="Cambria Math" w:eastAsia="Batang" w:hAnsi="Cambria Math"/>
                                  <w:lang w:eastAsia="ko-KR"/>
                                </w:rPr>
                                <m:t>-μ</m:t>
                              </m:r>
                            </m:e>
                          </m:d>
                        </m:e>
                        <m:sup>
                          <m:r>
                            <w:rPr>
                              <w:rFonts w:ascii="Cambria Math" w:eastAsia="Batang" w:hAnsi="Cambria Math"/>
                              <w:lang w:eastAsia="ko-KR"/>
                            </w:rPr>
                            <m:t>2</m:t>
                          </m:r>
                        </m:sup>
                      </m:sSup>
                    </m:e>
                  </m:nary>
                </m:num>
                <m:den>
                  <m:r>
                    <w:rPr>
                      <w:rFonts w:ascii="Cambria Math" w:eastAsia="Batang" w:hAnsi="Cambria Math"/>
                      <w:lang w:eastAsia="ko-KR"/>
                    </w:rPr>
                    <m:t>MSE</m:t>
                  </m:r>
                </m:den>
              </m:f>
            </m:e>
          </m:rad>
        </m:oMath>
      </m:oMathPara>
    </w:p>
    <w:p w14:paraId="3960DB87" w14:textId="52A13BA7" w:rsidR="00871023" w:rsidRPr="00C16570" w:rsidRDefault="00871023" w:rsidP="00871023">
      <w:pPr>
        <w:spacing w:line="480" w:lineRule="auto"/>
        <w:rPr>
          <w:rFonts w:eastAsia="Batang"/>
          <w:lang w:eastAsia="ko-KR"/>
        </w:rPr>
      </w:pPr>
      <w:r w:rsidRPr="00C16570">
        <w:rPr>
          <w:rFonts w:eastAsia="Batang"/>
          <w:lang w:eastAsia="ko-KR"/>
        </w:rPr>
        <w:t xml:space="preserve">Where </w:t>
      </w:r>
      <w:r>
        <w:rPr>
          <w:rFonts w:eastAsia="Batang"/>
          <w:lang w:eastAsia="ko-KR"/>
        </w:rPr>
        <w:t>p</w:t>
      </w:r>
      <w:r w:rsidRPr="00B816ED">
        <w:rPr>
          <w:rFonts w:eastAsia="Batang"/>
          <w:vertAlign w:val="subscript"/>
          <w:lang w:eastAsia="ko-KR"/>
        </w:rPr>
        <w:t>i</w:t>
      </w:r>
      <w:r>
        <w:rPr>
          <w:rFonts w:eastAsia="Batang"/>
          <w:lang w:eastAsia="ko-KR"/>
        </w:rPr>
        <w:t xml:space="preserve"> = N/n</w:t>
      </w:r>
      <w:r w:rsidRPr="00B816ED">
        <w:rPr>
          <w:rFonts w:eastAsia="Batang"/>
          <w:vertAlign w:val="subscript"/>
          <w:lang w:eastAsia="ko-KR"/>
        </w:rPr>
        <w:t>i</w:t>
      </w:r>
      <w:r>
        <w:rPr>
          <w:rFonts w:eastAsia="Batang"/>
          <w:lang w:eastAsia="ko-KR"/>
        </w:rPr>
        <w:t xml:space="preserve">, </w:t>
      </w:r>
      <w:r w:rsidRPr="00C16570">
        <w:rPr>
          <w:rFonts w:eastAsia="Batang"/>
          <w:lang w:eastAsia="ko-KR"/>
        </w:rPr>
        <w:t>k = the number of groups, n</w:t>
      </w:r>
      <w:r w:rsidRPr="00C16570">
        <w:rPr>
          <w:rFonts w:eastAsia="Batang"/>
          <w:vertAlign w:val="subscript"/>
          <w:lang w:eastAsia="ko-KR"/>
        </w:rPr>
        <w:t>i</w:t>
      </w:r>
      <w:r w:rsidRPr="00C16570">
        <w:rPr>
          <w:rFonts w:eastAsia="Batang"/>
          <w:lang w:eastAsia="ko-KR"/>
        </w:rPr>
        <w:t xml:space="preserve"> = the number of observation in group i, N = total number of observations, μ</w:t>
      </w:r>
      <w:r w:rsidRPr="00C16570">
        <w:rPr>
          <w:rFonts w:eastAsia="Batang"/>
          <w:vertAlign w:val="subscript"/>
          <w:lang w:eastAsia="ko-KR"/>
        </w:rPr>
        <w:t>i</w:t>
      </w:r>
      <w:r w:rsidRPr="00C16570">
        <w:rPr>
          <w:rFonts w:eastAsia="Batang"/>
          <w:lang w:eastAsia="ko-KR"/>
        </w:rPr>
        <w:t xml:space="preserve"> = mean of group i, μ = grand mean over all the observations, and </w:t>
      </w:r>
      <w:r>
        <w:rPr>
          <w:rFonts w:eastAsia="Batang"/>
          <w:lang w:eastAsia="ko-KR"/>
        </w:rPr>
        <w:t>MSE</w:t>
      </w:r>
      <w:r w:rsidRPr="00C16570">
        <w:rPr>
          <w:rFonts w:eastAsia="Batang"/>
          <w:lang w:eastAsia="ko-KR"/>
        </w:rPr>
        <w:t xml:space="preserve"> = </w:t>
      </w:r>
      <w:r>
        <w:rPr>
          <w:rFonts w:eastAsia="Batang"/>
          <w:lang w:eastAsia="ko-KR"/>
        </w:rPr>
        <w:t>mean square error</w:t>
      </w:r>
      <w:r>
        <w:rPr>
          <w:rFonts w:eastAsia="Batang"/>
          <w:lang w:eastAsia="ko-KR"/>
        </w:rPr>
        <w:fldChar w:fldCharType="begin"/>
      </w:r>
      <w:r w:rsidR="00910455">
        <w:rPr>
          <w:rFonts w:eastAsia="Batang"/>
          <w:lang w:eastAsia="ko-KR"/>
        </w:rPr>
        <w:instrText xml:space="preserve"> ADDIN EN.CITE &lt;EndNote&gt;&lt;Cite&gt;&lt;Author&gt;Kabacoff&lt;/Author&gt;&lt;Year&gt;2014&lt;/Year&gt;&lt;RecNum&gt;117&lt;/RecNum&gt;&lt;DisplayText&gt;[108,109]&lt;/DisplayText&gt;&lt;record&gt;&lt;rec-number&gt;117&lt;/rec-number&gt;&lt;foreign-keys&gt;&lt;key app="EN" db-id="efx2002d5f0z21etvw3x9zp7tw2axpa2eez0" timestamp="1434471120"&gt;117&lt;/key&gt;&lt;/foreign-keys&gt;&lt;ref-type name="Web Page"&gt;12&lt;/ref-type&gt;&lt;contributors&gt;&lt;authors&gt;&lt;author&gt;Robert I. Kabacoff&lt;/author&gt;&lt;/authors&gt;&lt;/contributors&gt;&lt;titles&gt;&lt;title&gt;Power Analysis&lt;/title&gt;&lt;/titles&gt;&lt;pages&gt;Power Analysis, http://www.statmethods.net/stats/power.html&lt;/pages&gt;&lt;dates&gt;&lt;year&gt;2014&lt;/year&gt;&lt;/dates&gt;&lt;publisher&gt;Quick-R&lt;/publisher&gt;&lt;urls&gt;&lt;related-urls&gt;&lt;url&gt;http://www.statmethods.net/stats/power.html&lt;/url&gt;&lt;/related-urls&gt;&lt;/urls&gt;&lt;/record&gt;&lt;/Cite&gt;&lt;Cite&gt;&lt;Author&gt;Cohen&lt;/Author&gt;&lt;Year&gt;2013&lt;/Year&gt;&lt;RecNum&gt;112&lt;/RecNum&gt;&lt;record&gt;&lt;rec-number&gt;112&lt;/rec-number&gt;&lt;foreign-keys&gt;&lt;key app="EN" db-id="efx2002d5f0z21etvw3x9zp7tw2axpa2eez0" timestamp="1434471120"&gt;112&lt;/key&gt;&lt;/foreign-keys&gt;&lt;ref-type name="Book"&gt;6&lt;/ref-type&gt;&lt;contributors&gt;&lt;authors&gt;&lt;author&gt;Cohen, Jacob&lt;/author&gt;&lt;/authors&gt;&lt;/contributors&gt;&lt;titles&gt;&lt;title&gt;Statistical power analysis for the behavioral sciences&lt;/title&gt;&lt;/titles&gt;&lt;dates&gt;&lt;year&gt;2013&lt;/year&gt;&lt;/dates&gt;&lt;publisher&gt;Academic press&lt;/publisher&gt;&lt;isbn&gt;1483276481&lt;/isbn&gt;&lt;urls&gt;&lt;/urls&gt;&lt;/record&gt;&lt;/Cite&gt;&lt;/EndNote&gt;</w:instrText>
      </w:r>
      <w:r>
        <w:rPr>
          <w:rFonts w:eastAsia="Batang"/>
          <w:lang w:eastAsia="ko-KR"/>
        </w:rPr>
        <w:fldChar w:fldCharType="separate"/>
      </w:r>
      <w:r w:rsidR="00910455">
        <w:rPr>
          <w:rFonts w:eastAsia="Batang"/>
          <w:noProof/>
          <w:lang w:eastAsia="ko-KR"/>
        </w:rPr>
        <w:t>[108,109]</w:t>
      </w:r>
      <w:r>
        <w:rPr>
          <w:rFonts w:eastAsia="Batang"/>
          <w:lang w:eastAsia="ko-KR"/>
        </w:rPr>
        <w:fldChar w:fldCharType="end"/>
      </w:r>
      <w:r>
        <w:rPr>
          <w:rFonts w:eastAsia="Batang"/>
          <w:lang w:eastAsia="ko-KR"/>
        </w:rPr>
        <w:t>.</w:t>
      </w:r>
      <w:r w:rsidRPr="00C16570">
        <w:rPr>
          <w:rFonts w:eastAsia="Batang"/>
          <w:lang w:eastAsia="ko-KR"/>
        </w:rPr>
        <w:t xml:space="preserve"> </w:t>
      </w:r>
      <w:r>
        <w:rPr>
          <w:rFonts w:eastAsia="Batang"/>
          <w:lang w:eastAsia="ko-KR"/>
        </w:rPr>
        <w:t xml:space="preserve"> </w:t>
      </w:r>
      <w:r w:rsidRPr="00C16570">
        <w:rPr>
          <w:rFonts w:eastAsia="Batang"/>
          <w:lang w:eastAsia="ko-KR"/>
        </w:rPr>
        <w:t>Cohen’s w is calculated in selfea as described below:</w:t>
      </w:r>
    </w:p>
    <w:p w14:paraId="53D2A66E" w14:textId="77777777" w:rsidR="00871023" w:rsidRPr="00C16570" w:rsidRDefault="00871023" w:rsidP="00871023">
      <w:pPr>
        <w:spacing w:line="480" w:lineRule="auto"/>
        <w:rPr>
          <w:rFonts w:eastAsia="Batang"/>
          <w:lang w:eastAsia="ko-KR"/>
        </w:rPr>
      </w:pPr>
      <m:oMathPara>
        <m:oMath>
          <m:r>
            <w:rPr>
              <w:rFonts w:ascii="Cambria Math" w:eastAsia="Batang" w:hAnsi="Cambria Math"/>
              <w:lang w:eastAsia="ko-KR"/>
            </w:rPr>
            <m:t xml:space="preserve">w= </m:t>
          </m:r>
          <m:rad>
            <m:radPr>
              <m:degHide m:val="1"/>
              <m:ctrlPr>
                <w:rPr>
                  <w:rFonts w:ascii="Cambria Math" w:eastAsia="Batang" w:hAnsi="Cambria Math"/>
                  <w:i/>
                  <w:lang w:eastAsia="ko-KR"/>
                </w:rPr>
              </m:ctrlPr>
            </m:radPr>
            <m:deg/>
            <m:e>
              <m:nary>
                <m:naryPr>
                  <m:chr m:val="∑"/>
                  <m:limLoc m:val="subSup"/>
                  <m:ctrlPr>
                    <w:rPr>
                      <w:rFonts w:ascii="Cambria Math" w:eastAsia="Batang" w:hAnsi="Cambria Math"/>
                      <w:i/>
                      <w:lang w:eastAsia="ko-KR"/>
                    </w:rPr>
                  </m:ctrlPr>
                </m:naryPr>
                <m:sub>
                  <m:r>
                    <w:rPr>
                      <w:rFonts w:ascii="Cambria Math" w:eastAsia="Batang" w:hAnsi="Cambria Math"/>
                      <w:lang w:eastAsia="ko-KR"/>
                    </w:rPr>
                    <m:t>i=1</m:t>
                  </m:r>
                </m:sub>
                <m:sup>
                  <m:r>
                    <w:rPr>
                      <w:rFonts w:ascii="Cambria Math" w:eastAsia="Batang" w:hAnsi="Cambria Math"/>
                      <w:lang w:eastAsia="ko-KR"/>
                    </w:rPr>
                    <m:t>m</m:t>
                  </m:r>
                </m:sup>
                <m:e>
                  <m:f>
                    <m:fPr>
                      <m:ctrlPr>
                        <w:rPr>
                          <w:rFonts w:ascii="Cambria Math" w:eastAsia="Batang" w:hAnsi="Cambria Math"/>
                          <w:i/>
                          <w:lang w:eastAsia="ko-KR"/>
                        </w:rPr>
                      </m:ctrlPr>
                    </m:fPr>
                    <m:num>
                      <m:sSup>
                        <m:sSupPr>
                          <m:ctrlPr>
                            <w:rPr>
                              <w:rFonts w:ascii="Cambria Math" w:eastAsia="Batang" w:hAnsi="Cambria Math"/>
                              <w:i/>
                              <w:lang w:eastAsia="ko-KR"/>
                            </w:rPr>
                          </m:ctrlPr>
                        </m:sSupPr>
                        <m:e>
                          <m:r>
                            <w:rPr>
                              <w:rFonts w:ascii="Cambria Math" w:eastAsia="Batang" w:hAnsi="Cambria Math"/>
                              <w:lang w:eastAsia="ko-KR"/>
                            </w:rPr>
                            <m:t>(</m:t>
                          </m:r>
                          <m:sSub>
                            <m:sSubPr>
                              <m:ctrlPr>
                                <w:rPr>
                                  <w:rFonts w:ascii="Cambria Math" w:eastAsia="Batang" w:hAnsi="Cambria Math"/>
                                  <w:i/>
                                  <w:lang w:eastAsia="ko-KR"/>
                                </w:rPr>
                              </m:ctrlPr>
                            </m:sSubPr>
                            <m:e>
                              <m:r>
                                <w:rPr>
                                  <w:rFonts w:ascii="Cambria Math" w:eastAsia="Batang" w:hAnsi="Cambria Math"/>
                                  <w:lang w:eastAsia="ko-KR"/>
                                </w:rPr>
                                <m:t>p0</m:t>
                              </m:r>
                            </m:e>
                            <m:sub>
                              <m:r>
                                <w:rPr>
                                  <w:rFonts w:ascii="Cambria Math" w:eastAsia="Batang" w:hAnsi="Cambria Math"/>
                                  <w:lang w:eastAsia="ko-KR"/>
                                </w:rPr>
                                <m:t>i</m:t>
                              </m:r>
                            </m:sub>
                          </m:sSub>
                          <m:r>
                            <w:rPr>
                              <w:rFonts w:ascii="Cambria Math" w:eastAsia="Batang" w:hAnsi="Cambria Math"/>
                              <w:lang w:eastAsia="ko-KR"/>
                            </w:rPr>
                            <m:t>-</m:t>
                          </m:r>
                          <m:sSub>
                            <m:sSubPr>
                              <m:ctrlPr>
                                <w:rPr>
                                  <w:rFonts w:ascii="Cambria Math" w:eastAsia="Batang" w:hAnsi="Cambria Math"/>
                                  <w:i/>
                                  <w:lang w:eastAsia="ko-KR"/>
                                </w:rPr>
                              </m:ctrlPr>
                            </m:sSubPr>
                            <m:e>
                              <m:r>
                                <w:rPr>
                                  <w:rFonts w:ascii="Cambria Math" w:eastAsia="Batang" w:hAnsi="Cambria Math"/>
                                  <w:lang w:eastAsia="ko-KR"/>
                                </w:rPr>
                                <m:t>p1</m:t>
                              </m:r>
                            </m:e>
                            <m:sub>
                              <m:r>
                                <w:rPr>
                                  <w:rFonts w:ascii="Cambria Math" w:eastAsia="Batang" w:hAnsi="Cambria Math"/>
                                  <w:lang w:eastAsia="ko-KR"/>
                                </w:rPr>
                                <m:t>i</m:t>
                              </m:r>
                            </m:sub>
                          </m:sSub>
                          <m:r>
                            <w:rPr>
                              <w:rFonts w:ascii="Cambria Math" w:eastAsia="Batang" w:hAnsi="Cambria Math"/>
                              <w:lang w:eastAsia="ko-KR"/>
                            </w:rPr>
                            <m:t>)</m:t>
                          </m:r>
                        </m:e>
                        <m:sup>
                          <m:r>
                            <w:rPr>
                              <w:rFonts w:ascii="Cambria Math" w:eastAsia="Batang" w:hAnsi="Cambria Math"/>
                              <w:lang w:eastAsia="ko-KR"/>
                            </w:rPr>
                            <m:t>2</m:t>
                          </m:r>
                        </m:sup>
                      </m:sSup>
                    </m:num>
                    <m:den>
                      <m:sSub>
                        <m:sSubPr>
                          <m:ctrlPr>
                            <w:rPr>
                              <w:rFonts w:ascii="Cambria Math" w:eastAsia="Batang" w:hAnsi="Cambria Math"/>
                              <w:i/>
                              <w:lang w:eastAsia="ko-KR"/>
                            </w:rPr>
                          </m:ctrlPr>
                        </m:sSubPr>
                        <m:e>
                          <m:r>
                            <w:rPr>
                              <w:rFonts w:ascii="Cambria Math" w:eastAsia="Batang" w:hAnsi="Cambria Math"/>
                              <w:lang w:eastAsia="ko-KR"/>
                            </w:rPr>
                            <m:t>p0</m:t>
                          </m:r>
                        </m:e>
                        <m:sub>
                          <m:r>
                            <w:rPr>
                              <w:rFonts w:ascii="Cambria Math" w:eastAsia="Batang" w:hAnsi="Cambria Math"/>
                              <w:lang w:eastAsia="ko-KR"/>
                            </w:rPr>
                            <m:t>i</m:t>
                          </m:r>
                        </m:sub>
                      </m:sSub>
                    </m:den>
                  </m:f>
                </m:e>
              </m:nary>
            </m:e>
          </m:rad>
        </m:oMath>
      </m:oMathPara>
    </w:p>
    <w:p w14:paraId="5347A260" w14:textId="080E50B2" w:rsidR="00871023" w:rsidRPr="00C16570" w:rsidRDefault="00871023" w:rsidP="00871023">
      <w:pPr>
        <w:spacing w:line="480" w:lineRule="auto"/>
        <w:rPr>
          <w:rFonts w:eastAsia="Batang"/>
          <w:lang w:eastAsia="ko-KR"/>
        </w:rPr>
      </w:pPr>
      <w:r w:rsidRPr="00C16570">
        <w:rPr>
          <w:rFonts w:eastAsia="Batang"/>
          <w:lang w:eastAsia="ko-KR"/>
        </w:rPr>
        <w:t>Where m = the number of cells, p0</w:t>
      </w:r>
      <w:r w:rsidRPr="00C16570">
        <w:rPr>
          <w:rFonts w:eastAsia="Batang"/>
          <w:vertAlign w:val="subscript"/>
          <w:lang w:eastAsia="ko-KR"/>
        </w:rPr>
        <w:t>i</w:t>
      </w:r>
      <w:r w:rsidRPr="00C16570">
        <w:rPr>
          <w:rFonts w:eastAsia="Batang"/>
          <w:lang w:eastAsia="ko-KR"/>
        </w:rPr>
        <w:t xml:space="preserve"> = cell probability in i-th cell under null hypothesis, and p1</w:t>
      </w:r>
      <w:r w:rsidRPr="00C16570">
        <w:rPr>
          <w:rFonts w:eastAsia="Batang"/>
          <w:vertAlign w:val="subscript"/>
          <w:lang w:eastAsia="ko-KR"/>
        </w:rPr>
        <w:t>i</w:t>
      </w:r>
      <w:r w:rsidRPr="00C16570">
        <w:rPr>
          <w:rFonts w:eastAsia="Batang"/>
          <w:lang w:eastAsia="ko-KR"/>
        </w:rPr>
        <w:t xml:space="preserve"> = cell probability in i-th cell under alternative hypothesi</w:t>
      </w:r>
      <w:r>
        <w:rPr>
          <w:rFonts w:eastAsia="Batang"/>
          <w:lang w:eastAsia="ko-KR"/>
        </w:rPr>
        <w:t>s</w:t>
      </w:r>
      <w:r w:rsidRPr="00C16570">
        <w:rPr>
          <w:rFonts w:eastAsia="Batang"/>
          <w:lang w:eastAsia="ko-KR"/>
        </w:rPr>
        <w:t>.  We used ‘ES.w1’ function of ‘pwr’ package</w:t>
      </w:r>
      <w:r w:rsidRPr="00C16570">
        <w:rPr>
          <w:rFonts w:eastAsia="Batang"/>
          <w:lang w:eastAsia="ko-KR"/>
        </w:rPr>
        <w:fldChar w:fldCharType="begin"/>
      </w:r>
      <w:r w:rsidR="00910455">
        <w:rPr>
          <w:rFonts w:eastAsia="Batang"/>
          <w:lang w:eastAsia="ko-KR"/>
        </w:rPr>
        <w:instrText xml:space="preserve"> ADDIN EN.CITE &lt;EndNote&gt;&lt;Cite&gt;&lt;Author&gt;Stephane Champely&lt;/Author&gt;&lt;Year&gt;2015&lt;/Year&gt;&lt;RecNum&gt;118&lt;/RecNum&gt;&lt;DisplayText&gt;[110]&lt;/DisplayText&gt;&lt;record&gt;&lt;rec-number&gt;118&lt;/rec-number&gt;&lt;foreign-keys&gt;&lt;key app="EN" db-id="efx2002d5f0z21etvw3x9zp7tw2axpa2eez0" timestamp="1434471120"&gt;118&lt;/key&gt;&lt;/foreign-keys&gt;&lt;ref-type name="Computer Program"&gt;9&lt;/ref-type&gt;&lt;contributors&gt;&lt;authors&gt;&lt;author&gt;Stephane Champely, Claus Ekstrom, Peter Dalgaard, Jeffrey Gill, Helios De Rosario&lt;/author&gt;&lt;/authors&gt;&lt;/contributors&gt;&lt;titles&gt;&lt;title&gt;R package &amp;apos;pwr&amp;apos;&lt;/title&gt;&lt;/titles&gt;&lt;pages&gt;R package &amp;apos;pwr&amp;apos; ver. 1.1-2, power analysis functions along the lines of Jacob Cohen&lt;/pages&gt;&lt;dates&gt;&lt;year&gt;2015&lt;/year&gt;&lt;/dates&gt;&lt;pub-location&gt;CRAN&lt;/pub-location&gt;&lt;urls&gt;&lt;/urls&gt;&lt;/record&gt;&lt;/Cite&gt;&lt;/EndNote&gt;</w:instrText>
      </w:r>
      <w:r w:rsidRPr="00C16570">
        <w:rPr>
          <w:rFonts w:eastAsia="Batang"/>
          <w:lang w:eastAsia="ko-KR"/>
        </w:rPr>
        <w:fldChar w:fldCharType="separate"/>
      </w:r>
      <w:r w:rsidR="00910455">
        <w:rPr>
          <w:rFonts w:eastAsia="Batang"/>
          <w:noProof/>
          <w:lang w:eastAsia="ko-KR"/>
        </w:rPr>
        <w:t>[110]</w:t>
      </w:r>
      <w:r w:rsidRPr="00C16570">
        <w:rPr>
          <w:rFonts w:eastAsia="Batang"/>
          <w:lang w:eastAsia="ko-KR"/>
        </w:rPr>
        <w:fldChar w:fldCharType="end"/>
      </w:r>
      <w:r w:rsidRPr="00C16570">
        <w:rPr>
          <w:rFonts w:eastAsia="Batang"/>
          <w:lang w:eastAsia="ko-KR"/>
        </w:rPr>
        <w:t xml:space="preserve"> for Cohen’s </w:t>
      </w:r>
      <w:r w:rsidRPr="00C16570">
        <w:rPr>
          <w:rFonts w:eastAsia="Batang"/>
          <w:i/>
          <w:lang w:eastAsia="ko-KR"/>
        </w:rPr>
        <w:t>w</w:t>
      </w:r>
      <w:r w:rsidRPr="00C16570">
        <w:rPr>
          <w:rFonts w:eastAsia="Batang"/>
          <w:lang w:eastAsia="ko-KR"/>
        </w:rPr>
        <w:t xml:space="preserve"> calculation</w:t>
      </w:r>
      <w:r>
        <w:rPr>
          <w:rFonts w:eastAsia="Batang"/>
          <w:lang w:eastAsia="ko-KR"/>
        </w:rPr>
        <w:t xml:space="preserve"> because we compare goodness of fit of two NB models</w:t>
      </w:r>
      <w:r>
        <w:rPr>
          <w:rFonts w:eastAsia="Batang"/>
          <w:lang w:eastAsia="ko-KR"/>
        </w:rPr>
        <w:fldChar w:fldCharType="begin"/>
      </w:r>
      <w:r w:rsidR="00910455">
        <w:rPr>
          <w:rFonts w:eastAsia="Batang"/>
          <w:lang w:eastAsia="ko-KR"/>
        </w:rPr>
        <w:instrText xml:space="preserve"> ADDIN EN.CITE &lt;EndNote&gt;&lt;Cite&gt;&lt;Author&gt;Wikipedia&lt;/Author&gt;&lt;Year&gt;2014&lt;/Year&gt;&lt;RecNum&gt;20&lt;/RecNum&gt;&lt;DisplayText&gt;[108,109,111]&lt;/DisplayText&gt;&lt;record&gt;&lt;rec-number&gt;20&lt;/rec-number&gt;&lt;foreign-keys&gt;&lt;key app="EN" db-id="205wv52at2eswbe5fv7p9a0ydfp2f9a29af2" timestamp="1434060693"&gt;20&lt;/key&gt;&lt;/foreign-keys&gt;&lt;ref-type name="Web Page"&gt;12&lt;/ref-type&gt;&lt;contributors&gt;&lt;authors&gt;&lt;author&gt;Wikipedia&lt;/author&gt;&lt;/authors&gt;&lt;/contributors&gt;&lt;titles&gt;&lt;title&gt;Effect size&lt;/title&gt;&lt;/titles&gt;&lt;pages&gt;http://en.wikipedia.org/wiki/Effect_size&lt;/pages&gt;&lt;dates&gt;&lt;year&gt;2014&lt;/year&gt;&lt;/dates&gt;&lt;publisher&gt;Wikipedia&lt;/publisher&gt;&lt;urls&gt;&lt;related-urls&gt;&lt;url&gt;http://en.wikipedia.org/wiki/Effect_size&lt;/url&gt;&lt;/related-urls&gt;&lt;/urls&gt;&lt;/record&gt;&lt;/Cite&gt;&lt;Cite&gt;&lt;Author&gt;Cohen&lt;/Author&gt;&lt;Year&gt;2013&lt;/Year&gt;&lt;RecNum&gt;112&lt;/RecNum&gt;&lt;record&gt;&lt;rec-number&gt;112&lt;/rec-number&gt;&lt;foreign-keys&gt;&lt;key app="EN" db-id="efx2002d5f0z21etvw3x9zp7tw2axpa2eez0" timestamp="1434471120"&gt;112&lt;/key&gt;&lt;/foreign-keys&gt;&lt;ref-type name="Book"&gt;6&lt;/ref-type&gt;&lt;contributors&gt;&lt;authors&gt;&lt;author&gt;Cohen, Jacob&lt;/author&gt;&lt;/authors&gt;&lt;/contributors&gt;&lt;titles&gt;&lt;title&gt;Statistical power analysis for the behavioral sciences&lt;/title&gt;&lt;/titles&gt;&lt;dates&gt;&lt;year&gt;2013&lt;/year&gt;&lt;/dates&gt;&lt;publisher&gt;Academic press&lt;/publisher&gt;&lt;isbn&gt;1483276481&lt;/isbn&gt;&lt;urls&gt;&lt;/urls&gt;&lt;/record&gt;&lt;/Cite&gt;&lt;Cite&gt;&lt;Author&gt;Kabacoff&lt;/Author&gt;&lt;Year&gt;2014&lt;/Year&gt;&lt;RecNum&gt;117&lt;/RecNum&gt;&lt;record&gt;&lt;rec-number&gt;117&lt;/rec-number&gt;&lt;foreign-keys&gt;&lt;key app="EN" db-id="efx2002d5f0z21etvw3x9zp7tw2axpa2eez0" timestamp="1434471120"&gt;117&lt;/key&gt;&lt;/foreign-keys&gt;&lt;ref-type name="Web Page"&gt;12&lt;/ref-type&gt;&lt;contributors&gt;&lt;authors&gt;&lt;author&gt;Robert I. Kabacoff&lt;/author&gt;&lt;/authors&gt;&lt;/contributors&gt;&lt;titles&gt;&lt;title&gt;Power Analysis&lt;/title&gt;&lt;/titles&gt;&lt;pages&gt;Power Analysis, http://www.statmethods.net/stats/power.html&lt;/pages&gt;&lt;dates&gt;&lt;year&gt;2014&lt;/year&gt;&lt;/dates&gt;&lt;publisher&gt;Quick-R&lt;/publisher&gt;&lt;urls&gt;&lt;related-urls&gt;&lt;url&gt;http://www.statmethods.net/stats/power.html&lt;/url&gt;&lt;/related-urls&gt;&lt;/urls&gt;&lt;/record&gt;&lt;/Cite&gt;&lt;/EndNote&gt;</w:instrText>
      </w:r>
      <w:r>
        <w:rPr>
          <w:rFonts w:eastAsia="Batang"/>
          <w:lang w:eastAsia="ko-KR"/>
        </w:rPr>
        <w:fldChar w:fldCharType="separate"/>
      </w:r>
      <w:r w:rsidR="00910455">
        <w:rPr>
          <w:rFonts w:eastAsia="Batang"/>
          <w:noProof/>
          <w:lang w:eastAsia="ko-KR"/>
        </w:rPr>
        <w:t>[108,109,111]</w:t>
      </w:r>
      <w:r>
        <w:rPr>
          <w:rFonts w:eastAsia="Batang"/>
          <w:lang w:eastAsia="ko-KR"/>
        </w:rPr>
        <w:fldChar w:fldCharType="end"/>
      </w:r>
      <w:r w:rsidRPr="00C16570">
        <w:rPr>
          <w:rFonts w:eastAsia="Batang"/>
          <w:lang w:eastAsia="ko-KR"/>
        </w:rPr>
        <w:t xml:space="preserve">.  Selfea calculates minimum Cohen’s </w:t>
      </w:r>
      <w:r w:rsidRPr="00C16570">
        <w:rPr>
          <w:rFonts w:eastAsia="Batang"/>
          <w:i/>
          <w:lang w:eastAsia="ko-KR"/>
        </w:rPr>
        <w:t>f</w:t>
      </w:r>
      <w:r w:rsidRPr="00C16570">
        <w:rPr>
          <w:rFonts w:eastAsia="Batang"/>
          <w:lang w:eastAsia="ko-KR"/>
        </w:rPr>
        <w:t xml:space="preserve"> using ‘pwr.anova.test’ function of pwr pacage with parameters (k = the number of groups, n = the common sample size in each </w:t>
      </w:r>
      <w:r w:rsidRPr="00C16570">
        <w:rPr>
          <w:rFonts w:eastAsia="Batang"/>
          <w:lang w:eastAsia="ko-KR"/>
        </w:rPr>
        <w:lastRenderedPageBreak/>
        <w:t>group, sig.level = p-value threshold defined by an user (0.05 by default) and power = statistica</w:t>
      </w:r>
      <w:r>
        <w:rPr>
          <w:rFonts w:eastAsia="Batang"/>
          <w:lang w:eastAsia="ko-KR"/>
        </w:rPr>
        <w:t>l power defined by an user (0.90</w:t>
      </w:r>
      <w:r w:rsidRPr="00C16570">
        <w:rPr>
          <w:rFonts w:eastAsia="Batang"/>
          <w:lang w:eastAsia="ko-KR"/>
        </w:rPr>
        <w:t xml:space="preserve"> by default)).  Cohen’s </w:t>
      </w:r>
      <w:r w:rsidRPr="00C16570">
        <w:rPr>
          <w:rFonts w:eastAsia="Batang"/>
          <w:i/>
          <w:lang w:eastAsia="ko-KR"/>
        </w:rPr>
        <w:t>w</w:t>
      </w:r>
      <w:r w:rsidRPr="00C16570">
        <w:rPr>
          <w:rFonts w:eastAsia="Batang"/>
          <w:lang w:eastAsia="ko-KR"/>
        </w:rPr>
        <w:t xml:space="preserve"> is calculated in selfea through ‘pwr.chisq.test’ function of pwr package with parameters (N = the total sample size, df = the degree of freedom, sig.level = p-value threshold defined by an user (0.05 by default) and power = statistical power defined by an user (0.</w:t>
      </w:r>
      <w:r>
        <w:rPr>
          <w:rFonts w:eastAsia="Batang"/>
          <w:lang w:eastAsia="ko-KR"/>
        </w:rPr>
        <w:t>90</w:t>
      </w:r>
      <w:r w:rsidRPr="00C16570">
        <w:rPr>
          <w:rFonts w:eastAsia="Batang"/>
          <w:lang w:eastAsia="ko-KR"/>
        </w:rPr>
        <w:t xml:space="preserve"> by default)).  Selfea calculates p-values from quasi-Poisson, negative binomial and Normal distribution.  Since generalized linear model of basic R does not provide negative binomial distribution, ‘glm.nb’ function of MASS package</w:t>
      </w:r>
      <w:r w:rsidRPr="00C16570">
        <w:rPr>
          <w:rFonts w:eastAsia="Batang"/>
          <w:lang w:eastAsia="ko-KR"/>
        </w:rPr>
        <w:fldChar w:fldCharType="begin"/>
      </w:r>
      <w:r w:rsidR="00910455">
        <w:rPr>
          <w:rFonts w:eastAsia="Batang"/>
          <w:lang w:eastAsia="ko-KR"/>
        </w:rPr>
        <w:instrText xml:space="preserve"> ADDIN EN.CITE &lt;EndNote&gt;&lt;Cite&gt;&lt;Author&gt;Venables&lt;/Author&gt;&lt;Year&gt;2002&lt;/Year&gt;&lt;RecNum&gt;121&lt;/RecNum&gt;&lt;DisplayText&gt;[112]&lt;/DisplayText&gt;&lt;record&gt;&lt;rec-number&gt;121&lt;/rec-number&gt;&lt;foreign-keys&gt;&lt;key app="EN" db-id="efx2002d5f0z21etvw3x9zp7tw2axpa2eez0" timestamp="1434471120"&gt;121&lt;/key&gt;&lt;/foreign-keys&gt;&lt;ref-type name="Book"&gt;6&lt;/ref-type&gt;&lt;contributors&gt;&lt;authors&gt;&lt;author&gt;Venables, William N&lt;/author&gt;&lt;author&gt;Ripley, Brian D&lt;/author&gt;&lt;/authors&gt;&lt;/contributors&gt;&lt;titles&gt;&lt;title&gt;Modern applied statistics with S&lt;/title&gt;&lt;/titles&gt;&lt;dates&gt;&lt;year&gt;2002&lt;/year&gt;&lt;/dates&gt;&lt;publisher&gt;Springer Science &amp;amp; Business Media&lt;/publisher&gt;&lt;isbn&gt;0387217061&lt;/isbn&gt;&lt;urls&gt;&lt;/urls&gt;&lt;/record&gt;&lt;/Cite&gt;&lt;/EndNote&gt;</w:instrText>
      </w:r>
      <w:r w:rsidRPr="00C16570">
        <w:rPr>
          <w:rFonts w:eastAsia="Batang"/>
          <w:lang w:eastAsia="ko-KR"/>
        </w:rPr>
        <w:fldChar w:fldCharType="separate"/>
      </w:r>
      <w:r w:rsidR="00910455">
        <w:rPr>
          <w:rFonts w:eastAsia="Batang"/>
          <w:noProof/>
          <w:lang w:eastAsia="ko-KR"/>
        </w:rPr>
        <w:t>[112]</w:t>
      </w:r>
      <w:r w:rsidRPr="00C16570">
        <w:rPr>
          <w:rFonts w:eastAsia="Batang"/>
          <w:lang w:eastAsia="ko-KR"/>
        </w:rPr>
        <w:fldChar w:fldCharType="end"/>
      </w:r>
      <w:r w:rsidRPr="00C16570">
        <w:rPr>
          <w:rFonts w:eastAsia="Batang"/>
          <w:lang w:eastAsia="ko-KR"/>
        </w:rPr>
        <w:t xml:space="preserve"> was used for making a negative binomial linear model.  Generated linear models for quasi-Poisson, negative binomial and Normal distribution were compared against null linear model using ‘anova’ function.  One-way ANOVA F-test is used to compare linear models based on quasi-Poisson and Normal distribution, while chi square likelihood ratio test is used for a negative binomial linear model.  Since one-way ANOVA F-test is used for quasi-Poisson and Normal distribution linear models, Cohen’s </w:t>
      </w:r>
      <w:r w:rsidRPr="00C16570">
        <w:rPr>
          <w:rFonts w:eastAsia="Batang"/>
          <w:i/>
          <w:lang w:eastAsia="ko-KR"/>
        </w:rPr>
        <w:t>f</w:t>
      </w:r>
      <w:r w:rsidRPr="00C16570">
        <w:rPr>
          <w:rFonts w:eastAsia="Batang"/>
          <w:lang w:eastAsia="ko-KR"/>
        </w:rPr>
        <w:t xml:space="preserve"> is coupled.  Negative binomial linear model is paired to Cohen’s </w:t>
      </w:r>
      <w:r w:rsidRPr="00C16570">
        <w:rPr>
          <w:rFonts w:eastAsia="Batang"/>
          <w:i/>
          <w:lang w:eastAsia="ko-KR"/>
        </w:rPr>
        <w:t>w</w:t>
      </w:r>
      <w:r w:rsidRPr="00C16570">
        <w:rPr>
          <w:rFonts w:eastAsia="Batang"/>
          <w:lang w:eastAsia="ko-KR"/>
        </w:rPr>
        <w:t xml:space="preserve"> due to chi-square likelihood ratio test.  All the p-values were adjusted by FDR</w:t>
      </w:r>
      <w:r w:rsidRPr="00C16570">
        <w:rPr>
          <w:rFonts w:eastAsia="Batang"/>
          <w:lang w:eastAsia="ko-KR"/>
        </w:rPr>
        <w:fldChar w:fldCharType="begin"/>
      </w:r>
      <w:r w:rsidR="00910455">
        <w:rPr>
          <w:rFonts w:eastAsia="Batang"/>
          <w:lang w:eastAsia="ko-KR"/>
        </w:rPr>
        <w:instrText xml:space="preserve"> ADDIN EN.CITE &lt;EndNote&gt;&lt;Cite&gt;&lt;Author&gt;Benjamini&lt;/Author&gt;&lt;Year&gt;1995&lt;/Year&gt;&lt;RecNum&gt;16&lt;/RecNum&gt;&lt;DisplayText&gt;[89]&lt;/DisplayText&gt;&lt;record&gt;&lt;rec-number&gt;16&lt;/rec-number&gt;&lt;foreign-keys&gt;&lt;key app="EN" db-id="205wv52at2eswbe5fv7p9a0ydfp2f9a29af2" timestamp="1433269416"&gt;16&lt;/key&gt;&lt;/foreign-keys&gt;&lt;ref-type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Pr="00C16570">
        <w:rPr>
          <w:rFonts w:eastAsia="Batang"/>
          <w:lang w:eastAsia="ko-KR"/>
        </w:rPr>
        <w:fldChar w:fldCharType="separate"/>
      </w:r>
      <w:r w:rsidR="00910455">
        <w:rPr>
          <w:rFonts w:eastAsia="Batang"/>
          <w:noProof/>
          <w:lang w:eastAsia="ko-KR"/>
        </w:rPr>
        <w:t>[89]</w:t>
      </w:r>
      <w:r w:rsidRPr="00C16570">
        <w:rPr>
          <w:rFonts w:eastAsia="Batang"/>
          <w:lang w:eastAsia="ko-KR"/>
        </w:rPr>
        <w:fldChar w:fldCharType="end"/>
      </w:r>
      <w:r w:rsidRPr="00C16570">
        <w:rPr>
          <w:rFonts w:eastAsia="Batang"/>
          <w:lang w:eastAsia="ko-KR"/>
        </w:rPr>
        <w:t>.  Fold change between experiment groups was calculated by selfea.  Selfea returns maximum fold change among all the possible pairs as representative fold change.  Minimum statistical power is reported as representative statistical power in selfea package.</w:t>
      </w:r>
    </w:p>
    <w:p w14:paraId="7E2D2399" w14:textId="77777777" w:rsidR="00871023" w:rsidRPr="00C16570" w:rsidRDefault="00871023" w:rsidP="00871023">
      <w:pPr>
        <w:spacing w:line="480" w:lineRule="auto"/>
        <w:rPr>
          <w:rFonts w:eastAsia="Batang"/>
          <w:lang w:eastAsia="ko-KR"/>
        </w:rPr>
      </w:pPr>
    </w:p>
    <w:p w14:paraId="24BBA5E9" w14:textId="77777777" w:rsidR="00871023" w:rsidRPr="00C16570" w:rsidRDefault="00871023" w:rsidP="00871023">
      <w:pPr>
        <w:pStyle w:val="Heading3"/>
        <w:rPr>
          <w:lang w:eastAsia="ko-KR"/>
        </w:rPr>
      </w:pPr>
      <w:bookmarkStart w:id="64" w:name="_Toc296333723"/>
      <w:r w:rsidRPr="00C16570">
        <w:rPr>
          <w:lang w:eastAsia="ko-KR"/>
        </w:rPr>
        <w:lastRenderedPageBreak/>
        <w:t>Benchmark data test and fecal proteome data test</w:t>
      </w:r>
      <w:bookmarkEnd w:id="64"/>
    </w:p>
    <w:p w14:paraId="4DD8A2E7" w14:textId="54E0935C" w:rsidR="00871023" w:rsidRPr="00C16570" w:rsidRDefault="00871023" w:rsidP="00871023">
      <w:pPr>
        <w:spacing w:line="480" w:lineRule="auto"/>
        <w:rPr>
          <w:rFonts w:eastAsia="Batang"/>
          <w:lang w:eastAsia="ko-KR"/>
        </w:rPr>
      </w:pPr>
      <w:r w:rsidRPr="00C16570">
        <w:rPr>
          <w:rFonts w:eastAsia="Batang"/>
          <w:lang w:eastAsia="ko-KR"/>
        </w:rPr>
        <w:t>We employed the benchmark data generated by Gregori et al</w:t>
      </w:r>
      <w:r w:rsidRPr="00C16570">
        <w:rPr>
          <w:rFonts w:eastAsia="Batang"/>
          <w:lang w:eastAsia="ko-KR"/>
        </w:rPr>
        <w:fldChar w:fldCharType="begin"/>
      </w:r>
      <w:r w:rsidR="00910455">
        <w:rPr>
          <w:rFonts w:eastAsia="Batang"/>
          <w:lang w:eastAsia="ko-KR"/>
        </w:rPr>
        <w:instrText xml:space="preserve"> ADDIN EN.CITE &lt;EndNote&gt;&lt;Cite&gt;&lt;Author&gt;Gregori&lt;/Author&gt;&lt;Year&gt;2013&lt;/Year&gt;&lt;RecNum&gt;4&lt;/RecNum&gt;&lt;DisplayText&gt;[105]&lt;/DisplayText&gt;&lt;record&gt;&lt;rec-number&gt;4&lt;/rec-number&gt;&lt;foreign-keys&gt;&lt;key app="EN" db-id="205wv52at2eswbe5fv7p9a0ydfp2f9a29af2" timestamp="1432311099"&gt;4&lt;/key&gt;&lt;/foreign-keys&gt;&lt;ref-type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Proteomics&lt;/full-title&gt;&lt;/periodical&gt;&lt;pages&gt;55-65&lt;/pages&gt;&lt;volume&gt;95&lt;/volume&gt;&lt;dates&gt;&lt;year&gt;2013&lt;/year&gt;&lt;/dates&gt;&lt;isbn&gt;1874-3919&lt;/isbn&gt;&lt;urls&gt;&lt;/urls&gt;&lt;/record&gt;&lt;/Cite&gt;&lt;/EndNote&gt;</w:instrText>
      </w:r>
      <w:r w:rsidRPr="00C16570">
        <w:rPr>
          <w:rFonts w:eastAsia="Batang"/>
          <w:lang w:eastAsia="ko-KR"/>
        </w:rPr>
        <w:fldChar w:fldCharType="separate"/>
      </w:r>
      <w:r w:rsidR="00910455">
        <w:rPr>
          <w:rFonts w:eastAsia="Batang"/>
          <w:noProof/>
          <w:lang w:eastAsia="ko-KR"/>
        </w:rPr>
        <w:t>[105]</w:t>
      </w:r>
      <w:r w:rsidRPr="00C16570">
        <w:rPr>
          <w:rFonts w:eastAsia="Batang"/>
          <w:lang w:eastAsia="ko-KR"/>
        </w:rPr>
        <w:fldChar w:fldCharType="end"/>
      </w:r>
      <w:r w:rsidRPr="00C16570">
        <w:rPr>
          <w:rFonts w:eastAsia="Batang"/>
          <w:lang w:eastAsia="ko-KR"/>
        </w:rPr>
        <w:t xml:space="preserve"> and fecal proteome data in order to test Cohen’s effect sizes.  The dataset, termed here as fecal proteomes, have 29 2</w:t>
      </w:r>
      <w:r>
        <w:rPr>
          <w:rFonts w:eastAsia="Batang"/>
          <w:lang w:eastAsia="ko-KR"/>
        </w:rPr>
        <w:t>D</w:t>
      </w:r>
      <w:r w:rsidRPr="00C16570">
        <w:rPr>
          <w:rFonts w:eastAsia="Batang"/>
          <w:lang w:eastAsia="ko-KR"/>
        </w:rPr>
        <w:t>-LC-MS/MS runs from 11 fecal samples from healthy adult volunteers (unpublished).  Selfea was used to find differently expressed proteins in 11 fecal samples.  Gregori data consist of 19 label-free liquid chromatography-tandem mass spectrometry runs and have 4 groups that have a fixed loading amount of standard yeast lysates (500 ng) with different amounts of 4</w:t>
      </w:r>
      <w:r>
        <w:rPr>
          <w:rFonts w:eastAsia="Batang"/>
          <w:lang w:eastAsia="ko-KR"/>
        </w:rPr>
        <w:t>8 human proteins (100, 200, 400 and</w:t>
      </w:r>
      <w:r w:rsidRPr="00C16570">
        <w:rPr>
          <w:rFonts w:eastAsia="Batang"/>
          <w:lang w:eastAsia="ko-KR"/>
        </w:rPr>
        <w:t xml:space="preserve"> 600 fmol).  Differentially expressed proteins over 4 groups were found by using selfea.  As is assumed by Gregori et al</w:t>
      </w:r>
      <w:r w:rsidRPr="00C16570">
        <w:rPr>
          <w:rFonts w:eastAsia="Batang"/>
          <w:lang w:eastAsia="ko-KR"/>
        </w:rPr>
        <w:fldChar w:fldCharType="begin"/>
      </w:r>
      <w:r w:rsidR="00910455">
        <w:rPr>
          <w:rFonts w:eastAsia="Batang"/>
          <w:lang w:eastAsia="ko-KR"/>
        </w:rPr>
        <w:instrText xml:space="preserve"> ADDIN EN.CITE &lt;EndNote&gt;&lt;Cite&gt;&lt;Author&gt;Gregori&lt;/Author&gt;&lt;Year&gt;2013&lt;/Year&gt;&lt;RecNum&gt;113&lt;/RecNum&gt;&lt;DisplayText&gt;[107]&lt;/DisplayText&gt;&lt;record&gt;&lt;rec-number&gt;113&lt;/rec-number&gt;&lt;foreign-keys&gt;&lt;key app="EN" db-id="efx2002d5f0z21etvw3x9zp7tw2axpa2eez0" timestamp="1434471120"&gt;113&lt;/key&gt;&lt;/foreign-keys&gt;&lt;ref-type name="Computer Program"&gt;9&lt;/ref-type&gt;&lt;contributors&gt;&lt;authors&gt;&lt;author&gt;Josep Gregori&lt;/author&gt;&lt;author&gt;Alex Sanchez&lt;/author&gt;&lt;author&gt;Josep Villanueva&lt;/author&gt;&lt;/authors&gt;&lt;/contributors&gt;&lt;titles&gt;&lt;title&gt;msmsTests&lt;/title&gt;&lt;/titles&gt;&lt;pages&gt;msmsTests, http://www.bioconductor.org/packages/release/bioc/html/msmsTests.html&lt;/pages&gt;&lt;dates&gt;&lt;year&gt;2013&lt;/year&gt;&lt;/dates&gt;&lt;pub-location&gt;Bioconductor&lt;/pub-location&gt;&lt;urls&gt;&lt;/urls&gt;&lt;/record&gt;&lt;/Cite&gt;&lt;/EndNote&gt;</w:instrText>
      </w:r>
      <w:r w:rsidRPr="00C16570">
        <w:rPr>
          <w:rFonts w:eastAsia="Batang"/>
          <w:lang w:eastAsia="ko-KR"/>
        </w:rPr>
        <w:fldChar w:fldCharType="separate"/>
      </w:r>
      <w:r w:rsidR="00910455">
        <w:rPr>
          <w:rFonts w:eastAsia="Batang"/>
          <w:noProof/>
          <w:lang w:eastAsia="ko-KR"/>
        </w:rPr>
        <w:t>[107]</w:t>
      </w:r>
      <w:r w:rsidRPr="00C16570">
        <w:rPr>
          <w:rFonts w:eastAsia="Batang"/>
          <w:lang w:eastAsia="ko-KR"/>
        </w:rPr>
        <w:fldChar w:fldCharType="end"/>
      </w:r>
      <w:r w:rsidRPr="00C16570">
        <w:rPr>
          <w:rFonts w:eastAsia="Batang"/>
          <w:lang w:eastAsia="ko-KR"/>
        </w:rPr>
        <w:t xml:space="preserve">, we considered human proteins as true positives and yeast proteins as false positives.  Using selfea, we got differentially expressed proteins of Gregori data and fecal proteome data through six methods; quasi-Poisson (FDR &lt; 0.05) and Cohen’s </w:t>
      </w:r>
      <w:r w:rsidRPr="00C16570">
        <w:rPr>
          <w:rFonts w:eastAsia="Batang"/>
          <w:i/>
          <w:lang w:eastAsia="ko-KR"/>
        </w:rPr>
        <w:t xml:space="preserve">f </w:t>
      </w:r>
      <w:r w:rsidRPr="00C16570">
        <w:rPr>
          <w:rFonts w:eastAsia="Batang"/>
          <w:lang w:eastAsia="ko-KR"/>
        </w:rPr>
        <w:t>(Power &gt; 0.</w:t>
      </w:r>
      <w:r>
        <w:rPr>
          <w:rFonts w:eastAsia="Batang"/>
          <w:lang w:eastAsia="ko-KR"/>
        </w:rPr>
        <w:t>90</w:t>
      </w:r>
      <w:r w:rsidRPr="00C16570">
        <w:rPr>
          <w:rFonts w:eastAsia="Batang"/>
          <w:lang w:eastAsia="ko-KR"/>
        </w:rPr>
        <w:t xml:space="preserve">), quasi-Poisson (FDR &lt; 0.05) and 2 fold change, negative binomial (FDR &lt; 0.05) and Cohen’s </w:t>
      </w:r>
      <w:r w:rsidRPr="00C16570">
        <w:rPr>
          <w:rFonts w:eastAsia="Batang"/>
          <w:i/>
          <w:lang w:eastAsia="ko-KR"/>
        </w:rPr>
        <w:t xml:space="preserve">w </w:t>
      </w:r>
      <w:r w:rsidRPr="00C16570">
        <w:rPr>
          <w:rFonts w:eastAsia="Batang"/>
          <w:lang w:eastAsia="ko-KR"/>
        </w:rPr>
        <w:t>(Power &gt; 0.</w:t>
      </w:r>
      <w:r>
        <w:rPr>
          <w:rFonts w:eastAsia="Batang"/>
          <w:lang w:eastAsia="ko-KR"/>
        </w:rPr>
        <w:t>90</w:t>
      </w:r>
      <w:r w:rsidRPr="00C16570">
        <w:rPr>
          <w:rFonts w:eastAsia="Batang"/>
          <w:lang w:eastAsia="ko-KR"/>
        </w:rPr>
        <w:t xml:space="preserve">), negative binomial (FDR &lt; 0.05) and 2 fold change, </w:t>
      </w:r>
      <w:r>
        <w:rPr>
          <w:rFonts w:eastAsia="Batang"/>
          <w:lang w:eastAsia="ko-KR"/>
        </w:rPr>
        <w:t>N</w:t>
      </w:r>
      <w:r w:rsidRPr="00C16570">
        <w:rPr>
          <w:rFonts w:eastAsia="Batang"/>
          <w:lang w:eastAsia="ko-KR"/>
        </w:rPr>
        <w:t xml:space="preserve">ormal ANOVA (FDR &lt; 0.05) and Cohen’s </w:t>
      </w:r>
      <w:r w:rsidRPr="00C16570">
        <w:rPr>
          <w:rFonts w:eastAsia="Batang"/>
          <w:i/>
          <w:lang w:eastAsia="ko-KR"/>
        </w:rPr>
        <w:t>f</w:t>
      </w:r>
      <w:r w:rsidRPr="00C16570">
        <w:rPr>
          <w:rFonts w:eastAsia="Batang"/>
          <w:lang w:eastAsia="ko-KR"/>
        </w:rPr>
        <w:t xml:space="preserve"> (Power &gt; 0.</w:t>
      </w:r>
      <w:r>
        <w:rPr>
          <w:rFonts w:eastAsia="Batang"/>
          <w:lang w:eastAsia="ko-KR"/>
        </w:rPr>
        <w:t>90</w:t>
      </w:r>
      <w:r w:rsidRPr="00C16570">
        <w:rPr>
          <w:rFonts w:eastAsia="Batang"/>
          <w:lang w:eastAsia="ko-KR"/>
        </w:rPr>
        <w:t xml:space="preserve">), and </w:t>
      </w:r>
      <w:r>
        <w:rPr>
          <w:rFonts w:eastAsia="Batang"/>
          <w:lang w:eastAsia="ko-KR"/>
        </w:rPr>
        <w:t>N</w:t>
      </w:r>
      <w:r w:rsidRPr="00C16570">
        <w:rPr>
          <w:rFonts w:eastAsia="Batang"/>
          <w:lang w:eastAsia="ko-KR"/>
        </w:rPr>
        <w:t xml:space="preserve">ormal ANOVA (FDR &lt; 0.05) and 2 fold change.  With the significant proteins, we counted human proteins as true positives and yeast proteins as false positives.  Percentage of false positives in a signature is the number of false positives divided by the total number of proteins in a signature.  </w:t>
      </w:r>
      <w:r>
        <w:rPr>
          <w:rFonts w:eastAsia="Batang"/>
          <w:lang w:eastAsia="ko-KR"/>
        </w:rPr>
        <w:t xml:space="preserve">In addition to NB, QP and NOR model, we calculated p-values using QProt to check if Cohen’s ES can be successfully combined with other type method.  QProt was downloaded from </w:t>
      </w:r>
      <w:hyperlink r:id="rId48" w:history="1">
        <w:r w:rsidRPr="007A1924">
          <w:rPr>
            <w:rStyle w:val="Hyperlink"/>
            <w:rFonts w:eastAsia="Batang"/>
            <w:lang w:eastAsia="ko-KR"/>
          </w:rPr>
          <w:t>http://sourceforge.net/projects/qprot</w:t>
        </w:r>
      </w:hyperlink>
      <w:r>
        <w:rPr>
          <w:rFonts w:eastAsia="Batang"/>
          <w:lang w:eastAsia="ko-KR"/>
        </w:rPr>
        <w:t xml:space="preserve"> and </w:t>
      </w:r>
      <w:r>
        <w:rPr>
          <w:rFonts w:eastAsia="Batang"/>
          <w:lang w:eastAsia="ko-KR"/>
        </w:rPr>
        <w:lastRenderedPageBreak/>
        <w:t xml:space="preserve">installed on the Newton computational cluster at the University of Tennessee.  Since QProt provides only two-sample test, we tested all the possible pairs of experiments of Gregori data.  After collection of all the FDR-adjusted p-values from six two-sample tests, we picked minimum FDR as representative FDR.  Input parameter of QProt was nburnin=2,000, niter=10,000, and normalized=1.  </w:t>
      </w:r>
      <w:r w:rsidRPr="00C16570">
        <w:rPr>
          <w:rFonts w:eastAsia="Batang"/>
          <w:lang w:eastAsia="ko-KR"/>
        </w:rPr>
        <w:t>Bar plots were drawn by Microsoft Excel.</w:t>
      </w:r>
      <w:r>
        <w:rPr>
          <w:rFonts w:eastAsia="Batang"/>
          <w:lang w:eastAsia="ko-KR"/>
        </w:rPr>
        <w:t xml:space="preserve">  Scatter plots were drawn by ‘ggplots2’ package</w:t>
      </w:r>
      <w:r w:rsidRPr="00C16570">
        <w:rPr>
          <w:rFonts w:eastAsia="Batang"/>
          <w:lang w:eastAsia="ko-KR"/>
        </w:rPr>
        <w:fldChar w:fldCharType="begin"/>
      </w:r>
      <w:r w:rsidR="00910455">
        <w:rPr>
          <w:rFonts w:eastAsia="Batang"/>
          <w:lang w:eastAsia="ko-KR"/>
        </w:rPr>
        <w:instrText xml:space="preserve"> ADDIN EN.CITE &lt;EndNote&gt;&lt;Cite&gt;&lt;Author&gt;Wickham&lt;/Author&gt;&lt;Year&gt;2009&lt;/Year&gt;&lt;RecNum&gt;13&lt;/RecNum&gt;&lt;DisplayText&gt;[86]&lt;/DisplayText&gt;&lt;record&gt;&lt;rec-number&gt;13&lt;/rec-number&gt;&lt;foreign-keys&gt;&lt;key app="EN" db-id="205wv52at2eswbe5fv7p9a0ydfp2f9a29af2" timestamp="1432671897"&gt;13&lt;/key&gt;&lt;/foreign-keys&gt;&lt;ref-type name="Book"&gt;6&lt;/ref-type&gt;&lt;contributors&gt;&lt;authors&gt;&lt;author&gt;Wickham, Hadley&lt;/author&gt;&lt;/authors&gt;&lt;/contributors&gt;&lt;titles&gt;&lt;title&gt;ggplot2: elegant graphics for data analysis&lt;/title&gt;&lt;/titles&gt;&lt;dates&gt;&lt;year&gt;2009&lt;/year&gt;&lt;/dates&gt;&lt;publisher&gt;Springer Science &amp;amp; Business Media&lt;/publisher&gt;&lt;isbn&gt;0387981411&lt;/isbn&gt;&lt;urls&gt;&lt;/urls&gt;&lt;/record&gt;&lt;/Cite&gt;&lt;/EndNote&gt;</w:instrText>
      </w:r>
      <w:r w:rsidRPr="00C16570">
        <w:rPr>
          <w:rFonts w:eastAsia="Batang"/>
          <w:lang w:eastAsia="ko-KR"/>
        </w:rPr>
        <w:fldChar w:fldCharType="separate"/>
      </w:r>
      <w:r w:rsidR="00910455">
        <w:rPr>
          <w:rFonts w:eastAsia="Batang"/>
          <w:noProof/>
          <w:lang w:eastAsia="ko-KR"/>
        </w:rPr>
        <w:t>[86]</w:t>
      </w:r>
      <w:r w:rsidRPr="00C16570">
        <w:rPr>
          <w:rFonts w:eastAsia="Batang"/>
          <w:lang w:eastAsia="ko-KR"/>
        </w:rPr>
        <w:fldChar w:fldCharType="end"/>
      </w:r>
      <w:r w:rsidRPr="00C16570">
        <w:rPr>
          <w:rFonts w:eastAsia="Batang"/>
          <w:lang w:eastAsia="ko-KR"/>
        </w:rPr>
        <w:t>.</w:t>
      </w:r>
    </w:p>
    <w:p w14:paraId="0AEE47CC" w14:textId="77777777" w:rsidR="00871023" w:rsidRPr="00C16570" w:rsidRDefault="00871023" w:rsidP="00871023">
      <w:pPr>
        <w:spacing w:line="480" w:lineRule="auto"/>
        <w:rPr>
          <w:rFonts w:eastAsia="Batang"/>
          <w:lang w:eastAsia="ko-KR"/>
        </w:rPr>
      </w:pPr>
    </w:p>
    <w:p w14:paraId="72450259" w14:textId="77777777" w:rsidR="00871023" w:rsidRPr="00C16570" w:rsidRDefault="00871023" w:rsidP="00871023">
      <w:pPr>
        <w:pStyle w:val="Heading3"/>
        <w:rPr>
          <w:lang w:eastAsia="ko-KR"/>
        </w:rPr>
      </w:pPr>
      <w:bookmarkStart w:id="65" w:name="_Toc296333724"/>
      <w:r w:rsidRPr="00C16570">
        <w:rPr>
          <w:lang w:eastAsia="ko-KR"/>
        </w:rPr>
        <w:t>Monte Carlo simulation</w:t>
      </w:r>
      <w:bookmarkEnd w:id="65"/>
    </w:p>
    <w:p w14:paraId="5C77F4BC" w14:textId="403E91AE" w:rsidR="00871023" w:rsidRDefault="00871023" w:rsidP="00871023">
      <w:pPr>
        <w:spacing w:line="480" w:lineRule="auto"/>
        <w:rPr>
          <w:rFonts w:eastAsia="Batang"/>
          <w:lang w:eastAsia="ko-KR"/>
        </w:rPr>
      </w:pPr>
      <w:r w:rsidRPr="00C16570">
        <w:rPr>
          <w:rFonts w:eastAsia="Batang"/>
          <w:lang w:eastAsia="ko-KR"/>
        </w:rPr>
        <w:t>We used ‘rpois’ function of R to generate random data based on Poisson distribution with mean expression level of each groups in Gregori data.  Since Gregori data has four groups, we separately generated random data for each of four groups (λ = mean spectral counts within groups).  From the randomly generated data, p-values, fold change and Cohen’s effect sizes were computed by selfea.  Six methods, used for the benchmark data test, were examined.  We calculated minimum statistical power and counted human proteins as true positives and yeast proteins as false positives in significant proteins.  FP rate is the number of false positives divided by the total number of yeast proteins in a random data.  This simulation was repeated 1,000 times.   Box-plots were drawn by ‘ggplot2’ package</w:t>
      </w:r>
      <w:r w:rsidRPr="00C16570">
        <w:rPr>
          <w:rFonts w:eastAsia="Batang"/>
          <w:lang w:eastAsia="ko-KR"/>
        </w:rPr>
        <w:fldChar w:fldCharType="begin"/>
      </w:r>
      <w:r w:rsidR="00910455">
        <w:rPr>
          <w:rFonts w:eastAsia="Batang"/>
          <w:lang w:eastAsia="ko-KR"/>
        </w:rPr>
        <w:instrText xml:space="preserve"> ADDIN EN.CITE &lt;EndNote&gt;&lt;Cite&gt;&lt;Author&gt;Wickham&lt;/Author&gt;&lt;Year&gt;2009&lt;/Year&gt;&lt;RecNum&gt;13&lt;/RecNum&gt;&lt;DisplayText&gt;[86]&lt;/DisplayText&gt;&lt;record&gt;&lt;rec-number&gt;13&lt;/rec-number&gt;&lt;foreign-keys&gt;&lt;key app="EN" db-id="205wv52at2eswbe5fv7p9a0ydfp2f9a29af2" timestamp="1432671897"&gt;13&lt;/key&gt;&lt;/foreign-keys&gt;&lt;ref-type name="Book"&gt;6&lt;/ref-type&gt;&lt;contributors&gt;&lt;authors&gt;&lt;author&gt;Wickham, Hadley&lt;/author&gt;&lt;/authors&gt;&lt;/contributors&gt;&lt;titles&gt;&lt;title&gt;ggplot2: elegant graphics for data analysis&lt;/title&gt;&lt;/titles&gt;&lt;dates&gt;&lt;year&gt;2009&lt;/year&gt;&lt;/dates&gt;&lt;publisher&gt;Springer Science &amp;amp; Business Media&lt;/publisher&gt;&lt;isbn&gt;0387981411&lt;/isbn&gt;&lt;urls&gt;&lt;/urls&gt;&lt;/record&gt;&lt;/Cite&gt;&lt;/EndNote&gt;</w:instrText>
      </w:r>
      <w:r w:rsidRPr="00C16570">
        <w:rPr>
          <w:rFonts w:eastAsia="Batang"/>
          <w:lang w:eastAsia="ko-KR"/>
        </w:rPr>
        <w:fldChar w:fldCharType="separate"/>
      </w:r>
      <w:r w:rsidR="00910455">
        <w:rPr>
          <w:rFonts w:eastAsia="Batang"/>
          <w:noProof/>
          <w:lang w:eastAsia="ko-KR"/>
        </w:rPr>
        <w:t>[86]</w:t>
      </w:r>
      <w:r w:rsidRPr="00C16570">
        <w:rPr>
          <w:rFonts w:eastAsia="Batang"/>
          <w:lang w:eastAsia="ko-KR"/>
        </w:rPr>
        <w:fldChar w:fldCharType="end"/>
      </w:r>
      <w:r w:rsidRPr="00C16570">
        <w:rPr>
          <w:rFonts w:eastAsia="Batang"/>
          <w:lang w:eastAsia="ko-KR"/>
        </w:rPr>
        <w:t>.</w:t>
      </w:r>
    </w:p>
    <w:p w14:paraId="00F4B96D" w14:textId="77777777" w:rsidR="00871023" w:rsidRPr="00C16570" w:rsidRDefault="00871023" w:rsidP="00871023">
      <w:pPr>
        <w:pStyle w:val="Heading3"/>
        <w:rPr>
          <w:lang w:eastAsia="ko-KR"/>
        </w:rPr>
      </w:pPr>
      <w:bookmarkStart w:id="66" w:name="_Toc296333725"/>
      <w:r w:rsidRPr="00C16570">
        <w:rPr>
          <w:lang w:eastAsia="ko-KR"/>
        </w:rPr>
        <w:lastRenderedPageBreak/>
        <w:t>User guide for selfea package</w:t>
      </w:r>
      <w:bookmarkEnd w:id="66"/>
    </w:p>
    <w:p w14:paraId="477A3801" w14:textId="5BFA8F97" w:rsidR="00871023" w:rsidRPr="00C16570" w:rsidRDefault="00871023" w:rsidP="00871023">
      <w:pPr>
        <w:spacing w:line="480" w:lineRule="auto"/>
        <w:rPr>
          <w:rFonts w:eastAsia="Batang"/>
          <w:lang w:eastAsia="ko-KR"/>
        </w:rPr>
      </w:pPr>
      <w:r w:rsidRPr="00C16570">
        <w:rPr>
          <w:rFonts w:eastAsia="Batang"/>
          <w:lang w:eastAsia="ko-KR"/>
        </w:rPr>
        <w:t>R document of selfea is available at</w:t>
      </w:r>
      <w:r w:rsidR="009323B4">
        <w:rPr>
          <w:rFonts w:eastAsia="Batang"/>
          <w:lang w:eastAsia="ko-KR"/>
        </w:rPr>
        <w:t xml:space="preserve"> CRAN, R package repository, and </w:t>
      </w:r>
      <w:r w:rsidR="00CE2D69">
        <w:rPr>
          <w:rFonts w:eastAsia="Batang"/>
          <w:lang w:eastAsia="ko-KR"/>
        </w:rPr>
        <w:t xml:space="preserve">its </w:t>
      </w:r>
      <w:r w:rsidR="009323B4">
        <w:rPr>
          <w:rFonts w:eastAsia="Batang"/>
          <w:lang w:eastAsia="ko-KR"/>
        </w:rPr>
        <w:t>web addressed is</w:t>
      </w:r>
      <w:r w:rsidRPr="00C16570">
        <w:rPr>
          <w:rFonts w:eastAsia="Batang"/>
          <w:lang w:eastAsia="ko-KR"/>
        </w:rPr>
        <w:t xml:space="preserve"> </w:t>
      </w:r>
      <w:hyperlink r:id="rId49" w:history="1">
        <w:r w:rsidRPr="00C16570">
          <w:rPr>
            <w:rStyle w:val="Hyperlink"/>
            <w:rFonts w:eastAsia="Batang"/>
            <w:lang w:eastAsia="ko-KR"/>
          </w:rPr>
          <w:t>http://cran.r-project.org/web/packages/selfea/selfea.pdf</w:t>
        </w:r>
      </w:hyperlink>
      <w:r w:rsidRPr="00C16570">
        <w:rPr>
          <w:rFonts w:eastAsia="Batang"/>
          <w:lang w:eastAsia="ko-KR"/>
        </w:rPr>
        <w:t>.  This R document provides detail information about every function and data as well as examples.</w:t>
      </w:r>
    </w:p>
    <w:p w14:paraId="5659F897" w14:textId="77777777" w:rsidR="00871023" w:rsidRPr="00871023" w:rsidRDefault="00871023" w:rsidP="00871023"/>
    <w:p w14:paraId="27CBD731" w14:textId="458892B2" w:rsidR="00F7354F" w:rsidRPr="004030F5" w:rsidRDefault="00452BF1" w:rsidP="004432F9">
      <w:pPr>
        <w:pStyle w:val="Heading2"/>
        <w:spacing w:line="480" w:lineRule="auto"/>
      </w:pPr>
      <w:bookmarkStart w:id="67" w:name="_Toc296333726"/>
      <w:r>
        <w:t>Algorithm</w:t>
      </w:r>
      <w:bookmarkEnd w:id="67"/>
    </w:p>
    <w:p w14:paraId="0BA7F997" w14:textId="35112D17" w:rsidR="00F7354F" w:rsidRDefault="00776784" w:rsidP="004432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eastAsia="Batang"/>
          <w:lang w:eastAsia="ko-KR"/>
        </w:rPr>
      </w:pPr>
      <w:r>
        <w:rPr>
          <w:rFonts w:eastAsia="Batang"/>
          <w:lang w:eastAsia="ko-KR"/>
        </w:rPr>
        <w:tab/>
      </w:r>
      <w:r w:rsidR="00DB0181" w:rsidRPr="00C16570">
        <w:rPr>
          <w:rFonts w:eastAsia="Batang"/>
          <w:lang w:eastAsia="ko-KR"/>
        </w:rPr>
        <w:t xml:space="preserve">To overcome limitations of FC, we developed an alternative approach based on Cohen’s ES.  Cohen’s ES are designed to measure difference between groups and there are specific types for different hypothesis test methods, such as Cohen’s </w:t>
      </w:r>
      <w:r w:rsidR="00DB0181" w:rsidRPr="00C16570">
        <w:rPr>
          <w:rFonts w:eastAsia="Batang"/>
          <w:i/>
          <w:lang w:eastAsia="ko-KR"/>
        </w:rPr>
        <w:t xml:space="preserve">d </w:t>
      </w:r>
      <w:r w:rsidR="00DB0181" w:rsidRPr="00C16570">
        <w:rPr>
          <w:rFonts w:eastAsia="Batang"/>
          <w:lang w:eastAsia="ko-KR"/>
        </w:rPr>
        <w:t>for Student’s t-test</w:t>
      </w:r>
      <w:r w:rsidR="00DB0181" w:rsidRPr="00C16570">
        <w:rPr>
          <w:rFonts w:eastAsia="Batang"/>
          <w:lang w:eastAsia="ko-KR"/>
        </w:rPr>
        <w:fldChar w:fldCharType="begin"/>
      </w:r>
      <w:r w:rsidR="00910455">
        <w:rPr>
          <w:rFonts w:eastAsia="Batang"/>
          <w:lang w:eastAsia="ko-KR"/>
        </w:rPr>
        <w:instrText xml:space="preserve"> ADDIN EN.CITE &lt;EndNote&gt;&lt;Cite&gt;&lt;Author&gt;Cohen&lt;/Author&gt;&lt;Year&gt;1990&lt;/Year&gt;&lt;RecNum&gt;110&lt;/RecNum&gt;&lt;DisplayText&gt;[113]&lt;/DisplayText&gt;&lt;record&gt;&lt;rec-number&gt;110&lt;/rec-number&gt;&lt;foreign-keys&gt;&lt;key app="EN" db-id="efx2002d5f0z21etvw3x9zp7tw2axpa2eez0" timestamp="1434471120"&gt;110&lt;/key&gt;&lt;/foreign-keys&gt;&lt;ref-type name="Journal Article"&gt;17&lt;/ref-type&gt;&lt;contributors&gt;&lt;authors&gt;&lt;author&gt;Cohen, Jacob&lt;/author&gt;&lt;/authors&gt;&lt;/contributors&gt;&lt;titles&gt;&lt;title&gt;Things I have learned (so far)&lt;/title&gt;&lt;secondary-title&gt;American psychologist&lt;/secondary-title&gt;&lt;/titles&gt;&lt;periodical&gt;&lt;full-title&gt;American psychologist&lt;/full-title&gt;&lt;/periodical&gt;&lt;pages&gt;1304&lt;/pages&gt;&lt;volume&gt;45&lt;/volume&gt;&lt;number&gt;12&lt;/number&gt;&lt;dates&gt;&lt;year&gt;1990&lt;/year&gt;&lt;/dates&gt;&lt;isbn&gt;1935-990X&lt;/isbn&gt;&lt;urls&gt;&lt;/urls&gt;&lt;/record&gt;&lt;/Cite&gt;&lt;/EndNote&gt;</w:instrText>
      </w:r>
      <w:r w:rsidR="00DB0181" w:rsidRPr="00C16570">
        <w:rPr>
          <w:rFonts w:eastAsia="Batang"/>
          <w:lang w:eastAsia="ko-KR"/>
        </w:rPr>
        <w:fldChar w:fldCharType="separate"/>
      </w:r>
      <w:r w:rsidR="00910455">
        <w:rPr>
          <w:rFonts w:eastAsia="Batang"/>
          <w:noProof/>
          <w:lang w:eastAsia="ko-KR"/>
        </w:rPr>
        <w:t>[113]</w:t>
      </w:r>
      <w:r w:rsidR="00DB0181" w:rsidRPr="00C16570">
        <w:rPr>
          <w:rFonts w:eastAsia="Batang"/>
          <w:lang w:eastAsia="ko-KR"/>
        </w:rPr>
        <w:fldChar w:fldCharType="end"/>
      </w:r>
      <w:r w:rsidR="00DB0181" w:rsidRPr="00C16570">
        <w:rPr>
          <w:rFonts w:eastAsia="Batang"/>
          <w:lang w:eastAsia="ko-KR"/>
        </w:rPr>
        <w:t>.  Cohen’s ES is, moreover, a parameter for statistical power calculation of a hypothesis test</w:t>
      </w:r>
      <w:r w:rsidR="00DB0181" w:rsidRPr="00C16570">
        <w:rPr>
          <w:rFonts w:eastAsia="Batang"/>
          <w:lang w:eastAsia="ko-KR"/>
        </w:rPr>
        <w:fldChar w:fldCharType="begin"/>
      </w:r>
      <w:r w:rsidR="00910455">
        <w:rPr>
          <w:rFonts w:eastAsia="Batang"/>
          <w:lang w:eastAsia="ko-KR"/>
        </w:rPr>
        <w:instrText xml:space="preserve"> ADDIN EN.CITE &lt;EndNote&gt;&lt;Cite&gt;&lt;Author&gt;Cohen&lt;/Author&gt;&lt;Year&gt;1990&lt;/Year&gt;&lt;RecNum&gt;110&lt;/RecNum&gt;&lt;DisplayText&gt;[113,114]&lt;/DisplayText&gt;&lt;record&gt;&lt;rec-number&gt;110&lt;/rec-number&gt;&lt;foreign-keys&gt;&lt;key app="EN" db-id="efx2002d5f0z21etvw3x9zp7tw2axpa2eez0" timestamp="1434471120"&gt;110&lt;/key&gt;&lt;/foreign-keys&gt;&lt;ref-type name="Journal Article"&gt;17&lt;/ref-type&gt;&lt;contributors&gt;&lt;authors&gt;&lt;author&gt;Cohen, Jacob&lt;/author&gt;&lt;/authors&gt;&lt;/contributors&gt;&lt;titles&gt;&lt;title&gt;Things I have learned (so far)&lt;/title&gt;&lt;secondary-title&gt;American psychologist&lt;/secondary-title&gt;&lt;/titles&gt;&lt;periodical&gt;&lt;full-title&gt;American psychologist&lt;/full-title&gt;&lt;/periodical&gt;&lt;pages&gt;1304&lt;/pages&gt;&lt;volume&gt;45&lt;/volume&gt;&lt;number&gt;12&lt;/number&gt;&lt;dates&gt;&lt;year&gt;1990&lt;/year&gt;&lt;/dates&gt;&lt;isbn&gt;1935-990X&lt;/isbn&gt;&lt;urls&gt;&lt;/urls&gt;&lt;/record&gt;&lt;/Cite&gt;&lt;Cite&gt;&lt;Author&gt;Cohen&lt;/Author&gt;&lt;Year&gt;1992&lt;/Year&gt;&lt;RecNum&gt;111&lt;/RecNum&gt;&lt;record&gt;&lt;rec-number&gt;111&lt;/rec-number&gt;&lt;foreign-keys&gt;&lt;key app="EN" db-id="efx2002d5f0z21etvw3x9zp7tw2axpa2eez0" timestamp="1434471120"&gt;111&lt;/key&gt;&lt;/foreign-keys&gt;&lt;ref-type name="Journal Article"&gt;17&lt;/ref-type&gt;&lt;contributors&gt;&lt;authors&gt;&lt;author&gt;Cohen, Jacob&lt;/author&gt;&lt;/authors&gt;&lt;/contributors&gt;&lt;titles&gt;&lt;title&gt;A power primer&lt;/title&gt;&lt;secondary-title&gt;Psychological bulletin&lt;/secondary-title&gt;&lt;/titles&gt;&lt;periodical&gt;&lt;full-title&gt;Psychological bulletin&lt;/full-title&gt;&lt;/periodical&gt;&lt;pages&gt;155&lt;/pages&gt;&lt;volume&gt;112&lt;/volume&gt;&lt;number&gt;1&lt;/number&gt;&lt;dates&gt;&lt;year&gt;1992&lt;/year&gt;&lt;/dates&gt;&lt;isbn&gt;1939-1455&lt;/isbn&gt;&lt;urls&gt;&lt;/urls&gt;&lt;/record&gt;&lt;/Cite&gt;&lt;/EndNote&gt;</w:instrText>
      </w:r>
      <w:r w:rsidR="00DB0181" w:rsidRPr="00C16570">
        <w:rPr>
          <w:rFonts w:eastAsia="Batang"/>
          <w:lang w:eastAsia="ko-KR"/>
        </w:rPr>
        <w:fldChar w:fldCharType="separate"/>
      </w:r>
      <w:r w:rsidR="00910455">
        <w:rPr>
          <w:rFonts w:eastAsia="Batang"/>
          <w:noProof/>
          <w:lang w:eastAsia="ko-KR"/>
        </w:rPr>
        <w:t>[113,114]</w:t>
      </w:r>
      <w:r w:rsidR="00DB0181" w:rsidRPr="00C16570">
        <w:rPr>
          <w:rFonts w:eastAsia="Batang"/>
          <w:lang w:eastAsia="ko-KR"/>
        </w:rPr>
        <w:fldChar w:fldCharType="end"/>
      </w:r>
      <w:r w:rsidR="00DB0181" w:rsidRPr="00C16570">
        <w:rPr>
          <w:rFonts w:eastAsia="Batang"/>
          <w:lang w:eastAsia="ko-KR"/>
        </w:rPr>
        <w:t xml:space="preserve">.  The </w:t>
      </w:r>
      <w:r w:rsidR="00DB0181">
        <w:rPr>
          <w:rFonts w:eastAsia="Batang"/>
          <w:lang w:eastAsia="ko-KR"/>
        </w:rPr>
        <w:t>higher</w:t>
      </w:r>
      <w:r w:rsidR="00DB0181" w:rsidRPr="00C16570">
        <w:rPr>
          <w:rFonts w:eastAsia="Batang"/>
          <w:lang w:eastAsia="ko-KR"/>
        </w:rPr>
        <w:t xml:space="preserve"> Cohen’s ES is, the better statistical power is.   Statistical power is the probability of </w:t>
      </w:r>
      <w:r w:rsidR="00DB0181">
        <w:rPr>
          <w:rFonts w:eastAsia="Batang"/>
          <w:lang w:eastAsia="ko-KR"/>
        </w:rPr>
        <w:t>correctly rejecting the null-</w:t>
      </w:r>
      <w:r w:rsidR="00DB0181" w:rsidRPr="00C16570">
        <w:rPr>
          <w:rFonts w:eastAsia="Batang"/>
          <w:lang w:eastAsia="ko-KR"/>
        </w:rPr>
        <w:t>hypothesis when it is false.  Therefore, higher statistical power can improve reliability of quantitative biological studies.  We can obtain higher statistical power by increasing threshold of Cohen’s ES filter.</w:t>
      </w:r>
    </w:p>
    <w:p w14:paraId="5703D64E" w14:textId="14B28163" w:rsidR="00776784" w:rsidRPr="00C16570" w:rsidRDefault="00776784" w:rsidP="00776784">
      <w:pPr>
        <w:spacing w:line="480" w:lineRule="auto"/>
        <w:ind w:firstLine="720"/>
        <w:rPr>
          <w:rFonts w:eastAsia="Batang"/>
          <w:lang w:eastAsia="ko-KR"/>
        </w:rPr>
      </w:pPr>
      <w:r w:rsidRPr="00C16570">
        <w:rPr>
          <w:rFonts w:eastAsia="Batang"/>
          <w:lang w:eastAsia="ko-KR"/>
        </w:rPr>
        <w:t xml:space="preserve">First, our approach calculates Cohen’s </w:t>
      </w:r>
      <w:r w:rsidRPr="00C16570">
        <w:rPr>
          <w:rFonts w:eastAsia="Batang"/>
          <w:i/>
          <w:lang w:eastAsia="ko-KR"/>
        </w:rPr>
        <w:t>f</w:t>
      </w:r>
      <w:r w:rsidRPr="00C16570">
        <w:rPr>
          <w:rFonts w:eastAsia="Batang"/>
          <w:lang w:eastAsia="ko-KR"/>
        </w:rPr>
        <w:t xml:space="preserve"> and </w:t>
      </w:r>
      <w:r w:rsidRPr="00C16570">
        <w:rPr>
          <w:rFonts w:eastAsia="Batang"/>
          <w:i/>
          <w:lang w:eastAsia="ko-KR"/>
        </w:rPr>
        <w:t>w</w:t>
      </w:r>
      <w:r w:rsidRPr="00C16570">
        <w:rPr>
          <w:rFonts w:eastAsia="Batang"/>
          <w:lang w:eastAsia="ko-KR"/>
        </w:rPr>
        <w:t xml:space="preserve"> for each comparison between experiment groups for every individual feature</w:t>
      </w:r>
      <w:r w:rsidRPr="00C16570">
        <w:rPr>
          <w:rFonts w:eastAsia="Batang"/>
          <w:lang w:eastAsia="ko-KR"/>
        </w:rPr>
        <w:fldChar w:fldCharType="begin"/>
      </w:r>
      <w:r w:rsidR="00910455">
        <w:rPr>
          <w:rFonts w:eastAsia="Batang"/>
          <w:lang w:eastAsia="ko-KR"/>
        </w:rPr>
        <w:instrText xml:space="preserve"> ADDIN EN.CITE &lt;EndNote&gt;&lt;Cite&gt;&lt;Author&gt;Cohen&lt;/Author&gt;&lt;Year&gt;1992&lt;/Year&gt;&lt;RecNum&gt;111&lt;/RecNum&gt;&lt;DisplayText&gt;[108,114]&lt;/DisplayText&gt;&lt;record&gt;&lt;rec-number&gt;111&lt;/rec-number&gt;&lt;foreign-keys&gt;&lt;key app="EN" db-id="efx2002d5f0z21etvw3x9zp7tw2axpa2eez0" timestamp="1434471120"&gt;111&lt;/key&gt;&lt;/foreign-keys&gt;&lt;ref-type name="Journal Article"&gt;17&lt;/ref-type&gt;&lt;contributors&gt;&lt;authors&gt;&lt;author&gt;Cohen, Jacob&lt;/author&gt;&lt;/authors&gt;&lt;/contributors&gt;&lt;titles&gt;&lt;title&gt;A power primer&lt;/title&gt;&lt;secondary-title&gt;Psychological bulletin&lt;/secondary-title&gt;&lt;/titles&gt;&lt;periodical&gt;&lt;full-title&gt;Psychological bulletin&lt;/full-title&gt;&lt;/periodical&gt;&lt;pages&gt;155&lt;/pages&gt;&lt;volume&gt;112&lt;/volume&gt;&lt;number&gt;1&lt;/number&gt;&lt;dates&gt;&lt;year&gt;1992&lt;/year&gt;&lt;/dates&gt;&lt;isbn&gt;1939-1455&lt;/isbn&gt;&lt;urls&gt;&lt;/urls&gt;&lt;/record&gt;&lt;/Cite&gt;&lt;Cite&gt;&lt;Author&gt;Kabacoff&lt;/Author&gt;&lt;Year&gt;2014&lt;/Year&gt;&lt;RecNum&gt;117&lt;/RecNum&gt;&lt;record&gt;&lt;rec-number&gt;117&lt;/rec-number&gt;&lt;foreign-keys&gt;&lt;key app="EN" db-id="efx2002d5f0z21etvw3x9zp7tw2axpa2eez0" timestamp="1434471120"&gt;117&lt;/key&gt;&lt;/foreign-keys&gt;&lt;ref-type name="Web Page"&gt;12&lt;/ref-type&gt;&lt;contributors&gt;&lt;authors&gt;&lt;author&gt;Robert I. Kabacoff&lt;/author&gt;&lt;/authors&gt;&lt;/contributors&gt;&lt;titles&gt;&lt;title&gt;Power Analysis&lt;/title&gt;&lt;/titles&gt;&lt;pages&gt;Power Analysis, http://www.statmethods.net/stats/power.html&lt;/pages&gt;&lt;dates&gt;&lt;year&gt;2014&lt;/year&gt;&lt;/dates&gt;&lt;publisher&gt;Quick-R&lt;/publisher&gt;&lt;urls&gt;&lt;related-urls&gt;&lt;url&gt;http://www.statmethods.net/stats/power.html&lt;/url&gt;&lt;/related-urls&gt;&lt;/urls&gt;&lt;/record&gt;&lt;/Cite&gt;&lt;/EndNote&gt;</w:instrText>
      </w:r>
      <w:r w:rsidRPr="00C16570">
        <w:rPr>
          <w:rFonts w:eastAsia="Batang"/>
          <w:lang w:eastAsia="ko-KR"/>
        </w:rPr>
        <w:fldChar w:fldCharType="separate"/>
      </w:r>
      <w:r w:rsidR="00910455">
        <w:rPr>
          <w:rFonts w:eastAsia="Batang"/>
          <w:noProof/>
          <w:lang w:eastAsia="ko-KR"/>
        </w:rPr>
        <w:t>[108,114]</w:t>
      </w:r>
      <w:r w:rsidRPr="00C16570">
        <w:rPr>
          <w:rFonts w:eastAsia="Batang"/>
          <w:lang w:eastAsia="ko-KR"/>
        </w:rPr>
        <w:fldChar w:fldCharType="end"/>
      </w:r>
      <w:r w:rsidRPr="00C16570">
        <w:rPr>
          <w:rFonts w:eastAsia="Batang"/>
          <w:lang w:eastAsia="ko-KR"/>
        </w:rPr>
        <w:t xml:space="preserve">.  Cohen’s </w:t>
      </w:r>
      <w:r w:rsidRPr="00C16570">
        <w:rPr>
          <w:rFonts w:eastAsia="Batang"/>
          <w:i/>
          <w:lang w:eastAsia="ko-KR"/>
        </w:rPr>
        <w:t>f</w:t>
      </w:r>
      <w:r w:rsidRPr="00C16570">
        <w:rPr>
          <w:rFonts w:eastAsia="Batang"/>
          <w:lang w:eastAsia="ko-KR"/>
        </w:rPr>
        <w:t xml:space="preserve"> is for one-way ANOVA F-test using quasi-</w:t>
      </w:r>
      <w:r>
        <w:rPr>
          <w:rFonts w:eastAsia="Batang"/>
          <w:lang w:eastAsia="ko-KR"/>
        </w:rPr>
        <w:t>P</w:t>
      </w:r>
      <w:r w:rsidRPr="00C16570">
        <w:rPr>
          <w:rFonts w:eastAsia="Batang"/>
          <w:lang w:eastAsia="ko-KR"/>
        </w:rPr>
        <w:t>oisson (QP) or</w:t>
      </w:r>
      <w:r>
        <w:rPr>
          <w:rFonts w:eastAsia="Batang"/>
          <w:lang w:eastAsia="ko-KR"/>
        </w:rPr>
        <w:t xml:space="preserve"> N</w:t>
      </w:r>
      <w:r w:rsidRPr="00C16570">
        <w:rPr>
          <w:rFonts w:eastAsia="Batang"/>
          <w:lang w:eastAsia="ko-KR"/>
        </w:rPr>
        <w:t>ormal distribution (Normal).  Cohen’s</w:t>
      </w:r>
      <w:r w:rsidRPr="00C16570">
        <w:rPr>
          <w:rFonts w:eastAsia="Batang"/>
          <w:i/>
          <w:lang w:eastAsia="ko-KR"/>
        </w:rPr>
        <w:t xml:space="preserve"> w</w:t>
      </w:r>
      <w:r w:rsidRPr="00C16570">
        <w:rPr>
          <w:rFonts w:eastAsia="Batang"/>
          <w:lang w:eastAsia="ko-KR"/>
        </w:rPr>
        <w:t xml:space="preserve"> is linked to the Chi-square </w:t>
      </w:r>
      <w:r>
        <w:rPr>
          <w:rFonts w:eastAsia="Batang"/>
          <w:lang w:eastAsia="ko-KR"/>
        </w:rPr>
        <w:t>likelihood-</w:t>
      </w:r>
      <w:r w:rsidRPr="00C16570">
        <w:rPr>
          <w:rFonts w:eastAsia="Batang"/>
          <w:lang w:eastAsia="ko-KR"/>
        </w:rPr>
        <w:t xml:space="preserve">ratio test (LR-test) for comparing </w:t>
      </w:r>
      <w:r>
        <w:rPr>
          <w:rFonts w:eastAsia="Batang"/>
          <w:lang w:eastAsia="ko-KR"/>
        </w:rPr>
        <w:t xml:space="preserve">goodness of fit of two </w:t>
      </w:r>
      <w:r w:rsidRPr="00C16570">
        <w:rPr>
          <w:rFonts w:eastAsia="Batang"/>
          <w:lang w:eastAsia="ko-KR"/>
        </w:rPr>
        <w:t xml:space="preserve">generalized linear models based on negative </w:t>
      </w:r>
      <w:r w:rsidRPr="00C16570">
        <w:rPr>
          <w:rFonts w:eastAsia="Batang"/>
          <w:lang w:eastAsia="ko-KR"/>
        </w:rPr>
        <w:lastRenderedPageBreak/>
        <w:t>binomial distribution (NB).  Those three, QP, Normal and NB, are widely used distributions for treatment comparisons in biological data.</w:t>
      </w:r>
      <w:r w:rsidRPr="00C16570">
        <w:rPr>
          <w:rFonts w:eastAsia="Batang"/>
          <w:i/>
          <w:lang w:eastAsia="ko-KR"/>
        </w:rPr>
        <w:t xml:space="preserve">  </w:t>
      </w:r>
    </w:p>
    <w:p w14:paraId="1A6CB260" w14:textId="37244AC5" w:rsidR="00776784" w:rsidRDefault="00776784" w:rsidP="00776784">
      <w:pPr>
        <w:spacing w:line="480" w:lineRule="auto"/>
        <w:ind w:firstLine="720"/>
        <w:rPr>
          <w:rFonts w:eastAsia="Batang"/>
          <w:lang w:eastAsia="ko-KR"/>
        </w:rPr>
      </w:pPr>
      <w:r w:rsidRPr="00C16570">
        <w:rPr>
          <w:rFonts w:eastAsia="Batang"/>
          <w:lang w:eastAsia="ko-KR"/>
        </w:rPr>
        <w:t xml:space="preserve">Next, the minimum Cohen’s </w:t>
      </w:r>
      <w:r w:rsidRPr="00C16570">
        <w:rPr>
          <w:rFonts w:eastAsia="Batang"/>
          <w:i/>
          <w:lang w:eastAsia="ko-KR"/>
        </w:rPr>
        <w:t>f</w:t>
      </w:r>
      <w:r w:rsidRPr="00C16570">
        <w:rPr>
          <w:rFonts w:eastAsia="Batang"/>
          <w:lang w:eastAsia="ko-KR"/>
        </w:rPr>
        <w:t xml:space="preserve"> and Cohen’s </w:t>
      </w:r>
      <w:r w:rsidRPr="00C16570">
        <w:rPr>
          <w:rFonts w:eastAsia="Batang"/>
          <w:i/>
          <w:lang w:eastAsia="ko-KR"/>
        </w:rPr>
        <w:t>w</w:t>
      </w:r>
      <w:r w:rsidRPr="00C16570">
        <w:rPr>
          <w:rFonts w:eastAsia="Batang"/>
          <w:lang w:eastAsia="ko-KR"/>
        </w:rPr>
        <w:t xml:space="preserve"> are calculated for desired statistical power, typically</w:t>
      </w:r>
      <w:r>
        <w:rPr>
          <w:rFonts w:eastAsia="Batang"/>
          <w:lang w:eastAsia="ko-KR"/>
        </w:rPr>
        <w:t xml:space="preserve"> 9</w:t>
      </w:r>
      <w:r w:rsidRPr="00C16570">
        <w:rPr>
          <w:rFonts w:eastAsia="Batang"/>
          <w:lang w:eastAsia="ko-KR"/>
        </w:rPr>
        <w:t>0%, and alpha, typically 0.05, by using power analysis function</w:t>
      </w:r>
      <w:r w:rsidRPr="00C16570">
        <w:rPr>
          <w:rFonts w:eastAsia="Batang"/>
          <w:lang w:eastAsia="ko-KR"/>
        </w:rPr>
        <w:fldChar w:fldCharType="begin"/>
      </w:r>
      <w:r w:rsidR="00910455">
        <w:rPr>
          <w:rFonts w:eastAsia="Batang"/>
          <w:lang w:eastAsia="ko-KR"/>
        </w:rPr>
        <w:instrText xml:space="preserve"> ADDIN EN.CITE &lt;EndNote&gt;&lt;Cite&gt;&lt;Author&gt;Kabacoff&lt;/Author&gt;&lt;Year&gt;2014&lt;/Year&gt;&lt;RecNum&gt;117&lt;/RecNum&gt;&lt;DisplayText&gt;[108,110]&lt;/DisplayText&gt;&lt;record&gt;&lt;rec-number&gt;117&lt;/rec-number&gt;&lt;foreign-keys&gt;&lt;key app="EN" db-id="efx2002d5f0z21etvw3x9zp7tw2axpa2eez0" timestamp="1434471120"&gt;117&lt;/key&gt;&lt;/foreign-keys&gt;&lt;ref-type name="Web Page"&gt;12&lt;/ref-type&gt;&lt;contributors&gt;&lt;authors&gt;&lt;author&gt;Robert I. Kabacoff&lt;/author&gt;&lt;/authors&gt;&lt;/contributors&gt;&lt;titles&gt;&lt;title&gt;Power Analysis&lt;/title&gt;&lt;/titles&gt;&lt;pages&gt;Power Analysis, http://www.statmethods.net/stats/power.html&lt;/pages&gt;&lt;dates&gt;&lt;year&gt;2014&lt;/year&gt;&lt;/dates&gt;&lt;publisher&gt;Quick-R&lt;/publisher&gt;&lt;urls&gt;&lt;related-urls&gt;&lt;url&gt;http://www.statmethods.net/stats/power.html&lt;/url&gt;&lt;/related-urls&gt;&lt;/urls&gt;&lt;/record&gt;&lt;/Cite&gt;&lt;Cite&gt;&lt;Author&gt;Stephane Champely&lt;/Author&gt;&lt;Year&gt;2015&lt;/Year&gt;&lt;RecNum&gt;118&lt;/RecNum&gt;&lt;record&gt;&lt;rec-number&gt;118&lt;/rec-number&gt;&lt;foreign-keys&gt;&lt;key app="EN" db-id="efx2002d5f0z21etvw3x9zp7tw2axpa2eez0" timestamp="1434471120"&gt;118&lt;/key&gt;&lt;/foreign-keys&gt;&lt;ref-type name="Computer Program"&gt;9&lt;/ref-type&gt;&lt;contributors&gt;&lt;authors&gt;&lt;author&gt;Stephane Champely, Claus Ekstrom, Peter Dalgaard, Jeffrey Gill, Helios De Rosario&lt;/author&gt;&lt;/authors&gt;&lt;/contributors&gt;&lt;titles&gt;&lt;title&gt;R package &amp;apos;pwr&amp;apos;&lt;/title&gt;&lt;/titles&gt;&lt;pages&gt;R package &amp;apos;pwr&amp;apos; ver. 1.1-2, power analysis functions along the lines of Jacob Cohen&lt;/pages&gt;&lt;dates&gt;&lt;year&gt;2015&lt;/year&gt;&lt;/dates&gt;&lt;pub-location&gt;CRAN&lt;/pub-location&gt;&lt;urls&gt;&lt;/urls&gt;&lt;/record&gt;&lt;/Cite&gt;&lt;/EndNote&gt;</w:instrText>
      </w:r>
      <w:r w:rsidRPr="00C16570">
        <w:rPr>
          <w:rFonts w:eastAsia="Batang"/>
          <w:lang w:eastAsia="ko-KR"/>
        </w:rPr>
        <w:fldChar w:fldCharType="separate"/>
      </w:r>
      <w:r w:rsidR="00910455">
        <w:rPr>
          <w:rFonts w:eastAsia="Batang"/>
          <w:noProof/>
          <w:lang w:eastAsia="ko-KR"/>
        </w:rPr>
        <w:t>[108,110]</w:t>
      </w:r>
      <w:r w:rsidRPr="00C16570">
        <w:rPr>
          <w:rFonts w:eastAsia="Batang"/>
          <w:lang w:eastAsia="ko-KR"/>
        </w:rPr>
        <w:fldChar w:fldCharType="end"/>
      </w:r>
      <w:r w:rsidRPr="00C16570">
        <w:rPr>
          <w:rFonts w:eastAsia="Batang"/>
          <w:lang w:eastAsia="ko-KR"/>
        </w:rPr>
        <w:t xml:space="preserve">.  Features having Cohen’s </w:t>
      </w:r>
      <w:r w:rsidRPr="00C16570">
        <w:rPr>
          <w:rFonts w:eastAsia="Batang"/>
          <w:i/>
          <w:lang w:eastAsia="ko-KR"/>
        </w:rPr>
        <w:t>f</w:t>
      </w:r>
      <w:r w:rsidRPr="00C16570">
        <w:rPr>
          <w:rFonts w:eastAsia="Batang"/>
          <w:lang w:eastAsia="ko-KR"/>
        </w:rPr>
        <w:t xml:space="preserve"> or </w:t>
      </w:r>
      <w:r w:rsidRPr="00C16570">
        <w:rPr>
          <w:rFonts w:eastAsia="Batang"/>
          <w:i/>
          <w:lang w:eastAsia="ko-KR"/>
        </w:rPr>
        <w:t>w</w:t>
      </w:r>
      <w:r w:rsidRPr="00C16570">
        <w:rPr>
          <w:rFonts w:eastAsia="Batang"/>
          <w:lang w:eastAsia="ko-KR"/>
        </w:rPr>
        <w:t xml:space="preserve"> below the obtained minimum are filtered out.  This gives a statistical basis to determine ES threshold by considering sample size, significance and statistical power.  In addition to the statistical benefits, our approach can maintain the level of statistical power by filtering out low-powered hypotheses tests.  </w:t>
      </w:r>
    </w:p>
    <w:p w14:paraId="752CEC4C" w14:textId="217979E4" w:rsidR="00DA74DC" w:rsidRDefault="00423087" w:rsidP="00776784">
      <w:pPr>
        <w:spacing w:line="480" w:lineRule="auto"/>
        <w:ind w:firstLine="720"/>
        <w:rPr>
          <w:rFonts w:eastAsia="Batang"/>
          <w:lang w:eastAsia="ko-KR"/>
        </w:rPr>
      </w:pPr>
      <w:r w:rsidRPr="00C16570">
        <w:rPr>
          <w:rFonts w:eastAsia="Batang"/>
          <w:lang w:eastAsia="ko-KR"/>
        </w:rPr>
        <w:t>We incorporated these concepts in an R package named ‘selfea’,</w:t>
      </w:r>
      <w:r>
        <w:rPr>
          <w:rFonts w:eastAsia="Batang"/>
          <w:lang w:eastAsia="ko-KR"/>
        </w:rPr>
        <w:t xml:space="preserve"> freely</w:t>
      </w:r>
      <w:r w:rsidRPr="00C16570">
        <w:rPr>
          <w:rFonts w:eastAsia="Batang"/>
          <w:lang w:eastAsia="ko-KR"/>
        </w:rPr>
        <w:t xml:space="preserve"> available on CRAN. To test if </w:t>
      </w:r>
      <w:r>
        <w:rPr>
          <w:rFonts w:eastAsia="Batang"/>
          <w:lang w:eastAsia="ko-KR"/>
        </w:rPr>
        <w:t xml:space="preserve">its </w:t>
      </w:r>
      <w:r w:rsidRPr="00C16570">
        <w:rPr>
          <w:rFonts w:eastAsia="Batang"/>
          <w:lang w:eastAsia="ko-KR"/>
        </w:rPr>
        <w:t xml:space="preserve">performance </w:t>
      </w:r>
      <w:r>
        <w:rPr>
          <w:rFonts w:eastAsia="Batang"/>
          <w:lang w:eastAsia="ko-KR"/>
        </w:rPr>
        <w:t>was significantly</w:t>
      </w:r>
      <w:r w:rsidRPr="00C16570">
        <w:rPr>
          <w:rFonts w:eastAsia="Batang"/>
          <w:lang w:eastAsia="ko-KR"/>
        </w:rPr>
        <w:t xml:space="preserve"> better than traditional FC approach, we employed benchmark data, generated by Gregori et al</w:t>
      </w:r>
      <w:r w:rsidRPr="00C16570">
        <w:rPr>
          <w:rFonts w:eastAsia="Batang"/>
          <w:lang w:eastAsia="ko-KR"/>
        </w:rPr>
        <w:fldChar w:fldCharType="begin"/>
      </w:r>
      <w:r w:rsidR="00986B19">
        <w:rPr>
          <w:rFonts w:eastAsia="Batang"/>
          <w:lang w:eastAsia="ko-KR"/>
        </w:rPr>
        <w:instrText xml:space="preserve"> ADDIN EN.CITE &lt;EndNote&gt;&lt;Cite&gt;&lt;Author&gt;Gregori&lt;/Author&gt;&lt;Year&gt;2013&lt;/Year&gt;&lt;RecNum&gt;114&lt;/RecNum&gt;&lt;DisplayText&gt;[105]&lt;/DisplayText&gt;&lt;record&gt;&lt;rec-number&gt;114&lt;/rec-number&gt;&lt;foreign-keys&gt;&lt;key app="EN" db-id="efx2002d5f0z21etvw3x9zp7tw2axpa2eez0" timestamp="1434471120"&gt;114&lt;/key&gt;&lt;/foreign-keys&gt;&lt;ref-type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Proteomics&lt;/full-title&gt;&lt;/periodical&gt;&lt;pages&gt;55-65&lt;/pages&gt;&lt;volume&gt;95&lt;/volume&gt;&lt;dates&gt;&lt;year&gt;2013&lt;/year&gt;&lt;/dates&gt;&lt;isbn&gt;1874-3919&lt;/isbn&gt;&lt;urls&gt;&lt;/urls&gt;&lt;/record&gt;&lt;/Cite&gt;&lt;/EndNote&gt;</w:instrText>
      </w:r>
      <w:r w:rsidRPr="00C16570">
        <w:rPr>
          <w:rFonts w:eastAsia="Batang"/>
          <w:lang w:eastAsia="ko-KR"/>
        </w:rPr>
        <w:fldChar w:fldCharType="separate"/>
      </w:r>
      <w:r w:rsidR="009B2AC9">
        <w:rPr>
          <w:rFonts w:eastAsia="Batang"/>
          <w:noProof/>
          <w:lang w:eastAsia="ko-KR"/>
        </w:rPr>
        <w:t>[105]</w:t>
      </w:r>
      <w:r w:rsidRPr="00C16570">
        <w:rPr>
          <w:rFonts w:eastAsia="Batang"/>
          <w:lang w:eastAsia="ko-KR"/>
        </w:rPr>
        <w:fldChar w:fldCharType="end"/>
      </w:r>
      <w:r w:rsidRPr="00C16570">
        <w:rPr>
          <w:rFonts w:eastAsia="Batang"/>
          <w:lang w:eastAsia="ko-KR"/>
        </w:rPr>
        <w:t>, because it has clear true positive (TP) and false positive (FP) identifications.  Gregori data consist of 19 label-free liquid chromatography-tandem mass spectrometry (LC-MS/MS) runs and have 4 groups that have a fixed loading amount of standard yeast lysates (500 ng) with different amounts of</w:t>
      </w:r>
      <w:r>
        <w:rPr>
          <w:rFonts w:eastAsia="Batang"/>
          <w:lang w:eastAsia="ko-KR"/>
        </w:rPr>
        <w:t xml:space="preserve"> 39</w:t>
      </w:r>
      <w:r w:rsidRPr="00C16570">
        <w:rPr>
          <w:rFonts w:eastAsia="Batang"/>
          <w:lang w:eastAsia="ko-KR"/>
        </w:rPr>
        <w:t xml:space="preserve"> </w:t>
      </w:r>
      <w:r>
        <w:rPr>
          <w:rFonts w:eastAsia="Batang"/>
          <w:lang w:eastAsia="ko-KR"/>
        </w:rPr>
        <w:t xml:space="preserve">purified standard </w:t>
      </w:r>
      <w:r w:rsidRPr="00C16570">
        <w:rPr>
          <w:rFonts w:eastAsia="Batang"/>
          <w:lang w:eastAsia="ko-KR"/>
        </w:rPr>
        <w:t>human proteins (100</w:t>
      </w:r>
      <w:r>
        <w:rPr>
          <w:rFonts w:eastAsia="Batang"/>
          <w:lang w:eastAsia="ko-KR"/>
        </w:rPr>
        <w:t>, 200, 400 and</w:t>
      </w:r>
      <w:r w:rsidRPr="00C16570">
        <w:rPr>
          <w:rFonts w:eastAsia="Batang"/>
          <w:lang w:eastAsia="ko-KR"/>
        </w:rPr>
        <w:t xml:space="preserve"> 600 fmol).  Theoretically, </w:t>
      </w:r>
      <w:r>
        <w:rPr>
          <w:rFonts w:eastAsia="Batang"/>
          <w:lang w:eastAsia="ko-KR"/>
        </w:rPr>
        <w:t xml:space="preserve">the </w:t>
      </w:r>
      <w:r w:rsidRPr="00C16570">
        <w:rPr>
          <w:rFonts w:eastAsia="Batang"/>
          <w:lang w:eastAsia="ko-KR"/>
        </w:rPr>
        <w:t>human proteins should show significant quantitative difference</w:t>
      </w:r>
      <w:r>
        <w:rPr>
          <w:rFonts w:eastAsia="Batang"/>
          <w:lang w:eastAsia="ko-KR"/>
        </w:rPr>
        <w:t>s</w:t>
      </w:r>
      <w:r w:rsidRPr="00C16570">
        <w:rPr>
          <w:rFonts w:eastAsia="Batang"/>
          <w:lang w:eastAsia="ko-KR"/>
        </w:rPr>
        <w:t xml:space="preserve"> over the 4 groups while yeast proteins should not.  As is assumed by Gregori et al</w:t>
      </w:r>
      <w:r w:rsidRPr="00C16570">
        <w:rPr>
          <w:rFonts w:eastAsia="Batang"/>
          <w:lang w:eastAsia="ko-KR"/>
        </w:rPr>
        <w:fldChar w:fldCharType="begin"/>
      </w:r>
      <w:r w:rsidR="00910455">
        <w:rPr>
          <w:rFonts w:eastAsia="Batang"/>
          <w:lang w:eastAsia="ko-KR"/>
        </w:rPr>
        <w:instrText xml:space="preserve"> ADDIN EN.CITE &lt;EndNote&gt;&lt;Cite&gt;&lt;Author&gt;Gregori&lt;/Author&gt;&lt;Year&gt;2013&lt;/Year&gt;&lt;RecNum&gt;113&lt;/RecNum&gt;&lt;DisplayText&gt;[107]&lt;/DisplayText&gt;&lt;record&gt;&lt;rec-number&gt;113&lt;/rec-number&gt;&lt;foreign-keys&gt;&lt;key app="EN" db-id="efx2002d5f0z21etvw3x9zp7tw2axpa2eez0" timestamp="1434471120"&gt;113&lt;/key&gt;&lt;/foreign-keys&gt;&lt;ref-type name="Computer Program"&gt;9&lt;/ref-type&gt;&lt;contributors&gt;&lt;authors&gt;&lt;author&gt;Josep Gregori&lt;/author&gt;&lt;author&gt;Alex Sanchez&lt;/author&gt;&lt;author&gt;Josep Villanueva&lt;/author&gt;&lt;/authors&gt;&lt;/contributors&gt;&lt;titles&gt;&lt;title&gt;msmsTests&lt;/title&gt;&lt;/titles&gt;&lt;pages&gt;msmsTests, http://www.bioconductor.org/packages/release/bioc/html/msmsTests.html&lt;/pages&gt;&lt;dates&gt;&lt;year&gt;2013&lt;/year&gt;&lt;/dates&gt;&lt;pub-location&gt;Bioconductor&lt;/pub-location&gt;&lt;urls&gt;&lt;/urls&gt;&lt;/record&gt;&lt;/Cite&gt;&lt;/EndNote&gt;</w:instrText>
      </w:r>
      <w:r w:rsidRPr="00C16570">
        <w:rPr>
          <w:rFonts w:eastAsia="Batang"/>
          <w:lang w:eastAsia="ko-KR"/>
        </w:rPr>
        <w:fldChar w:fldCharType="separate"/>
      </w:r>
      <w:r w:rsidR="00910455">
        <w:rPr>
          <w:rFonts w:eastAsia="Batang"/>
          <w:noProof/>
          <w:lang w:eastAsia="ko-KR"/>
        </w:rPr>
        <w:t>[107]</w:t>
      </w:r>
      <w:r w:rsidRPr="00C16570">
        <w:rPr>
          <w:rFonts w:eastAsia="Batang"/>
          <w:lang w:eastAsia="ko-KR"/>
        </w:rPr>
        <w:fldChar w:fldCharType="end"/>
      </w:r>
      <w:r w:rsidRPr="00C16570">
        <w:rPr>
          <w:rFonts w:eastAsia="Batang"/>
          <w:lang w:eastAsia="ko-KR"/>
        </w:rPr>
        <w:t>, we counted human proteins as TP</w:t>
      </w:r>
      <w:r>
        <w:rPr>
          <w:rFonts w:eastAsia="Batang"/>
          <w:lang w:eastAsia="ko-KR"/>
        </w:rPr>
        <w:t xml:space="preserve"> and </w:t>
      </w:r>
      <w:r w:rsidRPr="00C16570">
        <w:rPr>
          <w:rFonts w:eastAsia="Batang"/>
          <w:lang w:eastAsia="ko-KR"/>
        </w:rPr>
        <w:t>yeast proteins as FP in signatures of Gregori data.  At FDR</w:t>
      </w:r>
      <w:r w:rsidRPr="00C16570">
        <w:rPr>
          <w:rFonts w:eastAsia="Batang"/>
          <w:lang w:eastAsia="ko-KR"/>
        </w:rPr>
        <w:fldChar w:fldCharType="begin"/>
      </w:r>
      <w:r w:rsidR="009B2AC9">
        <w:rPr>
          <w:rFonts w:eastAsia="Batang"/>
          <w:lang w:eastAsia="ko-KR"/>
        </w:rPr>
        <w:instrText xml:space="preserve"> ADDIN EN.CITE &lt;EndNote&gt;&lt;Cite&gt;&lt;Author&gt;Benjamini&lt;/Author&gt;&lt;Year&gt;1995&lt;/Year&gt;&lt;RecNum&gt;16&lt;/RecNum&gt;&lt;DisplayText&gt;[89]&lt;/DisplayText&gt;&lt;record&gt;&lt;rec-number&gt;16&lt;/rec-number&gt;&lt;foreign-keys&gt;&lt;key app="EN" db-id="205wv52at2eswbe5fv7p9a0ydfp2f9a29af2" timestamp="1433269416"&gt;16&lt;/key&gt;&lt;/foreign-keys&gt;&lt;ref-type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Pr="00C16570">
        <w:rPr>
          <w:rFonts w:eastAsia="Batang"/>
          <w:lang w:eastAsia="ko-KR"/>
        </w:rPr>
        <w:fldChar w:fldCharType="separate"/>
      </w:r>
      <w:r w:rsidR="009B2AC9">
        <w:rPr>
          <w:rFonts w:eastAsia="Batang"/>
          <w:noProof/>
          <w:lang w:eastAsia="ko-KR"/>
        </w:rPr>
        <w:t>[89]</w:t>
      </w:r>
      <w:r w:rsidRPr="00C16570">
        <w:rPr>
          <w:rFonts w:eastAsia="Batang"/>
          <w:lang w:eastAsia="ko-KR"/>
        </w:rPr>
        <w:fldChar w:fldCharType="end"/>
      </w:r>
      <w:r w:rsidRPr="00C16570">
        <w:rPr>
          <w:rFonts w:eastAsia="Batang"/>
          <w:lang w:eastAsia="ko-KR"/>
        </w:rPr>
        <w:t>-adjusted p-value (FDR) &lt; 0.05, we compared Cohen’s ES (&gt;</w:t>
      </w:r>
      <w:r>
        <w:rPr>
          <w:rFonts w:eastAsia="Batang"/>
          <w:lang w:eastAsia="ko-KR"/>
        </w:rPr>
        <w:t xml:space="preserve"> 0.90 power </w:t>
      </w:r>
      <w:r w:rsidRPr="00C16570">
        <w:rPr>
          <w:rFonts w:eastAsia="Batang"/>
          <w:lang w:eastAsia="ko-KR"/>
        </w:rPr>
        <w:t>) to 2</w:t>
      </w:r>
      <w:r>
        <w:rPr>
          <w:rFonts w:eastAsia="Batang"/>
          <w:lang w:eastAsia="ko-KR"/>
        </w:rPr>
        <w:t>-</w:t>
      </w:r>
      <w:r w:rsidRPr="00C16570">
        <w:rPr>
          <w:rFonts w:eastAsia="Batang"/>
          <w:lang w:eastAsia="ko-KR"/>
        </w:rPr>
        <w:t>FC</w:t>
      </w:r>
      <w:r>
        <w:rPr>
          <w:rFonts w:eastAsia="Batang"/>
          <w:lang w:eastAsia="ko-KR"/>
        </w:rPr>
        <w:t xml:space="preserve"> (&gt; 2-</w:t>
      </w:r>
      <w:r w:rsidRPr="00C16570">
        <w:rPr>
          <w:rFonts w:eastAsia="Batang"/>
          <w:lang w:eastAsia="ko-KR"/>
        </w:rPr>
        <w:t>fold change</w:t>
      </w:r>
      <w:r>
        <w:rPr>
          <w:rFonts w:eastAsia="Batang"/>
          <w:lang w:eastAsia="ko-KR"/>
        </w:rPr>
        <w:t>)</w:t>
      </w:r>
      <w:r w:rsidR="003E7FC6">
        <w:rPr>
          <w:rFonts w:eastAsia="Batang"/>
          <w:lang w:eastAsia="ko-KR"/>
        </w:rPr>
        <w:t xml:space="preserve"> (Fig. 26</w:t>
      </w:r>
      <w:r w:rsidRPr="00C16570">
        <w:rPr>
          <w:rFonts w:eastAsia="Batang"/>
          <w:lang w:eastAsia="ko-KR"/>
        </w:rPr>
        <w:t xml:space="preserve">).  </w:t>
      </w:r>
      <w:r>
        <w:rPr>
          <w:rFonts w:eastAsia="Batang"/>
          <w:lang w:eastAsia="ko-KR"/>
        </w:rPr>
        <w:t>We chose 90% power for ES threshold because it is the level p-value requires for being reliable evidence</w:t>
      </w:r>
      <w:r>
        <w:rPr>
          <w:rFonts w:eastAsia="Batang"/>
          <w:lang w:eastAsia="ko-KR"/>
        </w:rPr>
        <w:fldChar w:fldCharType="begin"/>
      </w:r>
      <w:r w:rsidR="00986B19">
        <w:rPr>
          <w:rFonts w:eastAsia="Batang"/>
          <w:lang w:eastAsia="ko-KR"/>
        </w:rPr>
        <w:instrText xml:space="preserve"> ADDIN EN.CITE &lt;EndNote&gt;&lt;Cite&gt;&lt;Author&gt;Halsey&lt;/Author&gt;&lt;Year&gt;2015&lt;/Year&gt;&lt;RecNum&gt;115&lt;/RecNum&gt;&lt;DisplayText&gt;[102]&lt;/DisplayText&gt;&lt;record&gt;&lt;rec-number&gt;115&lt;/rec-number&gt;&lt;foreign-keys&gt;&lt;key app="EN" db-id="efx2002d5f0z21etvw3x9zp7tw2axpa2eez0" timestamp="1434471120"&gt;115&lt;/key&gt;&lt;/foreign-keys&gt;&lt;ref-type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EndNote&gt;</w:instrText>
      </w:r>
      <w:r>
        <w:rPr>
          <w:rFonts w:eastAsia="Batang"/>
          <w:lang w:eastAsia="ko-KR"/>
        </w:rPr>
        <w:fldChar w:fldCharType="separate"/>
      </w:r>
      <w:r w:rsidR="009B2AC9">
        <w:rPr>
          <w:rFonts w:eastAsia="Batang"/>
          <w:noProof/>
          <w:lang w:eastAsia="ko-KR"/>
        </w:rPr>
        <w:t>[102]</w:t>
      </w:r>
      <w:r>
        <w:rPr>
          <w:rFonts w:eastAsia="Batang"/>
          <w:lang w:eastAsia="ko-KR"/>
        </w:rPr>
        <w:fldChar w:fldCharType="end"/>
      </w:r>
      <w:r>
        <w:rPr>
          <w:rFonts w:eastAsia="Batang"/>
          <w:lang w:eastAsia="ko-KR"/>
        </w:rPr>
        <w:t>.</w:t>
      </w:r>
    </w:p>
    <w:p w14:paraId="705AF562" w14:textId="77777777" w:rsidR="00DA74DC" w:rsidRDefault="00DA74DC" w:rsidP="00DA74DC">
      <w:pPr>
        <w:keepNext/>
        <w:jc w:val="left"/>
      </w:pPr>
      <w:r w:rsidRPr="00C16570">
        <w:rPr>
          <w:noProof/>
        </w:rPr>
        <w:lastRenderedPageBreak/>
        <mc:AlternateContent>
          <mc:Choice Requires="wps">
            <w:drawing>
              <wp:anchor distT="0" distB="0" distL="114300" distR="114300" simplePos="0" relativeHeight="251701248" behindDoc="0" locked="0" layoutInCell="1" allowOverlap="1" wp14:anchorId="6E59707F" wp14:editId="783DA215">
                <wp:simplePos x="0" y="0"/>
                <wp:positionH relativeFrom="column">
                  <wp:posOffset>2828925</wp:posOffset>
                </wp:positionH>
                <wp:positionV relativeFrom="paragraph">
                  <wp:posOffset>-187960</wp:posOffset>
                </wp:positionV>
                <wp:extent cx="377190" cy="276225"/>
                <wp:effectExtent l="0" t="0" r="0" b="3175"/>
                <wp:wrapNone/>
                <wp:docPr id="41" name="Text Box 41"/>
                <wp:cNvGraphicFramePr/>
                <a:graphic xmlns:a="http://schemas.openxmlformats.org/drawingml/2006/main">
                  <a:graphicData uri="http://schemas.microsoft.com/office/word/2010/wordprocessingShape">
                    <wps:wsp>
                      <wps:cNvSpPr txBox="1"/>
                      <wps:spPr>
                        <a:xfrm>
                          <a:off x="0" y="0"/>
                          <a:ext cx="377190" cy="2762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1A75CA" w14:textId="77777777" w:rsidR="008864ED" w:rsidRPr="00FA55C1" w:rsidRDefault="008864ED" w:rsidP="00DA74DC">
                            <w:pPr>
                              <w:rPr>
                                <w:b/>
                              </w:rPr>
                            </w:pPr>
                            <w:r w:rsidRPr="00FA55C1">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2" type="#_x0000_t202" style="position:absolute;margin-left:222.75pt;margin-top:-14.75pt;width:29.7pt;height:2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" filled="f" stroked="f">
                <v:textbox>
                  <w:txbxContent>
                    <w:p w14:paraId="2A1A75CA" w14:textId="77777777" w:rsidR="008864ED" w:rsidRPr="00FA55C1" w:rsidRDefault="008864ED" w:rsidP="00DA74DC">
                      <w:pPr>
                        <w:rPr>
                          <w:b/>
                        </w:rPr>
                      </w:pPr>
                      <w:r w:rsidRPr="00FA55C1">
                        <w:rPr>
                          <w:b/>
                        </w:rPr>
                        <w:t>B)</w:t>
                      </w:r>
                    </w:p>
                  </w:txbxContent>
                </v:textbox>
              </v:shape>
            </w:pict>
          </mc:Fallback>
        </mc:AlternateContent>
      </w:r>
      <w:r w:rsidRPr="00365D01">
        <w:rPr>
          <w:b/>
          <w:noProof/>
        </w:rPr>
        <mc:AlternateContent>
          <mc:Choice Requires="wps">
            <w:drawing>
              <wp:anchor distT="0" distB="0" distL="114300" distR="114300" simplePos="0" relativeHeight="251703296" behindDoc="0" locked="0" layoutInCell="1" allowOverlap="1" wp14:anchorId="6F7FF9D6" wp14:editId="1BA06A79">
                <wp:simplePos x="0" y="0"/>
                <wp:positionH relativeFrom="column">
                  <wp:posOffset>2849880</wp:posOffset>
                </wp:positionH>
                <wp:positionV relativeFrom="paragraph">
                  <wp:posOffset>1323975</wp:posOffset>
                </wp:positionV>
                <wp:extent cx="377190" cy="276225"/>
                <wp:effectExtent l="0" t="0" r="0" b="3175"/>
                <wp:wrapNone/>
                <wp:docPr id="43" name="Text Box 43"/>
                <wp:cNvGraphicFramePr/>
                <a:graphic xmlns:a="http://schemas.openxmlformats.org/drawingml/2006/main">
                  <a:graphicData uri="http://schemas.microsoft.com/office/word/2010/wordprocessingShape">
                    <wps:wsp>
                      <wps:cNvSpPr txBox="1"/>
                      <wps:spPr>
                        <a:xfrm>
                          <a:off x="0" y="0"/>
                          <a:ext cx="377190" cy="2762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259821" w14:textId="77777777" w:rsidR="008864ED" w:rsidRPr="00FA55C1" w:rsidRDefault="008864ED" w:rsidP="00DA74DC">
                            <w:pPr>
                              <w:rPr>
                                <w:b/>
                              </w:rPr>
                            </w:pPr>
                            <w:r w:rsidRPr="00FA55C1">
                              <w:rPr>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33" type="#_x0000_t202" style="position:absolute;margin-left:224.4pt;margin-top:104.25pt;width:29.7pt;height:2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" filled="f" stroked="f">
                <v:textbox>
                  <w:txbxContent>
                    <w:p w14:paraId="54259821" w14:textId="77777777" w:rsidR="008864ED" w:rsidRPr="00FA55C1" w:rsidRDefault="008864ED" w:rsidP="00DA74DC">
                      <w:pPr>
                        <w:rPr>
                          <w:b/>
                        </w:rPr>
                      </w:pPr>
                      <w:r w:rsidRPr="00FA55C1">
                        <w:rPr>
                          <w:b/>
                        </w:rPr>
                        <w:t>D)</w:t>
                      </w:r>
                    </w:p>
                  </w:txbxContent>
                </v:textbox>
              </v:shape>
            </w:pict>
          </mc:Fallback>
        </mc:AlternateContent>
      </w:r>
      <w:r w:rsidRPr="00365D01">
        <w:rPr>
          <w:b/>
          <w:noProof/>
        </w:rPr>
        <mc:AlternateContent>
          <mc:Choice Requires="wps">
            <w:drawing>
              <wp:anchor distT="0" distB="0" distL="114300" distR="114300" simplePos="0" relativeHeight="251705344" behindDoc="0" locked="0" layoutInCell="1" allowOverlap="1" wp14:anchorId="742174CD" wp14:editId="428ADC4D">
                <wp:simplePos x="0" y="0"/>
                <wp:positionH relativeFrom="column">
                  <wp:posOffset>2863215</wp:posOffset>
                </wp:positionH>
                <wp:positionV relativeFrom="paragraph">
                  <wp:posOffset>3177540</wp:posOffset>
                </wp:positionV>
                <wp:extent cx="342900" cy="251460"/>
                <wp:effectExtent l="0" t="0" r="0" b="2540"/>
                <wp:wrapNone/>
                <wp:docPr id="45" name="Text Box 45"/>
                <wp:cNvGraphicFramePr/>
                <a:graphic xmlns:a="http://schemas.openxmlformats.org/drawingml/2006/main">
                  <a:graphicData uri="http://schemas.microsoft.com/office/word/2010/wordprocessingShape">
                    <wps:wsp>
                      <wps:cNvSpPr txBox="1"/>
                      <wps:spPr>
                        <a:xfrm>
                          <a:off x="0" y="0"/>
                          <a:ext cx="342900" cy="2514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4A0A59" w14:textId="77777777" w:rsidR="008864ED" w:rsidRPr="00FA55C1" w:rsidRDefault="008864ED" w:rsidP="00DA74DC">
                            <w:pPr>
                              <w:rPr>
                                <w:b/>
                              </w:rPr>
                            </w:pPr>
                            <w:r w:rsidRPr="00FA55C1">
                              <w:rPr>
                                <w:b/>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34" type="#_x0000_t202" style="position:absolute;margin-left:225.45pt;margin-top:250.2pt;width:27pt;height:19.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93/R9ICAAAW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" filled="f" stroked="f">
                <v:textbox>
                  <w:txbxContent>
                    <w:p w14:paraId="414A0A59" w14:textId="77777777" w:rsidR="008864ED" w:rsidRPr="00FA55C1" w:rsidRDefault="008864ED" w:rsidP="00DA74DC">
                      <w:pPr>
                        <w:rPr>
                          <w:b/>
                        </w:rPr>
                      </w:pPr>
                      <w:r w:rsidRPr="00FA55C1">
                        <w:rPr>
                          <w:b/>
                        </w:rPr>
                        <w:t>F)</w:t>
                      </w:r>
                    </w:p>
                  </w:txbxContent>
                </v:textbox>
              </v:shape>
            </w:pict>
          </mc:Fallback>
        </mc:AlternateContent>
      </w:r>
      <w:r w:rsidRPr="00365D01">
        <w:rPr>
          <w:b/>
          <w:noProof/>
        </w:rPr>
        <mc:AlternateContent>
          <mc:Choice Requires="wps">
            <w:drawing>
              <wp:anchor distT="0" distB="0" distL="114300" distR="114300" simplePos="0" relativeHeight="251707392" behindDoc="0" locked="0" layoutInCell="1" allowOverlap="1" wp14:anchorId="64324B50" wp14:editId="788037FE">
                <wp:simplePos x="0" y="0"/>
                <wp:positionH relativeFrom="column">
                  <wp:posOffset>2828925</wp:posOffset>
                </wp:positionH>
                <wp:positionV relativeFrom="paragraph">
                  <wp:posOffset>5017135</wp:posOffset>
                </wp:positionV>
                <wp:extent cx="377190" cy="251460"/>
                <wp:effectExtent l="0" t="0" r="0" b="2540"/>
                <wp:wrapNone/>
                <wp:docPr id="47" name="Text Box 47"/>
                <wp:cNvGraphicFramePr/>
                <a:graphic xmlns:a="http://schemas.openxmlformats.org/drawingml/2006/main">
                  <a:graphicData uri="http://schemas.microsoft.com/office/word/2010/wordprocessingShape">
                    <wps:wsp>
                      <wps:cNvSpPr txBox="1"/>
                      <wps:spPr>
                        <a:xfrm>
                          <a:off x="0" y="0"/>
                          <a:ext cx="377190" cy="2514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7BC26F" w14:textId="77777777" w:rsidR="008864ED" w:rsidRPr="00EA1F42" w:rsidRDefault="008864ED" w:rsidP="00DA74DC">
                            <w:pPr>
                              <w:rPr>
                                <w:b/>
                              </w:rPr>
                            </w:pPr>
                            <w:r w:rsidRPr="00EA1F42">
                              <w:rPr>
                                <w:b/>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5" type="#_x0000_t202" style="position:absolute;margin-left:222.75pt;margin-top:395.05pt;width:29.7pt;height:19.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" filled="f" stroked="f">
                <v:textbox>
                  <w:txbxContent>
                    <w:p w14:paraId="507BC26F" w14:textId="77777777" w:rsidR="008864ED" w:rsidRPr="00EA1F42" w:rsidRDefault="008864ED" w:rsidP="00DA74DC">
                      <w:pPr>
                        <w:rPr>
                          <w:b/>
                        </w:rPr>
                      </w:pPr>
                      <w:r w:rsidRPr="00EA1F42">
                        <w:rPr>
                          <w:b/>
                        </w:rPr>
                        <w:t>H)</w:t>
                      </w:r>
                    </w:p>
                  </w:txbxContent>
                </v:textbox>
              </v:shape>
            </w:pict>
          </mc:Fallback>
        </mc:AlternateContent>
      </w:r>
      <w:r w:rsidRPr="00365D01">
        <w:rPr>
          <w:b/>
          <w:noProof/>
        </w:rPr>
        <mc:AlternateContent>
          <mc:Choice Requires="wps">
            <w:drawing>
              <wp:anchor distT="0" distB="0" distL="114300" distR="114300" simplePos="0" relativeHeight="251706368" behindDoc="0" locked="0" layoutInCell="1" allowOverlap="1" wp14:anchorId="69F0F5BF" wp14:editId="5C107E92">
                <wp:simplePos x="0" y="0"/>
                <wp:positionH relativeFrom="column">
                  <wp:posOffset>101600</wp:posOffset>
                </wp:positionH>
                <wp:positionV relativeFrom="paragraph">
                  <wp:posOffset>5004562</wp:posOffset>
                </wp:positionV>
                <wp:extent cx="375920" cy="276606"/>
                <wp:effectExtent l="0" t="0" r="0" b="3175"/>
                <wp:wrapNone/>
                <wp:docPr id="46" name="Text Box 46"/>
                <wp:cNvGraphicFramePr/>
                <a:graphic xmlns:a="http://schemas.openxmlformats.org/drawingml/2006/main">
                  <a:graphicData uri="http://schemas.microsoft.com/office/word/2010/wordprocessingShape">
                    <wps:wsp>
                      <wps:cNvSpPr txBox="1"/>
                      <wps:spPr>
                        <a:xfrm>
                          <a:off x="0" y="0"/>
                          <a:ext cx="375920" cy="27660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DF0ED1" w14:textId="77777777" w:rsidR="008864ED" w:rsidRPr="00FA55C1" w:rsidRDefault="008864ED" w:rsidP="00DA74DC">
                            <w:pPr>
                              <w:rPr>
                                <w:b/>
                              </w:rPr>
                            </w:pPr>
                            <w:r w:rsidRPr="00FA55C1">
                              <w:rPr>
                                <w:b/>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6" type="#_x0000_t202" style="position:absolute;margin-left:8pt;margin-top:394.05pt;width:29.6pt;height:2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" filled="f" stroked="f">
                <v:textbox>
                  <w:txbxContent>
                    <w:p w14:paraId="36DF0ED1" w14:textId="77777777" w:rsidR="008864ED" w:rsidRPr="00FA55C1" w:rsidRDefault="008864ED" w:rsidP="00DA74DC">
                      <w:pPr>
                        <w:rPr>
                          <w:b/>
                        </w:rPr>
                      </w:pPr>
                      <w:r w:rsidRPr="00FA55C1">
                        <w:rPr>
                          <w:b/>
                        </w:rPr>
                        <w:t>G)</w:t>
                      </w:r>
                    </w:p>
                  </w:txbxContent>
                </v:textbox>
              </v:shape>
            </w:pict>
          </mc:Fallback>
        </mc:AlternateContent>
      </w:r>
      <w:r w:rsidRPr="00365D01">
        <w:rPr>
          <w:b/>
          <w:noProof/>
        </w:rPr>
        <mc:AlternateContent>
          <mc:Choice Requires="wps">
            <w:drawing>
              <wp:anchor distT="0" distB="0" distL="114300" distR="114300" simplePos="0" relativeHeight="251704320" behindDoc="0" locked="0" layoutInCell="1" allowOverlap="1" wp14:anchorId="7FD48D3D" wp14:editId="183B5413">
                <wp:simplePos x="0" y="0"/>
                <wp:positionH relativeFrom="column">
                  <wp:posOffset>102235</wp:posOffset>
                </wp:positionH>
                <wp:positionV relativeFrom="paragraph">
                  <wp:posOffset>3061462</wp:posOffset>
                </wp:positionV>
                <wp:extent cx="342265" cy="276606"/>
                <wp:effectExtent l="0" t="0" r="0" b="3175"/>
                <wp:wrapNone/>
                <wp:docPr id="44" name="Text Box 44"/>
                <wp:cNvGraphicFramePr/>
                <a:graphic xmlns:a="http://schemas.openxmlformats.org/drawingml/2006/main">
                  <a:graphicData uri="http://schemas.microsoft.com/office/word/2010/wordprocessingShape">
                    <wps:wsp>
                      <wps:cNvSpPr txBox="1"/>
                      <wps:spPr>
                        <a:xfrm>
                          <a:off x="0" y="0"/>
                          <a:ext cx="342265" cy="27660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483062" w14:textId="77777777" w:rsidR="008864ED" w:rsidRPr="00FA55C1" w:rsidRDefault="008864ED" w:rsidP="00DA74DC">
                            <w:pPr>
                              <w:rPr>
                                <w:b/>
                              </w:rPr>
                            </w:pPr>
                            <w:r w:rsidRPr="00FA55C1">
                              <w:rPr>
                                <w:b/>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7" type="#_x0000_t202" style="position:absolute;margin-left:8.05pt;margin-top:241.05pt;width:26.95pt;height:2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t2x9ICAAAXBgAADgAAAGRycy9lMm9Eb2MueG1srFRNb9swDL0P2H8QdE9tZ07a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" filled="f" stroked="f">
                <v:textbox>
                  <w:txbxContent>
                    <w:p w14:paraId="26483062" w14:textId="77777777" w:rsidR="008864ED" w:rsidRPr="00FA55C1" w:rsidRDefault="008864ED" w:rsidP="00DA74DC">
                      <w:pPr>
                        <w:rPr>
                          <w:b/>
                        </w:rPr>
                      </w:pPr>
                      <w:r w:rsidRPr="00FA55C1">
                        <w:rPr>
                          <w:b/>
                        </w:rPr>
                        <w:t>E)</w:t>
                      </w:r>
                    </w:p>
                  </w:txbxContent>
                </v:textbox>
              </v:shape>
            </w:pict>
          </mc:Fallback>
        </mc:AlternateContent>
      </w:r>
      <w:r w:rsidRPr="00365D01">
        <w:rPr>
          <w:b/>
          <w:noProof/>
        </w:rPr>
        <mc:AlternateContent>
          <mc:Choice Requires="wps">
            <w:drawing>
              <wp:anchor distT="0" distB="0" distL="114300" distR="114300" simplePos="0" relativeHeight="251702272" behindDoc="0" locked="0" layoutInCell="1" allowOverlap="1" wp14:anchorId="37151A92" wp14:editId="3FA91952">
                <wp:simplePos x="0" y="0"/>
                <wp:positionH relativeFrom="column">
                  <wp:posOffset>119380</wp:posOffset>
                </wp:positionH>
                <wp:positionV relativeFrom="paragraph">
                  <wp:posOffset>1273175</wp:posOffset>
                </wp:positionV>
                <wp:extent cx="375920" cy="276606"/>
                <wp:effectExtent l="0" t="0" r="0" b="3175"/>
                <wp:wrapNone/>
                <wp:docPr id="42" name="Text Box 42"/>
                <wp:cNvGraphicFramePr/>
                <a:graphic xmlns:a="http://schemas.openxmlformats.org/drawingml/2006/main">
                  <a:graphicData uri="http://schemas.microsoft.com/office/word/2010/wordprocessingShape">
                    <wps:wsp>
                      <wps:cNvSpPr txBox="1"/>
                      <wps:spPr>
                        <a:xfrm>
                          <a:off x="0" y="0"/>
                          <a:ext cx="375920" cy="276606"/>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74EBE1" w14:textId="77777777" w:rsidR="008864ED" w:rsidRPr="00FA55C1" w:rsidRDefault="008864ED" w:rsidP="00DA74DC">
                            <w:pPr>
                              <w:rPr>
                                <w:b/>
                              </w:rPr>
                            </w:pPr>
                            <w:r w:rsidRPr="00FA55C1">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8" type="#_x0000_t202" style="position:absolute;margin-left:9.4pt;margin-top:100.25pt;width:29.6pt;height:2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" filled="f" stroked="f">
                <v:textbox>
                  <w:txbxContent>
                    <w:p w14:paraId="3A74EBE1" w14:textId="77777777" w:rsidR="008864ED" w:rsidRPr="00FA55C1" w:rsidRDefault="008864ED" w:rsidP="00DA74DC">
                      <w:pPr>
                        <w:rPr>
                          <w:b/>
                        </w:rPr>
                      </w:pPr>
                      <w:r w:rsidRPr="00FA55C1">
                        <w:rPr>
                          <w:b/>
                        </w:rPr>
                        <w:t>C)</w:t>
                      </w:r>
                    </w:p>
                  </w:txbxContent>
                </v:textbox>
              </v:shape>
            </w:pict>
          </mc:Fallback>
        </mc:AlternateContent>
      </w:r>
      <w:r w:rsidRPr="00C16570">
        <w:rPr>
          <w:noProof/>
        </w:rPr>
        <mc:AlternateContent>
          <mc:Choice Requires="wps">
            <w:drawing>
              <wp:anchor distT="0" distB="0" distL="114300" distR="114300" simplePos="0" relativeHeight="251700224" behindDoc="0" locked="0" layoutInCell="1" allowOverlap="1" wp14:anchorId="553D472A" wp14:editId="2ADFF113">
                <wp:simplePos x="0" y="0"/>
                <wp:positionH relativeFrom="column">
                  <wp:posOffset>120650</wp:posOffset>
                </wp:positionH>
                <wp:positionV relativeFrom="paragraph">
                  <wp:posOffset>-190500</wp:posOffset>
                </wp:positionV>
                <wp:extent cx="376492" cy="251460"/>
                <wp:effectExtent l="0" t="0" r="0" b="2540"/>
                <wp:wrapNone/>
                <wp:docPr id="40" name="Text Box 40"/>
                <wp:cNvGraphicFramePr/>
                <a:graphic xmlns:a="http://schemas.openxmlformats.org/drawingml/2006/main">
                  <a:graphicData uri="http://schemas.microsoft.com/office/word/2010/wordprocessingShape">
                    <wps:wsp>
                      <wps:cNvSpPr txBox="1"/>
                      <wps:spPr>
                        <a:xfrm>
                          <a:off x="0" y="0"/>
                          <a:ext cx="376492" cy="2514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89ED22" w14:textId="77777777" w:rsidR="008864ED" w:rsidRPr="00FA55C1" w:rsidRDefault="008864ED" w:rsidP="00DA74DC">
                            <w:pPr>
                              <w:rPr>
                                <w:b/>
                              </w:rPr>
                            </w:pPr>
                            <w:r w:rsidRPr="00FA55C1">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9" type="#_x0000_t202" style="position:absolute;margin-left:9.5pt;margin-top:-14.95pt;width:29.65pt;height:19.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" filled="f" stroked="f">
                <v:textbox>
                  <w:txbxContent>
                    <w:p w14:paraId="3289ED22" w14:textId="77777777" w:rsidR="008864ED" w:rsidRPr="00FA55C1" w:rsidRDefault="008864ED" w:rsidP="00DA74DC">
                      <w:pPr>
                        <w:rPr>
                          <w:b/>
                        </w:rPr>
                      </w:pPr>
                      <w:r w:rsidRPr="00FA55C1">
                        <w:rPr>
                          <w:b/>
                        </w:rPr>
                        <w:t>A)</w:t>
                      </w:r>
                    </w:p>
                  </w:txbxContent>
                </v:textbox>
              </v:shape>
            </w:pict>
          </mc:Fallback>
        </mc:AlternateContent>
      </w:r>
      <w:r w:rsidRPr="00365D01">
        <w:rPr>
          <w:rFonts w:eastAsia="Batang"/>
          <w:b/>
          <w:noProof/>
        </w:rPr>
        <w:drawing>
          <wp:inline distT="0" distB="0" distL="0" distR="0" wp14:anchorId="6C301F12" wp14:editId="0D24E616">
            <wp:extent cx="5481320" cy="6774786"/>
            <wp:effectExtent l="0" t="0" r="508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HL:Documents:MyData:ORNL:02_MyJob:benchmark data:Nature method:Figures_1.tif"/>
                    <pic:cNvPicPr>
                      <a:picLocks noChangeAspect="1" noChangeArrowheads="1"/>
                    </pic:cNvPicPr>
                  </pic:nvPicPr>
                  <pic:blipFill rotWithShape="1">
                    <a:blip r:embed="rId50">
                      <a:extLst>
                        <a:ext uri="{28A0092B-C50C-407E-A947-70E740481C1C}">
                          <a14:useLocalDpi xmlns:a14="http://schemas.microsoft.com/office/drawing/2010/main" val="0"/>
                        </a:ext>
                      </a:extLst>
                    </a:blip>
                    <a:srcRect l="1111" t="1365" r="3058" b="1749"/>
                    <a:stretch/>
                  </pic:blipFill>
                  <pic:spPr bwMode="auto">
                    <a:xfrm>
                      <a:off x="0" y="0"/>
                      <a:ext cx="5482006" cy="6775634"/>
                    </a:xfrm>
                    <a:prstGeom prst="rect">
                      <a:avLst/>
                    </a:prstGeom>
                    <a:noFill/>
                    <a:ln>
                      <a:noFill/>
                    </a:ln>
                    <a:extLst>
                      <a:ext uri="{53640926-AAD7-44d8-BBD7-CCE9431645EC}">
                        <a14:shadowObscured xmlns:a14="http://schemas.microsoft.com/office/drawing/2010/main"/>
                      </a:ext>
                    </a:extLst>
                  </pic:spPr>
                </pic:pic>
              </a:graphicData>
            </a:graphic>
          </wp:inline>
        </w:drawing>
      </w:r>
    </w:p>
    <w:p w14:paraId="6C84AE1B" w14:textId="77777777" w:rsidR="00DA74DC" w:rsidRDefault="00DA74DC" w:rsidP="00DA74DC">
      <w:pPr>
        <w:pStyle w:val="Caption"/>
        <w:rPr>
          <w:rFonts w:eastAsia="Batang"/>
          <w:b w:val="0"/>
          <w:szCs w:val="24"/>
          <w:lang w:eastAsia="ko-KR"/>
        </w:rPr>
      </w:pPr>
      <w:bookmarkStart w:id="68" w:name="_Toc296333119"/>
      <w:r>
        <w:t xml:space="preserve">Figure </w:t>
      </w:r>
      <w:fldSimple w:instr=" SEQ Figure \* ARABIC ">
        <w:r w:rsidR="002B3E83">
          <w:rPr>
            <w:noProof/>
          </w:rPr>
          <w:t>26</w:t>
        </w:r>
      </w:fldSimple>
      <w:r>
        <w:t xml:space="preserve"> </w:t>
      </w:r>
      <w:r w:rsidRPr="00C16570">
        <w:rPr>
          <w:szCs w:val="24"/>
        </w:rPr>
        <w:t>Testing</w:t>
      </w:r>
      <w:r w:rsidRPr="00C16570">
        <w:rPr>
          <w:rFonts w:eastAsia="Batang"/>
          <w:szCs w:val="24"/>
          <w:lang w:eastAsia="ko-KR"/>
        </w:rPr>
        <w:t xml:space="preserve"> result with Gregori data and fecal proteome data</w:t>
      </w:r>
      <w:r w:rsidRPr="00C16570">
        <w:rPr>
          <w:rFonts w:eastAsia="Batang"/>
          <w:b w:val="0"/>
          <w:szCs w:val="24"/>
          <w:lang w:eastAsia="ko-KR"/>
        </w:rPr>
        <w:t>.  A) Statistical power, B) the number of tru</w:t>
      </w:r>
      <w:r>
        <w:rPr>
          <w:rFonts w:eastAsia="Batang"/>
          <w:b w:val="0"/>
          <w:szCs w:val="24"/>
          <w:lang w:eastAsia="ko-KR"/>
        </w:rPr>
        <w:t>e positives (human proteins) and</w:t>
      </w:r>
      <w:r w:rsidRPr="00C16570">
        <w:rPr>
          <w:rFonts w:eastAsia="Batang"/>
          <w:b w:val="0"/>
          <w:szCs w:val="24"/>
          <w:lang w:eastAsia="ko-KR"/>
        </w:rPr>
        <w:t xml:space="preserve"> C) the number of false positives (yeast proteins</w:t>
      </w:r>
      <w:r>
        <w:rPr>
          <w:rFonts w:eastAsia="Batang"/>
          <w:b w:val="0"/>
          <w:szCs w:val="24"/>
          <w:lang w:eastAsia="ko-KR"/>
        </w:rPr>
        <w:t>)</w:t>
      </w:r>
      <w:r w:rsidRPr="00C16570">
        <w:rPr>
          <w:rFonts w:eastAsia="Batang"/>
          <w:b w:val="0"/>
          <w:szCs w:val="24"/>
          <w:lang w:eastAsia="ko-KR"/>
        </w:rPr>
        <w:t xml:space="preserve"> in significant protein list of Gregori data </w:t>
      </w:r>
      <w:r w:rsidRPr="00C16570">
        <w:rPr>
          <w:rFonts w:eastAsia="Batang"/>
          <w:b w:val="0"/>
          <w:szCs w:val="24"/>
          <w:lang w:eastAsia="ko-KR"/>
        </w:rPr>
        <w:lastRenderedPageBreak/>
        <w:t>benchmark test for 6 method sets</w:t>
      </w:r>
      <w:r w:rsidRPr="00BE044D">
        <w:rPr>
          <w:b w:val="0"/>
          <w:lang w:eastAsia="ko-KR"/>
        </w:rPr>
        <w:t>,</w:t>
      </w:r>
      <w:r>
        <w:rPr>
          <w:rFonts w:eastAsia="Batang"/>
          <w:b w:val="0"/>
          <w:szCs w:val="24"/>
          <w:lang w:eastAsia="ko-KR"/>
        </w:rPr>
        <w:t xml:space="preserve"> </w:t>
      </w:r>
      <w:r w:rsidRPr="00971F4E">
        <w:rPr>
          <w:rFonts w:eastAsia="Batang"/>
          <w:b w:val="0"/>
          <w:szCs w:val="24"/>
          <w:lang w:eastAsia="ko-KR"/>
        </w:rPr>
        <w:t>QP_F</w:t>
      </w:r>
      <w:r>
        <w:rPr>
          <w:rFonts w:eastAsia="Batang"/>
          <w:b w:val="0"/>
          <w:szCs w:val="24"/>
          <w:lang w:eastAsia="ko-KR"/>
        </w:rPr>
        <w:t xml:space="preserve">, </w:t>
      </w:r>
      <w:r w:rsidRPr="00C16570">
        <w:rPr>
          <w:rFonts w:eastAsia="Batang"/>
          <w:b w:val="0"/>
          <w:szCs w:val="24"/>
          <w:lang w:eastAsia="ko-KR"/>
        </w:rPr>
        <w:t>QP_FC</w:t>
      </w:r>
      <w:r>
        <w:rPr>
          <w:rFonts w:eastAsia="Batang"/>
          <w:b w:val="0"/>
          <w:szCs w:val="24"/>
          <w:lang w:eastAsia="ko-KR"/>
        </w:rPr>
        <w:t xml:space="preserve">, </w:t>
      </w:r>
      <w:r w:rsidRPr="00C16570">
        <w:rPr>
          <w:rFonts w:eastAsia="Batang"/>
          <w:b w:val="0"/>
          <w:szCs w:val="24"/>
          <w:lang w:eastAsia="ko-KR"/>
        </w:rPr>
        <w:t>NB_W</w:t>
      </w:r>
      <w:r>
        <w:rPr>
          <w:rFonts w:eastAsia="Batang"/>
          <w:b w:val="0"/>
          <w:szCs w:val="24"/>
          <w:lang w:eastAsia="ko-KR"/>
        </w:rPr>
        <w:t xml:space="preserve">, </w:t>
      </w:r>
      <w:r w:rsidRPr="00C16570">
        <w:rPr>
          <w:rFonts w:eastAsia="Batang"/>
          <w:b w:val="0"/>
          <w:szCs w:val="24"/>
          <w:lang w:eastAsia="ko-KR"/>
        </w:rPr>
        <w:t>NB_FC</w:t>
      </w:r>
      <w:r>
        <w:rPr>
          <w:rFonts w:eastAsia="Batang"/>
          <w:b w:val="0"/>
          <w:szCs w:val="24"/>
          <w:lang w:eastAsia="ko-KR"/>
        </w:rPr>
        <w:t xml:space="preserve">, </w:t>
      </w:r>
      <w:r w:rsidRPr="00C16570">
        <w:rPr>
          <w:rFonts w:eastAsia="Batang"/>
          <w:b w:val="0"/>
          <w:szCs w:val="24"/>
          <w:lang w:eastAsia="ko-KR"/>
        </w:rPr>
        <w:t>NOR_F</w:t>
      </w:r>
      <w:r>
        <w:rPr>
          <w:rFonts w:eastAsia="Batang"/>
          <w:b w:val="0"/>
          <w:szCs w:val="24"/>
          <w:lang w:eastAsia="ko-KR"/>
        </w:rPr>
        <w:t xml:space="preserve"> and </w:t>
      </w:r>
      <w:r w:rsidRPr="00C16570">
        <w:rPr>
          <w:rFonts w:eastAsia="Batang"/>
          <w:b w:val="0"/>
          <w:szCs w:val="24"/>
          <w:lang w:eastAsia="ko-KR"/>
        </w:rPr>
        <w:t>NOR_FC</w:t>
      </w:r>
      <w:r>
        <w:rPr>
          <w:rFonts w:eastAsia="Batang"/>
          <w:b w:val="0"/>
          <w:szCs w:val="24"/>
          <w:lang w:eastAsia="ko-KR"/>
        </w:rPr>
        <w:t xml:space="preserve"> described in table 12</w:t>
      </w:r>
      <w:r w:rsidRPr="00BE044D">
        <w:rPr>
          <w:b w:val="0"/>
          <w:lang w:eastAsia="ko-KR"/>
        </w:rPr>
        <w:t xml:space="preserve">.  </w:t>
      </w:r>
      <w:r>
        <w:rPr>
          <w:b w:val="0"/>
          <w:lang w:eastAsia="ko-KR"/>
        </w:rPr>
        <w:t>FDR thresholds for QP, NB and NOR are 0.05 and Cohen’s ES (</w:t>
      </w:r>
      <w:r w:rsidRPr="00E83AB8">
        <w:rPr>
          <w:b w:val="0"/>
          <w:i/>
          <w:lang w:eastAsia="ko-KR"/>
        </w:rPr>
        <w:t>f</w:t>
      </w:r>
      <w:r>
        <w:rPr>
          <w:b w:val="0"/>
          <w:lang w:eastAsia="ko-KR"/>
        </w:rPr>
        <w:t xml:space="preserve"> and </w:t>
      </w:r>
      <w:r w:rsidRPr="00E83AB8">
        <w:rPr>
          <w:b w:val="0"/>
          <w:i/>
          <w:lang w:eastAsia="ko-KR"/>
        </w:rPr>
        <w:t>w</w:t>
      </w:r>
      <w:r>
        <w:rPr>
          <w:b w:val="0"/>
          <w:lang w:eastAsia="ko-KR"/>
        </w:rPr>
        <w:t>) threshold is 90% statistical power.</w:t>
      </w:r>
      <w:r>
        <w:rPr>
          <w:rFonts w:eastAsia="Batang"/>
          <w:b w:val="0"/>
          <w:szCs w:val="24"/>
          <w:lang w:eastAsia="ko-KR"/>
        </w:rPr>
        <w:t xml:space="preserve">  Scatter plot of 39 human (red) and 646 yeat (blue) proteins comparing D) Cohen’s </w:t>
      </w:r>
      <w:r w:rsidRPr="00847CDA">
        <w:rPr>
          <w:rFonts w:eastAsia="Batang"/>
          <w:b w:val="0"/>
          <w:i/>
          <w:szCs w:val="24"/>
          <w:lang w:eastAsia="ko-KR"/>
        </w:rPr>
        <w:t>w</w:t>
      </w:r>
      <w:r>
        <w:rPr>
          <w:rFonts w:eastAsia="Batang"/>
          <w:b w:val="0"/>
          <w:szCs w:val="24"/>
          <w:lang w:eastAsia="ko-KR"/>
        </w:rPr>
        <w:t xml:space="preserve"> and FC, E) Cohen’s </w:t>
      </w:r>
      <w:r w:rsidRPr="00E324A9">
        <w:rPr>
          <w:rFonts w:eastAsia="Batang"/>
          <w:b w:val="0"/>
          <w:i/>
          <w:szCs w:val="24"/>
          <w:lang w:eastAsia="ko-KR"/>
        </w:rPr>
        <w:t>f</w:t>
      </w:r>
      <w:r>
        <w:rPr>
          <w:rFonts w:eastAsia="Batang"/>
          <w:b w:val="0"/>
          <w:szCs w:val="24"/>
          <w:lang w:eastAsia="ko-KR"/>
        </w:rPr>
        <w:t xml:space="preserve"> and FC, F) QP model and Cohen’s </w:t>
      </w:r>
      <w:r w:rsidRPr="00A32E10">
        <w:rPr>
          <w:rFonts w:eastAsia="Batang"/>
          <w:b w:val="0"/>
          <w:i/>
          <w:szCs w:val="24"/>
          <w:lang w:eastAsia="ko-KR"/>
        </w:rPr>
        <w:t>f</w:t>
      </w:r>
      <w:r>
        <w:rPr>
          <w:rFonts w:eastAsia="Batang"/>
          <w:b w:val="0"/>
          <w:szCs w:val="24"/>
          <w:lang w:eastAsia="ko-KR"/>
        </w:rPr>
        <w:t xml:space="preserve">, G) NB model and Cohen’s </w:t>
      </w:r>
      <w:r w:rsidRPr="00A07540">
        <w:rPr>
          <w:rFonts w:eastAsia="Batang"/>
          <w:b w:val="0"/>
          <w:i/>
          <w:szCs w:val="24"/>
          <w:lang w:eastAsia="ko-KR"/>
        </w:rPr>
        <w:t xml:space="preserve">w </w:t>
      </w:r>
      <w:r>
        <w:rPr>
          <w:rFonts w:eastAsia="Batang"/>
          <w:b w:val="0"/>
          <w:szCs w:val="24"/>
          <w:lang w:eastAsia="ko-KR"/>
        </w:rPr>
        <w:t xml:space="preserve">and H) NOR model and Cohen’s </w:t>
      </w:r>
      <w:r w:rsidRPr="00B369D3">
        <w:rPr>
          <w:rFonts w:eastAsia="Batang"/>
          <w:b w:val="0"/>
          <w:i/>
          <w:szCs w:val="24"/>
          <w:lang w:eastAsia="ko-KR"/>
        </w:rPr>
        <w:t>f</w:t>
      </w:r>
      <w:r>
        <w:rPr>
          <w:rFonts w:eastAsia="Batang"/>
          <w:b w:val="0"/>
          <w:szCs w:val="24"/>
          <w:lang w:eastAsia="ko-KR"/>
        </w:rPr>
        <w:t>.</w:t>
      </w:r>
      <w:bookmarkEnd w:id="68"/>
    </w:p>
    <w:p w14:paraId="3918253D" w14:textId="77777777" w:rsidR="00DA74DC" w:rsidRDefault="00DA74DC" w:rsidP="00DA74DC">
      <w:pPr>
        <w:jc w:val="left"/>
        <w:rPr>
          <w:rFonts w:eastAsia="Batang"/>
          <w:bCs/>
          <w:lang w:eastAsia="ko-KR"/>
        </w:rPr>
      </w:pPr>
      <w:r>
        <w:rPr>
          <w:rFonts w:eastAsia="Batang"/>
          <w:b/>
          <w:lang w:eastAsia="ko-KR"/>
        </w:rPr>
        <w:br w:type="page"/>
      </w:r>
    </w:p>
    <w:p w14:paraId="50E7B88D" w14:textId="5B9B86DF" w:rsidR="00DA74DC" w:rsidRDefault="00DA74DC">
      <w:pPr>
        <w:jc w:val="left"/>
        <w:rPr>
          <w:rFonts w:eastAsia="Batang"/>
          <w:lang w:eastAsia="ko-KR"/>
        </w:rPr>
      </w:pPr>
    </w:p>
    <w:p w14:paraId="000C18C6" w14:textId="789211A5" w:rsidR="00776784" w:rsidRPr="00776784" w:rsidRDefault="00423087" w:rsidP="00DA74DC">
      <w:pPr>
        <w:spacing w:line="480" w:lineRule="auto"/>
        <w:rPr>
          <w:rFonts w:eastAsia="Batang"/>
          <w:lang w:eastAsia="ko-KR"/>
        </w:rPr>
      </w:pPr>
      <w:r w:rsidRPr="00C16570">
        <w:rPr>
          <w:rFonts w:eastAsia="Batang"/>
          <w:lang w:eastAsia="ko-KR"/>
        </w:rPr>
        <w:t xml:space="preserve">We picked maximum FC as representative FC and minimum statistical power as representative statistical power.  </w:t>
      </w:r>
    </w:p>
    <w:p w14:paraId="461ED060" w14:textId="32BA5BA3" w:rsidR="00F7354F" w:rsidRPr="004030F5" w:rsidRDefault="00452BF1" w:rsidP="004432F9">
      <w:pPr>
        <w:pStyle w:val="Heading2"/>
        <w:spacing w:line="480" w:lineRule="auto"/>
      </w:pPr>
      <w:bookmarkStart w:id="69" w:name="_Toc296333727"/>
      <w:r>
        <w:t>Benchmark test</w:t>
      </w:r>
      <w:bookmarkEnd w:id="69"/>
    </w:p>
    <w:p w14:paraId="272CC765" w14:textId="715DA968" w:rsidR="00F7354F" w:rsidRPr="004030F5" w:rsidRDefault="00B61848" w:rsidP="004432F9">
      <w:pPr>
        <w:pStyle w:val="Heading3"/>
      </w:pPr>
      <w:bookmarkStart w:id="70" w:name="_Toc296333728"/>
      <w:r>
        <w:t>Tests using Gregori data</w:t>
      </w:r>
      <w:bookmarkEnd w:id="70"/>
    </w:p>
    <w:p w14:paraId="43C3D6E0" w14:textId="75AE9D8F" w:rsidR="007B4953" w:rsidRDefault="00423087" w:rsidP="003729E2">
      <w:pPr>
        <w:spacing w:line="480" w:lineRule="auto"/>
        <w:ind w:firstLine="720"/>
        <w:rPr>
          <w:rFonts w:eastAsia="Batang"/>
          <w:lang w:eastAsia="ko-KR"/>
        </w:rPr>
      </w:pPr>
      <w:r>
        <w:rPr>
          <w:rFonts w:eastAsia="Batang"/>
          <w:lang w:eastAsia="ko-KR"/>
        </w:rPr>
        <w:t>We compared 2-FC and Cohen’s ES for three models (QP, NB and NOR) using the benchmark data (</w:t>
      </w:r>
      <w:r w:rsidR="00CC235D">
        <w:rPr>
          <w:rFonts w:eastAsia="Batang"/>
          <w:lang w:eastAsia="ko-KR"/>
        </w:rPr>
        <w:t>T</w:t>
      </w:r>
      <w:r>
        <w:rPr>
          <w:rFonts w:eastAsia="Batang"/>
          <w:lang w:eastAsia="ko-KR"/>
        </w:rPr>
        <w:t>able 1</w:t>
      </w:r>
      <w:r w:rsidR="00CC235D">
        <w:rPr>
          <w:rFonts w:eastAsia="Batang"/>
          <w:lang w:eastAsia="ko-KR"/>
        </w:rPr>
        <w:t>2</w:t>
      </w:r>
      <w:r>
        <w:rPr>
          <w:rFonts w:eastAsia="Batang"/>
          <w:lang w:eastAsia="ko-KR"/>
        </w:rPr>
        <w:t xml:space="preserve">).  </w:t>
      </w:r>
      <w:r w:rsidRPr="00C16570">
        <w:rPr>
          <w:rFonts w:eastAsia="Batang"/>
          <w:lang w:eastAsia="ko-KR"/>
        </w:rPr>
        <w:t xml:space="preserve">The benchmark data test showed that our approach has </w:t>
      </w:r>
      <w:r>
        <w:rPr>
          <w:rFonts w:eastAsia="Batang"/>
          <w:lang w:eastAsia="ko-KR"/>
        </w:rPr>
        <w:t>significantly</w:t>
      </w:r>
      <w:r w:rsidRPr="00C16570">
        <w:rPr>
          <w:rFonts w:eastAsia="Batang"/>
          <w:lang w:eastAsia="ko-KR"/>
        </w:rPr>
        <w:t xml:space="preserve"> better statistical power than </w:t>
      </w:r>
      <w:r>
        <w:rPr>
          <w:rFonts w:eastAsia="Batang"/>
          <w:lang w:eastAsia="ko-KR"/>
        </w:rPr>
        <w:t>2-FC</w:t>
      </w:r>
      <w:r w:rsidRPr="00C16570">
        <w:rPr>
          <w:rFonts w:eastAsia="Batang"/>
          <w:lang w:eastAsia="ko-KR"/>
        </w:rPr>
        <w:t xml:space="preserve">, </w:t>
      </w:r>
      <w:r>
        <w:rPr>
          <w:rFonts w:eastAsia="Batang"/>
          <w:lang w:eastAsia="ko-KR"/>
        </w:rPr>
        <w:t>0.90</w:t>
      </w:r>
      <w:r w:rsidRPr="00C16570">
        <w:rPr>
          <w:rFonts w:eastAsia="Batang"/>
          <w:lang w:eastAsia="ko-KR"/>
        </w:rPr>
        <w:t xml:space="preserve"> for Cohen’s ES vs. 0.08~0.59 for </w:t>
      </w:r>
      <w:r>
        <w:rPr>
          <w:rFonts w:eastAsia="Batang"/>
          <w:lang w:eastAsia="ko-KR"/>
        </w:rPr>
        <w:t>2-FC</w:t>
      </w:r>
      <w:r w:rsidRPr="00C16570">
        <w:rPr>
          <w:rFonts w:eastAsia="Batang"/>
          <w:lang w:eastAsia="ko-KR"/>
        </w:rPr>
        <w:t xml:space="preserve"> (Fig.</w:t>
      </w:r>
      <w:r w:rsidR="00E82AED">
        <w:rPr>
          <w:rFonts w:eastAsia="Batang"/>
          <w:lang w:eastAsia="ko-KR"/>
        </w:rPr>
        <w:t xml:space="preserve"> 26</w:t>
      </w:r>
      <w:r>
        <w:rPr>
          <w:rFonts w:eastAsia="Batang"/>
          <w:lang w:eastAsia="ko-KR"/>
        </w:rPr>
        <w:t xml:space="preserve">A).  </w:t>
      </w:r>
      <w:r w:rsidRPr="00C16570">
        <w:rPr>
          <w:rFonts w:eastAsia="Batang"/>
          <w:lang w:eastAsia="ko-KR"/>
        </w:rPr>
        <w:t>Cohen’s ES has similar number of true positives (TP)</w:t>
      </w:r>
      <w:r w:rsidR="00E82AED">
        <w:rPr>
          <w:rFonts w:eastAsia="Batang"/>
          <w:lang w:eastAsia="ko-KR"/>
        </w:rPr>
        <w:t xml:space="preserve"> (Fig. 26</w:t>
      </w:r>
      <w:r>
        <w:rPr>
          <w:rFonts w:eastAsia="Batang"/>
          <w:lang w:eastAsia="ko-KR"/>
        </w:rPr>
        <w:t>B</w:t>
      </w:r>
      <w:r w:rsidRPr="00C16570">
        <w:rPr>
          <w:rFonts w:eastAsia="Batang"/>
          <w:lang w:eastAsia="ko-KR"/>
        </w:rPr>
        <w:t>)</w:t>
      </w:r>
      <w:r>
        <w:rPr>
          <w:rFonts w:eastAsia="Batang"/>
          <w:lang w:eastAsia="ko-KR"/>
        </w:rPr>
        <w:t xml:space="preserve">, while it has </w:t>
      </w:r>
      <w:r w:rsidRPr="00C16570">
        <w:rPr>
          <w:rFonts w:eastAsia="Batang"/>
          <w:lang w:eastAsia="ko-KR"/>
        </w:rPr>
        <w:t>a lower number of false positives (FP)</w:t>
      </w:r>
      <w:r w:rsidR="006A1FB5">
        <w:rPr>
          <w:rFonts w:eastAsia="Batang"/>
          <w:lang w:eastAsia="ko-KR"/>
        </w:rPr>
        <w:t xml:space="preserve"> (Fig. 26</w:t>
      </w:r>
      <w:r>
        <w:rPr>
          <w:rFonts w:eastAsia="Batang"/>
          <w:lang w:eastAsia="ko-KR"/>
        </w:rPr>
        <w:t>C</w:t>
      </w:r>
      <w:r w:rsidRPr="00C16570">
        <w:rPr>
          <w:rFonts w:eastAsia="Batang"/>
          <w:lang w:eastAsia="ko-KR"/>
        </w:rPr>
        <w:t>).  This means that Cohen’s ES lost few</w:t>
      </w:r>
      <w:r>
        <w:rPr>
          <w:rFonts w:eastAsia="Batang"/>
          <w:lang w:eastAsia="ko-KR"/>
        </w:rPr>
        <w:t>er</w:t>
      </w:r>
      <w:r w:rsidRPr="00C16570">
        <w:rPr>
          <w:rFonts w:eastAsia="Batang"/>
          <w:lang w:eastAsia="ko-KR"/>
        </w:rPr>
        <w:t xml:space="preserve"> of TP while filtering out many more FP </w:t>
      </w:r>
      <w:r>
        <w:rPr>
          <w:rFonts w:eastAsia="Batang"/>
          <w:lang w:eastAsia="ko-KR"/>
        </w:rPr>
        <w:t>than</w:t>
      </w:r>
      <w:r w:rsidRPr="00C16570">
        <w:rPr>
          <w:rFonts w:eastAsia="Batang"/>
          <w:lang w:eastAsia="ko-KR"/>
        </w:rPr>
        <w:t xml:space="preserve"> </w:t>
      </w:r>
      <w:r>
        <w:rPr>
          <w:rFonts w:eastAsia="Batang"/>
          <w:lang w:eastAsia="ko-KR"/>
        </w:rPr>
        <w:t>2-FC.</w:t>
      </w:r>
    </w:p>
    <w:p w14:paraId="67315B19" w14:textId="4AE0B92F" w:rsidR="00CC235D" w:rsidRDefault="00CC235D" w:rsidP="00CC235D">
      <w:pPr>
        <w:pStyle w:val="Caption"/>
        <w:keepNext/>
      </w:pPr>
      <w:bookmarkStart w:id="71" w:name="_Toc296333084"/>
      <w:r>
        <w:t xml:space="preserve">Table </w:t>
      </w:r>
      <w:fldSimple w:instr=" SEQ Table \* ARABIC ">
        <w:r w:rsidR="0093776B">
          <w:rPr>
            <w:noProof/>
          </w:rPr>
          <w:t>12</w:t>
        </w:r>
      </w:fldSimple>
      <w:r>
        <w:t xml:space="preserve"> Six methods used for comparing Cohen’s ES and FC.  </w:t>
      </w:r>
      <w:r w:rsidRPr="00546C43">
        <w:rPr>
          <w:b w:val="0"/>
        </w:rPr>
        <w:t>Three probability models, widely used in biological data analysis, were employed for comparison of Cohen’s ES with FC.  Abbreviations denoting model and ES are summarized at the table with used thresholds.</w:t>
      </w:r>
      <w:bookmarkEnd w:id="71"/>
    </w:p>
    <w:tbl>
      <w:tblPr>
        <w:tblW w:w="8298" w:type="dxa"/>
        <w:jc w:val="center"/>
        <w:tblLook w:val="06A0" w:firstRow="1" w:lastRow="0" w:firstColumn="1" w:lastColumn="0" w:noHBand="1" w:noVBand="1"/>
      </w:tblPr>
      <w:tblGrid>
        <w:gridCol w:w="2214"/>
        <w:gridCol w:w="1944"/>
        <w:gridCol w:w="2160"/>
        <w:gridCol w:w="1980"/>
      </w:tblGrid>
      <w:tr w:rsidR="00CC235D" w14:paraId="043C4B78" w14:textId="77777777" w:rsidTr="00CC235D">
        <w:trPr>
          <w:jc w:val="center"/>
        </w:trPr>
        <w:tc>
          <w:tcPr>
            <w:tcW w:w="2214" w:type="dxa"/>
          </w:tcPr>
          <w:p w14:paraId="4B1FA6A3" w14:textId="77777777" w:rsidR="00CC235D" w:rsidRDefault="00CC235D" w:rsidP="00FA55C1">
            <w:pPr>
              <w:rPr>
                <w:rFonts w:eastAsia="Batang"/>
                <w:lang w:eastAsia="ko-KR"/>
              </w:rPr>
            </w:pPr>
          </w:p>
        </w:tc>
        <w:tc>
          <w:tcPr>
            <w:tcW w:w="1944" w:type="dxa"/>
          </w:tcPr>
          <w:p w14:paraId="18489F2C" w14:textId="77777777" w:rsidR="00CC235D" w:rsidRPr="00845E1B" w:rsidRDefault="00CC235D" w:rsidP="00FA55C1">
            <w:pPr>
              <w:rPr>
                <w:rFonts w:eastAsia="Batang"/>
                <w:b/>
                <w:lang w:eastAsia="ko-KR"/>
              </w:rPr>
            </w:pPr>
            <w:r w:rsidRPr="00845E1B">
              <w:rPr>
                <w:rFonts w:eastAsia="Batang"/>
                <w:lang w:eastAsia="ko-KR"/>
              </w:rPr>
              <w:t>Quasi-Poisson model (QP)</w:t>
            </w:r>
          </w:p>
          <w:p w14:paraId="350F1A4D" w14:textId="77777777" w:rsidR="00CC235D" w:rsidRPr="00845E1B" w:rsidRDefault="00CC235D" w:rsidP="00FA55C1">
            <w:pPr>
              <w:rPr>
                <w:rFonts w:eastAsia="Batang"/>
                <w:b/>
                <w:lang w:eastAsia="ko-KR"/>
              </w:rPr>
            </w:pPr>
            <w:r w:rsidRPr="00845E1B">
              <w:rPr>
                <w:rFonts w:eastAsia="Batang"/>
                <w:lang w:eastAsia="ko-KR"/>
              </w:rPr>
              <w:t>(&lt; 0.05 FDR)</w:t>
            </w:r>
          </w:p>
        </w:tc>
        <w:tc>
          <w:tcPr>
            <w:tcW w:w="2160" w:type="dxa"/>
          </w:tcPr>
          <w:p w14:paraId="1F70C21C" w14:textId="77777777" w:rsidR="00CC235D" w:rsidRPr="00845E1B" w:rsidRDefault="00CC235D" w:rsidP="00FA55C1">
            <w:pPr>
              <w:rPr>
                <w:rFonts w:eastAsia="Batang"/>
                <w:b/>
                <w:lang w:eastAsia="ko-KR"/>
              </w:rPr>
            </w:pPr>
            <w:r w:rsidRPr="00845E1B">
              <w:rPr>
                <w:rFonts w:eastAsia="Batang"/>
                <w:lang w:eastAsia="ko-KR"/>
              </w:rPr>
              <w:t>Negative binomial model (NB)</w:t>
            </w:r>
          </w:p>
          <w:p w14:paraId="43D3603F" w14:textId="77777777" w:rsidR="00CC235D" w:rsidRPr="00845E1B" w:rsidRDefault="00CC235D" w:rsidP="00FA55C1">
            <w:pPr>
              <w:rPr>
                <w:rFonts w:eastAsia="Batang"/>
                <w:b/>
                <w:lang w:eastAsia="ko-KR"/>
              </w:rPr>
            </w:pPr>
            <w:r w:rsidRPr="00845E1B">
              <w:rPr>
                <w:rFonts w:eastAsia="Batang"/>
                <w:lang w:eastAsia="ko-KR"/>
              </w:rPr>
              <w:t>(&lt; 0.05 FDR)</w:t>
            </w:r>
          </w:p>
        </w:tc>
        <w:tc>
          <w:tcPr>
            <w:tcW w:w="1980" w:type="dxa"/>
          </w:tcPr>
          <w:p w14:paraId="1F2033F2" w14:textId="77777777" w:rsidR="00CC235D" w:rsidRPr="00845E1B" w:rsidRDefault="00CC235D" w:rsidP="00FA55C1">
            <w:pPr>
              <w:rPr>
                <w:rFonts w:eastAsia="Batang"/>
                <w:b/>
                <w:lang w:eastAsia="ko-KR"/>
              </w:rPr>
            </w:pPr>
            <w:r w:rsidRPr="00845E1B">
              <w:rPr>
                <w:rFonts w:eastAsia="Batang"/>
                <w:lang w:eastAsia="ko-KR"/>
              </w:rPr>
              <w:t>Normal ANOVA model (NOR)</w:t>
            </w:r>
          </w:p>
          <w:p w14:paraId="31758356" w14:textId="77777777" w:rsidR="00CC235D" w:rsidRPr="00845E1B" w:rsidRDefault="00CC235D" w:rsidP="00FA55C1">
            <w:pPr>
              <w:rPr>
                <w:rFonts w:eastAsia="Batang"/>
                <w:b/>
                <w:lang w:eastAsia="ko-KR"/>
              </w:rPr>
            </w:pPr>
            <w:r w:rsidRPr="00845E1B">
              <w:rPr>
                <w:rFonts w:eastAsia="Batang"/>
                <w:lang w:eastAsia="ko-KR"/>
              </w:rPr>
              <w:t>(&lt; 0.05 FDR)</w:t>
            </w:r>
          </w:p>
        </w:tc>
      </w:tr>
      <w:tr w:rsidR="00CC235D" w14:paraId="3A9EFC89" w14:textId="77777777" w:rsidTr="00CC235D">
        <w:trPr>
          <w:jc w:val="center"/>
        </w:trPr>
        <w:tc>
          <w:tcPr>
            <w:tcW w:w="2214" w:type="dxa"/>
          </w:tcPr>
          <w:p w14:paraId="1827EA2D" w14:textId="77777777" w:rsidR="00CC235D" w:rsidRPr="00845E1B" w:rsidRDefault="00CC235D" w:rsidP="00FA55C1">
            <w:pPr>
              <w:rPr>
                <w:rFonts w:eastAsia="Batang"/>
                <w:b/>
                <w:lang w:eastAsia="ko-KR"/>
              </w:rPr>
            </w:pPr>
            <w:r w:rsidRPr="00845E1B">
              <w:rPr>
                <w:rFonts w:eastAsia="Batang"/>
                <w:lang w:eastAsia="ko-KR"/>
              </w:rPr>
              <w:t xml:space="preserve">FC2 </w:t>
            </w:r>
          </w:p>
          <w:p w14:paraId="4E4F80EF" w14:textId="77777777" w:rsidR="00CC235D" w:rsidRPr="00845E1B" w:rsidRDefault="00CC235D" w:rsidP="00FA55C1">
            <w:pPr>
              <w:rPr>
                <w:rFonts w:eastAsia="Batang"/>
                <w:b/>
                <w:lang w:eastAsia="ko-KR"/>
              </w:rPr>
            </w:pPr>
            <w:r w:rsidRPr="00845E1B">
              <w:rPr>
                <w:rFonts w:eastAsia="Batang"/>
                <w:lang w:eastAsia="ko-KR"/>
              </w:rPr>
              <w:t>(&gt; 2-fold change)</w:t>
            </w:r>
          </w:p>
        </w:tc>
        <w:tc>
          <w:tcPr>
            <w:tcW w:w="1944" w:type="dxa"/>
          </w:tcPr>
          <w:p w14:paraId="5B1240B1" w14:textId="77777777" w:rsidR="00CC235D" w:rsidRDefault="00CC235D" w:rsidP="00FA55C1">
            <w:pPr>
              <w:rPr>
                <w:rFonts w:eastAsia="Batang"/>
                <w:lang w:eastAsia="ko-KR"/>
              </w:rPr>
            </w:pPr>
            <w:r>
              <w:rPr>
                <w:rFonts w:eastAsia="Batang"/>
                <w:lang w:eastAsia="ko-KR"/>
              </w:rPr>
              <w:t>QP_FC2</w:t>
            </w:r>
          </w:p>
        </w:tc>
        <w:tc>
          <w:tcPr>
            <w:tcW w:w="2160" w:type="dxa"/>
          </w:tcPr>
          <w:p w14:paraId="6648A768" w14:textId="77777777" w:rsidR="00CC235D" w:rsidRDefault="00CC235D" w:rsidP="00FA55C1">
            <w:pPr>
              <w:rPr>
                <w:rFonts w:eastAsia="Batang"/>
                <w:lang w:eastAsia="ko-KR"/>
              </w:rPr>
            </w:pPr>
            <w:r>
              <w:rPr>
                <w:rFonts w:eastAsia="Batang"/>
                <w:lang w:eastAsia="ko-KR"/>
              </w:rPr>
              <w:t>NB_FC2</w:t>
            </w:r>
          </w:p>
        </w:tc>
        <w:tc>
          <w:tcPr>
            <w:tcW w:w="1980" w:type="dxa"/>
          </w:tcPr>
          <w:p w14:paraId="0C4B2A35" w14:textId="77777777" w:rsidR="00CC235D" w:rsidRDefault="00CC235D" w:rsidP="00FA55C1">
            <w:pPr>
              <w:rPr>
                <w:rFonts w:eastAsia="Batang"/>
                <w:lang w:eastAsia="ko-KR"/>
              </w:rPr>
            </w:pPr>
            <w:r>
              <w:rPr>
                <w:rFonts w:eastAsia="Batang"/>
                <w:lang w:eastAsia="ko-KR"/>
              </w:rPr>
              <w:t>NOR_FC2</w:t>
            </w:r>
          </w:p>
        </w:tc>
      </w:tr>
      <w:tr w:rsidR="00CC235D" w14:paraId="015C5877" w14:textId="77777777" w:rsidTr="00CC235D">
        <w:trPr>
          <w:jc w:val="center"/>
        </w:trPr>
        <w:tc>
          <w:tcPr>
            <w:tcW w:w="2214" w:type="dxa"/>
          </w:tcPr>
          <w:p w14:paraId="004ADFFA" w14:textId="77777777" w:rsidR="00CC235D" w:rsidRPr="00845E1B" w:rsidRDefault="00CC235D" w:rsidP="00FA55C1">
            <w:pPr>
              <w:rPr>
                <w:rFonts w:eastAsia="Batang"/>
                <w:b/>
                <w:lang w:eastAsia="ko-KR"/>
              </w:rPr>
            </w:pPr>
            <w:r w:rsidRPr="00845E1B">
              <w:rPr>
                <w:rFonts w:eastAsia="Batang"/>
                <w:lang w:eastAsia="ko-KR"/>
              </w:rPr>
              <w:t>Cohen’s f</w:t>
            </w:r>
          </w:p>
          <w:p w14:paraId="537F22E1" w14:textId="77777777" w:rsidR="00CC235D" w:rsidRPr="00845E1B" w:rsidRDefault="00CC235D" w:rsidP="00FA55C1">
            <w:pPr>
              <w:rPr>
                <w:rFonts w:eastAsia="Batang"/>
                <w:b/>
                <w:lang w:eastAsia="ko-KR"/>
              </w:rPr>
            </w:pPr>
            <w:r w:rsidRPr="00845E1B">
              <w:rPr>
                <w:rFonts w:eastAsia="Batang"/>
                <w:lang w:eastAsia="ko-KR"/>
              </w:rPr>
              <w:t>(&gt; 90% power)</w:t>
            </w:r>
          </w:p>
        </w:tc>
        <w:tc>
          <w:tcPr>
            <w:tcW w:w="1944" w:type="dxa"/>
          </w:tcPr>
          <w:p w14:paraId="4F6A0042" w14:textId="77777777" w:rsidR="00CC235D" w:rsidRDefault="00CC235D" w:rsidP="00FA55C1">
            <w:pPr>
              <w:rPr>
                <w:rFonts w:eastAsia="Batang"/>
                <w:lang w:eastAsia="ko-KR"/>
              </w:rPr>
            </w:pPr>
            <w:r>
              <w:rPr>
                <w:rFonts w:eastAsia="Batang"/>
                <w:lang w:eastAsia="ko-KR"/>
              </w:rPr>
              <w:t>QP_F</w:t>
            </w:r>
          </w:p>
        </w:tc>
        <w:tc>
          <w:tcPr>
            <w:tcW w:w="2160" w:type="dxa"/>
          </w:tcPr>
          <w:p w14:paraId="3098C922" w14:textId="77777777" w:rsidR="00CC235D" w:rsidRDefault="00CC235D" w:rsidP="00FA55C1">
            <w:pPr>
              <w:rPr>
                <w:rFonts w:eastAsia="Batang"/>
                <w:lang w:eastAsia="ko-KR"/>
              </w:rPr>
            </w:pPr>
            <w:r>
              <w:rPr>
                <w:rFonts w:eastAsia="Batang"/>
                <w:lang w:eastAsia="ko-KR"/>
              </w:rPr>
              <w:t>-</w:t>
            </w:r>
          </w:p>
        </w:tc>
        <w:tc>
          <w:tcPr>
            <w:tcW w:w="1980" w:type="dxa"/>
          </w:tcPr>
          <w:p w14:paraId="7068D911" w14:textId="77777777" w:rsidR="00CC235D" w:rsidRDefault="00CC235D" w:rsidP="00FA55C1">
            <w:pPr>
              <w:rPr>
                <w:rFonts w:eastAsia="Batang"/>
                <w:lang w:eastAsia="ko-KR"/>
              </w:rPr>
            </w:pPr>
            <w:r>
              <w:rPr>
                <w:rFonts w:eastAsia="Batang"/>
                <w:lang w:eastAsia="ko-KR"/>
              </w:rPr>
              <w:t>NOR_F</w:t>
            </w:r>
          </w:p>
        </w:tc>
      </w:tr>
      <w:tr w:rsidR="00CC235D" w14:paraId="0252F75D" w14:textId="77777777" w:rsidTr="00CC235D">
        <w:trPr>
          <w:jc w:val="center"/>
        </w:trPr>
        <w:tc>
          <w:tcPr>
            <w:tcW w:w="2214" w:type="dxa"/>
          </w:tcPr>
          <w:p w14:paraId="4EBA874D" w14:textId="77777777" w:rsidR="00CC235D" w:rsidRPr="00845E1B" w:rsidRDefault="00CC235D" w:rsidP="00FA55C1">
            <w:pPr>
              <w:rPr>
                <w:rFonts w:eastAsia="Batang"/>
                <w:b/>
                <w:lang w:eastAsia="ko-KR"/>
              </w:rPr>
            </w:pPr>
            <w:r w:rsidRPr="00845E1B">
              <w:rPr>
                <w:rFonts w:eastAsia="Batang"/>
                <w:lang w:eastAsia="ko-KR"/>
              </w:rPr>
              <w:t>Cohen’s w</w:t>
            </w:r>
          </w:p>
          <w:p w14:paraId="64E5660B" w14:textId="77777777" w:rsidR="00CC235D" w:rsidRPr="00845E1B" w:rsidRDefault="00CC235D" w:rsidP="00FA55C1">
            <w:pPr>
              <w:rPr>
                <w:rFonts w:eastAsia="Batang"/>
                <w:b/>
                <w:lang w:eastAsia="ko-KR"/>
              </w:rPr>
            </w:pPr>
            <w:r w:rsidRPr="00845E1B">
              <w:rPr>
                <w:rFonts w:eastAsia="Batang"/>
                <w:lang w:eastAsia="ko-KR"/>
              </w:rPr>
              <w:t>(&gt;90% power)</w:t>
            </w:r>
          </w:p>
        </w:tc>
        <w:tc>
          <w:tcPr>
            <w:tcW w:w="1944" w:type="dxa"/>
          </w:tcPr>
          <w:p w14:paraId="4F88ADD4" w14:textId="77777777" w:rsidR="00CC235D" w:rsidRDefault="00CC235D" w:rsidP="00FA55C1">
            <w:pPr>
              <w:rPr>
                <w:rFonts w:eastAsia="Batang"/>
                <w:lang w:eastAsia="ko-KR"/>
              </w:rPr>
            </w:pPr>
            <w:r>
              <w:rPr>
                <w:rFonts w:eastAsia="Batang"/>
                <w:lang w:eastAsia="ko-KR"/>
              </w:rPr>
              <w:t>-</w:t>
            </w:r>
          </w:p>
        </w:tc>
        <w:tc>
          <w:tcPr>
            <w:tcW w:w="2160" w:type="dxa"/>
          </w:tcPr>
          <w:p w14:paraId="49818531" w14:textId="77777777" w:rsidR="00CC235D" w:rsidRDefault="00CC235D" w:rsidP="00FA55C1">
            <w:pPr>
              <w:rPr>
                <w:rFonts w:eastAsia="Batang"/>
                <w:lang w:eastAsia="ko-KR"/>
              </w:rPr>
            </w:pPr>
            <w:r>
              <w:rPr>
                <w:rFonts w:eastAsia="Batang"/>
                <w:lang w:eastAsia="ko-KR"/>
              </w:rPr>
              <w:t>NB_W</w:t>
            </w:r>
          </w:p>
        </w:tc>
        <w:tc>
          <w:tcPr>
            <w:tcW w:w="1980" w:type="dxa"/>
          </w:tcPr>
          <w:p w14:paraId="08DF8737" w14:textId="77777777" w:rsidR="00CC235D" w:rsidRDefault="00CC235D" w:rsidP="00FA55C1">
            <w:pPr>
              <w:rPr>
                <w:rFonts w:eastAsia="Batang"/>
                <w:lang w:eastAsia="ko-KR"/>
              </w:rPr>
            </w:pPr>
            <w:r>
              <w:rPr>
                <w:rFonts w:eastAsia="Batang"/>
                <w:lang w:eastAsia="ko-KR"/>
              </w:rPr>
              <w:t>-</w:t>
            </w:r>
          </w:p>
        </w:tc>
      </w:tr>
    </w:tbl>
    <w:p w14:paraId="2E0B4CC5" w14:textId="610FC09A" w:rsidR="00CC235D" w:rsidRDefault="00423087" w:rsidP="00CC235D">
      <w:pPr>
        <w:spacing w:line="480" w:lineRule="auto"/>
        <w:ind w:firstLine="720"/>
        <w:rPr>
          <w:rFonts w:eastAsia="Batang"/>
          <w:lang w:eastAsia="ko-KR"/>
        </w:rPr>
      </w:pPr>
      <w:r>
        <w:rPr>
          <w:rFonts w:eastAsia="Batang"/>
          <w:lang w:eastAsia="ko-KR"/>
        </w:rPr>
        <w:lastRenderedPageBreak/>
        <w:t xml:space="preserve">Protein scatter plots show that Cohen’s ES filters out FP efficiently.  Cohen’s </w:t>
      </w:r>
      <w:r w:rsidRPr="00785028">
        <w:rPr>
          <w:rFonts w:eastAsia="Batang"/>
          <w:i/>
          <w:lang w:eastAsia="ko-KR"/>
        </w:rPr>
        <w:t>w</w:t>
      </w:r>
      <w:r w:rsidR="00E82AED">
        <w:rPr>
          <w:rFonts w:eastAsia="Batang"/>
          <w:lang w:eastAsia="ko-KR"/>
        </w:rPr>
        <w:t xml:space="preserve"> (Fig. 26</w:t>
      </w:r>
      <w:r>
        <w:rPr>
          <w:rFonts w:eastAsia="Batang"/>
          <w:lang w:eastAsia="ko-KR"/>
        </w:rPr>
        <w:t xml:space="preserve">D) and Cohen’s </w:t>
      </w:r>
      <w:r w:rsidRPr="00785028">
        <w:rPr>
          <w:rFonts w:eastAsia="Batang"/>
          <w:i/>
          <w:lang w:eastAsia="ko-KR"/>
        </w:rPr>
        <w:t>f</w:t>
      </w:r>
      <w:r w:rsidR="00E82AED">
        <w:rPr>
          <w:rFonts w:eastAsia="Batang"/>
          <w:lang w:eastAsia="ko-KR"/>
        </w:rPr>
        <w:t xml:space="preserve"> (Fig. 26</w:t>
      </w:r>
      <w:r>
        <w:rPr>
          <w:rFonts w:eastAsia="Batang"/>
          <w:lang w:eastAsia="ko-KR"/>
        </w:rPr>
        <w:t xml:space="preserve">E) could remove more FP (blue dots) while excluding less number of TP (red dots).  Especially, Cohen’s </w:t>
      </w:r>
      <w:r w:rsidRPr="00120372">
        <w:rPr>
          <w:rFonts w:eastAsia="Batang"/>
          <w:i/>
          <w:lang w:eastAsia="ko-KR"/>
        </w:rPr>
        <w:t>f</w:t>
      </w:r>
      <w:r>
        <w:rPr>
          <w:rFonts w:eastAsia="Batang"/>
          <w:lang w:eastAsia="ko-KR"/>
        </w:rPr>
        <w:t xml:space="preserve"> has superior selection power</w:t>
      </w:r>
      <w:r w:rsidR="00E82AED">
        <w:rPr>
          <w:rFonts w:eastAsia="Batang"/>
          <w:lang w:eastAsia="ko-KR"/>
        </w:rPr>
        <w:t xml:space="preserve"> than Cohen’s w and 2-FC (Fig. 26</w:t>
      </w:r>
      <w:r>
        <w:rPr>
          <w:rFonts w:eastAsia="Batang"/>
          <w:lang w:eastAsia="ko-KR"/>
        </w:rPr>
        <w:t>E).  Also, Cohen’s f showed that it could complement p-value by</w:t>
      </w:r>
      <w:r w:rsidR="00E82AED">
        <w:rPr>
          <w:rFonts w:eastAsia="Batang"/>
          <w:lang w:eastAsia="ko-KR"/>
        </w:rPr>
        <w:t xml:space="preserve"> efficiently removing FP (Fig. 26F and 26</w:t>
      </w:r>
      <w:r>
        <w:rPr>
          <w:rFonts w:eastAsia="Batang"/>
          <w:lang w:eastAsia="ko-KR"/>
        </w:rPr>
        <w:t>H), while 2-FC removed a smaller nu</w:t>
      </w:r>
      <w:r w:rsidR="00E82AED">
        <w:rPr>
          <w:rFonts w:eastAsia="Batang"/>
          <w:lang w:eastAsia="ko-KR"/>
        </w:rPr>
        <w:t>mber of FP (Fig. 27</w:t>
      </w:r>
      <w:r>
        <w:rPr>
          <w:rFonts w:eastAsia="Batang"/>
          <w:lang w:eastAsia="ko-KR"/>
        </w:rPr>
        <w:t>A-C).  Relatively low perform</w:t>
      </w:r>
      <w:r w:rsidR="00E82AED">
        <w:rPr>
          <w:rFonts w:eastAsia="Batang"/>
          <w:lang w:eastAsia="ko-KR"/>
        </w:rPr>
        <w:t>ance of Cohen’s w and NB (Fig. 26</w:t>
      </w:r>
      <w:r>
        <w:rPr>
          <w:rFonts w:eastAsia="Batang"/>
          <w:lang w:eastAsia="ko-KR"/>
        </w:rPr>
        <w:t xml:space="preserve">G) is speculated that these are not fit to the benchmark data.  Nevertheless, Cohen’s </w:t>
      </w:r>
      <w:r w:rsidRPr="0011733C">
        <w:rPr>
          <w:rFonts w:eastAsia="Batang"/>
          <w:i/>
          <w:lang w:eastAsia="ko-KR"/>
        </w:rPr>
        <w:t>w</w:t>
      </w:r>
      <w:r>
        <w:rPr>
          <w:rFonts w:eastAsia="Batang"/>
          <w:lang w:eastAsia="ko-KR"/>
        </w:rPr>
        <w:t xml:space="preserve"> showed better s</w:t>
      </w:r>
      <w:r w:rsidR="00E82AED">
        <w:rPr>
          <w:rFonts w:eastAsia="Batang"/>
          <w:lang w:eastAsia="ko-KR"/>
        </w:rPr>
        <w:t>election power than 2-FC (Fig. 26</w:t>
      </w:r>
      <w:r>
        <w:rPr>
          <w:rFonts w:eastAsia="Batang"/>
          <w:lang w:eastAsia="ko-KR"/>
        </w:rPr>
        <w:t>A-C).</w:t>
      </w:r>
    </w:p>
    <w:p w14:paraId="5C08321E" w14:textId="77777777" w:rsidR="00275581" w:rsidRPr="004030F5" w:rsidRDefault="00275581" w:rsidP="00275581">
      <w:pPr>
        <w:pStyle w:val="Heading3"/>
      </w:pPr>
      <w:bookmarkStart w:id="72" w:name="_Toc296333729"/>
      <w:r>
        <w:t>Tests using fecal proteome data</w:t>
      </w:r>
      <w:bookmarkEnd w:id="72"/>
    </w:p>
    <w:p w14:paraId="0E32D67F" w14:textId="04E1FBDD" w:rsidR="006A1FB5" w:rsidRPr="006A1FB5" w:rsidRDefault="00275581" w:rsidP="006A1FB5">
      <w:pPr>
        <w:spacing w:line="480" w:lineRule="auto"/>
        <w:ind w:firstLine="720"/>
        <w:rPr>
          <w:rFonts w:eastAsia="Batang"/>
          <w:lang w:eastAsia="ko-KR"/>
        </w:rPr>
      </w:pPr>
      <w:r w:rsidRPr="00C16570">
        <w:rPr>
          <w:rFonts w:eastAsia="Batang"/>
          <w:lang w:eastAsia="ko-KR"/>
        </w:rPr>
        <w:t>We also compared the statistical methods with a more complex and real human dataset that is noisier than the well-organized benchmark data.  The dataset, termed here as fecal proteomes, have 29 2</w:t>
      </w:r>
      <w:r>
        <w:rPr>
          <w:rFonts w:eastAsia="Batang"/>
          <w:lang w:eastAsia="ko-KR"/>
        </w:rPr>
        <w:t>D</w:t>
      </w:r>
      <w:r w:rsidRPr="00C16570">
        <w:rPr>
          <w:rFonts w:eastAsia="Batang"/>
          <w:lang w:eastAsia="ko-KR"/>
        </w:rPr>
        <w:t>-LC-MS/MS runs from 11 fecal samples from healthy adult volunteers (</w:t>
      </w:r>
      <w:r>
        <w:rPr>
          <w:rFonts w:eastAsia="Batang"/>
          <w:lang w:eastAsia="ko-KR"/>
        </w:rPr>
        <w:t>chapter 4</w:t>
      </w:r>
      <w:r w:rsidRPr="00C16570">
        <w:rPr>
          <w:rFonts w:eastAsia="Batang"/>
          <w:lang w:eastAsia="ko-KR"/>
        </w:rPr>
        <w:t>).  The fecal proteome is extremely complex having proteins coming from both human and bacterial origin, over a wide dynamic range, and high variability between individuals.  Since we can’t know TP and FP of fecal proteomes, we compared statistical power between Cohen’s ES</w:t>
      </w:r>
      <w:r>
        <w:rPr>
          <w:rFonts w:eastAsia="Batang"/>
          <w:lang w:eastAsia="ko-KR"/>
        </w:rPr>
        <w:t xml:space="preserve"> and 2-FC (Fig. 27)</w:t>
      </w:r>
      <w:r w:rsidRPr="00C16570">
        <w:rPr>
          <w:rFonts w:eastAsia="Batang"/>
          <w:lang w:eastAsia="ko-KR"/>
        </w:rPr>
        <w:t xml:space="preserve">.  Similar to Gregori data, Cohen’s ES had higher statistical power than </w:t>
      </w:r>
      <w:r>
        <w:rPr>
          <w:rFonts w:eastAsia="Batang"/>
          <w:lang w:eastAsia="ko-KR"/>
        </w:rPr>
        <w:t>2-FC</w:t>
      </w:r>
      <w:r w:rsidRPr="00C16570">
        <w:rPr>
          <w:rFonts w:eastAsia="Batang"/>
          <w:lang w:eastAsia="ko-KR"/>
        </w:rPr>
        <w:t xml:space="preserve"> (0.</w:t>
      </w:r>
      <w:r>
        <w:rPr>
          <w:rFonts w:eastAsia="Batang"/>
          <w:lang w:eastAsia="ko-KR"/>
        </w:rPr>
        <w:t>90</w:t>
      </w:r>
      <w:r w:rsidRPr="00C16570">
        <w:rPr>
          <w:rFonts w:eastAsia="Batang"/>
          <w:lang w:eastAsia="ko-KR"/>
        </w:rPr>
        <w:t xml:space="preserve"> for Cohen’s ES vs. 0.16 ~ 0.70 for </w:t>
      </w:r>
      <w:r>
        <w:rPr>
          <w:rFonts w:eastAsia="Batang"/>
          <w:lang w:eastAsia="ko-KR"/>
        </w:rPr>
        <w:t>2-FC).</w:t>
      </w:r>
    </w:p>
    <w:p w14:paraId="4F5B83F4" w14:textId="77777777" w:rsidR="006A1FB5" w:rsidRDefault="006A1FB5" w:rsidP="006A1FB5">
      <w:pPr>
        <w:jc w:val="left"/>
        <w:rPr>
          <w:rFonts w:eastAsia="Batang"/>
          <w:lang w:eastAsia="ko-KR"/>
        </w:rPr>
      </w:pPr>
      <w:r>
        <w:rPr>
          <w:rFonts w:eastAsia="Batang"/>
          <w:lang w:eastAsia="ko-KR"/>
        </w:rPr>
        <w:br w:type="page"/>
      </w:r>
    </w:p>
    <w:p w14:paraId="2326E415" w14:textId="77777777" w:rsidR="00275581" w:rsidRDefault="00275581" w:rsidP="00275581">
      <w:pPr>
        <w:jc w:val="left"/>
        <w:rPr>
          <w:rFonts w:eastAsia="Batang"/>
          <w:b/>
          <w:lang w:eastAsia="ko-KR"/>
        </w:rPr>
      </w:pPr>
    </w:p>
    <w:p w14:paraId="5D1FC5F9" w14:textId="6DC75CC8" w:rsidR="00F85482" w:rsidRDefault="00F85482" w:rsidP="00CC235D">
      <w:pPr>
        <w:pStyle w:val="Caption"/>
        <w:rPr>
          <w:b w:val="0"/>
          <w:lang w:eastAsia="ko-KR"/>
        </w:rPr>
      </w:pPr>
      <w:r w:rsidRPr="00C16570">
        <w:rPr>
          <w:noProof/>
        </w:rPr>
        <mc:AlternateContent>
          <mc:Choice Requires="wps">
            <w:drawing>
              <wp:anchor distT="0" distB="0" distL="114300" distR="114300" simplePos="0" relativeHeight="251694080" behindDoc="0" locked="0" layoutInCell="1" allowOverlap="1" wp14:anchorId="143F48B0" wp14:editId="3590E4DD">
                <wp:simplePos x="0" y="0"/>
                <wp:positionH relativeFrom="column">
                  <wp:posOffset>0</wp:posOffset>
                </wp:positionH>
                <wp:positionV relativeFrom="paragraph">
                  <wp:posOffset>0</wp:posOffset>
                </wp:positionV>
                <wp:extent cx="375920" cy="33464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7DF25C" w14:textId="77777777" w:rsidR="008864ED" w:rsidRPr="00FA55C1" w:rsidRDefault="008864ED" w:rsidP="00F85482">
                            <w:pPr>
                              <w:rPr>
                                <w:b/>
                              </w:rPr>
                            </w:pPr>
                            <w:r w:rsidRPr="00FA55C1">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0" type="#_x0000_t202" style="position:absolute;left:0;text-align:left;margin-left:0;margin-top:0;width:29.6pt;height:26.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" filled="f" stroked="f">
                <v:textbox>
                  <w:txbxContent>
                    <w:p w14:paraId="0F7DF25C" w14:textId="77777777" w:rsidR="008864ED" w:rsidRPr="00FA55C1" w:rsidRDefault="008864ED" w:rsidP="00F85482">
                      <w:pPr>
                        <w:rPr>
                          <w:b/>
                        </w:rPr>
                      </w:pPr>
                      <w:r w:rsidRPr="00FA55C1">
                        <w:rPr>
                          <w:b/>
                        </w:rPr>
                        <w:t>A)</w:t>
                      </w:r>
                    </w:p>
                  </w:txbxContent>
                </v:textbox>
              </v:shape>
            </w:pict>
          </mc:Fallback>
        </mc:AlternateContent>
      </w:r>
      <w:r>
        <w:rPr>
          <w:rFonts w:eastAsia="Batang"/>
          <w:b w:val="0"/>
          <w:noProof/>
        </w:rPr>
        <w:drawing>
          <wp:inline distT="0" distB="0" distL="0" distR="0" wp14:anchorId="5D770392" wp14:editId="479D1DE6">
            <wp:extent cx="5486400" cy="5486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tiff"/>
                    <pic:cNvPicPr/>
                  </pic:nvPicPr>
                  <pic:blipFill>
                    <a:blip r:embed="rId51">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7FC7380C" w14:textId="77777777" w:rsidR="00F85482" w:rsidRDefault="00F85482">
      <w:pPr>
        <w:jc w:val="left"/>
        <w:rPr>
          <w:bCs/>
          <w:szCs w:val="20"/>
          <w:lang w:eastAsia="ko-KR"/>
        </w:rPr>
      </w:pPr>
      <w:r>
        <w:rPr>
          <w:b/>
          <w:lang w:eastAsia="ko-KR"/>
        </w:rPr>
        <w:br w:type="page"/>
      </w:r>
    </w:p>
    <w:p w14:paraId="50B33A57" w14:textId="19FE1D25" w:rsidR="00CC235D" w:rsidRPr="00175900" w:rsidRDefault="00F85482" w:rsidP="00CC235D">
      <w:pPr>
        <w:pStyle w:val="Caption"/>
        <w:rPr>
          <w:b w:val="0"/>
          <w:lang w:eastAsia="ko-KR"/>
        </w:rPr>
      </w:pPr>
      <w:r w:rsidRPr="00C16570">
        <w:rPr>
          <w:noProof/>
        </w:rPr>
        <w:lastRenderedPageBreak/>
        <mc:AlternateContent>
          <mc:Choice Requires="wps">
            <w:drawing>
              <wp:anchor distT="0" distB="0" distL="114300" distR="114300" simplePos="0" relativeHeight="251696128" behindDoc="0" locked="0" layoutInCell="1" allowOverlap="1" wp14:anchorId="44B0C512" wp14:editId="3A45ED9B">
                <wp:simplePos x="0" y="0"/>
                <wp:positionH relativeFrom="column">
                  <wp:posOffset>-19685</wp:posOffset>
                </wp:positionH>
                <wp:positionV relativeFrom="paragraph">
                  <wp:posOffset>8255</wp:posOffset>
                </wp:positionV>
                <wp:extent cx="376492" cy="334694"/>
                <wp:effectExtent l="0" t="0" r="0" b="0"/>
                <wp:wrapNone/>
                <wp:docPr id="52" name="Text Box 52"/>
                <wp:cNvGraphicFramePr/>
                <a:graphic xmlns:a="http://schemas.openxmlformats.org/drawingml/2006/main">
                  <a:graphicData uri="http://schemas.microsoft.com/office/word/2010/wordprocessingShape">
                    <wps:wsp>
                      <wps:cNvSpPr txBox="1"/>
                      <wps:spPr>
                        <a:xfrm>
                          <a:off x="0" y="0"/>
                          <a:ext cx="376492" cy="33469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23C309" w14:textId="77777777" w:rsidR="008864ED" w:rsidRPr="00FA55C1" w:rsidRDefault="008864ED" w:rsidP="00F85482">
                            <w:pPr>
                              <w:rPr>
                                <w:b/>
                              </w:rPr>
                            </w:pPr>
                            <w:r w:rsidRPr="00FA55C1">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41" type="#_x0000_t202" style="position:absolute;left:0;text-align:left;margin-left:-1.5pt;margin-top:.65pt;width:29.65pt;height:26.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" filled="f" stroked="f">
                <v:textbox>
                  <w:txbxContent>
                    <w:p w14:paraId="7F23C309" w14:textId="77777777" w:rsidR="008864ED" w:rsidRPr="00FA55C1" w:rsidRDefault="008864ED" w:rsidP="00F85482">
                      <w:pPr>
                        <w:rPr>
                          <w:b/>
                        </w:rPr>
                      </w:pPr>
                      <w:r w:rsidRPr="00FA55C1">
                        <w:rPr>
                          <w:b/>
                        </w:rPr>
                        <w:t>B)</w:t>
                      </w:r>
                    </w:p>
                  </w:txbxContent>
                </v:textbox>
              </v:shape>
            </w:pict>
          </mc:Fallback>
        </mc:AlternateContent>
      </w:r>
      <w:r>
        <w:rPr>
          <w:rFonts w:eastAsia="Batang"/>
          <w:b w:val="0"/>
          <w:noProof/>
        </w:rPr>
        <w:drawing>
          <wp:inline distT="0" distB="0" distL="0" distR="0" wp14:anchorId="5935CC01" wp14:editId="29873106">
            <wp:extent cx="5486400" cy="5486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tiff"/>
                    <pic:cNvPicPr/>
                  </pic:nvPicPr>
                  <pic:blipFill>
                    <a:blip r:embed="rId52">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0396188B" w14:textId="77777777" w:rsidR="00F85482" w:rsidRDefault="00F85482">
      <w:pPr>
        <w:jc w:val="left"/>
        <w:rPr>
          <w:rFonts w:eastAsia="Batang"/>
          <w:lang w:eastAsia="ko-KR"/>
        </w:rPr>
      </w:pPr>
      <w:r>
        <w:rPr>
          <w:rFonts w:eastAsia="Batang"/>
          <w:lang w:eastAsia="ko-KR"/>
        </w:rPr>
        <w:br w:type="page"/>
      </w:r>
    </w:p>
    <w:p w14:paraId="39E5C25A" w14:textId="77777777" w:rsidR="00F85482" w:rsidRDefault="00F85482" w:rsidP="00F85482">
      <w:pPr>
        <w:keepNext/>
        <w:jc w:val="left"/>
      </w:pPr>
      <w:r w:rsidRPr="00C16570">
        <w:rPr>
          <w:noProof/>
        </w:rPr>
        <w:lastRenderedPageBreak/>
        <mc:AlternateContent>
          <mc:Choice Requires="wps">
            <w:drawing>
              <wp:anchor distT="0" distB="0" distL="114300" distR="114300" simplePos="0" relativeHeight="251698176" behindDoc="0" locked="0" layoutInCell="1" allowOverlap="1" wp14:anchorId="147357A2" wp14:editId="2723F5E1">
                <wp:simplePos x="0" y="0"/>
                <wp:positionH relativeFrom="column">
                  <wp:posOffset>0</wp:posOffset>
                </wp:positionH>
                <wp:positionV relativeFrom="paragraph">
                  <wp:posOffset>0</wp:posOffset>
                </wp:positionV>
                <wp:extent cx="375920" cy="33464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1EA38E" w14:textId="77777777" w:rsidR="008864ED" w:rsidRPr="00FA55C1" w:rsidRDefault="008864ED" w:rsidP="00F85482">
                            <w:pPr>
                              <w:rPr>
                                <w:b/>
                              </w:rPr>
                            </w:pPr>
                            <w:r w:rsidRPr="00FA55C1">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42" type="#_x0000_t202" style="position:absolute;margin-left:0;margin-top:0;width:29.6pt;height:26.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g4R9ICAAAXBgAADgAAAGRycy9lMm9Eb2MueG1srFRNb9swDL0P2H8QdE9tp07W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" filled="f" stroked="f">
                <v:textbox>
                  <w:txbxContent>
                    <w:p w14:paraId="2F1EA38E" w14:textId="77777777" w:rsidR="008864ED" w:rsidRPr="00FA55C1" w:rsidRDefault="008864ED" w:rsidP="00F85482">
                      <w:pPr>
                        <w:rPr>
                          <w:b/>
                        </w:rPr>
                      </w:pPr>
                      <w:r w:rsidRPr="00FA55C1">
                        <w:rPr>
                          <w:b/>
                        </w:rPr>
                        <w:t>C)</w:t>
                      </w:r>
                    </w:p>
                  </w:txbxContent>
                </v:textbox>
              </v:shape>
            </w:pict>
          </mc:Fallback>
        </mc:AlternateContent>
      </w:r>
      <w:r>
        <w:rPr>
          <w:rFonts w:eastAsia="Batang"/>
          <w:b/>
          <w:noProof/>
        </w:rPr>
        <w:drawing>
          <wp:inline distT="0" distB="0" distL="0" distR="0" wp14:anchorId="53A80F99" wp14:editId="588FFE84">
            <wp:extent cx="5486400" cy="5486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tiff"/>
                    <pic:cNvPicPr/>
                  </pic:nvPicPr>
                  <pic:blipFill>
                    <a:blip r:embed="rId53">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inline>
        </w:drawing>
      </w:r>
    </w:p>
    <w:p w14:paraId="101BF41C" w14:textId="21E6263D" w:rsidR="00F85482" w:rsidRDefault="00F85482" w:rsidP="00F85482">
      <w:pPr>
        <w:pStyle w:val="Caption"/>
        <w:rPr>
          <w:b w:val="0"/>
        </w:rPr>
      </w:pPr>
      <w:bookmarkStart w:id="73" w:name="_Toc296333120"/>
      <w:r>
        <w:t xml:space="preserve">Figure </w:t>
      </w:r>
      <w:fldSimple w:instr=" SEQ Figure \* ARABIC ">
        <w:r w:rsidR="002B3E83">
          <w:rPr>
            <w:noProof/>
          </w:rPr>
          <w:t>27</w:t>
        </w:r>
      </w:fldSimple>
      <w:r>
        <w:t xml:space="preserve"> Protein scatter plots comparing three models and FC.  </w:t>
      </w:r>
      <w:r>
        <w:rPr>
          <w:b w:val="0"/>
        </w:rPr>
        <w:t xml:space="preserve">False positive yeast proteins (blue color cross) and true positive human proteins (red color dot) were distributed on the plain of A) FDR-adjusted p-value of QP model and FC, B) FDR-adjusted p-value of NB model and FC and C) FDR-adjusted p-value of Normal model and FC.  Vertical line is 2-FC and horizontal line is 0.05 FDR.  Red-colored left-bottom section, divided by vertical and horizontal lines, is </w:t>
      </w:r>
      <w:r>
        <w:rPr>
          <w:b w:val="0"/>
        </w:rPr>
        <w:lastRenderedPageBreak/>
        <w:t>filtered by 2-FC after probability filter (FDR &lt; 0.05).  Little or none of FPs (blue dots) is removed by 2-FC.</w:t>
      </w:r>
      <w:bookmarkEnd w:id="73"/>
    </w:p>
    <w:p w14:paraId="30384B70" w14:textId="629F30B1" w:rsidR="00F85482" w:rsidRDefault="00F85482" w:rsidP="00F85482">
      <w:pPr>
        <w:pStyle w:val="Caption"/>
        <w:jc w:val="left"/>
        <w:rPr>
          <w:rFonts w:eastAsia="Batang"/>
          <w:lang w:eastAsia="ko-KR"/>
        </w:rPr>
      </w:pPr>
    </w:p>
    <w:p w14:paraId="748EB655" w14:textId="27B91CE4" w:rsidR="00CC235D" w:rsidRDefault="00CC235D">
      <w:pPr>
        <w:jc w:val="left"/>
        <w:rPr>
          <w:rFonts w:eastAsia="Batang"/>
          <w:lang w:eastAsia="ko-KR"/>
        </w:rPr>
      </w:pPr>
      <w:r>
        <w:rPr>
          <w:rFonts w:eastAsia="Batang"/>
          <w:lang w:eastAsia="ko-KR"/>
        </w:rPr>
        <w:br w:type="page"/>
      </w:r>
    </w:p>
    <w:p w14:paraId="7409D3A0" w14:textId="77777777" w:rsidR="00275581" w:rsidRPr="004030F5" w:rsidRDefault="00275581" w:rsidP="00275581">
      <w:pPr>
        <w:pStyle w:val="Heading3"/>
      </w:pPr>
      <w:bookmarkStart w:id="74" w:name="_Toc296333730"/>
      <w:r>
        <w:lastRenderedPageBreak/>
        <w:t>Monte Carlo simulation</w:t>
      </w:r>
      <w:bookmarkEnd w:id="74"/>
    </w:p>
    <w:p w14:paraId="223C0DE0" w14:textId="4CB453D7" w:rsidR="00A4335A" w:rsidRDefault="00275581" w:rsidP="00275581">
      <w:pPr>
        <w:spacing w:line="480" w:lineRule="auto"/>
        <w:ind w:firstLine="720"/>
        <w:rPr>
          <w:rFonts w:eastAsia="Batang"/>
          <w:lang w:eastAsia="ko-KR"/>
        </w:rPr>
      </w:pPr>
      <w:r w:rsidRPr="00C16570">
        <w:rPr>
          <w:rFonts w:eastAsia="Batang"/>
          <w:lang w:eastAsia="ko-KR"/>
        </w:rPr>
        <w:t xml:space="preserve">After the verifications of our method using the benchmark and actual experiment data, we explored our method via the Monte Carlo simulation (MC). </w:t>
      </w:r>
      <w:r w:rsidR="001D659A" w:rsidRPr="00C16570">
        <w:rPr>
          <w:rFonts w:eastAsia="Batang"/>
          <w:lang w:eastAsia="ko-KR"/>
        </w:rPr>
        <w:t>We generated random data based on Poisson distribution with mean expression level of each groups in Gregori data.  Then, we calculated statistics and counted TP and FP.  These simulations were repeated 1,000 times in order to investigate how much our approach is effective.  The simulation results are summarized and illustrated in Fig. 2.  We could confirm that Cohen’s ES have better power (0.</w:t>
      </w:r>
      <w:r w:rsidR="001D659A">
        <w:rPr>
          <w:rFonts w:eastAsia="Batang"/>
          <w:lang w:eastAsia="ko-KR"/>
        </w:rPr>
        <w:t>90</w:t>
      </w:r>
      <w:r w:rsidR="001D659A" w:rsidRPr="00C16570">
        <w:rPr>
          <w:rFonts w:eastAsia="Batang"/>
          <w:lang w:eastAsia="ko-KR"/>
        </w:rPr>
        <w:t xml:space="preserve"> for Cohen’s ES vs. 0.06~0.55 for </w:t>
      </w:r>
      <w:r w:rsidR="001D659A">
        <w:rPr>
          <w:rFonts w:eastAsia="Batang"/>
          <w:lang w:eastAsia="ko-KR"/>
        </w:rPr>
        <w:t>2-FC</w:t>
      </w:r>
      <w:r w:rsidR="001D659A" w:rsidRPr="00C16570">
        <w:rPr>
          <w:rFonts w:eastAsia="Batang"/>
          <w:lang w:eastAsia="ko-KR"/>
        </w:rPr>
        <w:t>) (Fig. 2</w:t>
      </w:r>
      <w:r w:rsidR="001D659A">
        <w:rPr>
          <w:rFonts w:eastAsia="Batang"/>
          <w:lang w:eastAsia="ko-KR"/>
        </w:rPr>
        <w:t>8</w:t>
      </w:r>
      <w:r w:rsidR="001D659A" w:rsidRPr="00C16570">
        <w:rPr>
          <w:rFonts w:eastAsia="Batang"/>
          <w:lang w:eastAsia="ko-KR"/>
        </w:rPr>
        <w:t xml:space="preserve">A), reduced FP greatly (29~32 for Cohen’s ES vs. 70~114 for </w:t>
      </w:r>
      <w:r w:rsidR="001D659A">
        <w:rPr>
          <w:rFonts w:eastAsia="Batang"/>
          <w:lang w:eastAsia="ko-KR"/>
        </w:rPr>
        <w:t>2-FC</w:t>
      </w:r>
      <w:r w:rsidR="001D659A" w:rsidRPr="00C16570">
        <w:rPr>
          <w:rFonts w:eastAsia="Batang"/>
          <w:lang w:eastAsia="ko-KR"/>
        </w:rPr>
        <w:t>) (Fig. 2</w:t>
      </w:r>
      <w:r w:rsidR="001D659A">
        <w:rPr>
          <w:rFonts w:eastAsia="Batang"/>
          <w:lang w:eastAsia="ko-KR"/>
        </w:rPr>
        <w:t>8</w:t>
      </w:r>
      <w:r w:rsidR="001D659A" w:rsidRPr="00C16570">
        <w:rPr>
          <w:rFonts w:eastAsia="Batang"/>
          <w:lang w:eastAsia="ko-KR"/>
        </w:rPr>
        <w:t>B) and lost few</w:t>
      </w:r>
      <w:r w:rsidR="001D659A">
        <w:rPr>
          <w:rFonts w:eastAsia="Batang"/>
          <w:lang w:eastAsia="ko-KR"/>
        </w:rPr>
        <w:t>er</w:t>
      </w:r>
      <w:r w:rsidR="001D659A" w:rsidRPr="00C16570">
        <w:rPr>
          <w:rFonts w:eastAsia="Batang"/>
          <w:lang w:eastAsia="ko-KR"/>
        </w:rPr>
        <w:t xml:space="preserve"> TP (20 for Cohen’s ES vs. 27~32 for </w:t>
      </w:r>
      <w:r w:rsidR="001D659A">
        <w:rPr>
          <w:rFonts w:eastAsia="Batang"/>
          <w:lang w:eastAsia="ko-KR"/>
        </w:rPr>
        <w:t>2-FC</w:t>
      </w:r>
      <w:r w:rsidR="001D659A" w:rsidRPr="00C16570">
        <w:rPr>
          <w:rFonts w:eastAsia="Batang"/>
          <w:lang w:eastAsia="ko-KR"/>
        </w:rPr>
        <w:t>) (Fig. 2</w:t>
      </w:r>
      <w:r w:rsidR="001D659A">
        <w:rPr>
          <w:rFonts w:eastAsia="Batang"/>
          <w:lang w:eastAsia="ko-KR"/>
        </w:rPr>
        <w:t>8</w:t>
      </w:r>
      <w:r w:rsidR="001D659A" w:rsidRPr="00C16570">
        <w:rPr>
          <w:rFonts w:eastAsia="Batang"/>
          <w:lang w:eastAsia="ko-KR"/>
        </w:rPr>
        <w:t xml:space="preserve">C) when compared with </w:t>
      </w:r>
      <w:r w:rsidR="001D659A">
        <w:rPr>
          <w:rFonts w:eastAsia="Batang"/>
          <w:lang w:eastAsia="ko-KR"/>
        </w:rPr>
        <w:t>2-FC</w:t>
      </w:r>
      <w:r w:rsidR="001D659A" w:rsidRPr="00C16570">
        <w:rPr>
          <w:rFonts w:eastAsia="Batang"/>
          <w:lang w:eastAsia="ko-KR"/>
        </w:rPr>
        <w:t xml:space="preserve">.  </w:t>
      </w:r>
      <w:r w:rsidR="00423087">
        <w:rPr>
          <w:rFonts w:eastAsia="Batang"/>
          <w:lang w:eastAsia="ko-KR"/>
        </w:rPr>
        <w:t xml:space="preserve">FP rate is the probability of falsely rejecting the null hypothesis and is calculated by FP divided by total number of yeast proteins in Gregori data.  </w:t>
      </w:r>
      <w:r w:rsidR="00423087" w:rsidRPr="00C16570">
        <w:rPr>
          <w:rFonts w:eastAsia="Batang"/>
          <w:lang w:eastAsia="ko-KR"/>
        </w:rPr>
        <w:t xml:space="preserve">Cohen’s ES has a smaller FP rate than </w:t>
      </w:r>
      <w:r w:rsidR="00423087">
        <w:rPr>
          <w:rFonts w:eastAsia="Batang"/>
          <w:lang w:eastAsia="ko-KR"/>
        </w:rPr>
        <w:t>2-FC</w:t>
      </w:r>
      <w:r w:rsidR="00423087" w:rsidRPr="00C16570">
        <w:rPr>
          <w:rFonts w:eastAsia="Batang"/>
          <w:lang w:eastAsia="ko-KR"/>
        </w:rPr>
        <w:t xml:space="preserve"> (&lt; 5% of Cohen’s ES vs. &gt; 11% of </w:t>
      </w:r>
      <w:r w:rsidR="00423087">
        <w:rPr>
          <w:rFonts w:eastAsia="Batang"/>
          <w:lang w:eastAsia="ko-KR"/>
        </w:rPr>
        <w:t>2-FC</w:t>
      </w:r>
      <w:r w:rsidR="00423087" w:rsidRPr="00C16570">
        <w:rPr>
          <w:rFonts w:eastAsia="Batang"/>
          <w:lang w:eastAsia="ko-KR"/>
        </w:rPr>
        <w:t xml:space="preserve">), which means that our method is better at discerning FP than </w:t>
      </w:r>
      <w:r w:rsidR="00423087">
        <w:rPr>
          <w:rFonts w:eastAsia="Batang"/>
          <w:lang w:eastAsia="ko-KR"/>
        </w:rPr>
        <w:t>2-FC</w:t>
      </w:r>
      <w:r w:rsidR="00423087" w:rsidRPr="00C16570">
        <w:rPr>
          <w:rFonts w:eastAsia="Batang"/>
          <w:lang w:eastAsia="ko-KR"/>
        </w:rPr>
        <w:t xml:space="preserve"> (Fig. 2</w:t>
      </w:r>
      <w:r w:rsidR="0020787B">
        <w:rPr>
          <w:rFonts w:eastAsia="Batang"/>
          <w:lang w:eastAsia="ko-KR"/>
        </w:rPr>
        <w:t>8</w:t>
      </w:r>
      <w:r w:rsidR="00423087" w:rsidRPr="00C16570">
        <w:rPr>
          <w:rFonts w:eastAsia="Batang"/>
          <w:lang w:eastAsia="ko-KR"/>
        </w:rPr>
        <w:t xml:space="preserve">D).  </w:t>
      </w:r>
    </w:p>
    <w:p w14:paraId="522DB9C1" w14:textId="77777777" w:rsidR="00423087" w:rsidRPr="00423087" w:rsidRDefault="00423087" w:rsidP="00423087">
      <w:pPr>
        <w:spacing w:line="480" w:lineRule="auto"/>
        <w:ind w:firstLine="720"/>
        <w:rPr>
          <w:rFonts w:eastAsia="Batang"/>
          <w:lang w:eastAsia="ko-KR"/>
        </w:rPr>
      </w:pPr>
    </w:p>
    <w:p w14:paraId="74ED1839" w14:textId="441F9D58" w:rsidR="00A4335A" w:rsidRPr="004030F5" w:rsidRDefault="00423087" w:rsidP="00A4335A">
      <w:pPr>
        <w:pStyle w:val="Heading2"/>
        <w:spacing w:line="480" w:lineRule="auto"/>
        <w:rPr>
          <w:b w:val="0"/>
          <w:bCs w:val="0"/>
        </w:rPr>
      </w:pPr>
      <w:bookmarkStart w:id="75" w:name="_Toc296333731"/>
      <w:r>
        <w:t>Conclusion</w:t>
      </w:r>
      <w:bookmarkEnd w:id="75"/>
    </w:p>
    <w:p w14:paraId="46DF617F" w14:textId="77777777" w:rsidR="003729E2" w:rsidRDefault="007C26E6" w:rsidP="00AA08DE">
      <w:pPr>
        <w:spacing w:line="480" w:lineRule="auto"/>
        <w:ind w:firstLine="720"/>
        <w:rPr>
          <w:rFonts w:eastAsia="Batang"/>
          <w:lang w:eastAsia="ko-KR"/>
        </w:rPr>
      </w:pPr>
      <w:r w:rsidRPr="00C16570">
        <w:rPr>
          <w:rFonts w:eastAsia="Batang"/>
          <w:lang w:eastAsia="ko-KR"/>
        </w:rPr>
        <w:t>P-values should not be the only piece of information used to discern reproducible findings in biological studies.  Although effect size filters can complement p-value information, fold-change, widely used effect size in biological data analysis, is not sufficient.  We suggest using Cohen’s effect size</w:t>
      </w:r>
      <w:r>
        <w:rPr>
          <w:rFonts w:eastAsia="Batang"/>
          <w:lang w:eastAsia="ko-KR"/>
        </w:rPr>
        <w:t>s</w:t>
      </w:r>
      <w:r w:rsidRPr="00C16570">
        <w:rPr>
          <w:rFonts w:eastAsia="Batang"/>
          <w:lang w:eastAsia="ko-KR"/>
        </w:rPr>
        <w:t xml:space="preserve"> at a desired statistical </w:t>
      </w:r>
      <w:r>
        <w:rPr>
          <w:rFonts w:eastAsia="Batang"/>
          <w:lang w:eastAsia="ko-KR"/>
        </w:rPr>
        <w:t xml:space="preserve">power.  </w:t>
      </w:r>
    </w:p>
    <w:p w14:paraId="4AEC8139" w14:textId="51D06012" w:rsidR="003729E2" w:rsidRDefault="00956351" w:rsidP="003729E2">
      <w:pPr>
        <w:keepNext/>
        <w:jc w:val="left"/>
      </w:pPr>
      <w:r w:rsidRPr="00C16570">
        <w:rPr>
          <w:noProof/>
        </w:rPr>
        <w:lastRenderedPageBreak/>
        <mc:AlternateContent>
          <mc:Choice Requires="wps">
            <w:drawing>
              <wp:anchor distT="0" distB="0" distL="114300" distR="114300" simplePos="0" relativeHeight="251715584" behindDoc="0" locked="0" layoutInCell="1" allowOverlap="1" wp14:anchorId="5003EFB3" wp14:editId="0E1C508E">
                <wp:simplePos x="0" y="0"/>
                <wp:positionH relativeFrom="column">
                  <wp:posOffset>2493645</wp:posOffset>
                </wp:positionH>
                <wp:positionV relativeFrom="paragraph">
                  <wp:posOffset>1837055</wp:posOffset>
                </wp:positionV>
                <wp:extent cx="375920" cy="334645"/>
                <wp:effectExtent l="0" t="0" r="0" b="0"/>
                <wp:wrapNone/>
                <wp:docPr id="61" name="Text Box 61"/>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E3527E" w14:textId="2035C539" w:rsidR="008864ED" w:rsidRPr="00FA55C1" w:rsidRDefault="008864ED" w:rsidP="00956351">
                            <w:pPr>
                              <w:rPr>
                                <w:b/>
                              </w:rPr>
                            </w:pPr>
                            <w:r>
                              <w:rPr>
                                <w:b/>
                              </w:rPr>
                              <w:t>D</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43" type="#_x0000_t202" style="position:absolute;margin-left:196.35pt;margin-top:144.65pt;width:29.6pt;height:26.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" filled="f" stroked="f">
                <v:textbox>
                  <w:txbxContent>
                    <w:p w14:paraId="26E3527E" w14:textId="2035C539" w:rsidR="008864ED" w:rsidRPr="00FA55C1" w:rsidRDefault="008864ED" w:rsidP="00956351">
                      <w:pPr>
                        <w:rPr>
                          <w:b/>
                        </w:rPr>
                      </w:pPr>
                      <w:r>
                        <w:rPr>
                          <w:b/>
                        </w:rPr>
                        <w:t>D</w:t>
                      </w:r>
                      <w:r w:rsidRPr="00FA55C1">
                        <w:rPr>
                          <w:b/>
                        </w:rPr>
                        <w:t>)</w:t>
                      </w:r>
                    </w:p>
                  </w:txbxContent>
                </v:textbox>
              </v:shape>
            </w:pict>
          </mc:Fallback>
        </mc:AlternateContent>
      </w:r>
      <w:r w:rsidRPr="00C16570">
        <w:rPr>
          <w:noProof/>
        </w:rPr>
        <mc:AlternateContent>
          <mc:Choice Requires="wps">
            <w:drawing>
              <wp:anchor distT="0" distB="0" distL="114300" distR="114300" simplePos="0" relativeHeight="251713536" behindDoc="0" locked="0" layoutInCell="1" allowOverlap="1" wp14:anchorId="5B2109B0" wp14:editId="070C0086">
                <wp:simplePos x="0" y="0"/>
                <wp:positionH relativeFrom="column">
                  <wp:posOffset>2493645</wp:posOffset>
                </wp:positionH>
                <wp:positionV relativeFrom="paragraph">
                  <wp:posOffset>0</wp:posOffset>
                </wp:positionV>
                <wp:extent cx="375920" cy="334645"/>
                <wp:effectExtent l="0" t="0" r="0" b="0"/>
                <wp:wrapNone/>
                <wp:docPr id="60" name="Text Box 60"/>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08A489" w14:textId="36D8668F" w:rsidR="008864ED" w:rsidRPr="00FA55C1" w:rsidRDefault="008864ED" w:rsidP="00956351">
                            <w:pPr>
                              <w:rPr>
                                <w:b/>
                              </w:rPr>
                            </w:pPr>
                            <w:r>
                              <w:rPr>
                                <w:b/>
                              </w:rPr>
                              <w:t>B</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44" type="#_x0000_t202" style="position:absolute;margin-left:196.35pt;margin-top:0;width:29.6pt;height:26.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71EVdICAAAXBgAADgAAAGRycy9lMm9Eb2MueG1srFRNb9swDL0P2H8QdE9tp07W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" filled="f" stroked="f">
                <v:textbox>
                  <w:txbxContent>
                    <w:p w14:paraId="7A08A489" w14:textId="36D8668F" w:rsidR="008864ED" w:rsidRPr="00FA55C1" w:rsidRDefault="008864ED" w:rsidP="00956351">
                      <w:pPr>
                        <w:rPr>
                          <w:b/>
                        </w:rPr>
                      </w:pPr>
                      <w:r>
                        <w:rPr>
                          <w:b/>
                        </w:rPr>
                        <w:t>B</w:t>
                      </w:r>
                      <w:r w:rsidRPr="00FA55C1">
                        <w:rPr>
                          <w:b/>
                        </w:rPr>
                        <w:t>)</w:t>
                      </w:r>
                    </w:p>
                  </w:txbxContent>
                </v:textbox>
              </v:shape>
            </w:pict>
          </mc:Fallback>
        </mc:AlternateContent>
      </w:r>
      <w:r w:rsidRPr="00C16570">
        <w:rPr>
          <w:noProof/>
        </w:rPr>
        <mc:AlternateContent>
          <mc:Choice Requires="wps">
            <w:drawing>
              <wp:anchor distT="0" distB="0" distL="114300" distR="114300" simplePos="0" relativeHeight="251711488" behindDoc="0" locked="0" layoutInCell="1" allowOverlap="1" wp14:anchorId="7B82C436" wp14:editId="7380B293">
                <wp:simplePos x="0" y="0"/>
                <wp:positionH relativeFrom="column">
                  <wp:posOffset>-118745</wp:posOffset>
                </wp:positionH>
                <wp:positionV relativeFrom="paragraph">
                  <wp:posOffset>0</wp:posOffset>
                </wp:positionV>
                <wp:extent cx="375920" cy="33464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34CFD5" w14:textId="2BF89213" w:rsidR="008864ED" w:rsidRPr="00FA55C1" w:rsidRDefault="008864ED" w:rsidP="00956351">
                            <w:pPr>
                              <w:rPr>
                                <w:b/>
                              </w:rPr>
                            </w:pPr>
                            <w:r>
                              <w:rPr>
                                <w:b/>
                              </w:rPr>
                              <w:t>A</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45" type="#_x0000_t202" style="position:absolute;margin-left:-9.3pt;margin-top:0;width:29.6pt;height:26.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" filled="f" stroked="f">
                <v:textbox>
                  <w:txbxContent>
                    <w:p w14:paraId="4A34CFD5" w14:textId="2BF89213" w:rsidR="008864ED" w:rsidRPr="00FA55C1" w:rsidRDefault="008864ED" w:rsidP="00956351">
                      <w:pPr>
                        <w:rPr>
                          <w:b/>
                        </w:rPr>
                      </w:pPr>
                      <w:r>
                        <w:rPr>
                          <w:b/>
                        </w:rPr>
                        <w:t>A</w:t>
                      </w:r>
                      <w:r w:rsidRPr="00FA55C1">
                        <w:rPr>
                          <w:b/>
                        </w:rPr>
                        <w:t>)</w:t>
                      </w:r>
                    </w:p>
                  </w:txbxContent>
                </v:textbox>
              </v:shape>
            </w:pict>
          </mc:Fallback>
        </mc:AlternateContent>
      </w:r>
      <w:r w:rsidRPr="00C16570">
        <w:rPr>
          <w:noProof/>
        </w:rPr>
        <mc:AlternateContent>
          <mc:Choice Requires="wps">
            <w:drawing>
              <wp:anchor distT="0" distB="0" distL="114300" distR="114300" simplePos="0" relativeHeight="251709440" behindDoc="0" locked="0" layoutInCell="1" allowOverlap="1" wp14:anchorId="06E37FDB" wp14:editId="42026DBA">
                <wp:simplePos x="0" y="0"/>
                <wp:positionH relativeFrom="column">
                  <wp:posOffset>-118745</wp:posOffset>
                </wp:positionH>
                <wp:positionV relativeFrom="paragraph">
                  <wp:posOffset>1828800</wp:posOffset>
                </wp:positionV>
                <wp:extent cx="375920" cy="33464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023E51" w14:textId="77777777" w:rsidR="008864ED" w:rsidRPr="00FA55C1" w:rsidRDefault="008864ED" w:rsidP="00956351">
                            <w:pPr>
                              <w:rPr>
                                <w:b/>
                              </w:rPr>
                            </w:pPr>
                            <w:r w:rsidRPr="00FA55C1">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6" type="#_x0000_t202" style="position:absolute;margin-left:-9.3pt;margin-top:2in;width:29.6pt;height:26.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" filled="f" stroked="f">
                <v:textbox>
                  <w:txbxContent>
                    <w:p w14:paraId="36023E51" w14:textId="77777777" w:rsidR="008864ED" w:rsidRPr="00FA55C1" w:rsidRDefault="008864ED" w:rsidP="00956351">
                      <w:pPr>
                        <w:rPr>
                          <w:b/>
                        </w:rPr>
                      </w:pPr>
                      <w:r w:rsidRPr="00FA55C1">
                        <w:rPr>
                          <w:b/>
                        </w:rPr>
                        <w:t>C)</w:t>
                      </w:r>
                    </w:p>
                  </w:txbxContent>
                </v:textbox>
              </v:shape>
            </w:pict>
          </mc:Fallback>
        </mc:AlternateContent>
      </w:r>
      <w:r w:rsidR="003729E2" w:rsidRPr="00C16570">
        <w:rPr>
          <w:rFonts w:eastAsia="Batang"/>
          <w:noProof/>
        </w:rPr>
        <w:drawing>
          <wp:inline distT="0" distB="0" distL="0" distR="0" wp14:anchorId="4B181BC4" wp14:editId="76EE0D49">
            <wp:extent cx="5479156" cy="3652770"/>
            <wp:effectExtent l="0" t="0" r="7620"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HL:Documents:MyData:ORNL:02_MyJob:Feature_selection:Nature method:Figure_2_modified.tif"/>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5479156" cy="3652770"/>
                    </a:xfrm>
                    <a:prstGeom prst="rect">
                      <a:avLst/>
                    </a:prstGeom>
                    <a:noFill/>
                    <a:ln>
                      <a:noFill/>
                    </a:ln>
                    <a:extLst>
                      <a:ext uri="{53640926-AAD7-44d8-BBD7-CCE9431645EC}">
                        <a14:shadowObscured xmlns:a14="http://schemas.microsoft.com/office/drawing/2010/main"/>
                      </a:ext>
                    </a:extLst>
                  </pic:spPr>
                </pic:pic>
              </a:graphicData>
            </a:graphic>
          </wp:inline>
        </w:drawing>
      </w:r>
    </w:p>
    <w:p w14:paraId="6E2636FB" w14:textId="77777777" w:rsidR="003729E2" w:rsidRPr="00BE044D" w:rsidRDefault="003729E2" w:rsidP="003729E2">
      <w:pPr>
        <w:pStyle w:val="Caption"/>
        <w:rPr>
          <w:b w:val="0"/>
          <w:lang w:eastAsia="ko-KR"/>
        </w:rPr>
      </w:pPr>
      <w:bookmarkStart w:id="76" w:name="_Toc296333121"/>
      <w:r>
        <w:t xml:space="preserve">Figure </w:t>
      </w:r>
      <w:fldSimple w:instr=" SEQ Figure \* ARABIC ">
        <w:r w:rsidR="002B3E83">
          <w:rPr>
            <w:noProof/>
          </w:rPr>
          <w:t>28</w:t>
        </w:r>
      </w:fldSimple>
      <w:r>
        <w:t xml:space="preserve"> </w:t>
      </w:r>
      <w:r w:rsidRPr="00BE044D">
        <w:rPr>
          <w:lang w:eastAsia="ko-KR"/>
        </w:rPr>
        <w:t>Boxplots of 1,000 times Monte Carlo simulation of Gregori data</w:t>
      </w:r>
      <w:r w:rsidRPr="00BE044D">
        <w:rPr>
          <w:b w:val="0"/>
          <w:lang w:eastAsia="ko-KR"/>
        </w:rPr>
        <w:t>.  A) Statistical power, B) the number of false positives (yeast proteins), C) the number of true positives (human proteins) and D) FP Rate, FP/(FP+TN), of 1,000 times Monte Carlo simulation, based on Gregori data, for 6 method sets,</w:t>
      </w:r>
      <w:r>
        <w:rPr>
          <w:rFonts w:eastAsia="Batang"/>
          <w:b w:val="0"/>
          <w:szCs w:val="24"/>
          <w:lang w:eastAsia="ko-KR"/>
        </w:rPr>
        <w:t xml:space="preserve"> </w:t>
      </w:r>
      <w:r w:rsidRPr="00971F4E">
        <w:rPr>
          <w:rFonts w:eastAsia="Batang"/>
          <w:b w:val="0"/>
          <w:szCs w:val="24"/>
          <w:lang w:eastAsia="ko-KR"/>
        </w:rPr>
        <w:t>QP_F</w:t>
      </w:r>
      <w:r>
        <w:rPr>
          <w:rFonts w:eastAsia="Batang"/>
          <w:b w:val="0"/>
          <w:szCs w:val="24"/>
          <w:lang w:eastAsia="ko-KR"/>
        </w:rPr>
        <w:t xml:space="preserve">, </w:t>
      </w:r>
      <w:r w:rsidRPr="00C16570">
        <w:rPr>
          <w:rFonts w:eastAsia="Batang"/>
          <w:b w:val="0"/>
          <w:szCs w:val="24"/>
          <w:lang w:eastAsia="ko-KR"/>
        </w:rPr>
        <w:t>QP_FC</w:t>
      </w:r>
      <w:r>
        <w:rPr>
          <w:rFonts w:eastAsia="Batang"/>
          <w:b w:val="0"/>
          <w:szCs w:val="24"/>
          <w:lang w:eastAsia="ko-KR"/>
        </w:rPr>
        <w:t xml:space="preserve">, </w:t>
      </w:r>
      <w:r w:rsidRPr="00C16570">
        <w:rPr>
          <w:rFonts w:eastAsia="Batang"/>
          <w:b w:val="0"/>
          <w:szCs w:val="24"/>
          <w:lang w:eastAsia="ko-KR"/>
        </w:rPr>
        <w:t>NB_W</w:t>
      </w:r>
      <w:r>
        <w:rPr>
          <w:rFonts w:eastAsia="Batang"/>
          <w:b w:val="0"/>
          <w:szCs w:val="24"/>
          <w:lang w:eastAsia="ko-KR"/>
        </w:rPr>
        <w:t xml:space="preserve">, </w:t>
      </w:r>
      <w:r w:rsidRPr="00C16570">
        <w:rPr>
          <w:rFonts w:eastAsia="Batang"/>
          <w:b w:val="0"/>
          <w:szCs w:val="24"/>
          <w:lang w:eastAsia="ko-KR"/>
        </w:rPr>
        <w:t>NB_FC</w:t>
      </w:r>
      <w:r>
        <w:rPr>
          <w:rFonts w:eastAsia="Batang"/>
          <w:b w:val="0"/>
          <w:szCs w:val="24"/>
          <w:lang w:eastAsia="ko-KR"/>
        </w:rPr>
        <w:t xml:space="preserve">, </w:t>
      </w:r>
      <w:r w:rsidRPr="00C16570">
        <w:rPr>
          <w:rFonts w:eastAsia="Batang"/>
          <w:b w:val="0"/>
          <w:szCs w:val="24"/>
          <w:lang w:eastAsia="ko-KR"/>
        </w:rPr>
        <w:t>NOR_F</w:t>
      </w:r>
      <w:r>
        <w:rPr>
          <w:rFonts w:eastAsia="Batang"/>
          <w:b w:val="0"/>
          <w:szCs w:val="24"/>
          <w:lang w:eastAsia="ko-KR"/>
        </w:rPr>
        <w:t xml:space="preserve"> and </w:t>
      </w:r>
      <w:r w:rsidRPr="00C16570">
        <w:rPr>
          <w:rFonts w:eastAsia="Batang"/>
          <w:b w:val="0"/>
          <w:szCs w:val="24"/>
          <w:lang w:eastAsia="ko-KR"/>
        </w:rPr>
        <w:t>NOR_FC</w:t>
      </w:r>
      <w:r>
        <w:rPr>
          <w:rFonts w:eastAsia="Batang"/>
          <w:b w:val="0"/>
          <w:szCs w:val="24"/>
          <w:lang w:eastAsia="ko-KR"/>
        </w:rPr>
        <w:t xml:space="preserve"> described in supplementary table 1</w:t>
      </w:r>
      <w:r w:rsidRPr="00BE044D">
        <w:rPr>
          <w:b w:val="0"/>
          <w:lang w:eastAsia="ko-KR"/>
        </w:rPr>
        <w:t xml:space="preserve">.  </w:t>
      </w:r>
      <w:r>
        <w:rPr>
          <w:b w:val="0"/>
          <w:lang w:eastAsia="ko-KR"/>
        </w:rPr>
        <w:t>FDR thresholds for QP, NB and NOR are 0.05 and Cohen’s ES (</w:t>
      </w:r>
      <w:r w:rsidRPr="00E83AB8">
        <w:rPr>
          <w:b w:val="0"/>
          <w:i/>
          <w:lang w:eastAsia="ko-KR"/>
        </w:rPr>
        <w:t>f</w:t>
      </w:r>
      <w:r>
        <w:rPr>
          <w:b w:val="0"/>
          <w:lang w:eastAsia="ko-KR"/>
        </w:rPr>
        <w:t xml:space="preserve"> and </w:t>
      </w:r>
      <w:r w:rsidRPr="00E83AB8">
        <w:rPr>
          <w:b w:val="0"/>
          <w:i/>
          <w:lang w:eastAsia="ko-KR"/>
        </w:rPr>
        <w:t>w</w:t>
      </w:r>
      <w:r>
        <w:rPr>
          <w:b w:val="0"/>
          <w:lang w:eastAsia="ko-KR"/>
        </w:rPr>
        <w:t xml:space="preserve">) threshold is 90% statistical power.  </w:t>
      </w:r>
      <w:r w:rsidRPr="00BE044D">
        <w:rPr>
          <w:b w:val="0"/>
          <w:lang w:eastAsia="ko-KR"/>
        </w:rPr>
        <w:t>TN: True Negative (The number of total yeast proteins in Gregori data – FP).</w:t>
      </w:r>
      <w:bookmarkEnd w:id="76"/>
    </w:p>
    <w:p w14:paraId="7A2C508B" w14:textId="77777777" w:rsidR="003729E2" w:rsidRDefault="003729E2">
      <w:pPr>
        <w:jc w:val="left"/>
        <w:rPr>
          <w:rFonts w:eastAsia="Batang"/>
          <w:lang w:eastAsia="ko-KR"/>
        </w:rPr>
      </w:pPr>
      <w:r>
        <w:rPr>
          <w:rFonts w:eastAsia="Batang"/>
          <w:lang w:eastAsia="ko-KR"/>
        </w:rPr>
        <w:br w:type="page"/>
      </w:r>
    </w:p>
    <w:p w14:paraId="1C6EC661" w14:textId="00332A87" w:rsidR="00F048C3" w:rsidRDefault="00841671" w:rsidP="00CE54BD">
      <w:pPr>
        <w:spacing w:line="480" w:lineRule="auto"/>
        <w:rPr>
          <w:rFonts w:cs="Arial"/>
          <w:b/>
          <w:bCs/>
          <w:iCs/>
          <w:sz w:val="28"/>
          <w:szCs w:val="28"/>
        </w:rPr>
      </w:pPr>
      <w:r w:rsidRPr="00C16570">
        <w:rPr>
          <w:rFonts w:eastAsia="Batang"/>
          <w:lang w:eastAsia="ko-KR"/>
        </w:rPr>
        <w:lastRenderedPageBreak/>
        <w:t>The benchmark test and MC simulation show that our method can reduce a number of FP while losing relatively small number of TP.  This drop of FP is meaningful because many published research findings are concerned by potential false positives due to misused statistical approaches including low statistical power</w:t>
      </w:r>
      <w:r w:rsidRPr="00C16570">
        <w:rPr>
          <w:rFonts w:eastAsia="Batang"/>
          <w:lang w:eastAsia="ko-KR"/>
        </w:rPr>
        <w:fldChar w:fldCharType="begin"/>
      </w:r>
      <w:r w:rsidR="00910455">
        <w:rPr>
          <w:rFonts w:eastAsia="Batang"/>
          <w:lang w:eastAsia="ko-KR"/>
        </w:rPr>
        <w:instrText xml:space="preserve"> ADDIN EN.CITE &lt;EndNote&gt;&lt;Cite&gt;&lt;Author&gt;Ioannidis&lt;/Author&gt;&lt;Year&gt;2005&lt;/Year&gt;&lt;RecNum&gt;116&lt;/RecNum&gt;&lt;DisplayText&gt;[103,115]&lt;/DisplayText&gt;&lt;record&gt;&lt;rec-number&gt;116&lt;/rec-number&gt;&lt;foreign-keys&gt;&lt;key app="EN" db-id="efx2002d5f0z21etvw3x9zp7tw2axpa2eez0" timestamp="1434471120"&gt;116&lt;/key&gt;&lt;/foreign-keys&gt;&lt;ref-type name="Journal Article"&gt;17&lt;/ref-type&gt;&lt;contributors&gt;&lt;authors&gt;&lt;author&gt;Ioannidis, John PA&lt;/author&gt;&lt;/authors&gt;&lt;/contributors&gt;&lt;titles&gt;&lt;title&gt;Why most published research findings are false&lt;/title&gt;&lt;secondary-title&gt;PLoS medicine&lt;/secondary-title&gt;&lt;/titles&gt;&lt;periodical&gt;&lt;full-title&gt;PLoS medicine&lt;/full-title&gt;&lt;/periodical&gt;&lt;pages&gt;e124&lt;/pages&gt;&lt;volume&gt;2&lt;/volume&gt;&lt;number&gt;8&lt;/number&gt;&lt;dates&gt;&lt;year&gt;2005&lt;/year&gt;&lt;/dates&gt;&lt;isbn&gt;1549-1676&lt;/isbn&gt;&lt;urls&gt;&lt;/urls&gt;&lt;/record&gt;&lt;/Cite&gt;&lt;Cite&gt;&lt;Author&gt;Button&lt;/Author&gt;&lt;Year&gt;2013&lt;/Year&gt;&lt;RecNum&gt;107&lt;/RecNum&gt;&lt;record&gt;&lt;rec-number&gt;107&lt;/rec-number&gt;&lt;foreign-keys&gt;&lt;key app="EN" db-id="efx2002d5f0z21etvw3x9zp7tw2axpa2eez0" timestamp="1434471120"&gt;107&lt;/key&gt;&lt;/foreign-keys&gt;&lt;ref-type name="Journal Article"&gt;17&lt;/ref-type&gt;&lt;contributors&gt;&lt;authors&gt;&lt;author&gt;Button, Katherine S&lt;/author&gt;&lt;author&gt;Ioannidis, John PA&lt;/author&gt;&lt;author&gt;Mokrysz, Claire&lt;/author&gt;&lt;author&gt;Nosek, Brian A&lt;/author&gt;&lt;author&gt;Flint, Jonathan&lt;/author&gt;&lt;author&gt;Robinson, Emma SJ&lt;/author&gt;&lt;author&gt;Munafò, Marcus R&lt;/author&gt;&lt;/authors&gt;&lt;/contributors&gt;&lt;titles&gt;&lt;title&gt;Power failure: why small sample size undermines the reliability of neuroscience&lt;/title&gt;&lt;secondary-title&gt;Nature Reviews Neuroscience&lt;/secondary-title&gt;&lt;/titles&gt;&lt;periodical&gt;&lt;full-title&gt;Nature Reviews Neuroscience&lt;/full-title&gt;&lt;/periodical&gt;&lt;pages&gt;365-376&lt;/pages&gt;&lt;volume&gt;14&lt;/volume&gt;&lt;number&gt;5&lt;/number&gt;&lt;dates&gt;&lt;year&gt;2013&lt;/year&gt;&lt;/dates&gt;&lt;isbn&gt;1471-003X&lt;/isbn&gt;&lt;urls&gt;&lt;/urls&gt;&lt;/record&gt;&lt;/Cite&gt;&lt;/EndNote&gt;</w:instrText>
      </w:r>
      <w:r w:rsidRPr="00C16570">
        <w:rPr>
          <w:rFonts w:eastAsia="Batang"/>
          <w:lang w:eastAsia="ko-KR"/>
        </w:rPr>
        <w:fldChar w:fldCharType="separate"/>
      </w:r>
      <w:r w:rsidR="00910455">
        <w:rPr>
          <w:rFonts w:eastAsia="Batang"/>
          <w:noProof/>
          <w:lang w:eastAsia="ko-KR"/>
        </w:rPr>
        <w:t>[103,115]</w:t>
      </w:r>
      <w:r w:rsidRPr="00C16570">
        <w:rPr>
          <w:rFonts w:eastAsia="Batang"/>
          <w:lang w:eastAsia="ko-KR"/>
        </w:rPr>
        <w:fldChar w:fldCharType="end"/>
      </w:r>
      <w:r w:rsidRPr="00C16570">
        <w:rPr>
          <w:rFonts w:eastAsia="Batang"/>
          <w:lang w:eastAsia="ko-KR"/>
        </w:rPr>
        <w:t>.</w:t>
      </w:r>
      <w:r>
        <w:rPr>
          <w:rFonts w:eastAsia="Batang"/>
          <w:lang w:eastAsia="ko-KR"/>
        </w:rPr>
        <w:t xml:space="preserve">  In addition to QP, NB and NOR, Cohen’s ES can be associated with another type of probability-based method, such as QProt</w:t>
      </w:r>
      <w:r>
        <w:rPr>
          <w:rFonts w:eastAsia="Batang"/>
          <w:lang w:eastAsia="ko-KR"/>
        </w:rPr>
        <w:fldChar w:fldCharType="begin"/>
      </w:r>
      <w:r w:rsidR="00910455">
        <w:rPr>
          <w:rFonts w:eastAsia="Batang"/>
          <w:lang w:eastAsia="ko-KR"/>
        </w:rPr>
        <w:instrText xml:space="preserve"> ADDIN EN.CITE &lt;EndNote&gt;&lt;Cite&gt;&lt;Author&gt;Choi&lt;/Author&gt;&lt;Year&gt;2008&lt;/Year&gt;&lt;RecNum&gt;109&lt;/RecNum&gt;&lt;DisplayText&gt;[116]&lt;/DisplayText&gt;&lt;record&gt;&lt;rec-number&gt;109&lt;/rec-number&gt;&lt;foreign-keys&gt;&lt;key app="EN" db-id="efx2002d5f0z21etvw3x9zp7tw2axpa2eez0" timestamp="1434471120"&gt;109&lt;/key&gt;&lt;/foreign-keys&gt;&lt;ref-type name="Journal Article"&gt;17&lt;/ref-type&gt;&lt;contributors&gt;&lt;authors&gt;&lt;author&gt;Choi, Hyungwon&lt;/author&gt;&lt;author&gt;Fermin, Damian&lt;/author&gt;&lt;author&gt;Nesvizhskii, Alexey I&lt;/author&gt;&lt;/authors&gt;&lt;/contributors&gt;&lt;titles&gt;&lt;title&gt;Significance analysis of spectral count data in label-free shotgun proteomics&lt;/title&gt;&lt;secondary-title&gt;Molecular &amp;amp; cellular proteomics&lt;/secondary-title&gt;&lt;/titles&gt;&lt;periodical&gt;&lt;full-title&gt;Molecular &amp;amp; Cellular Proteomics&lt;/full-title&gt;&lt;/periodical&gt;&lt;pages&gt;2373-2385&lt;/pages&gt;&lt;volume&gt;7&lt;/volume&gt;&lt;number&gt;12&lt;/number&gt;&lt;dates&gt;&lt;year&gt;2008&lt;/year&gt;&lt;/dates&gt;&lt;isbn&gt;1535-9476&lt;/isbn&gt;&lt;urls&gt;&lt;/urls&gt;&lt;/record&gt;&lt;/Cite&gt;&lt;/EndNote&gt;</w:instrText>
      </w:r>
      <w:r>
        <w:rPr>
          <w:rFonts w:eastAsia="Batang"/>
          <w:lang w:eastAsia="ko-KR"/>
        </w:rPr>
        <w:fldChar w:fldCharType="separate"/>
      </w:r>
      <w:r w:rsidR="00910455">
        <w:rPr>
          <w:rFonts w:eastAsia="Batang"/>
          <w:noProof/>
          <w:lang w:eastAsia="ko-KR"/>
        </w:rPr>
        <w:t>[116]</w:t>
      </w:r>
      <w:r>
        <w:rPr>
          <w:rFonts w:eastAsia="Batang"/>
          <w:lang w:eastAsia="ko-KR"/>
        </w:rPr>
        <w:fldChar w:fldCharType="end"/>
      </w:r>
      <w:r>
        <w:rPr>
          <w:rFonts w:eastAsia="Batang"/>
          <w:lang w:eastAsia="ko-KR"/>
        </w:rPr>
        <w:t>, and showed good selection power when compared to 2-FC (Supplementary figure 3).  We believe that Cohen’s ES can help biologists to report reproducible discoveries.</w:t>
      </w:r>
      <w:r w:rsidR="009557B8">
        <w:rPr>
          <w:rFonts w:eastAsia="Batang"/>
          <w:lang w:eastAsia="ko-KR"/>
        </w:rPr>
        <w:t xml:space="preserve">  Even though selfea was tested only for label-free proteomics data, we believe that it can be applied to other type of biological data, such as RNA sequencing.  </w:t>
      </w:r>
      <w:r w:rsidR="00F048C3">
        <w:rPr>
          <w:rFonts w:cs="Arial"/>
          <w:b/>
          <w:bCs/>
          <w:iCs/>
          <w:sz w:val="28"/>
          <w:szCs w:val="28"/>
        </w:rPr>
        <w:br w:type="page"/>
      </w:r>
    </w:p>
    <w:p w14:paraId="623590EA" w14:textId="7B59FCC9" w:rsidR="00FE5198" w:rsidRPr="004030F5" w:rsidRDefault="00F7354F" w:rsidP="00956B2F">
      <w:pPr>
        <w:pStyle w:val="Heading1"/>
        <w:jc w:val="center"/>
      </w:pPr>
      <w:bookmarkStart w:id="77" w:name="_Toc296333732"/>
      <w:r>
        <w:lastRenderedPageBreak/>
        <w:t>CHAPTER IV</w:t>
      </w:r>
      <w:r w:rsidR="008F0E24" w:rsidRPr="004030F5">
        <w:br/>
        <w:t>APPLICATION CASE 1 – HUMAN FECAL PROTEOME STUDY</w:t>
      </w:r>
      <w:bookmarkEnd w:id="77"/>
    </w:p>
    <w:p w14:paraId="218772FA" w14:textId="6F426BFC" w:rsidR="00236E6D" w:rsidRPr="004030F5" w:rsidRDefault="00236E6D" w:rsidP="00956B2F">
      <w:pPr>
        <w:pStyle w:val="Heading1"/>
        <w:rPr>
          <w:rFonts w:cs="Arial"/>
        </w:rPr>
      </w:pPr>
    </w:p>
    <w:p w14:paraId="6E08125D" w14:textId="3908F8D1" w:rsidR="009B1160" w:rsidRPr="004030F5" w:rsidRDefault="009B1160" w:rsidP="00A025AB">
      <w:pPr>
        <w:pStyle w:val="Heading2"/>
        <w:spacing w:line="480" w:lineRule="auto"/>
      </w:pPr>
      <w:bookmarkStart w:id="78" w:name="_Toc296333733"/>
      <w:r w:rsidRPr="004030F5">
        <w:t>Introduction</w:t>
      </w:r>
      <w:bookmarkEnd w:id="78"/>
    </w:p>
    <w:p w14:paraId="1262E2CF" w14:textId="51FCD170" w:rsidR="00A41229" w:rsidRDefault="005B18A0" w:rsidP="005F6FCF">
      <w:pPr>
        <w:spacing w:line="480" w:lineRule="auto"/>
        <w:ind w:firstLine="720"/>
      </w:pPr>
      <w:r>
        <w:t xml:space="preserve">Microbes inhabit on every part of human body including </w:t>
      </w:r>
      <w:r w:rsidR="00FD6B00">
        <w:t>the skin</w:t>
      </w:r>
      <w:r w:rsidR="00D123F2">
        <w:t xml:space="preserve">, in the gut, </w:t>
      </w:r>
      <w:r w:rsidR="00F44CC9">
        <w:t xml:space="preserve">mouth </w:t>
      </w:r>
      <w:r w:rsidR="00FD6B00">
        <w:t xml:space="preserve">and </w:t>
      </w:r>
      <w:r w:rsidR="00D123F2">
        <w:t xml:space="preserve">the nose.  </w:t>
      </w:r>
      <w:r w:rsidR="00AD1A20">
        <w:t xml:space="preserve">Sometimes they cause illness, but most of the time, microorganisms </w:t>
      </w:r>
      <w:r w:rsidR="00145574">
        <w:t xml:space="preserve">commensally live with their human host organs. </w:t>
      </w:r>
      <w:r w:rsidR="00B84DCF">
        <w:t xml:space="preserve"> </w:t>
      </w:r>
      <w:r w:rsidR="00DC7955">
        <w:t xml:space="preserve">The number of microbes in symbiosis with human is estimated </w:t>
      </w:r>
      <w:r w:rsidR="00873C64">
        <w:t xml:space="preserve">to 100 trillion, while we have 10 trillion cells.  </w:t>
      </w:r>
      <w:r w:rsidR="00FF6749">
        <w:t>It is outnu</w:t>
      </w:r>
      <w:r w:rsidR="00910455">
        <w:t>m</w:t>
      </w:r>
      <w:r w:rsidR="00357873">
        <w:t xml:space="preserve">bering human cells by 10 to 1.  Interestingly, number of microbes is not just living in human body, but they are interacting and </w:t>
      </w:r>
      <w:r w:rsidR="00542B58">
        <w:t>playing</w:t>
      </w:r>
      <w:r w:rsidR="00423DAA">
        <w:t xml:space="preserve"> a vital role in human health and d</w:t>
      </w:r>
      <w:r w:rsidR="00903BD8">
        <w:t>iet</w:t>
      </w:r>
      <w:r w:rsidR="00910455">
        <w:t xml:space="preserve"> </w:t>
      </w:r>
      <w:r w:rsidR="00910455">
        <w:fldChar w:fldCharType="begin"/>
      </w:r>
      <w:r w:rsidR="00910455">
        <w:instrText xml:space="preserve"> ADDIN EN.CITE &lt;EndNote&gt;&lt;Cite&gt;&lt;Author&gt;Claesson&lt;/Author&gt;&lt;Year&gt;2012&lt;/Year&gt;&lt;RecNum&gt;125&lt;/RecNum&gt;&lt;DisplayText&gt;[117]&lt;/DisplayText&gt;&lt;record&gt;&lt;rec-number&gt;125&lt;/rec-number&gt;&lt;foreign-keys&gt;&lt;key app="EN" db-id="efx2002d5f0z21etvw3x9zp7tw2axpa2eez0" timestamp="1434489005"&gt;125&lt;/key&gt;&lt;/foreign-keys&gt;&lt;ref-type name="Journal Article"&gt;17&lt;/ref-type&gt;&lt;contributors&gt;&lt;authors&gt;&lt;author&gt;Claesson, Marcus J&lt;/author&gt;&lt;author&gt;Jeffery, Ian B&lt;/author&gt;&lt;author&gt;Conde, Susana&lt;/author&gt;&lt;author&gt;Power, Susan E&lt;/author&gt;&lt;author&gt;O’Connor, Eibhlís M&lt;/author&gt;&lt;author&gt;Cusack, Siobhán&lt;/author&gt;&lt;author&gt;Harris, Hugh MB&lt;/author&gt;&lt;author&gt;Coakley, Mairead&lt;/author&gt;&lt;author&gt;Lakshminarayanan, Bhuvaneswari&lt;/author&gt;&lt;author&gt;O’Sullivan, Orla&lt;/author&gt;&lt;/authors&gt;&lt;/contributors&gt;&lt;titles&gt;&lt;title&gt;Gut microbiota composition correlates with diet and health in the elderly&lt;/title&gt;&lt;secondary-title&gt;Nature&lt;/secondary-title&gt;&lt;/titles&gt;&lt;periodical&gt;&lt;full-title&gt;Nature&lt;/full-title&gt;&lt;/periodical&gt;&lt;pages&gt;178-184&lt;/pages&gt;&lt;volume&gt;488&lt;/volume&gt;&lt;number&gt;7410&lt;/number&gt;&lt;dates&gt;&lt;year&gt;2012&lt;/year&gt;&lt;/dates&gt;&lt;isbn&gt;0028-0836&lt;/isbn&gt;&lt;urls&gt;&lt;/urls&gt;&lt;/record&gt;&lt;/Cite&gt;&lt;/EndNote&gt;</w:instrText>
      </w:r>
      <w:r w:rsidR="00910455">
        <w:fldChar w:fldCharType="separate"/>
      </w:r>
      <w:r w:rsidR="00910455">
        <w:rPr>
          <w:noProof/>
        </w:rPr>
        <w:t>[117]</w:t>
      </w:r>
      <w:r w:rsidR="00910455">
        <w:fldChar w:fldCharType="end"/>
      </w:r>
      <w:r w:rsidR="00127C3D">
        <w:t>.</w:t>
      </w:r>
      <w:r w:rsidR="005F6FCF">
        <w:t xml:space="preserve">  </w:t>
      </w:r>
      <w:r w:rsidR="00995EE2">
        <w:t xml:space="preserve">In recent years the </w:t>
      </w:r>
      <w:r w:rsidR="00F32E80">
        <w:t>h</w:t>
      </w:r>
      <w:r w:rsidR="00995EE2">
        <w:t xml:space="preserve">uman </w:t>
      </w:r>
      <w:r w:rsidR="003400A2">
        <w:t xml:space="preserve">gut </w:t>
      </w:r>
      <w:r w:rsidR="00995EE2">
        <w:t>microbiome</w:t>
      </w:r>
      <w:r w:rsidR="000B6BD8">
        <w:t>, all the microbes living in human gastrointestinal tracts,</w:t>
      </w:r>
      <w:r w:rsidR="00995EE2">
        <w:t xml:space="preserve"> has become an area of interesting and </w:t>
      </w:r>
      <w:r w:rsidR="00F32E80">
        <w:t xml:space="preserve">rapid research developments.  Many of research groups applied a wide range of analytical technologies for </w:t>
      </w:r>
      <w:r w:rsidR="002E5117">
        <w:t>understanding microbiome’s role in human health</w:t>
      </w:r>
      <w:r w:rsidR="00A87543">
        <w:t xml:space="preserve"> and how they interact with human host cells</w:t>
      </w:r>
      <w:r w:rsidR="00CF44CC">
        <w:t xml:space="preserve"> </w:t>
      </w:r>
      <w:r w:rsidR="00CF44CC">
        <w:fldChar w:fldCharType="begin"/>
      </w:r>
      <w:r w:rsidR="00474E42">
        <w:instrText xml:space="preserve"> ADDIN EN.CITE &lt;EndNote&gt;&lt;Cite&gt;&lt;Author&gt;Pacheco&lt;/Author&gt;&lt;Year&gt;2012&lt;/Year&gt;&lt;RecNum&gt;126&lt;/RecNum&gt;&lt;DisplayText&gt;[118,119]&lt;/DisplayText&gt;&lt;record&gt;&lt;rec-number&gt;126&lt;/rec-number&gt;&lt;foreign-keys&gt;&lt;key app="EN" db-id="efx2002d5f0z21etvw3x9zp7tw2axpa2eez0" timestamp="1434489920"&gt;126&lt;/key&gt;&lt;/foreign-keys&gt;&lt;ref-type name="Journal Article"&gt;17&lt;/ref-type&gt;&lt;contributors&gt;&lt;authors&gt;&lt;author&gt;Pacheco, Alline R&lt;/author&gt;&lt;author&gt;Curtis, Meredith M&lt;/author&gt;&lt;author&gt;Ritchie, Jennifer M&lt;/author&gt;&lt;author&gt;Munera, Diana&lt;/author&gt;&lt;author&gt;Waldor, Matthew K&lt;/author&gt;&lt;author&gt;Moreira, Cristiano G&lt;/author&gt;&lt;author&gt;Sperandio, Vanessa&lt;/author&gt;&lt;/authors&gt;&lt;/contributors&gt;&lt;titles&gt;&lt;title&gt;Fucose sensing regulates bacterial intestinal colonization&lt;/title&gt;&lt;secondary-title&gt;Nature&lt;/secondary-title&gt;&lt;/titles&gt;&lt;periodical&gt;&lt;full-title&gt;Nature&lt;/full-title&gt;&lt;/periodical&gt;&lt;pages&gt;113-117&lt;/pages&gt;&lt;volume&gt;492&lt;/volume&gt;&lt;number&gt;7427&lt;/number&gt;&lt;dates&gt;&lt;year&gt;2012&lt;/year&gt;&lt;/dates&gt;&lt;isbn&gt;0028-0836&lt;/isbn&gt;&lt;urls&gt;&lt;/urls&gt;&lt;/record&gt;&lt;/Cite&gt;&lt;Cite&gt;&lt;Author&gt;Jostins&lt;/Author&gt;&lt;Year&gt;2012&lt;/Year&gt;&lt;RecNum&gt;127&lt;/RecNum&gt;&lt;record&gt;&lt;rec-number&gt;127&lt;/rec-number&gt;&lt;foreign-keys&gt;&lt;key app="EN" db-id="efx2002d5f0z21etvw3x9zp7tw2axpa2eez0" timestamp="1434489962"&gt;127&lt;/key&gt;&lt;/foreign-keys&gt;&lt;ref-type name="Journal Article"&gt;17&lt;/ref-type&gt;&lt;contributors&gt;&lt;authors&gt;&lt;author&gt;Jostins, Luke&lt;/author&gt;&lt;author&gt;Ripke, Stephan&lt;/author&gt;&lt;author&gt;Weersma, Rinse K&lt;/author&gt;&lt;author&gt;Duerr, Richard H&lt;/author&gt;&lt;author&gt;McGovern, Dermot P&lt;/author&gt;&lt;author&gt;Hui, Ken Y&lt;/author&gt;&lt;author&gt;Lee, James C&lt;/author&gt;&lt;author&gt;Schumm, L Philip&lt;/author&gt;&lt;author&gt;Sharma, Yashoda&lt;/author&gt;&lt;author&gt;Anderson, Carl A&lt;/author&gt;&lt;/authors&gt;&lt;/contributors&gt;&lt;titles&gt;&lt;title&gt;Host-microbe interactions have shaped the genetic architecture of inflammatory bowel disease&lt;/title&gt;&lt;secondary-title&gt;Nature&lt;/secondary-title&gt;&lt;/titles&gt;&lt;periodical&gt;&lt;full-title&gt;Nature&lt;/full-title&gt;&lt;/periodical&gt;&lt;pages&gt;119-124&lt;/pages&gt;&lt;volume&gt;491&lt;/volume&gt;&lt;number&gt;7422&lt;/number&gt;&lt;dates&gt;&lt;year&gt;2012&lt;/year&gt;&lt;/dates&gt;&lt;isbn&gt;0028-0836&lt;/isbn&gt;&lt;urls&gt;&lt;/urls&gt;&lt;/record&gt;&lt;/Cite&gt;&lt;/EndNote&gt;</w:instrText>
      </w:r>
      <w:r w:rsidR="00CF44CC">
        <w:fldChar w:fldCharType="separate"/>
      </w:r>
      <w:r w:rsidR="00474E42">
        <w:rPr>
          <w:noProof/>
        </w:rPr>
        <w:t>[118,119]</w:t>
      </w:r>
      <w:r w:rsidR="00CF44CC">
        <w:fldChar w:fldCharType="end"/>
      </w:r>
      <w:r w:rsidR="00A95C57">
        <w:t xml:space="preserve">.  Also, </w:t>
      </w:r>
      <w:r w:rsidR="009B60F6">
        <w:t xml:space="preserve">gut microbiota is known to have </w:t>
      </w:r>
      <w:r w:rsidR="00A95C57">
        <w:t xml:space="preserve">relationship </w:t>
      </w:r>
      <w:r w:rsidR="009B60F6">
        <w:t>with</w:t>
      </w:r>
      <w:r w:rsidR="00A95C57">
        <w:t xml:space="preserve"> disease</w:t>
      </w:r>
      <w:r w:rsidR="009B60F6">
        <w:t>, such as</w:t>
      </w:r>
      <w:r w:rsidR="00A95C57">
        <w:t xml:space="preserve"> </w:t>
      </w:r>
      <w:r w:rsidR="00601E38">
        <w:t xml:space="preserve">inflammatory </w:t>
      </w:r>
      <w:r w:rsidR="00A95C57">
        <w:t>bowl disease</w:t>
      </w:r>
      <w:r w:rsidR="00601E38">
        <w:t xml:space="preserve"> </w:t>
      </w:r>
      <w:r w:rsidR="00804CAF">
        <w:fldChar w:fldCharType="begin"/>
      </w:r>
      <w:r w:rsidR="00804CAF">
        <w:instrText xml:space="preserve"> ADDIN EN.CITE &lt;EndNote&gt;&lt;Cite&gt;&lt;Author&gt;Jostins&lt;/Author&gt;&lt;Year&gt;2012&lt;/Year&gt;&lt;RecNum&gt;127&lt;/RecNum&gt;&lt;DisplayText&gt;[119]&lt;/DisplayText&gt;&lt;record&gt;&lt;rec-number&gt;127&lt;/rec-number&gt;&lt;foreign-keys&gt;&lt;key app="EN" db-id="efx2002d5f0z21etvw3x9zp7tw2axpa2eez0" timestamp="1434489962"&gt;127&lt;/key&gt;&lt;/foreign-keys&gt;&lt;ref-type name="Journal Article"&gt;17&lt;/ref-type&gt;&lt;contributors&gt;&lt;authors&gt;&lt;author&gt;Jostins, Luke&lt;/author&gt;&lt;author&gt;Ripke, Stephan&lt;/author&gt;&lt;author&gt;Weersma, Rinse K&lt;/author&gt;&lt;author&gt;Duerr, Richard H&lt;/author&gt;&lt;author&gt;McGovern, Dermot P&lt;/author&gt;&lt;author&gt;Hui, Ken Y&lt;/author&gt;&lt;author&gt;Lee, James C&lt;/author&gt;&lt;author&gt;Schumm, L Philip&lt;/author&gt;&lt;author&gt;Sharma, Yashoda&lt;/author&gt;&lt;author&gt;Anderson, Carl A&lt;/author&gt;&lt;/authors&gt;&lt;/contributors&gt;&lt;titles&gt;&lt;title&gt;Host-microbe interactions have shaped the genetic architecture of inflammatory bowel disease&lt;/title&gt;&lt;secondary-title&gt;Nature&lt;/secondary-title&gt;&lt;/titles&gt;&lt;periodical&gt;&lt;full-title&gt;Nature&lt;/full-title&gt;&lt;/periodical&gt;&lt;pages&gt;119-124&lt;/pages&gt;&lt;volume&gt;491&lt;/volume&gt;&lt;number&gt;7422&lt;/number&gt;&lt;dates&gt;&lt;year&gt;2012&lt;/year&gt;&lt;/dates&gt;&lt;isbn&gt;0028-0836&lt;/isbn&gt;&lt;urls&gt;&lt;/urls&gt;&lt;/record&gt;&lt;/Cite&gt;&lt;/EndNote&gt;</w:instrText>
      </w:r>
      <w:r w:rsidR="00804CAF">
        <w:fldChar w:fldCharType="separate"/>
      </w:r>
      <w:r w:rsidR="00804CAF">
        <w:rPr>
          <w:noProof/>
        </w:rPr>
        <w:t>[119]</w:t>
      </w:r>
      <w:r w:rsidR="00804CAF">
        <w:fldChar w:fldCharType="end"/>
      </w:r>
      <w:r w:rsidR="00804CAF">
        <w:t xml:space="preserve"> and</w:t>
      </w:r>
      <w:r w:rsidR="00601E38">
        <w:t xml:space="preserve"> type-2 diabetes</w:t>
      </w:r>
      <w:r w:rsidR="00804CAF">
        <w:t xml:space="preserve"> </w:t>
      </w:r>
      <w:r w:rsidR="00601E38">
        <w:fldChar w:fldCharType="begin"/>
      </w:r>
      <w:r w:rsidR="00601E38">
        <w:instrText xml:space="preserve"> ADDIN EN.CITE &lt;EndNote&gt;&lt;Cite&gt;&lt;Author&gt;Qin&lt;/Author&gt;&lt;Year&gt;2012&lt;/Year&gt;&lt;RecNum&gt;128&lt;/RecNum&gt;&lt;DisplayText&gt;[120]&lt;/DisplayText&gt;&lt;record&gt;&lt;rec-number&gt;128&lt;/rec-number&gt;&lt;foreign-keys&gt;&lt;key app="EN" db-id="efx2002d5f0z21etvw3x9zp7tw2axpa2eez0" timestamp="1434490022"&gt;128&lt;/key&gt;&lt;/foreign-keys&gt;&lt;ref-type name="Journal Article"&gt;17&lt;/ref-type&gt;&lt;contributors&gt;&lt;authors&gt;&lt;author&gt;Qin, Junjie&lt;/author&gt;&lt;author&gt;Li, Yingrui&lt;/author&gt;&lt;author&gt;Cai, Zhiming&lt;/author&gt;&lt;author&gt;Li, Shenghui&lt;/author&gt;&lt;author&gt;Zhu, Jianfeng&lt;/author&gt;&lt;author&gt;Zhang, Fan&lt;/author&gt;&lt;author&gt;Liang, Suisha&lt;/author&gt;&lt;author&gt;Zhang, Wenwei&lt;/author&gt;&lt;author&gt;Guan, Yuanlin&lt;/author&gt;&lt;author&gt;Shen, Dongqian&lt;/author&gt;&lt;/authors&gt;&lt;/contributors&gt;&lt;titles&gt;&lt;title&gt;A metagenome-wide association study of gut microbiota in type 2 diabetes&lt;/title&gt;&lt;secondary-title&gt;Nature&lt;/secondary-title&gt;&lt;/titles&gt;&lt;periodical&gt;&lt;full-title&gt;Nature&lt;/full-title&gt;&lt;/periodical&gt;&lt;pages&gt;55-60&lt;/pages&gt;&lt;volume&gt;490&lt;/volume&gt;&lt;number&gt;7418&lt;/number&gt;&lt;dates&gt;&lt;year&gt;2012&lt;/year&gt;&lt;/dates&gt;&lt;isbn&gt;0028-0836&lt;/isbn&gt;&lt;urls&gt;&lt;/urls&gt;&lt;/record&gt;&lt;/Cite&gt;&lt;/EndNote&gt;</w:instrText>
      </w:r>
      <w:r w:rsidR="00601E38">
        <w:fldChar w:fldCharType="separate"/>
      </w:r>
      <w:r w:rsidR="00601E38">
        <w:rPr>
          <w:noProof/>
        </w:rPr>
        <w:t>[120]</w:t>
      </w:r>
      <w:r w:rsidR="00601E38">
        <w:fldChar w:fldCharType="end"/>
      </w:r>
      <w:r w:rsidR="00542B58">
        <w:t>.</w:t>
      </w:r>
    </w:p>
    <w:p w14:paraId="6B47F847" w14:textId="3AA79B33" w:rsidR="003C3E7C" w:rsidRDefault="00FD6B00" w:rsidP="003C3E7C">
      <w:pPr>
        <w:spacing w:line="480" w:lineRule="auto"/>
        <w:ind w:firstLine="720"/>
      </w:pPr>
      <w:r>
        <w:t>Since microbiome has unique mic</w:t>
      </w:r>
      <w:r w:rsidR="000B10A5">
        <w:t>robial communities interacting</w:t>
      </w:r>
      <w:r>
        <w:t xml:space="preserve"> with host cells, m</w:t>
      </w:r>
      <w:r w:rsidR="00204AD7">
        <w:t xml:space="preserve">icrobiome is </w:t>
      </w:r>
      <w:r w:rsidR="00625604">
        <w:t xml:space="preserve">an </w:t>
      </w:r>
      <w:r w:rsidR="00204AD7">
        <w:t>import</w:t>
      </w:r>
      <w:r w:rsidR="00E67835">
        <w:t>ant target of</w:t>
      </w:r>
      <w:r w:rsidR="00A41229">
        <w:t xml:space="preserve"> metaproteomics</w:t>
      </w:r>
      <w:r w:rsidR="00625604">
        <w:t xml:space="preserve"> </w:t>
      </w:r>
      <w:r w:rsidR="00595CA2">
        <w:fldChar w:fldCharType="begin"/>
      </w:r>
      <w:r w:rsidR="00595CA2">
        <w:instrText xml:space="preserve"> ADDIN EN.CITE &lt;EndNote&gt;&lt;Cite&gt;&lt;Author&gt;Verberkmoes&lt;/Author&gt;&lt;Year&gt;2009&lt;/Year&gt;&lt;RecNum&gt;129&lt;/RecNum&gt;&lt;DisplayText&gt;[121]&lt;/DisplayText&gt;&lt;record&gt;&lt;rec-number&gt;129&lt;/rec-number&gt;&lt;foreign-keys&gt;&lt;key app="EN" db-id="efx2002d5f0z21etvw3x9zp7tw2axpa2eez0" timestamp="1434490585"&gt;129&lt;/key&gt;&lt;/foreign-keys&gt;&lt;ref-type name="Journal Article"&gt;17&lt;/ref-type&gt;&lt;contributors&gt;&lt;authors&gt;&lt;author&gt;Verberkmoes, Nathan C&lt;/author&gt;&lt;author&gt;Russell, Alison L&lt;/author&gt;&lt;author&gt;Shah, Manesh&lt;/author&gt;&lt;author&gt;Godzik, Adam&lt;/author&gt;&lt;author&gt;Rosenquist, Magnus&lt;/author&gt;&lt;author&gt;Halfvarson, Jonas&lt;/author&gt;&lt;author&gt;Lefsrud, Mark G&lt;/author&gt;&lt;author&gt;Apajalahti, Juha&lt;/author&gt;&lt;author&gt;Tysk, Curt&lt;/author&gt;&lt;author&gt;Hettich, Robert L&lt;/author&gt;&lt;/authors&gt;&lt;/contributors&gt;&lt;titles&gt;&lt;title&gt;Shotgun metaproteomics of the human distal gut microbiota&lt;/title&gt;&lt;secondary-title&gt;The ISME journal&lt;/secondary-title&gt;&lt;/titles&gt;&lt;periodical&gt;&lt;full-title&gt;The ISME journal&lt;/full-title&gt;&lt;/periodical&gt;&lt;pages&gt;179-189&lt;/pages&gt;&lt;volume&gt;3&lt;/volume&gt;&lt;number&gt;2&lt;/number&gt;&lt;dates&gt;&lt;year&gt;2009&lt;/year&gt;&lt;/dates&gt;&lt;isbn&gt;1751-7362&lt;/isbn&gt;&lt;urls&gt;&lt;/urls&gt;&lt;/record&gt;&lt;/Cite&gt;&lt;/EndNote&gt;</w:instrText>
      </w:r>
      <w:r w:rsidR="00595CA2">
        <w:fldChar w:fldCharType="separate"/>
      </w:r>
      <w:r w:rsidR="00595CA2">
        <w:rPr>
          <w:noProof/>
        </w:rPr>
        <w:t>[121]</w:t>
      </w:r>
      <w:r w:rsidR="00595CA2">
        <w:fldChar w:fldCharType="end"/>
      </w:r>
      <w:r>
        <w:t>.</w:t>
      </w:r>
      <w:r w:rsidR="00625604">
        <w:t xml:space="preserve">  </w:t>
      </w:r>
      <w:r w:rsidR="004A6297">
        <w:t xml:space="preserve">Metaproteome of gut microbiota are </w:t>
      </w:r>
      <w:r w:rsidR="00650B27">
        <w:t xml:space="preserve">examined </w:t>
      </w:r>
      <w:r>
        <w:t xml:space="preserve">by </w:t>
      </w:r>
      <w:r w:rsidR="007F5E93">
        <w:t xml:space="preserve">fecal samples because feces </w:t>
      </w:r>
      <w:r w:rsidR="00047B74">
        <w:t>have</w:t>
      </w:r>
      <w:r w:rsidR="007F5E93">
        <w:t xml:space="preserve"> </w:t>
      </w:r>
      <w:r w:rsidR="00004E31">
        <w:t>large amount of microbial</w:t>
      </w:r>
      <w:r w:rsidR="00D07F38">
        <w:t xml:space="preserve"> proteins,</w:t>
      </w:r>
      <w:r w:rsidR="00004E31">
        <w:t xml:space="preserve"> convenience of sample collection</w:t>
      </w:r>
      <w:r w:rsidR="00244EE9">
        <w:t xml:space="preserve"> and </w:t>
      </w:r>
      <w:r w:rsidR="00FF1ECB">
        <w:t>results of immune response between human intestinal cells and microbiome</w:t>
      </w:r>
      <w:r w:rsidR="0046726A">
        <w:t xml:space="preserve"> </w:t>
      </w:r>
      <w:r w:rsidR="0046726A">
        <w:fldChar w:fldCharType="begin"/>
      </w:r>
      <w:r w:rsidR="0046726A">
        <w:instrText xml:space="preserve"> ADDIN EN.CITE &lt;EndNote&gt;&lt;Cite&gt;&lt;Author&gt;Xiong&lt;/Author&gt;&lt;Year&gt;2015&lt;/Year&gt;&lt;RecNum&gt;131&lt;/RecNum&gt;&lt;DisplayText&gt;[122]&lt;/DisplayText&gt;&lt;record&gt;&lt;rec-number&gt;131&lt;/rec-number&gt;&lt;foreign-keys&gt;&lt;key app="EN" db-id="efx2002d5f0z21etvw3x9zp7tw2axpa2eez0" timestamp="1434490712"&gt;131&lt;/key&gt;&lt;/foreign-keys&gt;&lt;ref-type name="Journal Article"&gt;17&lt;/ref-type&gt;&lt;contributors&gt;&lt;authors&gt;&lt;author&gt;Xiong, Weili&lt;/author&gt;&lt;author&gt;Abraham, Paul E&lt;/author&gt;&lt;author&gt;Li, Zhou&lt;/author&gt;&lt;author&gt;Pan, Chongle&lt;/author&gt;&lt;author&gt;Hettich, Robert L&lt;/author&gt;&lt;/authors&gt;&lt;/contributors&gt;&lt;titles&gt;&lt;title&gt;Microbial metaproteomics for characterizing the range of metabolic functions and activities of human gut microbiota&lt;/title&gt;&lt;secondary-title&gt;Proteomics&lt;/secondary-title&gt;&lt;/titles&gt;&lt;periodical&gt;&lt;full-title&gt;Proteomics&lt;/full-title&gt;&lt;/periodical&gt;&lt;dates&gt;&lt;year&gt;2015&lt;/year&gt;&lt;/dates&gt;&lt;isbn&gt;1615-9861&lt;/isbn&gt;&lt;urls&gt;&lt;/urls&gt;&lt;/record&gt;&lt;/Cite&gt;&lt;/EndNote&gt;</w:instrText>
      </w:r>
      <w:r w:rsidR="0046726A">
        <w:fldChar w:fldCharType="separate"/>
      </w:r>
      <w:r w:rsidR="0046726A">
        <w:rPr>
          <w:noProof/>
        </w:rPr>
        <w:t>[122]</w:t>
      </w:r>
      <w:r w:rsidR="0046726A">
        <w:fldChar w:fldCharType="end"/>
      </w:r>
      <w:r w:rsidR="00FF1ECB">
        <w:t xml:space="preserve">.  </w:t>
      </w:r>
      <w:r w:rsidR="004204C7">
        <w:t>Also</w:t>
      </w:r>
      <w:r w:rsidR="00047B74">
        <w:t>, feces have</w:t>
      </w:r>
      <w:r w:rsidR="004204C7">
        <w:t xml:space="preserve"> abundant human proteins, so it enables us to find biomarkers of </w:t>
      </w:r>
      <w:r w:rsidR="00FE1798">
        <w:lastRenderedPageBreak/>
        <w:t>disease</w:t>
      </w:r>
      <w:r w:rsidR="00D82E7B">
        <w:t xml:space="preserve"> and study interactions between microbes and human cells.</w:t>
      </w:r>
      <w:r w:rsidR="00A8208B">
        <w:t xml:space="preserve">  </w:t>
      </w:r>
      <w:r w:rsidR="00CF7CCD">
        <w:t xml:space="preserve">Fecal metaproteomics </w:t>
      </w:r>
      <w:r w:rsidR="00F5256B">
        <w:t xml:space="preserve">has a great potential for disease diagnostics, </w:t>
      </w:r>
      <w:r w:rsidR="00ED1B29">
        <w:t xml:space="preserve">studying host-microbes interaction and </w:t>
      </w:r>
      <w:r w:rsidR="000907E8">
        <w:t xml:space="preserve">microbial community cohabiting in gastrointestinal tracts.  </w:t>
      </w:r>
      <w:r w:rsidR="00584F35">
        <w:t xml:space="preserve">However, fecal metaproteomics has several unresolved problems to go further analysis.  </w:t>
      </w:r>
      <w:r w:rsidR="003A7B96">
        <w:t xml:space="preserve">First, </w:t>
      </w:r>
      <w:r w:rsidR="00137E1D">
        <w:t xml:space="preserve">we don’t know how much different kind of microbes is living there.  In other words, species composition of microbiome is not uncovered.  </w:t>
      </w:r>
      <w:r w:rsidR="00BD616E">
        <w:t>This is important issue to PSM search.  However, many studies have resolved this uncertainty by employing metagenome sequences</w:t>
      </w:r>
      <w:r w:rsidR="00D07F38">
        <w:t xml:space="preserve"> </w:t>
      </w:r>
      <w:r w:rsidR="00D07F38">
        <w:fldChar w:fldCharType="begin">
          <w:fldData xml:space="preserve">PEVuZE5vdGU+PENpdGU+PEF1dGhvcj5WZXJiZXJrbW9lczwvQXV0aG9yPjxZZWFyPjIwMDk8L1ll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</w:fldData>
        </w:fldChar>
      </w:r>
      <w:r w:rsidR="00D07F38">
        <w:instrText xml:space="preserve"> ADDIN EN.CITE </w:instrText>
      </w:r>
      <w:r w:rsidR="00D07F38">
        <w:fldChar w:fldCharType="begin">
          <w:fldData xml:space="preserve">PEVuZE5vdGU+PENpdGU+PEF1dGhvcj5WZXJiZXJrbW9lczwvQXV0aG9yPjxZZWFyPjIwMDk8L1ll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</w:fldData>
        </w:fldChar>
      </w:r>
      <w:r w:rsidR="00D07F38">
        <w:instrText xml:space="preserve"> ADDIN EN.CITE.DATA </w:instrText>
      </w:r>
      <w:r w:rsidR="00D07F38">
        <w:fldChar w:fldCharType="end"/>
      </w:r>
      <w:r w:rsidR="00D07F38">
        <w:fldChar w:fldCharType="separate"/>
      </w:r>
      <w:r w:rsidR="00D07F38">
        <w:rPr>
          <w:noProof/>
        </w:rPr>
        <w:t>[121-123]</w:t>
      </w:r>
      <w:r w:rsidR="00D07F38">
        <w:fldChar w:fldCharType="end"/>
      </w:r>
      <w:r w:rsidR="00381DA4">
        <w:t>.</w:t>
      </w:r>
      <w:r w:rsidR="003C3E7C">
        <w:t xml:space="preserve"> </w:t>
      </w:r>
      <w:r w:rsidR="00CA1344">
        <w:t xml:space="preserve"> </w:t>
      </w:r>
      <w:r w:rsidR="0081037E">
        <w:t xml:space="preserve">Another challenge is variation of individual microbiomes.  Naturally, people have different microbiome by diets, origin, drugs and </w:t>
      </w:r>
      <w:r w:rsidR="00F00353">
        <w:t xml:space="preserve">genetic backgrounds.  </w:t>
      </w:r>
      <w:r w:rsidR="00703875">
        <w:t>Probably, personal microbime is</w:t>
      </w:r>
      <w:r w:rsidR="001635DE">
        <w:t xml:space="preserve"> the</w:t>
      </w:r>
      <w:r w:rsidR="00703875">
        <w:t xml:space="preserve"> most </w:t>
      </w:r>
      <w:r w:rsidR="001635DE">
        <w:t>varying organ in entire human body</w:t>
      </w:r>
      <w:r w:rsidR="00A37C86">
        <w:t xml:space="preserve"> if gut microbiome is assumed as another human organ</w:t>
      </w:r>
      <w:r w:rsidR="001635DE">
        <w:t>.</w:t>
      </w:r>
      <w:r w:rsidR="0026553B">
        <w:t xml:space="preserve">  </w:t>
      </w:r>
      <w:r w:rsidR="0014528A">
        <w:t xml:space="preserve">We </w:t>
      </w:r>
      <w:r w:rsidR="006526D0">
        <w:t>may</w:t>
      </w:r>
      <w:r w:rsidR="0014528A">
        <w:t xml:space="preserve"> not </w:t>
      </w:r>
      <w:r w:rsidR="006526D0">
        <w:t xml:space="preserve">be </w:t>
      </w:r>
      <w:r w:rsidR="0014528A">
        <w:t xml:space="preserve">sure if there is </w:t>
      </w:r>
      <w:r w:rsidR="006526D0">
        <w:t>n</w:t>
      </w:r>
      <w:r w:rsidR="0014528A">
        <w:t>ormal microbiome</w:t>
      </w:r>
      <w:r w:rsidR="00DD2609">
        <w:t xml:space="preserve"> shared by all the people</w:t>
      </w:r>
      <w:r w:rsidR="0014528A">
        <w:t xml:space="preserve">.  </w:t>
      </w:r>
      <w:r w:rsidR="00D836CE">
        <w:t xml:space="preserve">This variation of microbiome </w:t>
      </w:r>
      <w:r w:rsidR="00BA6479">
        <w:t xml:space="preserve">makes scientists </w:t>
      </w:r>
      <w:r w:rsidR="001233C8">
        <w:t xml:space="preserve">difficult </w:t>
      </w:r>
      <w:r w:rsidR="00BA6479">
        <w:t xml:space="preserve">to compare </w:t>
      </w:r>
      <w:r w:rsidR="0050777C">
        <w:t xml:space="preserve">fecal proteomes.  </w:t>
      </w:r>
    </w:p>
    <w:p w14:paraId="26509C05" w14:textId="512D6171" w:rsidR="0040123B" w:rsidRDefault="005077B7" w:rsidP="00F12284">
      <w:pPr>
        <w:spacing w:line="480" w:lineRule="auto"/>
        <w:ind w:firstLine="720"/>
      </w:pPr>
      <w:r>
        <w:t>H</w:t>
      </w:r>
      <w:r w:rsidR="001233C8">
        <w:t>igh variation</w:t>
      </w:r>
      <w:r>
        <w:t xml:space="preserve"> in fecal proteomes</w:t>
      </w:r>
      <w:r w:rsidR="001233C8">
        <w:t xml:space="preserve"> is </w:t>
      </w:r>
      <w:r w:rsidR="00D74E4C">
        <w:t>fatal</w:t>
      </w:r>
      <w:r w:rsidR="001233C8">
        <w:t xml:space="preserve"> </w:t>
      </w:r>
      <w:r w:rsidR="00146B5E">
        <w:t xml:space="preserve">attack </w:t>
      </w:r>
      <w:r w:rsidR="001233C8">
        <w:t>to statistica</w:t>
      </w:r>
      <w:r w:rsidR="0049522B">
        <w:t>l analysis of fecal proteomes.</w:t>
      </w:r>
      <w:r w:rsidR="0049522B">
        <w:rPr>
          <w:lang w:eastAsia="ko-KR"/>
        </w:rPr>
        <w:t xml:space="preserve">  </w:t>
      </w:r>
      <w:r w:rsidR="00580321">
        <w:t xml:space="preserve">Indeed, sample size is very limited to biology studies due to finite budget and </w:t>
      </w:r>
      <w:r w:rsidR="00DE200C">
        <w:t>time;</w:t>
      </w:r>
      <w:r w:rsidR="00580321">
        <w:t xml:space="preserve"> so </w:t>
      </w:r>
      <w:r w:rsidR="0040123B">
        <w:t xml:space="preserve">low statistical power is ineluctable destiny of </w:t>
      </w:r>
      <w:r w:rsidR="00E83433">
        <w:t>fecal metaproteomics studies</w:t>
      </w:r>
      <w:r w:rsidR="000146B0">
        <w:t xml:space="preserve"> </w:t>
      </w:r>
      <w:r w:rsidR="004C7568">
        <w:t xml:space="preserve">as is </w:t>
      </w:r>
      <w:r w:rsidR="00DD2609">
        <w:t>usual</w:t>
      </w:r>
      <w:r w:rsidR="004C7568">
        <w:t xml:space="preserve"> to</w:t>
      </w:r>
      <w:r w:rsidR="000146B0">
        <w:t xml:space="preserve"> other biology researches</w:t>
      </w:r>
      <w:r w:rsidR="0071776B">
        <w:t>.</w:t>
      </w:r>
      <w:r w:rsidR="00297B68">
        <w:t xml:space="preserve">  </w:t>
      </w:r>
      <w:r w:rsidR="00E83433">
        <w:t xml:space="preserve">At low-powered studies, </w:t>
      </w:r>
      <w:r w:rsidR="00D149D2">
        <w:t xml:space="preserve">high variance within group, caused by </w:t>
      </w:r>
      <w:r w:rsidR="007A0A68">
        <w:t xml:space="preserve">dissimilar microbiome </w:t>
      </w:r>
      <w:r w:rsidR="009935A9">
        <w:t>corresponding</w:t>
      </w:r>
      <w:r w:rsidR="007A0A68">
        <w:t xml:space="preserve"> </w:t>
      </w:r>
      <w:r w:rsidR="00B00FBB">
        <w:t xml:space="preserve">to </w:t>
      </w:r>
      <w:r w:rsidR="00B25F1E">
        <w:t>different</w:t>
      </w:r>
      <w:r w:rsidR="006F6DE0">
        <w:t xml:space="preserve"> environmental factors</w:t>
      </w:r>
      <w:r w:rsidR="00B25F1E">
        <w:t xml:space="preserve">, </w:t>
      </w:r>
      <w:r w:rsidR="006D1FBF">
        <w:t>impedes</w:t>
      </w:r>
      <w:r w:rsidR="005E2E73">
        <w:t xml:space="preserve"> </w:t>
      </w:r>
      <w:r w:rsidR="00BB138D">
        <w:t>getting reproducible</w:t>
      </w:r>
      <w:r w:rsidR="006D42D6">
        <w:t xml:space="preserve"> results </w:t>
      </w:r>
      <w:r w:rsidR="009A19DA">
        <w:t>via</w:t>
      </w:r>
      <w:r w:rsidR="006D42D6">
        <w:t xml:space="preserve"> comparison between different effects</w:t>
      </w:r>
      <w:r w:rsidR="00494CD1">
        <w:t xml:space="preserve">. </w:t>
      </w:r>
      <w:r w:rsidR="00242334">
        <w:t xml:space="preserve"> </w:t>
      </w:r>
      <w:r w:rsidR="00614042">
        <w:t>C</w:t>
      </w:r>
      <w:r w:rsidR="0002148F">
        <w:t>hance of false positive findings is</w:t>
      </w:r>
      <w:r w:rsidR="00614042">
        <w:t xml:space="preserve"> </w:t>
      </w:r>
      <w:r w:rsidR="006C242A">
        <w:t>relatively</w:t>
      </w:r>
      <w:r w:rsidR="0002148F">
        <w:t xml:space="preserve"> high in fecal metaproteomics.</w:t>
      </w:r>
      <w:r w:rsidR="00F12284">
        <w:t xml:space="preserve">  </w:t>
      </w:r>
      <w:r w:rsidR="00E70A07">
        <w:t>This application stu</w:t>
      </w:r>
      <w:r w:rsidR="000274AF">
        <w:t xml:space="preserve">dy shows </w:t>
      </w:r>
      <w:r w:rsidR="0026710D">
        <w:lastRenderedPageBreak/>
        <w:t>if there is</w:t>
      </w:r>
      <w:r w:rsidR="000274AF">
        <w:t xml:space="preserve"> large variation </w:t>
      </w:r>
      <w:r w:rsidR="0026710D">
        <w:t>within fecal proteomes</w:t>
      </w:r>
      <w:r w:rsidR="002371C5">
        <w:t xml:space="preserve"> from healthy volunteers</w:t>
      </w:r>
      <w:r w:rsidR="00347407">
        <w:t xml:space="preserve"> and </w:t>
      </w:r>
      <w:r w:rsidR="001E5FFC">
        <w:t>how QFAM analyze fecal metaproteomes</w:t>
      </w:r>
      <w:r w:rsidR="009579E2">
        <w:t xml:space="preserve"> can be employed to analyze</w:t>
      </w:r>
      <w:r w:rsidR="00A71D1D">
        <w:t xml:space="preserve"> a dataset.</w:t>
      </w:r>
    </w:p>
    <w:p w14:paraId="2B9B84A4" w14:textId="77777777" w:rsidR="0037436E" w:rsidRDefault="0037436E" w:rsidP="00F12284">
      <w:pPr>
        <w:spacing w:line="480" w:lineRule="auto"/>
        <w:ind w:firstLine="720"/>
      </w:pPr>
    </w:p>
    <w:p w14:paraId="5470DB55" w14:textId="5055F1D9" w:rsidR="00236E6D" w:rsidRPr="004030F5" w:rsidRDefault="00C60716" w:rsidP="00A025AB">
      <w:pPr>
        <w:pStyle w:val="Heading2"/>
        <w:spacing w:line="480" w:lineRule="auto"/>
      </w:pPr>
      <w:bookmarkStart w:id="79" w:name="_Toc296333734"/>
      <w:r>
        <w:t>Methods</w:t>
      </w:r>
      <w:bookmarkEnd w:id="79"/>
    </w:p>
    <w:p w14:paraId="089B3A2D" w14:textId="65309F68" w:rsidR="003D63DF" w:rsidRPr="004030F5" w:rsidRDefault="00B60D9D" w:rsidP="00A025AB">
      <w:pPr>
        <w:pStyle w:val="Heading3"/>
      </w:pPr>
      <w:bookmarkStart w:id="80" w:name="_Toc296333735"/>
      <w:r>
        <w:t>Sample preparation and LC-MS/MS experiment</w:t>
      </w:r>
      <w:bookmarkEnd w:id="80"/>
    </w:p>
    <w:p w14:paraId="5F2FFBBC" w14:textId="620408C0" w:rsidR="00C226C4" w:rsidRPr="00DD03C1" w:rsidRDefault="009D561D" w:rsidP="00F3340B">
      <w:pPr>
        <w:spacing w:line="480" w:lineRule="auto"/>
        <w:ind w:firstLine="720"/>
      </w:pPr>
      <w:r>
        <w:t>Proteins of all f</w:t>
      </w:r>
      <w:r w:rsidR="00CA47D5">
        <w:t>ecal samples were extracted by d</w:t>
      </w:r>
      <w:r>
        <w:t xml:space="preserve">irect </w:t>
      </w:r>
      <w:r w:rsidR="00104AB7">
        <w:t xml:space="preserve">cell </w:t>
      </w:r>
      <w:r w:rsidR="003416DA">
        <w:t>lysis method (Fig. 29</w:t>
      </w:r>
      <w:r w:rsidR="00CA47D5">
        <w:t xml:space="preserve">).  </w:t>
      </w:r>
      <w:r w:rsidR="00104AB7">
        <w:t xml:space="preserve">Direct cell lysis method is preferred to collect host proteins, while indirect method is for microbiome proteins.  </w:t>
      </w:r>
      <w:r w:rsidR="00B776BE">
        <w:t>Proteins</w:t>
      </w:r>
      <w:r w:rsidR="001824AF">
        <w:t xml:space="preserve"> of all the samples</w:t>
      </w:r>
      <w:r w:rsidR="00B776BE">
        <w:t xml:space="preserve"> were digested by trypsin and </w:t>
      </w:r>
      <w:r w:rsidR="00F3340B">
        <w:t xml:space="preserve">analyzed </w:t>
      </w:r>
      <w:r w:rsidR="00C226C4" w:rsidRPr="00DD03C1">
        <w:t>via two-dimensional (2D) nano-LC MS/MS system with a split-phase column (SCX-RP) Velos Orbitrap Pro (Thermo Fisher Scientific)</w:t>
      </w:r>
      <w:r w:rsidR="007362B3">
        <w:t xml:space="preserve"> for feces and LTQ-Velos</w:t>
      </w:r>
      <w:r w:rsidR="007362B3">
        <w:rPr>
          <w:color w:val="FF0000"/>
        </w:rPr>
        <w:t xml:space="preserve"> </w:t>
      </w:r>
      <w:r w:rsidR="007362B3">
        <w:t>(Thermo-Fisher) for PBMC</w:t>
      </w:r>
      <w:r w:rsidR="00C226C4" w:rsidRPr="00DD03C1">
        <w:t xml:space="preserve"> with 22 hour runs</w:t>
      </w:r>
      <w:r w:rsidR="003416DA">
        <w:t xml:space="preserve"> per sample as shown in Figure 29</w:t>
      </w:r>
      <w:r w:rsidR="00C226C4" w:rsidRPr="00DD03C1">
        <w:t>.</w:t>
      </w:r>
      <w:r w:rsidR="004210B5">
        <w:t xml:space="preserve">  </w:t>
      </w:r>
      <w:r w:rsidR="00C226C4" w:rsidRPr="00DD03C1">
        <w:t>The Orbitrap settings were as follows: 30K resolution on full scans in Orbitrap,</w:t>
      </w:r>
      <w:r w:rsidR="003B76DD">
        <w:t xml:space="preserve"> </w:t>
      </w:r>
      <w:r w:rsidR="00C226C4" w:rsidRPr="00DD03C1">
        <w:t>data-</w:t>
      </w:r>
      <w:r w:rsidR="003B76DD">
        <w:t xml:space="preserve">dependent MS/MS in LTQ (Top 10 peaks were </w:t>
      </w:r>
      <w:r w:rsidR="005C4223">
        <w:t>chosen), two</w:t>
      </w:r>
      <w:r w:rsidR="00C226C4" w:rsidRPr="00DD03C1">
        <w:t xml:space="preserve"> micro</w:t>
      </w:r>
      <w:r w:rsidR="005C4223">
        <w:t>-</w:t>
      </w:r>
      <w:r w:rsidR="00C226C4" w:rsidRPr="00DD03C1">
        <w:t xml:space="preserve">scans for both full and MS/MS scans, centroid data for all scans.  </w:t>
      </w:r>
    </w:p>
    <w:p w14:paraId="77B0CDB9" w14:textId="441BB528" w:rsidR="003D63DF" w:rsidRPr="00C226C4" w:rsidRDefault="00C226C4" w:rsidP="00A025AB">
      <w:pPr>
        <w:pStyle w:val="Heading3"/>
      </w:pPr>
      <w:bookmarkStart w:id="81" w:name="_Toc296333736"/>
      <w:r>
        <w:t>PSM s</w:t>
      </w:r>
      <w:r w:rsidRPr="00C226C4">
        <w:t>earch and protein identification</w:t>
      </w:r>
      <w:bookmarkEnd w:id="81"/>
    </w:p>
    <w:p w14:paraId="09A92D2F" w14:textId="2F640834" w:rsidR="00E83A41" w:rsidRDefault="00C226C4" w:rsidP="00A025AB">
      <w:pPr>
        <w:spacing w:line="480" w:lineRule="auto"/>
        <w:ind w:firstLine="720"/>
        <w:rPr>
          <w:szCs w:val="28"/>
        </w:rPr>
      </w:pPr>
      <w:r w:rsidRPr="00C226C4">
        <w:rPr>
          <w:szCs w:val="28"/>
        </w:rPr>
        <w:t xml:space="preserve">All MS/MS spectra were searched against our customized sequence database. Our database consists of human protein sequences, microbial proteins isolated from human gut and common contaminants (i.e., trypsin and keratin; 36 protein sequences). </w:t>
      </w:r>
    </w:p>
    <w:p w14:paraId="75176071" w14:textId="77777777" w:rsidR="008F4D8F" w:rsidRDefault="008F4D8F" w:rsidP="008F4D8F">
      <w:pPr>
        <w:keepNext/>
        <w:jc w:val="left"/>
      </w:pPr>
      <w:r>
        <w:rPr>
          <w:noProof/>
          <w:szCs w:val="28"/>
        </w:rPr>
        <w:lastRenderedPageBreak/>
        <w:drawing>
          <wp:inline distT="0" distB="0" distL="0" distR="0" wp14:anchorId="100078A2" wp14:editId="31C0D4E0">
            <wp:extent cx="5575935" cy="4181951"/>
            <wp:effectExtent l="0" t="0" r="1206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9"/>
                    <pic:cNvPicPr/>
                  </pic:nvPicPr>
                  <pic:blipFill>
                    <a:blip r:embed="rId55">
                      <a:extLst>
                        <a:ext uri="{28A0092B-C50C-407E-A947-70E740481C1C}">
                          <a14:useLocalDpi xmlns:a14="http://schemas.microsoft.com/office/drawing/2010/main" val="0"/>
                        </a:ext>
                      </a:extLst>
                    </a:blip>
                    <a:stretch>
                      <a:fillRect/>
                    </a:stretch>
                  </pic:blipFill>
                  <pic:spPr>
                    <a:xfrm>
                      <a:off x="0" y="0"/>
                      <a:ext cx="5575935" cy="4181951"/>
                    </a:xfrm>
                    <a:prstGeom prst="rect">
                      <a:avLst/>
                    </a:prstGeom>
                  </pic:spPr>
                </pic:pic>
              </a:graphicData>
            </a:graphic>
          </wp:inline>
        </w:drawing>
      </w:r>
    </w:p>
    <w:p w14:paraId="1CDBD733" w14:textId="05B127FA" w:rsidR="008F4D8F" w:rsidRPr="0043437A" w:rsidRDefault="008F4D8F" w:rsidP="008F4D8F">
      <w:pPr>
        <w:pStyle w:val="Caption"/>
        <w:jc w:val="left"/>
        <w:rPr>
          <w:b w:val="0"/>
        </w:rPr>
      </w:pPr>
      <w:bookmarkStart w:id="82" w:name="_Toc296333122"/>
      <w:r>
        <w:t xml:space="preserve">Figure </w:t>
      </w:r>
      <w:fldSimple w:instr=" SEQ Figure \* ARABIC ">
        <w:r w:rsidR="002B3E83">
          <w:rPr>
            <w:noProof/>
          </w:rPr>
          <w:t>29</w:t>
        </w:r>
      </w:fldSimple>
      <w:r>
        <w:t xml:space="preserve"> Experiment workflow of feca</w:t>
      </w:r>
      <w:r w:rsidR="00357D74">
        <w:t>l metaproteome data generation.</w:t>
      </w:r>
      <w:r w:rsidR="0043437A">
        <w:t xml:space="preserve">  </w:t>
      </w:r>
      <w:r w:rsidR="0043437A">
        <w:rPr>
          <w:b w:val="0"/>
        </w:rPr>
        <w:t xml:space="preserve">This illustration was adapted from Xiong et al </w:t>
      </w:r>
      <w:r w:rsidR="0043437A">
        <w:rPr>
          <w:b w:val="0"/>
        </w:rPr>
        <w:fldChar w:fldCharType="begin"/>
      </w:r>
      <w:r w:rsidR="0043437A">
        <w:rPr>
          <w:b w:val="0"/>
        </w:rPr>
        <w:instrText xml:space="preserve"> ADDIN EN.CITE &lt;EndNote&gt;&lt;Cite&gt;&lt;Author&gt;Xiong&lt;/Author&gt;&lt;Year&gt;2015&lt;/Year&gt;&lt;RecNum&gt;131&lt;/RecNum&gt;&lt;DisplayText&gt;[122]&lt;/DisplayText&gt;&lt;record&gt;&lt;rec-number&gt;131&lt;/rec-number&gt;&lt;foreign-keys&gt;&lt;key app="EN" db-id="efx2002d5f0z21etvw3x9zp7tw2axpa2eez0" timestamp="1434490712"&gt;131&lt;/key&gt;&lt;/foreign-keys&gt;&lt;ref-type name="Journal Article"&gt;17&lt;/ref-type&gt;&lt;contributors&gt;&lt;authors&gt;&lt;author&gt;Xiong, Weili&lt;/author&gt;&lt;author&gt;Abraham, Paul E&lt;/author&gt;&lt;author&gt;Li, Zhou&lt;/author&gt;&lt;author&gt;Pan, Chongle&lt;/author&gt;&lt;author&gt;Hettich, Robert L&lt;/author&gt;&lt;/authors&gt;&lt;/contributors&gt;&lt;titles&gt;&lt;title&gt;Microbial metaproteomics for characterizing the range of metabolic functions and activities of human gut microbiota&lt;/title&gt;&lt;secondary-title&gt;Proteomics&lt;/secondary-title&gt;&lt;/titles&gt;&lt;periodical&gt;&lt;full-title&gt;Proteomics&lt;/full-title&gt;&lt;/periodical&gt;&lt;dates&gt;&lt;year&gt;2015&lt;/year&gt;&lt;/dates&gt;&lt;isbn&gt;1615-9861&lt;/isbn&gt;&lt;urls&gt;&lt;/urls&gt;&lt;/record&gt;&lt;/Cite&gt;&lt;/EndNote&gt;</w:instrText>
      </w:r>
      <w:r w:rsidR="0043437A">
        <w:rPr>
          <w:b w:val="0"/>
        </w:rPr>
        <w:fldChar w:fldCharType="separate"/>
      </w:r>
      <w:r w:rsidR="0043437A">
        <w:rPr>
          <w:b w:val="0"/>
          <w:noProof/>
        </w:rPr>
        <w:t>[122]</w:t>
      </w:r>
      <w:r w:rsidR="0043437A">
        <w:rPr>
          <w:b w:val="0"/>
        </w:rPr>
        <w:fldChar w:fldCharType="end"/>
      </w:r>
      <w:r w:rsidR="0043437A">
        <w:rPr>
          <w:b w:val="0"/>
        </w:rPr>
        <w:t>.</w:t>
      </w:r>
      <w:bookmarkEnd w:id="82"/>
    </w:p>
    <w:p w14:paraId="7132CF80" w14:textId="59BAFA0B" w:rsidR="00E83A41" w:rsidRDefault="00E83A41">
      <w:pPr>
        <w:jc w:val="left"/>
        <w:rPr>
          <w:szCs w:val="28"/>
        </w:rPr>
      </w:pPr>
      <w:r>
        <w:rPr>
          <w:szCs w:val="28"/>
        </w:rPr>
        <w:br w:type="page"/>
      </w:r>
    </w:p>
    <w:p w14:paraId="5C017267" w14:textId="0AAC6E83" w:rsidR="00C226C4" w:rsidRPr="00C226C4" w:rsidRDefault="0037436E" w:rsidP="00E83A41">
      <w:pPr>
        <w:spacing w:line="480" w:lineRule="auto"/>
        <w:rPr>
          <w:szCs w:val="28"/>
        </w:rPr>
      </w:pPr>
      <w:r w:rsidRPr="00C226C4">
        <w:rPr>
          <w:szCs w:val="28"/>
        </w:rPr>
        <w:lastRenderedPageBreak/>
        <w:t xml:space="preserve">We collected ~36,000 human protein sequences from NCBI </w:t>
      </w:r>
      <w:r>
        <w:rPr>
          <w:szCs w:val="28"/>
        </w:rPr>
        <w:t>RefSeq</w:t>
      </w:r>
      <w:r w:rsidRPr="00C226C4">
        <w:rPr>
          <w:szCs w:val="28"/>
        </w:rPr>
        <w:t xml:space="preserve"> </w:t>
      </w:r>
      <w:r>
        <w:rPr>
          <w:szCs w:val="28"/>
        </w:rPr>
        <w:t>DB and m</w:t>
      </w:r>
      <w:r w:rsidRPr="00C226C4">
        <w:rPr>
          <w:szCs w:val="28"/>
        </w:rPr>
        <w:t xml:space="preserve">icrobial proteins from JGI IMG human microbiome project </w:t>
      </w:r>
      <w:r>
        <w:rPr>
          <w:szCs w:val="28"/>
        </w:rPr>
        <w:t>(</w:t>
      </w:r>
      <w:r w:rsidRPr="00C66184">
        <w:rPr>
          <w:szCs w:val="28"/>
        </w:rPr>
        <w:t>http://img.jgi.doe.gov/</w:t>
      </w:r>
      <w:r>
        <w:rPr>
          <w:szCs w:val="28"/>
        </w:rPr>
        <w:t>)</w:t>
      </w:r>
      <w:r w:rsidRPr="00C226C4">
        <w:rPr>
          <w:szCs w:val="28"/>
        </w:rPr>
        <w:t xml:space="preserve"> as is described in our previous paper </w:t>
      </w:r>
      <w:r w:rsidRPr="00C226C4">
        <w:rPr>
          <w:szCs w:val="28"/>
        </w:rPr>
        <w:fldChar w:fldCharType="begin"/>
      </w:r>
      <w:r>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Pr="00C226C4">
        <w:rPr>
          <w:szCs w:val="28"/>
        </w:rPr>
        <w:fldChar w:fldCharType="separate"/>
      </w:r>
      <w:r>
        <w:rPr>
          <w:noProof/>
          <w:szCs w:val="28"/>
        </w:rPr>
        <w:t>[73]</w:t>
      </w:r>
      <w:r w:rsidRPr="00C226C4">
        <w:rPr>
          <w:szCs w:val="28"/>
        </w:rPr>
        <w:fldChar w:fldCharType="end"/>
      </w:r>
      <w:r w:rsidRPr="00C226C4">
        <w:rPr>
          <w:szCs w:val="28"/>
        </w:rPr>
        <w:t xml:space="preserve">.  </w:t>
      </w:r>
      <w:r w:rsidR="00C226C4" w:rsidRPr="00C226C4">
        <w:rPr>
          <w:szCs w:val="28"/>
        </w:rPr>
        <w:t xml:space="preserve">For PBMC samples, we used human protein sequences only during MS/MS search while microbiome proteins were included in the DB used for MS/MS search of fecal samples.  All MS/MS individual runs were searched with the SEQUEST (v.27) algorithm </w:t>
      </w:r>
      <w:r w:rsidR="00C226C4" w:rsidRPr="00C226C4">
        <w:rPr>
          <w:szCs w:val="28"/>
        </w:rPr>
        <w:fldChar w:fldCharType="begin"/>
      </w:r>
      <w:r w:rsidR="00910455">
        <w:rPr>
          <w:szCs w:val="28"/>
        </w:rPr>
        <w:instrText xml:space="preserve"> ADDIN EN.CITE &lt;EndNote&gt;&lt;Cite&gt;&lt;Author&gt;Eng&lt;/Author&gt;&lt;Year&gt;1994&lt;/Year&gt;&lt;RecNum&gt;33&lt;/RecNum&gt;&lt;DisplayText&gt;[49]&lt;/DisplayText&gt;&lt;record&gt;&lt;rec-number&gt;33&lt;/rec-number&gt;&lt;foreign-keys&gt;&lt;key app="EN" db-id="dv5rxf0vx9xt01epsfuxx0p5292ff2dt9p0r" timestamp="1407435867"&gt;33&lt;/key&gt;&lt;/foreign-keys&gt;&lt;ref-type name="Journal Article"&gt;17&lt;/ref-type&gt;&lt;contributors&gt;&lt;authors&gt;&lt;author&gt;Eng, Jimmy K&lt;/author&gt;&lt;author&gt;McCormack, Ashley L&lt;/author&gt;&lt;author&gt;Yates, John R&lt;/author&gt;&lt;/authors&gt;&lt;/contributors&gt;&lt;titles&gt;&lt;title&gt;An approach to correlate tandem mass spectral data of peptides with amino acid sequences in a protein database&lt;/title&gt;&lt;secondary-title&gt;Journal of the American Society for Mass Spectrometry&lt;/secondary-title&gt;&lt;/titles&gt;&lt;periodical&gt;&lt;full-title&gt;Journal of the American Society for Mass Spectrometry&lt;/full-title&gt;&lt;/periodical&gt;&lt;pages&gt;976-989&lt;/pages&gt;&lt;volume&gt;5&lt;/volume&gt;&lt;number&gt;11&lt;/number&gt;&lt;dates&gt;&lt;year&gt;1994&lt;/year&gt;&lt;/dates&gt;&lt;isbn&gt;1044-0305&lt;/isbn&gt;&lt;urls&gt;&lt;/urls&gt;&lt;/record&gt;&lt;/Cite&gt;&lt;/EndNote&gt;</w:instrText>
      </w:r>
      <w:r w:rsidR="00C226C4" w:rsidRPr="00C226C4">
        <w:rPr>
          <w:szCs w:val="28"/>
        </w:rPr>
        <w:fldChar w:fldCharType="separate"/>
      </w:r>
      <w:r w:rsidR="00910455">
        <w:rPr>
          <w:noProof/>
          <w:szCs w:val="28"/>
        </w:rPr>
        <w:t>[49]</w:t>
      </w:r>
      <w:r w:rsidR="00C226C4" w:rsidRPr="00C226C4">
        <w:rPr>
          <w:szCs w:val="28"/>
        </w:rPr>
        <w:fldChar w:fldCharType="end"/>
      </w:r>
      <w:r w:rsidR="00C226C4" w:rsidRPr="00C226C4">
        <w:rPr>
          <w:szCs w:val="28"/>
        </w:rPr>
        <w:t xml:space="preserve"> against our customized FASTA sequence database.  Search parameters were followed to our prior study </w:t>
      </w:r>
      <w:r w:rsidR="00C226C4" w:rsidRPr="00C226C4">
        <w:rPr>
          <w:szCs w:val="28"/>
        </w:rPr>
        <w:fldChar w:fldCharType="begin"/>
      </w:r>
      <w:r w:rsidR="00910455">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C226C4" w:rsidRPr="00C226C4">
        <w:rPr>
          <w:szCs w:val="28"/>
        </w:rPr>
        <w:fldChar w:fldCharType="separate"/>
      </w:r>
      <w:r w:rsidR="00910455">
        <w:rPr>
          <w:noProof/>
          <w:szCs w:val="28"/>
        </w:rPr>
        <w:t>[73]</w:t>
      </w:r>
      <w:r w:rsidR="00C226C4" w:rsidRPr="00C226C4">
        <w:rPr>
          <w:szCs w:val="28"/>
        </w:rPr>
        <w:fldChar w:fldCharType="end"/>
      </w:r>
      <w:r w:rsidR="00C226C4" w:rsidRPr="00C226C4">
        <w:rPr>
          <w:szCs w:val="28"/>
        </w:rPr>
        <w:t xml:space="preserve"> (&lt;4 miscleavages, 3 Da mass tolerance window around the precursor ion mass and 0.5 Da for fragment ion masses).  All SEQUEST output files were gathered and filtered using DTASelect (1.9) </w:t>
      </w:r>
      <w:r w:rsidR="00C226C4" w:rsidRPr="00C226C4">
        <w:rPr>
          <w:szCs w:val="28"/>
        </w:rPr>
        <w:fldChar w:fldCharType="begin"/>
      </w:r>
      <w:r w:rsidR="00910455">
        <w:rPr>
          <w:szCs w:val="28"/>
        </w:rPr>
        <w:instrText xml:space="preserve"> ADDIN EN.CITE &lt;EndNote&gt;&lt;Cite&gt;&lt;Author&gt;Tabb&lt;/Author&gt;&lt;Year&gt;2002&lt;/Year&gt;&lt;RecNum&gt;34&lt;/RecNum&gt;&lt;DisplayText&gt;[64]&lt;/DisplayText&gt;&lt;record&gt;&lt;rec-number&gt;34&lt;/rec-number&gt;&lt;foreign-keys&gt;&lt;key app="EN" db-id="dv5rxf0vx9xt01epsfuxx0p5292ff2dt9p0r" timestamp="1407436879"&gt;34&lt;/key&gt;&lt;/foreign-keys&gt;&lt;ref-type name="Journal Article"&gt;17&lt;/ref-type&gt;&lt;contributors&gt;&lt;authors&gt;&lt;author&gt;Tabb, David L&lt;/author&gt;&lt;author&gt;McDonald, W Hayes&lt;/author&gt;&lt;author&gt;Yates, John R&lt;/author&gt;&lt;/authors&gt;&lt;/contributors&gt;&lt;titles&gt;&lt;title&gt;DTASelect and Contrast: tools for assembling and comparing protein identifications from shotgun proteomics&lt;/title&gt;&lt;secondary-title&gt;Journal of proteome research&lt;/secondary-title&gt;&lt;/titles&gt;&lt;periodical&gt;&lt;full-title&gt;Journal of proteome research&lt;/full-title&gt;&lt;/periodical&gt;&lt;pages&gt;21-26&lt;/pages&gt;&lt;volume&gt;1&lt;/volume&gt;&lt;number&gt;1&lt;/number&gt;&lt;dates&gt;&lt;year&gt;2002&lt;/year&gt;&lt;/dates&gt;&lt;isbn&gt;1535-3893&lt;/isbn&gt;&lt;urls&gt;&lt;/urls&gt;&lt;/record&gt;&lt;/Cite&gt;&lt;/EndNote&gt;</w:instrText>
      </w:r>
      <w:r w:rsidR="00C226C4" w:rsidRPr="00C226C4">
        <w:rPr>
          <w:szCs w:val="28"/>
        </w:rPr>
        <w:fldChar w:fldCharType="separate"/>
      </w:r>
      <w:r w:rsidR="00910455">
        <w:rPr>
          <w:noProof/>
          <w:szCs w:val="28"/>
        </w:rPr>
        <w:t>[64]</w:t>
      </w:r>
      <w:r w:rsidR="00C226C4" w:rsidRPr="00C226C4">
        <w:rPr>
          <w:szCs w:val="28"/>
        </w:rPr>
        <w:fldChar w:fldCharType="end"/>
      </w:r>
      <w:r w:rsidR="00C226C4" w:rsidRPr="00C226C4">
        <w:rPr>
          <w:szCs w:val="28"/>
        </w:rPr>
        <w:t xml:space="preserve"> at </w:t>
      </w:r>
      <w:r w:rsidR="00C226C4" w:rsidRPr="00C226C4">
        <w:rPr>
          <w:rFonts w:eastAsia="ＭＳ ゴシック"/>
        </w:rPr>
        <w:t>≥</w:t>
      </w:r>
      <w:r w:rsidR="00C226C4" w:rsidRPr="00C226C4">
        <w:rPr>
          <w:szCs w:val="28"/>
        </w:rPr>
        <w:t xml:space="preserve"> 2 peptides per protein and the following widely accepted parameters for all the MS runs: XCorr of at least 1.8, 2.5, 3.5 for +1, +2, and +3 charge states, respectively and a minimum deltCN for 0.08.  All the peptide spectrum matches (PSM) that could not satisfy a post-database search filter, -10</w:t>
      </w:r>
      <w:r w:rsidR="00C226C4" w:rsidRPr="00C226C4">
        <w:rPr>
          <w:rFonts w:eastAsia="ＭＳ ゴシック"/>
        </w:rPr>
        <w:t>≤</w:t>
      </w:r>
      <w:r w:rsidR="00C226C4" w:rsidRPr="00C226C4">
        <w:rPr>
          <w:szCs w:val="28"/>
        </w:rPr>
        <w:t xml:space="preserve"> ppm </w:t>
      </w:r>
      <w:r w:rsidR="00C226C4" w:rsidRPr="00C226C4">
        <w:rPr>
          <w:rFonts w:eastAsia="ＭＳ ゴシック"/>
        </w:rPr>
        <w:t>≤</w:t>
      </w:r>
      <w:r w:rsidR="00C226C4" w:rsidRPr="00C226C4">
        <w:rPr>
          <w:szCs w:val="28"/>
        </w:rPr>
        <w:t xml:space="preserve">10, were excluded out to remove false positives as described in previous study </w:t>
      </w:r>
      <w:r w:rsidR="00C226C4" w:rsidRPr="00C226C4">
        <w:rPr>
          <w:szCs w:val="28"/>
        </w:rPr>
        <w:fldChar w:fldCharType="begin"/>
      </w:r>
      <w:r w:rsidR="00910455">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C226C4" w:rsidRPr="00C226C4">
        <w:rPr>
          <w:szCs w:val="28"/>
        </w:rPr>
        <w:fldChar w:fldCharType="separate"/>
      </w:r>
      <w:r w:rsidR="00910455">
        <w:rPr>
          <w:noProof/>
          <w:szCs w:val="28"/>
        </w:rPr>
        <w:t>[73]</w:t>
      </w:r>
      <w:r w:rsidR="00C226C4" w:rsidRPr="00C226C4">
        <w:rPr>
          <w:szCs w:val="28"/>
        </w:rPr>
        <w:fldChar w:fldCharType="end"/>
      </w:r>
      <w:r w:rsidR="00C226C4" w:rsidRPr="00C226C4">
        <w:rPr>
          <w:szCs w:val="28"/>
        </w:rPr>
        <w:t xml:space="preserve">.  In this study, only human proteins were analyzed, but we included microbial proteins in the FASTA database to remove false positives.  We calculated spectral counts of human proteins via DTASelect.  We removed redundant protein sequences in the result proteome using NCBI Entrez Gene </w:t>
      </w:r>
      <w:r w:rsidR="00C226C4" w:rsidRPr="00C226C4">
        <w:rPr>
          <w:szCs w:val="28"/>
        </w:rPr>
        <w:fldChar w:fldCharType="begin"/>
      </w:r>
      <w:r w:rsidR="00910455">
        <w:rPr>
          <w:szCs w:val="28"/>
        </w:rPr>
        <w:instrText xml:space="preserve"> ADDIN EN.CITE &lt;EndNote&gt;&lt;Cite&gt;&lt;Author&gt;Maglott&lt;/Author&gt;&lt;Year&gt;2005&lt;/Year&gt;&lt;RecNum&gt;37&lt;/RecNum&gt;&lt;DisplayText&gt;[95]&lt;/DisplayText&gt;&lt;record&gt;&lt;rec-number&gt;37&lt;/rec-number&gt;&lt;foreign-keys&gt;&lt;key app="EN" db-id="dv5rxf0vx9xt01epsfuxx0p5292ff2dt9p0r" timestamp="1407785124"&gt;37&lt;/key&gt;&lt;/foreign-keys&gt;&lt;ref-type name="Journal Article"&gt;17&lt;/ref-type&gt;&lt;contributors&gt;&lt;authors&gt;&lt;author&gt;Maglott, Donna&lt;/author&gt;&lt;author&gt;Ostell, Jim&lt;/author&gt;&lt;author&gt;Pruitt, Kim D&lt;/author&gt;&lt;author&gt;Tatusova, Tatiana&lt;/author&gt;&lt;/authors&gt;&lt;/contributors&gt;&lt;titles&gt;&lt;title&gt;Entrez Gene: gene-centered information at NCBI&lt;/title&gt;&lt;secondary-title&gt;Nucleic acids research&lt;/secondary-title&gt;&lt;/titles&gt;&lt;periodical&gt;&lt;full-title&gt;Nucleic acids research&lt;/full-title&gt;&lt;/periodical&gt;&lt;pages&gt;D54-D58&lt;/pages&gt;&lt;volume&gt;33&lt;/volume&gt;&lt;number&gt;suppl 1&lt;/number&gt;&lt;dates&gt;&lt;year&gt;2005&lt;/year&gt;&lt;/dates&gt;&lt;isbn&gt;0305-1048&lt;/isbn&gt;&lt;urls&gt;&lt;/urls&gt;&lt;/record&gt;&lt;/Cite&gt;&lt;/EndNote&gt;</w:instrText>
      </w:r>
      <w:r w:rsidR="00C226C4" w:rsidRPr="00C226C4">
        <w:rPr>
          <w:szCs w:val="28"/>
        </w:rPr>
        <w:fldChar w:fldCharType="separate"/>
      </w:r>
      <w:r w:rsidR="00910455">
        <w:rPr>
          <w:noProof/>
          <w:szCs w:val="28"/>
        </w:rPr>
        <w:t>[95]</w:t>
      </w:r>
      <w:r w:rsidR="00C226C4" w:rsidRPr="00C226C4">
        <w:rPr>
          <w:szCs w:val="28"/>
        </w:rPr>
        <w:fldChar w:fldCharType="end"/>
      </w:r>
      <w:r w:rsidR="00C226C4" w:rsidRPr="00C226C4">
        <w:rPr>
          <w:szCs w:val="28"/>
        </w:rPr>
        <w:t xml:space="preserve"> so that one gene symbol have one sequence.  </w:t>
      </w:r>
      <w:proofErr w:type="gramStart"/>
      <w:r w:rsidR="00C226C4" w:rsidRPr="00C226C4">
        <w:rPr>
          <w:szCs w:val="28"/>
        </w:rPr>
        <w:t>Spectral counts (SC) wer</w:t>
      </w:r>
      <w:r w:rsidR="0049787B">
        <w:rPr>
          <w:szCs w:val="28"/>
        </w:rPr>
        <w:t xml:space="preserve">e normalized by scaling factor </w:t>
      </w:r>
      <w:r w:rsidR="002261D3" w:rsidRPr="00C226C4">
        <w:rPr>
          <w:b/>
        </w:rPr>
        <w:t>α</w:t>
      </w:r>
      <w:r w:rsidR="002261D3" w:rsidRPr="00C226C4">
        <w:rPr>
          <w:b/>
          <w:vertAlign w:val="subscript"/>
        </w:rPr>
        <w:t>i</w:t>
      </w:r>
      <w:r w:rsidR="002261D3" w:rsidRPr="00C226C4">
        <w:rPr>
          <w:szCs w:val="28"/>
        </w:rPr>
        <w:t xml:space="preserve"> </w:t>
      </w:r>
      <w:r w:rsidR="002261D3">
        <w:rPr>
          <w:szCs w:val="28"/>
        </w:rPr>
        <w:t xml:space="preserve">for i-th protein </w:t>
      </w:r>
      <w:r w:rsidR="0049787B">
        <w:rPr>
          <w:szCs w:val="28"/>
        </w:rPr>
        <w:t xml:space="preserve">described </w:t>
      </w:r>
      <w:r w:rsidR="002261D3">
        <w:rPr>
          <w:szCs w:val="28"/>
        </w:rPr>
        <w:t xml:space="preserve">as </w:t>
      </w:r>
      <w:r w:rsidR="0049787B">
        <w:rPr>
          <w:szCs w:val="28"/>
        </w:rPr>
        <w:t>below</w:t>
      </w:r>
      <w:proofErr w:type="gramEnd"/>
      <w:r w:rsidR="0049787B">
        <w:rPr>
          <w:szCs w:val="28"/>
        </w:rPr>
        <w:t>:</w:t>
      </w:r>
    </w:p>
    <w:p w14:paraId="06D5763E" w14:textId="5AF63CF1" w:rsidR="00C226C4" w:rsidRDefault="00C226C4" w:rsidP="005E5E9F">
      <w:pPr>
        <w:spacing w:line="480" w:lineRule="auto"/>
        <w:jc w:val="center"/>
        <w:rPr>
          <w:position w:val="-68"/>
        </w:rPr>
      </w:pPr>
      <w:r w:rsidRPr="00B04A2D">
        <w:rPr>
          <w:position w:val="-68"/>
        </w:rPr>
        <w:object w:dxaOrig="1500" w:dyaOrig="1740" w14:anchorId="5CDE6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5pt;height:86.95pt" o:ole="">
            <v:imagedata r:id="rId56" o:title=""/>
          </v:shape>
          <o:OLEObject Type="Embed" ProgID="Equation.3" ShapeID="_x0000_i1025" DrawAspect="Content" ObjectID="_1370087630" r:id="rId57"/>
        </w:object>
      </w:r>
    </w:p>
    <w:p w14:paraId="657BD3A5" w14:textId="30DB9EC2" w:rsidR="002261D3" w:rsidRDefault="002261D3" w:rsidP="00395254">
      <w:pPr>
        <w:spacing w:line="480" w:lineRule="auto"/>
        <w:rPr>
          <w:szCs w:val="28"/>
        </w:rPr>
      </w:pPr>
      <w:r>
        <w:rPr>
          <w:szCs w:val="28"/>
        </w:rPr>
        <w:t>Where N = the number MS runs, n = the number of proteins, SC is spectral counts of i-th protein in j-th MS run.</w:t>
      </w:r>
    </w:p>
    <w:p w14:paraId="5ED520E4" w14:textId="77777777" w:rsidR="00A025AB" w:rsidRPr="00CF1397" w:rsidRDefault="00A025AB" w:rsidP="00A025AB">
      <w:pPr>
        <w:pStyle w:val="Heading3"/>
      </w:pPr>
      <w:bookmarkStart w:id="83" w:name="_Toc296333737"/>
      <w:r>
        <w:t>Statistical analyses</w:t>
      </w:r>
      <w:bookmarkEnd w:id="83"/>
    </w:p>
    <w:p w14:paraId="2CB5BE36" w14:textId="77777777" w:rsidR="00A025AB" w:rsidRDefault="00A025AB" w:rsidP="00A025AB">
      <w:pPr>
        <w:spacing w:line="480" w:lineRule="auto"/>
        <w:rPr>
          <w:szCs w:val="28"/>
        </w:rPr>
      </w:pPr>
      <w:r>
        <w:rPr>
          <w:sz w:val="22"/>
          <w:szCs w:val="28"/>
        </w:rPr>
        <w:tab/>
        <w:t xml:space="preserve">All the statistical analysis including </w:t>
      </w:r>
      <w:r>
        <w:t>h</w:t>
      </w:r>
      <w:r w:rsidRPr="008F3137">
        <w:t>ierarchical clustering was done by R version 3.1.0</w:t>
      </w:r>
      <w:r>
        <w:t xml:space="preserve"> and Python 2.7.3 in-house scripts</w:t>
      </w:r>
      <w:r w:rsidRPr="008F3137">
        <w:t xml:space="preserve">. </w:t>
      </w:r>
      <w:r>
        <w:t xml:space="preserve"> </w:t>
      </w:r>
      <w:r w:rsidRPr="008F3137">
        <w:t xml:space="preserve">We used vegan, cluster, psych and gclus </w:t>
      </w:r>
      <w:r>
        <w:t xml:space="preserve">library of R to calculate distances between MS runs and </w:t>
      </w:r>
      <w:r w:rsidRPr="008F3137">
        <w:t xml:space="preserve">draw dendrogram. </w:t>
      </w:r>
      <w:r>
        <w:t xml:space="preserve"> To maximize clustering efficiency</w:t>
      </w:r>
      <w:r w:rsidRPr="008F3137">
        <w:t xml:space="preserve"> </w:t>
      </w:r>
      <w:r>
        <w:t>w</w:t>
      </w:r>
      <w:r w:rsidRPr="008F3137">
        <w:t xml:space="preserve">e calculated Cophenetic correlation coefficient and Gower similarity coefficient of </w:t>
      </w:r>
      <w:r>
        <w:t xml:space="preserve">several distance methods, such as </w:t>
      </w:r>
      <w:r w:rsidRPr="008F3137">
        <w:t xml:space="preserve">single linkage, complete linkage, Unweighted pair-group method using arithmetic averages (UPGMA) </w:t>
      </w:r>
      <w:r>
        <w:t>and Ward’s minimum variance matrixes.  UPGMA matrix shows highest Cophenetic correlation coefficient (93.3%), so we used UPGMA for hierarchical clustering</w:t>
      </w:r>
      <w:r w:rsidRPr="00C85903">
        <w:t xml:space="preserve">.  </w:t>
      </w:r>
      <w:r w:rsidRPr="00C85903">
        <w:rPr>
          <w:szCs w:val="28"/>
        </w:rPr>
        <w:t>Pearson correlation coefficients (PCC)</w:t>
      </w:r>
      <w:r>
        <w:rPr>
          <w:szCs w:val="28"/>
        </w:rPr>
        <w:t xml:space="preserve"> between 29 MS runs were calculated by in-house R scripts.  </w:t>
      </w:r>
      <w:r w:rsidRPr="001B5CAA">
        <w:rPr>
          <w:szCs w:val="28"/>
        </w:rPr>
        <w:t>Shapiro-Wilk normality test</w:t>
      </w:r>
      <w:r>
        <w:rPr>
          <w:szCs w:val="28"/>
        </w:rPr>
        <w:t xml:space="preserve"> was used to test our dataset if it is following Normality using </w:t>
      </w:r>
      <w:r w:rsidRPr="001B5CAA">
        <w:rPr>
          <w:szCs w:val="28"/>
        </w:rPr>
        <w:t xml:space="preserve">shapiro.test </w:t>
      </w:r>
      <w:r>
        <w:rPr>
          <w:szCs w:val="28"/>
        </w:rPr>
        <w:t>function of R.</w:t>
      </w:r>
    </w:p>
    <w:p w14:paraId="534EEA6B" w14:textId="5F803418" w:rsidR="00A025AB" w:rsidRDefault="00A025AB" w:rsidP="00A025AB">
      <w:pPr>
        <w:spacing w:line="480" w:lineRule="auto"/>
        <w:ind w:firstLine="720"/>
      </w:pPr>
      <w:r>
        <w:t xml:space="preserve">The proteomics results were also analyzed by using ‘selfea’ R packae (unpublished) providing Quasi-Poisson </w:t>
      </w:r>
      <w:r w:rsidRPr="003D0D13">
        <w:t>Generalized Linear Modeling (</w:t>
      </w:r>
      <w:r>
        <w:t>QP</w:t>
      </w:r>
      <w:r w:rsidRPr="003D0D13">
        <w:t>)</w:t>
      </w:r>
      <w:r>
        <w:t xml:space="preserve"> and Cohen’s </w:t>
      </w:r>
      <w:r w:rsidRPr="00FB0B18">
        <w:rPr>
          <w:i/>
        </w:rPr>
        <w:t>f</w:t>
      </w:r>
      <w:r>
        <w:rPr>
          <w:i/>
        </w:rPr>
        <w:t xml:space="preserve"> </w:t>
      </w:r>
      <w:r>
        <w:rPr>
          <w:szCs w:val="28"/>
        </w:rPr>
        <w:fldChar w:fldCharType="begin"/>
      </w:r>
      <w:r w:rsidR="006451B9">
        <w:rPr>
          <w:szCs w:val="28"/>
        </w:rPr>
        <w:instrText xml:space="preserve"> ADDIN EN.CITE &lt;EndNote&gt;&lt;Cite&gt;&lt;Author&gt;Cohen&lt;/Author&gt;&lt;Year&gt;1992&lt;/Year&gt;&lt;RecNum&gt;147&lt;/RecNum&gt;&lt;DisplayText&gt;[124]&lt;/DisplayText&gt;&lt;record&gt;&lt;rec-number&gt;147&lt;/rec-number&gt;&lt;foreign-keys&gt;&lt;key app="EN" db-id="efx2002d5f0z21etvw3x9zp7tw2axpa2eez0" timestamp="1434509735"&gt;147&lt;/key&gt;&lt;/foreign-keys&gt;&lt;ref-type name="Journal Article"&gt;17&lt;/ref-type&gt;&lt;contributors&gt;&lt;authors&gt;&lt;author&gt;Cohen, Jacob&lt;/author&gt;&lt;/authors&gt;&lt;/contributors&gt;&lt;titles&gt;&lt;title&gt;Statistical power analysis&lt;/title&gt;&lt;secondary-title&gt;Current directions in psychological science&lt;/secondary-title&gt;&lt;/titles&gt;&lt;periodical&gt;&lt;full-title&gt;Current directions in psychological science&lt;/full-title&gt;&lt;/periodical&gt;&lt;pages&gt;98-101&lt;/pages&gt;&lt;dates&gt;&lt;year&gt;1992&lt;/year&gt;&lt;/dates&gt;&lt;isbn&gt;0963-7214&lt;/isbn&gt;&lt;urls&gt;&lt;/urls&gt;&lt;/record&gt;&lt;/Cite&gt;&lt;/EndNote&gt;</w:instrText>
      </w:r>
      <w:r>
        <w:rPr>
          <w:szCs w:val="28"/>
        </w:rPr>
        <w:fldChar w:fldCharType="separate"/>
      </w:r>
      <w:r w:rsidR="00595CA2">
        <w:rPr>
          <w:noProof/>
          <w:szCs w:val="28"/>
        </w:rPr>
        <w:t>[124]</w:t>
      </w:r>
      <w:r>
        <w:rPr>
          <w:szCs w:val="28"/>
        </w:rPr>
        <w:fldChar w:fldCharType="end"/>
      </w:r>
      <w:r>
        <w:t xml:space="preserve">.  [Selfea paper is submitted; we can add its reference after it is published.]  We applied QP model to find significantly varied proteins in 11 fecal </w:t>
      </w:r>
      <w:r>
        <w:lastRenderedPageBreak/>
        <w:t xml:space="preserve">proteomes.  Poisson distribution is usually assumed to analyze frequency-based data like spectral counts </w:t>
      </w:r>
      <w:r>
        <w:fldChar w:fldCharType="begin"/>
      </w:r>
      <w:r w:rsidR="00910455">
        <w:instrText xml:space="preserve"> ADDIN EN.CITE &lt;EndNote&gt;&lt;Cite&gt;&lt;Author&gt;Li&lt;/Author&gt;&lt;Year&gt;2010&lt;/Year&gt;&lt;RecNum&gt;28&lt;/RecNum&gt;&lt;DisplayText&gt;[75]&lt;/DisplayText&gt;&lt;record&gt;&lt;rec-number&gt;28&lt;/rec-number&gt;&lt;foreign-keys&gt;&lt;key app="EN" db-id="dv5rxf0vx9xt01epsfuxx0p5292ff2dt9p0r" timestamp="1407091184"&gt;28&lt;/key&gt;&lt;/foreign-keys&gt;&lt;ref-type name="Journal Article"&gt;17&lt;/ref-type&gt;&lt;contributors&gt;&lt;authors&gt;&lt;author&gt;Li, Ming&lt;/author&gt;&lt;author&gt;Gray, William&lt;/author&gt;&lt;author&gt;Zhang, Haixia&lt;/author&gt;&lt;author&gt;Chung, Christine H&lt;/author&gt;&lt;author&gt;Billheimer, Dean&lt;/author&gt;&lt;author&gt;Yarbrough, Wendell G&lt;/author&gt;&lt;author&gt;Liebler, Daniel C&lt;/author&gt;&lt;author&gt;Shyr, Yu&lt;/author&gt;&lt;author&gt;Slebos, Robbert JC&lt;/author&gt;&lt;/authors&gt;&lt;/contributors&gt;&lt;titles&gt;&lt;title&gt;Comparative shotgun proteomics using spectral count data and quasi-likelihood modeling&lt;/title&gt;&lt;secondary-title&gt;Journal of proteome research&lt;/secondary-title&gt;&lt;/titles&gt;&lt;periodical&gt;&lt;full-title&gt;Journal of proteome research&lt;/full-title&gt;&lt;/periodical&gt;&lt;pages&gt;4295-4305&lt;/pages&gt;&lt;volume&gt;9&lt;/volume&gt;&lt;number&gt;8&lt;/number&gt;&lt;dates&gt;&lt;year&gt;2010&lt;/year&gt;&lt;/dates&gt;&lt;isbn&gt;1535-3893&lt;/isbn&gt;&lt;urls&gt;&lt;/urls&gt;&lt;/record&gt;&lt;/Cite&gt;&lt;/EndNote&gt;</w:instrText>
      </w:r>
      <w:r>
        <w:fldChar w:fldCharType="separate"/>
      </w:r>
      <w:r w:rsidR="00910455">
        <w:rPr>
          <w:noProof/>
        </w:rPr>
        <w:t>[75]</w:t>
      </w:r>
      <w:r>
        <w:fldChar w:fldCharType="end"/>
      </w:r>
      <w:r>
        <w:t xml:space="preserve">.  However, Poisson distribution assumes that its parameter λ = E(X) = Var(X).  Because of the assumption, Poisson distribution cannot bear over-dispersion.  Quasi maximum likelihood approach can alleviate Poisson test’s less flexibility by employing variance function based on given data </w:t>
      </w:r>
      <w:r>
        <w:fldChar w:fldCharType="begin"/>
      </w:r>
      <w:r w:rsidR="00910455">
        <w:instrText xml:space="preserve"> ADDIN EN.CITE &lt;EndNote&gt;&lt;Cite&gt;&lt;Author&gt;Li&lt;/Author&gt;&lt;Year&gt;2010&lt;/Year&gt;&lt;RecNum&gt;28&lt;/RecNum&gt;&lt;DisplayText&gt;[75]&lt;/DisplayText&gt;&lt;record&gt;&lt;rec-number&gt;28&lt;/rec-number&gt;&lt;foreign-keys&gt;&lt;key app="EN" db-id="dv5rxf0vx9xt01epsfuxx0p5292ff2dt9p0r" timestamp="1407091184"&gt;28&lt;/key&gt;&lt;/foreign-keys&gt;&lt;ref-type name="Journal Article"&gt;17&lt;/ref-type&gt;&lt;contributors&gt;&lt;authors&gt;&lt;author&gt;Li, Ming&lt;/author&gt;&lt;author&gt;Gray, William&lt;/author&gt;&lt;author&gt;Zhang, Haixia&lt;/author&gt;&lt;author&gt;Chung, Christine H&lt;/author&gt;&lt;author&gt;Billheimer, Dean&lt;/author&gt;&lt;author&gt;Yarbrough, Wendell G&lt;/author&gt;&lt;author&gt;Liebler, Daniel C&lt;/author&gt;&lt;author&gt;Shyr, Yu&lt;/author&gt;&lt;author&gt;Slebos, Robbert JC&lt;/author&gt;&lt;/authors&gt;&lt;/contributors&gt;&lt;titles&gt;&lt;title&gt;Comparative shotgun proteomics using spectral count data and quasi-likelihood modeling&lt;/title&gt;&lt;secondary-title&gt;Journal of proteome research&lt;/secondary-title&gt;&lt;/titles&gt;&lt;periodical&gt;&lt;full-title&gt;Journal of proteome research&lt;/full-title&gt;&lt;/periodical&gt;&lt;pages&gt;4295-4305&lt;/pages&gt;&lt;volume&gt;9&lt;/volume&gt;&lt;number&gt;8&lt;/number&gt;&lt;dates&gt;&lt;year&gt;2010&lt;/year&gt;&lt;/dates&gt;&lt;isbn&gt;1535-3893&lt;/isbn&gt;&lt;urls&gt;&lt;/urls&gt;&lt;/record&gt;&lt;/Cite&gt;&lt;/EndNote&gt;</w:instrText>
      </w:r>
      <w:r>
        <w:fldChar w:fldCharType="separate"/>
      </w:r>
      <w:r w:rsidR="00910455">
        <w:rPr>
          <w:noProof/>
        </w:rPr>
        <w:t>[75]</w:t>
      </w:r>
      <w:r>
        <w:fldChar w:fldCharType="end"/>
      </w:r>
      <w:r>
        <w:t>.  Our QP model is Spectral count ~ Fecal sample.  P-value was calculated by QP model and adjusted by Benjamini-Hochberg method (FDR)</w:t>
      </w:r>
      <w:r w:rsidRPr="00210991">
        <w:t xml:space="preserve"> </w:t>
      </w:r>
      <w:r w:rsidRPr="00210991">
        <w:rPr>
          <w:rFonts w:ascii="Times New Roman" w:hAnsi="Times New Roman"/>
          <w:szCs w:val="28"/>
        </w:rPr>
        <w:fldChar w:fldCharType="begin"/>
      </w:r>
      <w:r w:rsidR="00910455">
        <w:rPr>
          <w:rFonts w:ascii="Times New Roman" w:hAnsi="Times New Roman"/>
          <w:szCs w:val="28"/>
        </w:rPr>
        <w:instrText xml:space="preserve"> ADDIN EN.CITE &lt;EndNote&gt;&lt;Cite&gt;&lt;Author&gt;Benjamini&lt;/Author&gt;&lt;Year&gt;1995&lt;/Year&gt;&lt;RecNum&gt;32&lt;/RecNum&gt;&lt;DisplayText&gt;[89]&lt;/DisplayText&gt;&lt;record&gt;&lt;rec-number&gt;32&lt;/rec-number&gt;&lt;foreign-keys&gt;&lt;key app="EN" db-id="dv5rxf0vx9xt01epsfuxx0p5292ff2dt9p0r" timestamp="1407117491"&gt;32&lt;/key&gt;&lt;/foreign-keys&gt;&lt;ref-type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Pr="00210991">
        <w:rPr>
          <w:rFonts w:ascii="Times New Roman" w:hAnsi="Times New Roman"/>
          <w:szCs w:val="28"/>
        </w:rPr>
        <w:fldChar w:fldCharType="separate"/>
      </w:r>
      <w:r w:rsidR="00910455" w:rsidRPr="00910455">
        <w:rPr>
          <w:noProof/>
          <w:szCs w:val="28"/>
        </w:rPr>
        <w:t>[89]</w:t>
      </w:r>
      <w:r w:rsidRPr="00210991">
        <w:rPr>
          <w:rFonts w:ascii="Times New Roman" w:hAnsi="Times New Roman"/>
          <w:szCs w:val="28"/>
        </w:rPr>
        <w:fldChar w:fldCharType="end"/>
      </w:r>
      <w:r>
        <w:t xml:space="preserve">.  Cohen’s </w:t>
      </w:r>
      <w:r w:rsidRPr="00744D18">
        <w:rPr>
          <w:i/>
        </w:rPr>
        <w:t>f</w:t>
      </w:r>
      <w:r>
        <w:rPr>
          <w:i/>
        </w:rPr>
        <w:t xml:space="preserve"> </w:t>
      </w:r>
      <w:r>
        <w:t xml:space="preserve">was used as effect size filter.  Cohen’s </w:t>
      </w:r>
      <w:r w:rsidRPr="00B56148">
        <w:rPr>
          <w:i/>
        </w:rPr>
        <w:t>f</w:t>
      </w:r>
      <w:r>
        <w:t xml:space="preserve"> is ES linked with ANOVA F-test, which was used for QP model comparison.  Important advantage of using Cohen’s </w:t>
      </w:r>
      <w:r w:rsidRPr="00D9589B">
        <w:rPr>
          <w:i/>
        </w:rPr>
        <w:t>f</w:t>
      </w:r>
      <w:r>
        <w:t xml:space="preserve"> is that we can filter out underpowered hypotheses tests.  P-value cannot play its statistical evidence role at low statistical power (&lt; 90%)</w:t>
      </w:r>
      <w:r>
        <w:fldChar w:fldCharType="begin"/>
      </w:r>
      <w:r w:rsidR="00910455">
        <w:instrText xml:space="preserve"> ADDIN EN.CITE &lt;EndNote&gt;&lt;Cite&gt;&lt;Author&gt;Button&lt;/Author&gt;&lt;Year&gt;2013&lt;/Year&gt;&lt;RecNum&gt;55&lt;/RecNum&gt;&lt;DisplayText&gt;[102,103]&lt;/DisplayText&gt;&lt;record&gt;&lt;rec-number&gt;55&lt;/rec-number&gt;&lt;foreign-keys&gt;&lt;key app="EN" db-id="dv5rxf0vx9xt01epsfuxx0p5292ff2dt9p0r" timestamp="1434479173"&gt;55&lt;/key&gt;&lt;/foreign-keys&gt;&lt;ref-type name="Journal Article"&gt;17&lt;/ref-type&gt;&lt;contributors&gt;&lt;authors&gt;&lt;author&gt;Button, Katherine S&lt;/author&gt;&lt;author&gt;Ioannidis, John PA&lt;/author&gt;&lt;author&gt;Mokrysz, Claire&lt;/author&gt;&lt;author&gt;Nosek, Brian A&lt;/author&gt;&lt;author&gt;Flint, Jonathan&lt;/author&gt;&lt;author&gt;Robinson, Emma SJ&lt;/author&gt;&lt;author&gt;Munafò, Marcus R&lt;/author&gt;&lt;/authors&gt;&lt;/contributors&gt;&lt;titles&gt;&lt;title&gt;Power failure: why small sample size undermines the reliability of neuroscience&lt;/title&gt;&lt;secondary-title&gt;Nature Reviews Neuroscience&lt;/secondary-title&gt;&lt;/titles&gt;&lt;periodical&gt;&lt;full-title&gt;Nature Reviews Neuroscience&lt;/full-title&gt;&lt;/periodical&gt;&lt;pages&gt;365-376&lt;/pages&gt;&lt;volume&gt;14&lt;/volume&gt;&lt;number&gt;5&lt;/number&gt;&lt;dates&gt;&lt;year&gt;2013&lt;/year&gt;&lt;/dates&gt;&lt;isbn&gt;1471-003X&lt;/isbn&gt;&lt;urls&gt;&lt;/urls&gt;&lt;/record&gt;&lt;/Cite&gt;&lt;Cite&gt;&lt;Author&gt;Halsey&lt;/Author&gt;&lt;Year&gt;2015&lt;/Year&gt;&lt;RecNum&gt;56&lt;/RecNum&gt;&lt;record&gt;&lt;rec-number&gt;56&lt;/rec-number&gt;&lt;foreign-keys&gt;&lt;key app="EN" db-id="dv5rxf0vx9xt01epsfuxx0p5292ff2dt9p0r" timestamp="1434479215"&gt;56&lt;/key&gt;&lt;/foreign-keys&gt;&lt;ref-type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EndNote&gt;</w:instrText>
      </w:r>
      <w:r>
        <w:fldChar w:fldCharType="separate"/>
      </w:r>
      <w:r w:rsidR="00910455">
        <w:rPr>
          <w:noProof/>
        </w:rPr>
        <w:t>[102,103]</w:t>
      </w:r>
      <w:r>
        <w:fldChar w:fldCharType="end"/>
      </w:r>
      <w:r>
        <w:t xml:space="preserve">.  Selfea provides minimum Cohen’s </w:t>
      </w:r>
      <w:r w:rsidRPr="00AD4737">
        <w:rPr>
          <w:i/>
        </w:rPr>
        <w:t>f</w:t>
      </w:r>
      <w:r>
        <w:t xml:space="preserve"> at 90% statistical power and reliable results using ES filter and FDR filter.  Cohen’s f is calculated as described below:</w:t>
      </w:r>
    </w:p>
    <w:p w14:paraId="1583EBAE" w14:textId="3FDBD31F" w:rsidR="00A025AB" w:rsidRPr="00A025AB" w:rsidRDefault="00A025AB" w:rsidP="00A025AB">
      <w:pPr>
        <w:spacing w:line="480" w:lineRule="auto"/>
      </w:pPr>
      <m:oMathPara>
        <m:oMath>
          <m:r>
            <w:rPr>
              <w:rFonts w:ascii="Cambria Math" w:eastAsia="Batang" w:hAnsi="Cambria Math"/>
              <w:lang w:eastAsia="ko-KR"/>
            </w:rPr>
            <m:t xml:space="preserve">f= </m:t>
          </m:r>
          <m:rad>
            <m:radPr>
              <m:degHide m:val="1"/>
              <m:ctrlPr>
                <w:rPr>
                  <w:rFonts w:ascii="Cambria Math" w:eastAsia="Batang" w:hAnsi="Cambria Math"/>
                  <w:i/>
                  <w:lang w:eastAsia="ko-KR"/>
                </w:rPr>
              </m:ctrlPr>
            </m:radPr>
            <m:deg/>
            <m:e>
              <m:f>
                <m:fPr>
                  <m:ctrlPr>
                    <w:rPr>
                      <w:rFonts w:ascii="Cambria Math" w:eastAsia="Batang" w:hAnsi="Cambria Math"/>
                      <w:i/>
                      <w:lang w:eastAsia="ko-KR"/>
                    </w:rPr>
                  </m:ctrlPr>
                </m:fPr>
                <m:num>
                  <m:nary>
                    <m:naryPr>
                      <m:chr m:val="∑"/>
                      <m:limLoc m:val="undOvr"/>
                      <m:ctrlPr>
                        <w:rPr>
                          <w:rFonts w:ascii="Cambria Math" w:eastAsia="Batang" w:hAnsi="Cambria Math"/>
                          <w:i/>
                          <w:lang w:eastAsia="ko-KR"/>
                        </w:rPr>
                      </m:ctrlPr>
                    </m:naryPr>
                    <m:sub>
                      <m:r>
                        <w:rPr>
                          <w:rFonts w:ascii="Cambria Math" w:eastAsia="Batang" w:hAnsi="Cambria Math"/>
                          <w:lang w:eastAsia="ko-KR"/>
                        </w:rPr>
                        <m:t>i=1</m:t>
                      </m:r>
                    </m:sub>
                    <m:sup>
                      <m:r>
                        <w:rPr>
                          <w:rFonts w:ascii="Cambria Math" w:eastAsia="Batang" w:hAnsi="Cambria Math"/>
                          <w:lang w:eastAsia="ko-KR"/>
                        </w:rPr>
                        <m:t>k</m:t>
                      </m:r>
                    </m:sup>
                    <m:e>
                      <m:sSub>
                        <m:sSubPr>
                          <m:ctrlPr>
                            <w:rPr>
                              <w:rFonts w:ascii="Cambria Math" w:eastAsia="Batang" w:hAnsi="Cambria Math"/>
                              <w:i/>
                              <w:lang w:eastAsia="ko-KR"/>
                            </w:rPr>
                          </m:ctrlPr>
                        </m:sSubPr>
                        <m:e>
                          <m:r>
                            <w:rPr>
                              <w:rFonts w:ascii="Cambria Math" w:eastAsia="Batang" w:hAnsi="Cambria Math"/>
                              <w:lang w:eastAsia="ko-KR"/>
                            </w:rPr>
                            <m:t>p</m:t>
                          </m:r>
                        </m:e>
                        <m:sub>
                          <m:r>
                            <w:rPr>
                              <w:rFonts w:ascii="Cambria Math" w:eastAsia="Batang" w:hAnsi="Cambria Math"/>
                              <w:lang w:eastAsia="ko-KR"/>
                            </w:rPr>
                            <m:t>i</m:t>
                          </m:r>
                        </m:sub>
                      </m:sSub>
                      <m:sSup>
                        <m:sSupPr>
                          <m:ctrlPr>
                            <w:rPr>
                              <w:rFonts w:ascii="Cambria Math" w:eastAsia="Batang" w:hAnsi="Cambria Math"/>
                              <w:i/>
                              <w:lang w:eastAsia="ko-KR"/>
                            </w:rPr>
                          </m:ctrlPr>
                        </m:sSupPr>
                        <m:e>
                          <m:d>
                            <m:dPr>
                              <m:ctrlPr>
                                <w:rPr>
                                  <w:rFonts w:ascii="Cambria Math" w:eastAsia="Batang" w:hAnsi="Cambria Math"/>
                                  <w:i/>
                                  <w:lang w:eastAsia="ko-KR"/>
                                </w:rPr>
                              </m:ctrlPr>
                            </m:dPr>
                            <m:e>
                              <m:sSub>
                                <m:sSubPr>
                                  <m:ctrlPr>
                                    <w:rPr>
                                      <w:rFonts w:ascii="Cambria Math" w:eastAsia="Batang" w:hAnsi="Cambria Math"/>
                                      <w:i/>
                                      <w:lang w:eastAsia="ko-KR"/>
                                    </w:rPr>
                                  </m:ctrlPr>
                                </m:sSubPr>
                                <m:e>
                                  <m:r>
                                    <w:rPr>
                                      <w:rFonts w:ascii="Cambria Math" w:eastAsia="Batang" w:hAnsi="Cambria Math"/>
                                      <w:lang w:eastAsia="ko-KR"/>
                                    </w:rPr>
                                    <m:t>μ</m:t>
                                  </m:r>
                                </m:e>
                                <m:sub>
                                  <m:r>
                                    <w:rPr>
                                      <w:rFonts w:ascii="Cambria Math" w:eastAsia="Batang" w:hAnsi="Cambria Math"/>
                                      <w:lang w:eastAsia="ko-KR"/>
                                    </w:rPr>
                                    <m:t>i</m:t>
                                  </m:r>
                                </m:sub>
                              </m:sSub>
                              <m:r>
                                <w:rPr>
                                  <w:rFonts w:ascii="Cambria Math" w:eastAsia="Batang" w:hAnsi="Cambria Math"/>
                                  <w:lang w:eastAsia="ko-KR"/>
                                </w:rPr>
                                <m:t>-μ</m:t>
                              </m:r>
                            </m:e>
                          </m:d>
                        </m:e>
                        <m:sup>
                          <m:r>
                            <w:rPr>
                              <w:rFonts w:ascii="Cambria Math" w:eastAsia="Batang" w:hAnsi="Cambria Math"/>
                              <w:lang w:eastAsia="ko-KR"/>
                            </w:rPr>
                            <m:t>2</m:t>
                          </m:r>
                        </m:sup>
                      </m:sSup>
                    </m:e>
                  </m:nary>
                </m:num>
                <m:den>
                  <m:r>
                    <w:rPr>
                      <w:rFonts w:ascii="Cambria Math" w:eastAsia="Batang" w:hAnsi="Cambria Math"/>
                      <w:lang w:eastAsia="ko-KR"/>
                    </w:rPr>
                    <m:t>MSE</m:t>
                  </m:r>
                </m:den>
              </m:f>
            </m:e>
          </m:rad>
        </m:oMath>
      </m:oMathPara>
    </w:p>
    <w:p w14:paraId="00F53FC4" w14:textId="77777777" w:rsidR="00A025AB" w:rsidRDefault="00A025AB" w:rsidP="00A025AB">
      <w:pPr>
        <w:spacing w:line="480" w:lineRule="auto"/>
        <w:rPr>
          <w:szCs w:val="28"/>
        </w:rPr>
      </w:pPr>
      <w:r>
        <w:t xml:space="preserve">Where, </w:t>
      </w:r>
      <w:r>
        <w:rPr>
          <w:rFonts w:eastAsia="Batang"/>
          <w:lang w:eastAsia="ko-KR"/>
        </w:rPr>
        <w:t>p</w:t>
      </w:r>
      <w:r w:rsidRPr="00B816ED">
        <w:rPr>
          <w:rFonts w:eastAsia="Batang"/>
          <w:vertAlign w:val="subscript"/>
          <w:lang w:eastAsia="ko-KR"/>
        </w:rPr>
        <w:t>i</w:t>
      </w:r>
      <w:r>
        <w:rPr>
          <w:rFonts w:eastAsia="Batang"/>
          <w:lang w:eastAsia="ko-KR"/>
        </w:rPr>
        <w:t xml:space="preserve"> = N/n</w:t>
      </w:r>
      <w:r w:rsidRPr="00B816ED">
        <w:rPr>
          <w:rFonts w:eastAsia="Batang"/>
          <w:vertAlign w:val="subscript"/>
          <w:lang w:eastAsia="ko-KR"/>
        </w:rPr>
        <w:t>i</w:t>
      </w:r>
      <w:r>
        <w:rPr>
          <w:rFonts w:eastAsia="Batang"/>
          <w:lang w:eastAsia="ko-KR"/>
        </w:rPr>
        <w:t xml:space="preserve">, </w:t>
      </w:r>
      <w:r w:rsidRPr="00C16570">
        <w:rPr>
          <w:rFonts w:eastAsia="Batang"/>
          <w:lang w:eastAsia="ko-KR"/>
        </w:rPr>
        <w:t>k = the number of groups, n</w:t>
      </w:r>
      <w:r w:rsidRPr="00C16570">
        <w:rPr>
          <w:rFonts w:eastAsia="Batang"/>
          <w:vertAlign w:val="subscript"/>
          <w:lang w:eastAsia="ko-KR"/>
        </w:rPr>
        <w:t>i</w:t>
      </w:r>
      <w:r w:rsidRPr="00C16570">
        <w:rPr>
          <w:rFonts w:eastAsia="Batang"/>
          <w:lang w:eastAsia="ko-KR"/>
        </w:rPr>
        <w:t xml:space="preserve"> = the number of observation in group i, N = total number of observations, μ</w:t>
      </w:r>
      <w:r w:rsidRPr="00C16570">
        <w:rPr>
          <w:rFonts w:eastAsia="Batang"/>
          <w:vertAlign w:val="subscript"/>
          <w:lang w:eastAsia="ko-KR"/>
        </w:rPr>
        <w:t>i</w:t>
      </w:r>
      <w:r w:rsidRPr="00C16570">
        <w:rPr>
          <w:rFonts w:eastAsia="Batang"/>
          <w:lang w:eastAsia="ko-KR"/>
        </w:rPr>
        <w:t xml:space="preserve"> = mean of group i, μ = grand mean over all the observations, and </w:t>
      </w:r>
      <w:r>
        <w:rPr>
          <w:rFonts w:eastAsia="Batang"/>
          <w:lang w:eastAsia="ko-KR"/>
        </w:rPr>
        <w:t>MSE</w:t>
      </w:r>
      <w:r w:rsidRPr="00C16570">
        <w:rPr>
          <w:rFonts w:eastAsia="Batang"/>
          <w:lang w:eastAsia="ko-KR"/>
        </w:rPr>
        <w:t xml:space="preserve"> = </w:t>
      </w:r>
      <w:r>
        <w:rPr>
          <w:rFonts w:eastAsia="Batang"/>
          <w:lang w:eastAsia="ko-KR"/>
        </w:rPr>
        <w:t xml:space="preserve">mean square error.  The minimum Cohen’s </w:t>
      </w:r>
      <w:r w:rsidRPr="00F82BDF">
        <w:rPr>
          <w:rFonts w:eastAsia="Batang"/>
          <w:i/>
          <w:lang w:eastAsia="ko-KR"/>
        </w:rPr>
        <w:t>f</w:t>
      </w:r>
      <w:r>
        <w:rPr>
          <w:rFonts w:eastAsia="Batang"/>
          <w:lang w:eastAsia="ko-KR"/>
        </w:rPr>
        <w:t xml:space="preserve"> at 90% statistical power was 1.3769 given sample size and p-value 0.05 threshold.  We accepted proteins that have bigger Cohen’s </w:t>
      </w:r>
      <w:r w:rsidRPr="00F82BDF">
        <w:rPr>
          <w:rFonts w:eastAsia="Batang"/>
          <w:i/>
          <w:lang w:eastAsia="ko-KR"/>
        </w:rPr>
        <w:t>f</w:t>
      </w:r>
      <w:r>
        <w:rPr>
          <w:rFonts w:eastAsia="Batang"/>
          <w:lang w:eastAsia="ko-KR"/>
        </w:rPr>
        <w:t xml:space="preserve"> than 1.3769 and less than 0.05 FDR for further analysis.</w:t>
      </w:r>
    </w:p>
    <w:p w14:paraId="70F7B9BF" w14:textId="14652F2B" w:rsidR="00C226C4" w:rsidRDefault="00A025AB" w:rsidP="007A040A">
      <w:pPr>
        <w:spacing w:line="480" w:lineRule="auto"/>
        <w:ind w:firstLine="720"/>
        <w:rPr>
          <w:szCs w:val="28"/>
        </w:rPr>
      </w:pPr>
      <w:r>
        <w:rPr>
          <w:szCs w:val="28"/>
        </w:rPr>
        <w:t xml:space="preserve">Functional analysis of fecal proteome was done by enrichment test and significance test.  These analyses were done by in-house Python and R script.  </w:t>
      </w:r>
      <w:r>
        <w:rPr>
          <w:szCs w:val="28"/>
        </w:rPr>
        <w:lastRenderedPageBreak/>
        <w:t>We annotated the dataset with GO terms</w:t>
      </w:r>
      <w:r w:rsidRPr="00D131EF">
        <w:rPr>
          <w:szCs w:val="28"/>
        </w:rPr>
        <w:t xml:space="preserve"> </w:t>
      </w:r>
      <w:r w:rsidRPr="00D131EF">
        <w:rPr>
          <w:szCs w:val="28"/>
        </w:rPr>
        <w:fldChar w:fldCharType="begin"/>
      </w:r>
      <w:r w:rsidR="00910455">
        <w:rPr>
          <w:szCs w:val="28"/>
        </w:rPr>
        <w:instrText xml:space="preserve"> ADDIN EN.CITE &lt;EndNote&gt;&lt;Cite&gt;&lt;Author&gt;Ashburner&lt;/Author&gt;&lt;Year&gt;2000&lt;/Year&gt;&lt;RecNum&gt;44&lt;/RecNum&gt;&lt;DisplayText&gt;[94]&lt;/DisplayText&gt;&lt;record&gt;&lt;rec-number&gt;44&lt;/rec-number&gt;&lt;foreign-keys&gt;&lt;key app="EN" db-id="dv5rxf0vx9xt01epsfuxx0p5292ff2dt9p0r" timestamp="1421097353"&gt;44&lt;/key&gt;&lt;/foreign-keys&gt;&lt;ref-type name="Journal Article"&gt;17&lt;/ref-type&gt;&lt;contributors&gt;&lt;authors&gt;&lt;author&gt;Ashburner, Michael&lt;/author&gt;&lt;author&gt;Ball, Catherine A&lt;/author&gt;&lt;author&gt;Blake, Judith A&lt;/author&gt;&lt;author&gt;Botstein, David&lt;/author&gt;&lt;author&gt;Butler, Heather&lt;/author&gt;&lt;author&gt;Cherry, J Michael&lt;/author&gt;&lt;author&gt;Davis, Allan P&lt;/author&gt;&lt;author&gt;Dolinski, Kara&lt;/author&gt;&lt;author&gt;Dwight, Selina S&lt;/author&gt;&lt;author&gt;Eppig, Janan T&lt;/author&gt;&lt;/authors&gt;&lt;/contributors&gt;&lt;titles&gt;&lt;title&gt;Gene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genetics&lt;/full-title&gt;&lt;/periodical&gt;&lt;pages&gt;25-29&lt;/pages&gt;&lt;volume&gt;25&lt;/volume&gt;&lt;number&gt;1&lt;/number&gt;&lt;dates&gt;&lt;year&gt;2000&lt;/year&gt;&lt;/dates&gt;&lt;urls&gt;&lt;/urls&gt;&lt;/record&gt;&lt;/Cite&gt;&lt;/EndNote&gt;</w:instrText>
      </w:r>
      <w:r w:rsidRPr="00D131EF">
        <w:rPr>
          <w:szCs w:val="28"/>
        </w:rPr>
        <w:fldChar w:fldCharType="separate"/>
      </w:r>
      <w:r w:rsidR="00910455">
        <w:rPr>
          <w:noProof/>
          <w:szCs w:val="28"/>
        </w:rPr>
        <w:t>[94]</w:t>
      </w:r>
      <w:r w:rsidRPr="00D131EF">
        <w:rPr>
          <w:szCs w:val="28"/>
        </w:rPr>
        <w:fldChar w:fldCharType="end"/>
      </w:r>
      <w:r>
        <w:rPr>
          <w:szCs w:val="28"/>
        </w:rPr>
        <w:t xml:space="preserve"> for human proteins and Cluster of ortholog groups (COG) terms </w:t>
      </w:r>
      <w:r>
        <w:rPr>
          <w:szCs w:val="28"/>
        </w:rPr>
        <w:fldChar w:fldCharType="begin"/>
      </w:r>
      <w:r w:rsidR="006451B9">
        <w:rPr>
          <w:szCs w:val="28"/>
        </w:rPr>
        <w:instrText xml:space="preserve"> ADDIN EN.CITE &lt;EndNote&gt;&lt;Cite&gt;&lt;Author&gt;Tatusov&lt;/Author&gt;&lt;Year&gt;2001&lt;/Year&gt;&lt;RecNum&gt;172&lt;/RecNum&gt;&lt;DisplayText&gt;[125]&lt;/DisplayText&gt;&lt;record&gt;&lt;rec-number&gt;172&lt;/rec-number&gt;&lt;foreign-keys&gt;&lt;key app="EN" db-id="efx2002d5f0z21etvw3x9zp7tw2axpa2eez0" timestamp="1434509735"&gt;172&lt;/key&gt;&lt;/foreign-keys&gt;&lt;ref-type name="Journal Article"&gt;17&lt;/ref-type&gt;&lt;contributors&gt;&lt;authors&gt;&lt;author&gt;Tatusov, Roman L&lt;/author&gt;&lt;author&gt;Natale, Darren A&lt;/author&gt;&lt;author&gt;Garkavtsev, Igor V&lt;/author&gt;&lt;author&gt;Tatusova, Tatiana A&lt;/author&gt;&lt;author&gt;Shankavaram, Uma T&lt;/author&gt;&lt;author&gt;Rao, Bachoti S&lt;/author&gt;&lt;author&gt;Kiryutin, Boris&lt;/author&gt;&lt;author&gt;Galperin, Michael Y&lt;/author&gt;&lt;author&gt;Fedorova, Natalie D&lt;/author&gt;&lt;author&gt;Koonin, Eugene V&lt;/author&gt;&lt;/authors&gt;&lt;/contributors&gt;&lt;titles&gt;&lt;title&gt;The COG database: new developments in phylogenetic classification of proteins from complete genomes&lt;/title&gt;&lt;secondary-title&gt;Nucleic acids research&lt;/secondary-title&gt;&lt;/titles&gt;&lt;periodical&gt;&lt;full-title&gt;Nucleic acids research&lt;/full-title&gt;&lt;/periodical&gt;&lt;pages&gt;22-28&lt;/pages&gt;&lt;volume&gt;29&lt;/volume&gt;&lt;number&gt;1&lt;/number&gt;&lt;dates&gt;&lt;year&gt;2001&lt;/year&gt;&lt;/dates&gt;&lt;isbn&gt;0305-1048&lt;/isbn&gt;&lt;urls&gt;&lt;/urls&gt;&lt;/record&gt;&lt;/Cite&gt;&lt;/EndNote&gt;</w:instrText>
      </w:r>
      <w:r>
        <w:rPr>
          <w:szCs w:val="28"/>
        </w:rPr>
        <w:fldChar w:fldCharType="separate"/>
      </w:r>
      <w:r w:rsidR="00595CA2">
        <w:rPr>
          <w:noProof/>
          <w:szCs w:val="28"/>
        </w:rPr>
        <w:t>[125]</w:t>
      </w:r>
      <w:r>
        <w:rPr>
          <w:szCs w:val="28"/>
        </w:rPr>
        <w:fldChar w:fldCharType="end"/>
      </w:r>
      <w:r>
        <w:rPr>
          <w:szCs w:val="28"/>
        </w:rPr>
        <w:t xml:space="preserve"> for microbial proteins.  GO terms</w:t>
      </w:r>
      <w:r w:rsidRPr="00D131EF">
        <w:rPr>
          <w:szCs w:val="28"/>
        </w:rPr>
        <w:t xml:space="preserve"> </w:t>
      </w:r>
      <w:r>
        <w:rPr>
          <w:szCs w:val="28"/>
        </w:rPr>
        <w:t xml:space="preserve">were downloaded from NCBI BioSystems database </w:t>
      </w:r>
      <w:r>
        <w:rPr>
          <w:szCs w:val="28"/>
        </w:rPr>
        <w:fldChar w:fldCharType="begin"/>
      </w:r>
      <w:r w:rsidR="00910455">
        <w:rPr>
          <w:szCs w:val="28"/>
        </w:rPr>
        <w:instrText xml:space="preserve"> ADDIN EN.CITE &lt;EndNote&gt;&lt;Cite&gt;&lt;Author&gt;Geer&lt;/Author&gt;&lt;Year&gt;2009&lt;/Year&gt;&lt;RecNum&gt;35&lt;/RecNum&gt;&lt;DisplayText&gt;[84]&lt;/DisplayText&gt;&lt;record&gt;&lt;rec-number&gt;35&lt;/rec-number&gt;&lt;foreign-keys&gt;&lt;key app="EN" db-id="dv5rxf0vx9xt01epsfuxx0p5292ff2dt9p0r" timestamp="1407771456"&gt;35&lt;/key&gt;&lt;/foreign-keys&gt;&lt;ref-type name="Journal Article"&gt;17&lt;/ref-type&gt;&lt;contributors&gt;&lt;authors&gt;&lt;author&gt;Geer, Lewis Y&lt;/author&gt;&lt;author&gt;Marchler-Bauer, Aron&lt;/author&gt;&lt;author&gt;Geer, Renata C&lt;/author&gt;&lt;author&gt;Han, Lianyi&lt;/author&gt;&lt;author&gt;He, Jane&lt;/author&gt;&lt;author&gt;He, Siqian&lt;/author&gt;&lt;author&gt;Liu, Chunlei&lt;/author&gt;&lt;author&gt;Shi, Wenyao&lt;/author&gt;&lt;author&gt;Bryant, Stephen H&lt;/author&gt;&lt;/authors&gt;&lt;/contributors&gt;&lt;titles&gt;&lt;title&gt;The NCBI biosystems database&lt;/title&gt;&lt;secondary-title&gt;Nucleic acids research&lt;/secondary-title&gt;&lt;/titles&gt;&lt;periodical&gt;&lt;full-title&gt;Nucleic acids research&lt;/full-title&gt;&lt;/periodical&gt;&lt;pages&gt;gkp858&lt;/pages&gt;&lt;dates&gt;&lt;year&gt;2009&lt;/year&gt;&lt;/dates&gt;&lt;isbn&gt;0305-1048&lt;/isbn&gt;&lt;urls&gt;&lt;/urls&gt;&lt;/record&gt;&lt;/Cite&gt;&lt;/EndNote&gt;</w:instrText>
      </w:r>
      <w:r>
        <w:rPr>
          <w:szCs w:val="28"/>
        </w:rPr>
        <w:fldChar w:fldCharType="separate"/>
      </w:r>
      <w:r w:rsidR="00910455">
        <w:rPr>
          <w:noProof/>
          <w:szCs w:val="28"/>
        </w:rPr>
        <w:t>[84]</w:t>
      </w:r>
      <w:r>
        <w:rPr>
          <w:szCs w:val="28"/>
        </w:rPr>
        <w:fldChar w:fldCharType="end"/>
      </w:r>
      <w:r>
        <w:rPr>
          <w:szCs w:val="28"/>
        </w:rPr>
        <w:t xml:space="preserve"> via FTP.  COG terms were assigned to fecal microbial proteins by using COGSoftware </w:t>
      </w:r>
      <w:r>
        <w:rPr>
          <w:szCs w:val="28"/>
        </w:rPr>
        <w:fldChar w:fldCharType="begin"/>
      </w:r>
      <w:r w:rsidR="00910455">
        <w:rPr>
          <w:szCs w:val="28"/>
        </w:rPr>
        <w:instrText xml:space="preserve"> ADDIN EN.CITE &lt;EndNote&gt;&lt;Cite&gt;&lt;Author&gt;Kristensen&lt;/Author&gt;&lt;Year&gt;2010&lt;/Year&gt;&lt;RecNum&gt;57&lt;/RecNum&gt;&lt;DisplayText&gt;[99]&lt;/DisplayText&gt;&lt;record&gt;&lt;rec-number&gt;57&lt;/rec-number&gt;&lt;foreign-keys&gt;&lt;key app="EN" db-id="dv5rxf0vx9xt01epsfuxx0p5292ff2dt9p0r" timestamp="1434481348"&gt;57&lt;/key&gt;&lt;/foreign-keys&gt;&lt;ref-type name="Journal Article"&gt;17&lt;/ref-type&gt;&lt;contributors&gt;&lt;authors&gt;&lt;author&gt;Kristensen, David M&lt;/author&gt;&lt;author&gt;Kannan, Lavanya&lt;/author&gt;&lt;author&gt;Coleman, Michael K&lt;/author&gt;&lt;author&gt;Wolf, Yuri I&lt;/author&gt;&lt;author&gt;Sorokin, Alexander&lt;/author&gt;&lt;author&gt;Koonin, Eugene V&lt;/author&gt;&lt;author&gt;Mushegian, Arcady&lt;/author&gt;&lt;/authors&gt;&lt;/contributors&gt;&lt;titles&gt;&lt;title&gt;A low-polynomial algorithm for assembling clusters of orthologous groups from intergenomic symmetric best matches&lt;/title&gt;&lt;secondary-title&gt;Bioinformatics&lt;/secondary-title&gt;&lt;/titles&gt;&lt;periodical&gt;&lt;full-title&gt;Bioinformatics&lt;/full-title&gt;&lt;/periodical&gt;&lt;pages&gt;1481-1487&lt;/pages&gt;&lt;volume&gt;26&lt;/volume&gt;&lt;number&gt;12&lt;/number&gt;&lt;dates&gt;&lt;year&gt;2010&lt;/year&gt;&lt;/dates&gt;&lt;isbn&gt;1367-4803&lt;/isbn&gt;&lt;urls&gt;&lt;/urls&gt;&lt;/record&gt;&lt;/Cite&gt;&lt;/EndNote&gt;</w:instrText>
      </w:r>
      <w:r>
        <w:rPr>
          <w:szCs w:val="28"/>
        </w:rPr>
        <w:fldChar w:fldCharType="separate"/>
      </w:r>
      <w:r w:rsidR="00910455">
        <w:rPr>
          <w:noProof/>
          <w:szCs w:val="28"/>
        </w:rPr>
        <w:t>[99]</w:t>
      </w:r>
      <w:r>
        <w:rPr>
          <w:szCs w:val="28"/>
        </w:rPr>
        <w:fldChar w:fldCharType="end"/>
      </w:r>
      <w:r>
        <w:rPr>
          <w:szCs w:val="28"/>
        </w:rPr>
        <w:t xml:space="preserve">.  We followed steps recommended by COGSoftware to identify COG terms.  With COG and GO terms, we conducted enrichment test using Fisher’s exact test and significance test using selfea.  Same filtering threshold, FDR &lt; 0.05 and Cohen’s </w:t>
      </w:r>
      <w:r w:rsidRPr="00F82BDF">
        <w:rPr>
          <w:i/>
          <w:szCs w:val="28"/>
        </w:rPr>
        <w:t>f</w:t>
      </w:r>
      <w:r>
        <w:rPr>
          <w:szCs w:val="28"/>
        </w:rPr>
        <w:t xml:space="preserve"> &gt; 1.3769, were applied to find significant GO and COG terms.</w:t>
      </w:r>
    </w:p>
    <w:p w14:paraId="2CA27F3B" w14:textId="77777777" w:rsidR="00C226C4" w:rsidRDefault="00C226C4" w:rsidP="00C226C4">
      <w:pPr>
        <w:spacing w:line="360" w:lineRule="auto"/>
        <w:rPr>
          <w:szCs w:val="28"/>
        </w:rPr>
      </w:pPr>
    </w:p>
    <w:p w14:paraId="17AD5D6A" w14:textId="5859748A" w:rsidR="00236E6D" w:rsidRPr="004030F5" w:rsidRDefault="00B840E3" w:rsidP="00B532FE">
      <w:pPr>
        <w:pStyle w:val="Heading2"/>
        <w:spacing w:line="480" w:lineRule="auto"/>
      </w:pPr>
      <w:bookmarkStart w:id="84" w:name="_Toc296333738"/>
      <w:r w:rsidRPr="004030F5">
        <w:t>Results</w:t>
      </w:r>
      <w:bookmarkEnd w:id="84"/>
    </w:p>
    <w:p w14:paraId="70E577C8" w14:textId="635E3B3D" w:rsidR="003D63DF" w:rsidRPr="004030F5" w:rsidRDefault="00F56D40" w:rsidP="00B532FE">
      <w:pPr>
        <w:pStyle w:val="Heading3"/>
      </w:pPr>
      <w:bookmarkStart w:id="85" w:name="_Toc296333739"/>
      <w:r w:rsidRPr="00F56D40">
        <w:t>Data generation from 11 fecal and 5 PBMC samples</w:t>
      </w:r>
      <w:bookmarkEnd w:id="85"/>
    </w:p>
    <w:p w14:paraId="6DB52AE5" w14:textId="03D84C42" w:rsidR="000A35F6" w:rsidRDefault="00AA43E9" w:rsidP="00AA43E9">
      <w:pPr>
        <w:spacing w:line="480" w:lineRule="auto"/>
        <w:ind w:firstLine="720"/>
      </w:pPr>
      <w:r>
        <w:t xml:space="preserve">From the 11 fecal samples metaproteomic datasets were generated by nano 2D-LC-MS/MS on an OrbiVelos Pro (Thermo-Fisher).  Of these 11 samples four were duplicated and others were triplicated and totally 29 MS runs were obtained.  The datasets were searched against human NCBI RefSeq </w:t>
      </w:r>
      <w:r>
        <w:fldChar w:fldCharType="begin"/>
      </w:r>
      <w:r w:rsidR="006451B9">
        <w:instrText xml:space="preserve"> ADDIN EN.CITE &lt;EndNote&gt;&lt;Cite&gt;&lt;Author&gt;Pruitt&lt;/Author&gt;&lt;Year&gt;2007&lt;/Year&gt;&lt;RecNum&gt;20&lt;/RecNum&gt;&lt;DisplayText&gt;[45]&lt;/DisplayText&gt;&lt;record&gt;&lt;rec-number&gt;20&lt;/rec-number&gt;&lt;foreign-keys&gt;&lt;key app="EN" db-id="dv5rxf0vx9xt01epsfuxx0p5292ff2dt9p0r" timestamp="1406581254"&gt;20&lt;/key&gt;&lt;/foreign-keys&gt;&lt;ref-type name="Journal Article"&gt;17&lt;/ref-type&gt;&lt;contributors&gt;&lt;authors&gt;&lt;author&gt;Pruitt, Kim D&lt;/author&gt;&lt;author&gt;Tatusova, Tatiana&lt;/author&gt;&lt;author&gt;Maglott, Donna R&lt;/author&gt;&lt;/authors&gt;&lt;/contributors&gt;&lt;titles&gt;&lt;title&gt;NCBI reference sequences (RefSeq): a curated non-redundant sequence database of genomes, transcripts and proteins&lt;/title&gt;&lt;secondary-title&gt;Nucleic acids research&lt;/secondary-title&gt;&lt;/titles&gt;&lt;periodical&gt;&lt;full-title&gt;Nucleic acids research&lt;/full-title&gt;&lt;/periodical&gt;&lt;pages&gt;D61-D65&lt;/pages&gt;&lt;volume&gt;35&lt;/volume&gt;&lt;number&gt;suppl 1&lt;/number&gt;&lt;dates&gt;&lt;year&gt;2007&lt;/year&gt;&lt;/dates&gt;&lt;isbn&gt;0305-1048&lt;/isbn&gt;&lt;urls&gt;&lt;/urls&gt;&lt;/record&gt;&lt;/Cite&gt;&lt;/EndNote&gt;</w:instrText>
      </w:r>
      <w:r>
        <w:fldChar w:fldCharType="separate"/>
      </w:r>
      <w:r w:rsidR="006451B9">
        <w:rPr>
          <w:noProof/>
        </w:rPr>
        <w:t>[45]</w:t>
      </w:r>
      <w:r>
        <w:fldChar w:fldCharType="end"/>
      </w:r>
      <w:r>
        <w:t xml:space="preserve"> and 21 microbes isolated from human gut downloaded from JGI IMG </w:t>
      </w:r>
      <w:r w:rsidR="006A6170">
        <w:rPr>
          <w:szCs w:val="28"/>
        </w:rPr>
        <w:t>(</w:t>
      </w:r>
      <w:hyperlink r:id="rId58" w:history="1">
        <w:r w:rsidR="006A6170" w:rsidRPr="00904B02">
          <w:rPr>
            <w:rStyle w:val="Hyperlink"/>
            <w:szCs w:val="28"/>
          </w:rPr>
          <w:t>http://img.jgi.doe.gov/</w:t>
        </w:r>
      </w:hyperlink>
      <w:r w:rsidR="006A6170">
        <w:rPr>
          <w:szCs w:val="28"/>
        </w:rPr>
        <w:t xml:space="preserve">) </w:t>
      </w:r>
      <w:r>
        <w:t>by using SEQUEST/DTASelect.</w:t>
      </w:r>
      <w:r w:rsidR="00585DBE">
        <w:t xml:space="preserve"> </w:t>
      </w:r>
      <w:r>
        <w:t xml:space="preserve"> From these 29 runs, we were able to identify 7,455 proteins, 2,102 human proteins and 5,353 microbiome proteins, after excluding out of redundant sequences using NCBI Entrez Gene </w:t>
      </w:r>
      <w:r w:rsidRPr="00682239">
        <w:t>DB (Table 1</w:t>
      </w:r>
      <w:r w:rsidR="00A03A6D">
        <w:t>3</w:t>
      </w:r>
      <w:r w:rsidRPr="00682239">
        <w:t>).</w:t>
      </w:r>
      <w:r>
        <w:t xml:space="preserve">  These redundant protein sequences have same spect</w:t>
      </w:r>
      <w:r w:rsidR="00511F61">
        <w:t>ral</w:t>
      </w:r>
      <w:r w:rsidR="00413632">
        <w:t xml:space="preserve"> counts (SC) due to </w:t>
      </w:r>
      <w:r w:rsidR="005A249B">
        <w:t>almost</w:t>
      </w:r>
      <w:r w:rsidR="00413632">
        <w:t xml:space="preserve"> same </w:t>
      </w:r>
      <w:r>
        <w:t>sequence</w:t>
      </w:r>
      <w:r w:rsidR="00010BFA">
        <w:t xml:space="preserve"> that cannot be distinguished </w:t>
      </w:r>
      <w:r w:rsidR="00401318">
        <w:t>by trypsin-</w:t>
      </w:r>
      <w:r w:rsidR="00010BFA">
        <w:t>digested peptides</w:t>
      </w:r>
      <w:r w:rsidR="00B435F6">
        <w:t xml:space="preserve">.  SC of 7,455 </w:t>
      </w:r>
      <w:r>
        <w:t xml:space="preserve">proteins </w:t>
      </w:r>
      <w:r w:rsidR="00511F61">
        <w:t>were</w:t>
      </w:r>
      <w:r>
        <w:t xml:space="preserve"> normalized by scaled factor (α</w:t>
      </w:r>
      <w:r w:rsidRPr="00D57447">
        <w:rPr>
          <w:vertAlign w:val="subscript"/>
        </w:rPr>
        <w:t>i</w:t>
      </w:r>
      <w:r>
        <w:t xml:space="preserve">) </w:t>
      </w:r>
      <w:r>
        <w:lastRenderedPageBreak/>
        <w:t xml:space="preserve">that is </w:t>
      </w:r>
      <w:r w:rsidRPr="00D57447">
        <w:t>aver</w:t>
      </w:r>
      <w:r>
        <w:t xml:space="preserve">age number of total SC per run (N) </w:t>
      </w:r>
      <w:r w:rsidR="009D371A">
        <w:t xml:space="preserve">divided </w:t>
      </w:r>
      <w:r>
        <w:t>by</w:t>
      </w:r>
      <w:r w:rsidRPr="00D57447">
        <w:t xml:space="preserve"> </w:t>
      </w:r>
      <w:r>
        <w:t>sum of SC of run i (n</w:t>
      </w:r>
      <w:r w:rsidRPr="00754DBF">
        <w:rPr>
          <w:vertAlign w:val="subscript"/>
        </w:rPr>
        <w:t>i</w:t>
      </w:r>
      <w:r>
        <w:t xml:space="preserve">) as is used in our previous study of Crohn disease </w:t>
      </w:r>
      <w:r>
        <w:fldChar w:fldCharType="begin"/>
      </w:r>
      <w:r w:rsidR="006451B9">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fldChar w:fldCharType="separate"/>
      </w:r>
      <w:r w:rsidR="006451B9">
        <w:rPr>
          <w:noProof/>
        </w:rPr>
        <w:t>[73]</w:t>
      </w:r>
      <w:r>
        <w:fldChar w:fldCharType="end"/>
      </w:r>
      <w:r>
        <w:t xml:space="preserve">.  This normalization </w:t>
      </w:r>
      <w:r w:rsidR="00D26F70">
        <w:t>makes</w:t>
      </w:r>
      <w:r w:rsidR="003D119A">
        <w:t xml:space="preserve"> 29 MS runs to have same total number of PSMs</w:t>
      </w:r>
      <w:r>
        <w:t>.</w:t>
      </w:r>
    </w:p>
    <w:p w14:paraId="7AFAFA20" w14:textId="77777777" w:rsidR="0004652F" w:rsidRPr="004030F5" w:rsidRDefault="0004652F" w:rsidP="00AA43E9">
      <w:pPr>
        <w:spacing w:line="480" w:lineRule="auto"/>
        <w:ind w:firstLine="720"/>
        <w:rPr>
          <w:rFonts w:cs="Arial"/>
        </w:rPr>
      </w:pPr>
    </w:p>
    <w:p w14:paraId="2FDA060D" w14:textId="002B37B4" w:rsidR="006451B9" w:rsidRPr="00AD5CA7" w:rsidRDefault="006451B9" w:rsidP="006451B9">
      <w:pPr>
        <w:pStyle w:val="Caption"/>
        <w:keepNext/>
        <w:rPr>
          <w:b w:val="0"/>
        </w:rPr>
      </w:pPr>
      <w:bookmarkStart w:id="86" w:name="_Toc296333085"/>
      <w:r>
        <w:t xml:space="preserve">Table </w:t>
      </w:r>
      <w:fldSimple w:instr=" SEQ Table \* ARABIC ">
        <w:r w:rsidR="0093776B">
          <w:rPr>
            <w:noProof/>
          </w:rPr>
          <w:t>13</w:t>
        </w:r>
      </w:fldSimple>
      <w:r>
        <w:t xml:space="preserve"> Comparison of MS runs of fecal sample and PBMC</w:t>
      </w:r>
      <w:r w:rsidR="00AD5CA7">
        <w:t xml:space="preserve">.  </w:t>
      </w:r>
      <w:r w:rsidR="00167CEC">
        <w:rPr>
          <w:b w:val="0"/>
        </w:rPr>
        <w:t xml:space="preserve">The </w:t>
      </w:r>
      <w:r w:rsidR="00AB1682">
        <w:rPr>
          <w:b w:val="0"/>
        </w:rPr>
        <w:t>number of identified proteins was</w:t>
      </w:r>
      <w:r w:rsidR="00167CEC">
        <w:rPr>
          <w:b w:val="0"/>
        </w:rPr>
        <w:t xml:space="preserve"> counted for fecal human, microbiome and PBMC human data.  </w:t>
      </w:r>
      <w:r w:rsidR="00AB1682">
        <w:rPr>
          <w:b w:val="0"/>
        </w:rPr>
        <w:t xml:space="preserve">Unshared proteins are </w:t>
      </w:r>
      <w:r w:rsidR="00B47129">
        <w:rPr>
          <w:b w:val="0"/>
        </w:rPr>
        <w:t>proteins uniquely identified in only one sample.</w:t>
      </w:r>
      <w:bookmarkEnd w:id="86"/>
    </w:p>
    <w:tbl>
      <w:tblPr>
        <w:tblStyle w:val="TableClassic1"/>
        <w:tblW w:w="7994" w:type="dxa"/>
        <w:tblLook w:val="06A0" w:firstRow="1" w:lastRow="0" w:firstColumn="1" w:lastColumn="0" w:noHBand="1" w:noVBand="1"/>
      </w:tblPr>
      <w:tblGrid>
        <w:gridCol w:w="3426"/>
        <w:gridCol w:w="1375"/>
        <w:gridCol w:w="1873"/>
        <w:gridCol w:w="1320"/>
      </w:tblGrid>
      <w:tr w:rsidR="006451B9" w:rsidRPr="0005771D" w14:paraId="1C04B187" w14:textId="77777777" w:rsidTr="00956B2F">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3426" w:type="dxa"/>
            <w:hideMark/>
          </w:tcPr>
          <w:p w14:paraId="327CD9CD" w14:textId="77777777" w:rsidR="006451B9" w:rsidRPr="0005771D" w:rsidRDefault="006451B9" w:rsidP="00956B2F"/>
        </w:tc>
        <w:tc>
          <w:tcPr>
            <w:tcW w:w="3248" w:type="dxa"/>
            <w:gridSpan w:val="2"/>
            <w:hideMark/>
          </w:tcPr>
          <w:p w14:paraId="7ABC6835" w14:textId="77777777" w:rsidR="00682239" w:rsidRPr="00956B2F" w:rsidRDefault="006451B9" w:rsidP="00956B2F">
            <w:pPr>
              <w:jc w:val="center"/>
              <w:cnfStyle w:val="100000000000" w:firstRow="1" w:lastRow="0" w:firstColumn="0" w:lastColumn="0" w:oddVBand="0" w:evenVBand="0" w:oddHBand="0" w:evenHBand="0" w:firstRowFirstColumn="0" w:firstRowLastColumn="0" w:lastRowFirstColumn="0" w:lastRowLastColumn="0"/>
              <w:rPr>
                <w:i w:val="0"/>
              </w:rPr>
            </w:pPr>
            <w:r w:rsidRPr="00956B2F">
              <w:rPr>
                <w:i w:val="0"/>
              </w:rPr>
              <w:t>Feces</w:t>
            </w:r>
          </w:p>
        </w:tc>
        <w:tc>
          <w:tcPr>
            <w:tcW w:w="1320" w:type="dxa"/>
            <w:hideMark/>
          </w:tcPr>
          <w:p w14:paraId="28F6B82F" w14:textId="77777777" w:rsidR="00682239" w:rsidRPr="00956B2F" w:rsidRDefault="006451B9" w:rsidP="00956B2F">
            <w:pPr>
              <w:jc w:val="center"/>
              <w:cnfStyle w:val="100000000000" w:firstRow="1" w:lastRow="0" w:firstColumn="0" w:lastColumn="0" w:oddVBand="0" w:evenVBand="0" w:oddHBand="0" w:evenHBand="0" w:firstRowFirstColumn="0" w:firstRowLastColumn="0" w:lastRowFirstColumn="0" w:lastRowLastColumn="0"/>
              <w:rPr>
                <w:i w:val="0"/>
              </w:rPr>
            </w:pPr>
            <w:r w:rsidRPr="00956B2F">
              <w:rPr>
                <w:i w:val="0"/>
              </w:rPr>
              <w:t>PBMC</w:t>
            </w:r>
          </w:p>
        </w:tc>
      </w:tr>
      <w:tr w:rsidR="006451B9" w:rsidRPr="0005771D" w14:paraId="0B1561C1" w14:textId="77777777" w:rsidTr="00956B2F">
        <w:trPr>
          <w:trHeight w:val="370"/>
        </w:trPr>
        <w:tc>
          <w:tcPr>
            <w:cnfStyle w:val="001000000000" w:firstRow="0" w:lastRow="0" w:firstColumn="1" w:lastColumn="0" w:oddVBand="0" w:evenVBand="0" w:oddHBand="0" w:evenHBand="0" w:firstRowFirstColumn="0" w:firstRowLastColumn="0" w:lastRowFirstColumn="0" w:lastRowLastColumn="0"/>
            <w:tcW w:w="3426" w:type="dxa"/>
            <w:hideMark/>
          </w:tcPr>
          <w:p w14:paraId="7B1B4255" w14:textId="77777777" w:rsidR="006451B9" w:rsidRPr="0005771D" w:rsidRDefault="006451B9" w:rsidP="00956B2F"/>
        </w:tc>
        <w:tc>
          <w:tcPr>
            <w:tcW w:w="1375" w:type="dxa"/>
            <w:hideMark/>
          </w:tcPr>
          <w:p w14:paraId="5FCCC338"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rPr>
                <w:i/>
              </w:rPr>
            </w:pPr>
            <w:r w:rsidRPr="0005771D">
              <w:rPr>
                <w:i/>
              </w:rPr>
              <w:t>Human</w:t>
            </w:r>
          </w:p>
        </w:tc>
        <w:tc>
          <w:tcPr>
            <w:tcW w:w="1873" w:type="dxa"/>
            <w:hideMark/>
          </w:tcPr>
          <w:p w14:paraId="4D6A1D6D"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rPr>
                <w:i/>
              </w:rPr>
            </w:pPr>
            <w:r w:rsidRPr="0005771D">
              <w:rPr>
                <w:i/>
              </w:rPr>
              <w:t>Microbiome</w:t>
            </w:r>
          </w:p>
        </w:tc>
        <w:tc>
          <w:tcPr>
            <w:tcW w:w="1320" w:type="dxa"/>
            <w:hideMark/>
          </w:tcPr>
          <w:p w14:paraId="7AF7AF84"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rPr>
                <w:i/>
              </w:rPr>
            </w:pPr>
            <w:r w:rsidRPr="0005771D">
              <w:rPr>
                <w:i/>
              </w:rPr>
              <w:t>Human</w:t>
            </w:r>
          </w:p>
        </w:tc>
      </w:tr>
      <w:tr w:rsidR="006451B9" w:rsidRPr="0005771D" w14:paraId="560A9BA2" w14:textId="77777777" w:rsidTr="00956B2F">
        <w:trPr>
          <w:trHeight w:val="300"/>
        </w:trPr>
        <w:tc>
          <w:tcPr>
            <w:cnfStyle w:val="001000000000" w:firstRow="0" w:lastRow="0" w:firstColumn="1" w:lastColumn="0" w:oddVBand="0" w:evenVBand="0" w:oddHBand="0" w:evenHBand="0" w:firstRowFirstColumn="0" w:firstRowLastColumn="0" w:lastRowFirstColumn="0" w:lastRowLastColumn="0"/>
            <w:tcW w:w="3426" w:type="dxa"/>
            <w:hideMark/>
          </w:tcPr>
          <w:p w14:paraId="4E53D3E6" w14:textId="77777777" w:rsidR="00682239" w:rsidRPr="0005771D" w:rsidRDefault="006451B9" w:rsidP="00956B2F">
            <w:r w:rsidRPr="0005771D">
              <w:t>Total number of proteins</w:t>
            </w:r>
          </w:p>
        </w:tc>
        <w:tc>
          <w:tcPr>
            <w:tcW w:w="1375" w:type="dxa"/>
            <w:hideMark/>
          </w:tcPr>
          <w:p w14:paraId="00F4ED89"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2,102</w:t>
            </w:r>
          </w:p>
        </w:tc>
        <w:tc>
          <w:tcPr>
            <w:tcW w:w="1873" w:type="dxa"/>
            <w:hideMark/>
          </w:tcPr>
          <w:p w14:paraId="4F493F1D"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5,353</w:t>
            </w:r>
          </w:p>
        </w:tc>
        <w:tc>
          <w:tcPr>
            <w:tcW w:w="1320" w:type="dxa"/>
            <w:hideMark/>
          </w:tcPr>
          <w:p w14:paraId="48072B08"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2,556</w:t>
            </w:r>
          </w:p>
        </w:tc>
      </w:tr>
      <w:tr w:rsidR="006451B9" w:rsidRPr="0005771D" w14:paraId="24D9DBBA" w14:textId="77777777" w:rsidTr="00956B2F">
        <w:trPr>
          <w:trHeight w:val="300"/>
        </w:trPr>
        <w:tc>
          <w:tcPr>
            <w:cnfStyle w:val="001000000000" w:firstRow="0" w:lastRow="0" w:firstColumn="1" w:lastColumn="0" w:oddVBand="0" w:evenVBand="0" w:oddHBand="0" w:evenHBand="0" w:firstRowFirstColumn="0" w:firstRowLastColumn="0" w:lastRowFirstColumn="0" w:lastRowLastColumn="0"/>
            <w:tcW w:w="3426" w:type="dxa"/>
            <w:hideMark/>
          </w:tcPr>
          <w:p w14:paraId="70018BDC" w14:textId="77777777" w:rsidR="00682239" w:rsidRPr="0005771D" w:rsidRDefault="006451B9" w:rsidP="00956B2F">
            <w:r w:rsidRPr="0005771D">
              <w:t>The number of MS Runs</w:t>
            </w:r>
          </w:p>
        </w:tc>
        <w:tc>
          <w:tcPr>
            <w:tcW w:w="1375" w:type="dxa"/>
            <w:hideMark/>
          </w:tcPr>
          <w:p w14:paraId="065F7A5A"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29</w:t>
            </w:r>
          </w:p>
        </w:tc>
        <w:tc>
          <w:tcPr>
            <w:tcW w:w="1873" w:type="dxa"/>
            <w:hideMark/>
          </w:tcPr>
          <w:p w14:paraId="17E572E3"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29</w:t>
            </w:r>
          </w:p>
        </w:tc>
        <w:tc>
          <w:tcPr>
            <w:tcW w:w="1320" w:type="dxa"/>
            <w:hideMark/>
          </w:tcPr>
          <w:p w14:paraId="58753E0A"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5</w:t>
            </w:r>
          </w:p>
        </w:tc>
      </w:tr>
      <w:tr w:rsidR="006451B9" w:rsidRPr="0005771D" w14:paraId="7471A2C6" w14:textId="77777777" w:rsidTr="00956B2F">
        <w:trPr>
          <w:trHeight w:val="300"/>
        </w:trPr>
        <w:tc>
          <w:tcPr>
            <w:cnfStyle w:val="001000000000" w:firstRow="0" w:lastRow="0" w:firstColumn="1" w:lastColumn="0" w:oddVBand="0" w:evenVBand="0" w:oddHBand="0" w:evenHBand="0" w:firstRowFirstColumn="0" w:firstRowLastColumn="0" w:lastRowFirstColumn="0" w:lastRowLastColumn="0"/>
            <w:tcW w:w="3426" w:type="dxa"/>
            <w:hideMark/>
          </w:tcPr>
          <w:p w14:paraId="54CF3D18" w14:textId="77777777" w:rsidR="00682239" w:rsidRPr="0005771D" w:rsidRDefault="006451B9" w:rsidP="00956B2F">
            <w:r w:rsidRPr="0005771D">
              <w:t>Average number of proteins detected/MS run</w:t>
            </w:r>
          </w:p>
        </w:tc>
        <w:tc>
          <w:tcPr>
            <w:tcW w:w="1375" w:type="dxa"/>
            <w:hideMark/>
          </w:tcPr>
          <w:p w14:paraId="2D67A959"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501</w:t>
            </w:r>
          </w:p>
        </w:tc>
        <w:tc>
          <w:tcPr>
            <w:tcW w:w="1873" w:type="dxa"/>
            <w:hideMark/>
          </w:tcPr>
          <w:p w14:paraId="7CD876D2" w14:textId="39F5018D" w:rsidR="00682239" w:rsidRPr="0005771D" w:rsidRDefault="00682239" w:rsidP="00956B2F">
            <w:pPr>
              <w:jc w:val="right"/>
              <w:cnfStyle w:val="000000000000" w:firstRow="0" w:lastRow="0" w:firstColumn="0" w:lastColumn="0" w:oddVBand="0" w:evenVBand="0" w:oddHBand="0" w:evenHBand="0" w:firstRowFirstColumn="0" w:firstRowLastColumn="0" w:lastRowFirstColumn="0" w:lastRowLastColumn="0"/>
            </w:pPr>
            <w:r w:rsidRPr="0005771D">
              <w:t>1,688</w:t>
            </w:r>
          </w:p>
        </w:tc>
        <w:tc>
          <w:tcPr>
            <w:tcW w:w="1320" w:type="dxa"/>
            <w:hideMark/>
          </w:tcPr>
          <w:p w14:paraId="17535F09" w14:textId="31A2C4F2" w:rsidR="00682239" w:rsidRPr="0005771D" w:rsidRDefault="00682239" w:rsidP="00956B2F">
            <w:pPr>
              <w:jc w:val="right"/>
              <w:cnfStyle w:val="000000000000" w:firstRow="0" w:lastRow="0" w:firstColumn="0" w:lastColumn="0" w:oddVBand="0" w:evenVBand="0" w:oddHBand="0" w:evenHBand="0" w:firstRowFirstColumn="0" w:firstRowLastColumn="0" w:lastRowFirstColumn="0" w:lastRowLastColumn="0"/>
            </w:pPr>
            <w:r w:rsidRPr="0005771D">
              <w:t>1,278</w:t>
            </w:r>
          </w:p>
        </w:tc>
      </w:tr>
      <w:tr w:rsidR="006451B9" w:rsidRPr="0005771D" w14:paraId="185C6ECF" w14:textId="77777777" w:rsidTr="00956B2F">
        <w:trPr>
          <w:trHeight w:val="300"/>
        </w:trPr>
        <w:tc>
          <w:tcPr>
            <w:cnfStyle w:val="001000000000" w:firstRow="0" w:lastRow="0" w:firstColumn="1" w:lastColumn="0" w:oddVBand="0" w:evenVBand="0" w:oddHBand="0" w:evenHBand="0" w:firstRowFirstColumn="0" w:firstRowLastColumn="0" w:lastRowFirstColumn="0" w:lastRowLastColumn="0"/>
            <w:tcW w:w="3426" w:type="dxa"/>
            <w:hideMark/>
          </w:tcPr>
          <w:p w14:paraId="467E8336" w14:textId="77777777" w:rsidR="00682239" w:rsidRPr="0005771D" w:rsidRDefault="006451B9" w:rsidP="00956B2F">
            <w:r w:rsidRPr="0005771D">
              <w:t>Average number of unshared proteins</w:t>
            </w:r>
          </w:p>
        </w:tc>
        <w:tc>
          <w:tcPr>
            <w:tcW w:w="1375" w:type="dxa"/>
            <w:hideMark/>
          </w:tcPr>
          <w:p w14:paraId="7E7C7D10" w14:textId="5CA8AEC8" w:rsidR="00682239" w:rsidRPr="0005771D" w:rsidRDefault="00682239" w:rsidP="00956B2F">
            <w:pPr>
              <w:jc w:val="right"/>
              <w:cnfStyle w:val="000000000000" w:firstRow="0" w:lastRow="0" w:firstColumn="0" w:lastColumn="0" w:oddVBand="0" w:evenVBand="0" w:oddHBand="0" w:evenHBand="0" w:firstRowFirstColumn="0" w:firstRowLastColumn="0" w:lastRowFirstColumn="0" w:lastRowLastColumn="0"/>
            </w:pPr>
            <w:r w:rsidRPr="0005771D">
              <w:t>115</w:t>
            </w:r>
          </w:p>
        </w:tc>
        <w:tc>
          <w:tcPr>
            <w:tcW w:w="1873" w:type="dxa"/>
            <w:hideMark/>
          </w:tcPr>
          <w:p w14:paraId="08D6D5D6" w14:textId="71840D80" w:rsidR="00682239" w:rsidRPr="0005771D" w:rsidRDefault="00682239" w:rsidP="00956B2F">
            <w:pPr>
              <w:jc w:val="right"/>
              <w:cnfStyle w:val="000000000000" w:firstRow="0" w:lastRow="0" w:firstColumn="0" w:lastColumn="0" w:oddVBand="0" w:evenVBand="0" w:oddHBand="0" w:evenHBand="0" w:firstRowFirstColumn="0" w:firstRowLastColumn="0" w:lastRowFirstColumn="0" w:lastRowLastColumn="0"/>
            </w:pPr>
            <w:r w:rsidRPr="0005771D">
              <w:t>213</w:t>
            </w:r>
          </w:p>
        </w:tc>
        <w:tc>
          <w:tcPr>
            <w:tcW w:w="1320" w:type="dxa"/>
            <w:hideMark/>
          </w:tcPr>
          <w:p w14:paraId="34D63282"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158</w:t>
            </w:r>
          </w:p>
        </w:tc>
      </w:tr>
      <w:tr w:rsidR="006451B9" w:rsidRPr="0005771D" w14:paraId="282D5D0C" w14:textId="77777777" w:rsidTr="00956B2F">
        <w:trPr>
          <w:trHeight w:val="300"/>
        </w:trPr>
        <w:tc>
          <w:tcPr>
            <w:cnfStyle w:val="001000000000" w:firstRow="0" w:lastRow="0" w:firstColumn="1" w:lastColumn="0" w:oddVBand="0" w:evenVBand="0" w:oddHBand="0" w:evenHBand="0" w:firstRowFirstColumn="0" w:firstRowLastColumn="0" w:lastRowFirstColumn="0" w:lastRowLastColumn="0"/>
            <w:tcW w:w="3426" w:type="dxa"/>
            <w:hideMark/>
          </w:tcPr>
          <w:p w14:paraId="2D13BCEA" w14:textId="77777777" w:rsidR="00682239" w:rsidRPr="0005771D" w:rsidRDefault="006451B9" w:rsidP="00956B2F">
            <w:r w:rsidRPr="0005771D">
              <w:t>% of unshared proteins</w:t>
            </w:r>
          </w:p>
        </w:tc>
        <w:tc>
          <w:tcPr>
            <w:tcW w:w="1375" w:type="dxa"/>
            <w:hideMark/>
          </w:tcPr>
          <w:p w14:paraId="69431BF2"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22.88%</w:t>
            </w:r>
          </w:p>
        </w:tc>
        <w:tc>
          <w:tcPr>
            <w:tcW w:w="1873" w:type="dxa"/>
            <w:hideMark/>
          </w:tcPr>
          <w:p w14:paraId="4E9402EE"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12.61%</w:t>
            </w:r>
          </w:p>
        </w:tc>
        <w:tc>
          <w:tcPr>
            <w:tcW w:w="1320" w:type="dxa"/>
            <w:hideMark/>
          </w:tcPr>
          <w:p w14:paraId="1F415382" w14:textId="77777777" w:rsidR="00682239" w:rsidRPr="0005771D" w:rsidRDefault="006451B9" w:rsidP="00956B2F">
            <w:pPr>
              <w:jc w:val="right"/>
              <w:cnfStyle w:val="000000000000" w:firstRow="0" w:lastRow="0" w:firstColumn="0" w:lastColumn="0" w:oddVBand="0" w:evenVBand="0" w:oddHBand="0" w:evenHBand="0" w:firstRowFirstColumn="0" w:firstRowLastColumn="0" w:lastRowFirstColumn="0" w:lastRowLastColumn="0"/>
            </w:pPr>
            <w:r w:rsidRPr="0005771D">
              <w:t>12.37%</w:t>
            </w:r>
          </w:p>
        </w:tc>
      </w:tr>
    </w:tbl>
    <w:p w14:paraId="6EC8B2A0" w14:textId="77777777" w:rsidR="00682239" w:rsidRDefault="00682239" w:rsidP="000A35F6">
      <w:pPr>
        <w:pStyle w:val="Heading1"/>
        <w:jc w:val="center"/>
        <w:rPr>
          <w:rFonts w:cs="Arial"/>
        </w:rPr>
      </w:pPr>
    </w:p>
    <w:p w14:paraId="15C67ECB" w14:textId="77777777" w:rsidR="0004652F" w:rsidRDefault="0004652F" w:rsidP="00203749">
      <w:pPr>
        <w:spacing w:line="480" w:lineRule="auto"/>
        <w:ind w:firstLine="720"/>
      </w:pPr>
    </w:p>
    <w:p w14:paraId="6913A4E6" w14:textId="58C4F10D" w:rsidR="00682239" w:rsidRDefault="00682239" w:rsidP="00203749">
      <w:pPr>
        <w:spacing w:line="480" w:lineRule="auto"/>
        <w:ind w:firstLine="720"/>
        <w:rPr>
          <w:bCs/>
          <w:lang w:eastAsia="ko-KR"/>
        </w:rPr>
      </w:pPr>
      <w:r>
        <w:t xml:space="preserve">We also collected five </w:t>
      </w:r>
      <w:r w:rsidRPr="00707BFA">
        <w:t xml:space="preserve">Peripheral blood mononuclear cell </w:t>
      </w:r>
      <w:r>
        <w:t>(PBMC) samples.  PBMC is any blood cell that has a round nucleus, such as lymphocyte, a monocyte or a macrophage.  We applied same pre-processing steps to five PBMC runs such as, normalization by total spectral counts and reduction of redund</w:t>
      </w:r>
      <w:r w:rsidRPr="00265F13">
        <w:t xml:space="preserve">ant protein sequences by NCBI Gene ID.  Finally, 2,556 human proteins are identified from five PBMC replicates </w:t>
      </w:r>
      <w:r w:rsidR="00FC56A6">
        <w:t>(Table 13</w:t>
      </w:r>
      <w:r w:rsidRPr="00265F13">
        <w:t xml:space="preserve">).  </w:t>
      </w:r>
      <w:r w:rsidR="00DD0097">
        <w:t xml:space="preserve">In terms of the </w:t>
      </w:r>
      <w:r w:rsidRPr="00265F13">
        <w:t>number of identified human proteins, PBMC has two times more proteins per MS run than feces, 501 in fece</w:t>
      </w:r>
      <w:r w:rsidR="007568A7" w:rsidRPr="00265F13">
        <w:t xml:space="preserve">s vs. 1,278 </w:t>
      </w:r>
      <w:r w:rsidRPr="00265F13">
        <w:t xml:space="preserve">in PBMC, </w:t>
      </w:r>
      <w:r w:rsidR="00FC56A6">
        <w:rPr>
          <w:bCs/>
          <w:lang w:eastAsia="ko-KR"/>
        </w:rPr>
        <w:t>(Table 13</w:t>
      </w:r>
      <w:r w:rsidRPr="00265F13">
        <w:rPr>
          <w:bCs/>
          <w:lang w:eastAsia="ko-KR"/>
        </w:rPr>
        <w:t>).</w:t>
      </w:r>
      <w:r w:rsidR="006F2A79" w:rsidRPr="006F2A79">
        <w:t xml:space="preserve">  Unshared proteins are </w:t>
      </w:r>
      <w:r w:rsidR="006F2A79" w:rsidRPr="006F2A79">
        <w:lastRenderedPageBreak/>
        <w:t>proteins uniquely identified in only one sample.</w:t>
      </w:r>
      <w:r w:rsidR="00203749">
        <w:t xml:space="preserve">  Percentage of unshared human proteins in fecal is almost two times of fecal microbiome and PBMC human proteins (Table 13).  More than 20% of </w:t>
      </w:r>
      <w:r w:rsidR="001C0E81">
        <w:t>h</w:t>
      </w:r>
      <w:r w:rsidR="00203749">
        <w:t>uman fecal proteins are uniquely identi</w:t>
      </w:r>
      <w:r w:rsidR="001C0E81">
        <w:t>fied from 11 healthy volunteers, which means</w:t>
      </w:r>
      <w:r w:rsidR="00CE1AE9">
        <w:t xml:space="preserve"> that</w:t>
      </w:r>
      <w:r w:rsidR="001C0E81">
        <w:t xml:space="preserve"> </w:t>
      </w:r>
      <w:r w:rsidR="00771D39">
        <w:t xml:space="preserve">averagely </w:t>
      </w:r>
      <w:r w:rsidR="00CE1AE9">
        <w:rPr>
          <w:bCs/>
          <w:lang w:eastAsia="ko-KR"/>
        </w:rPr>
        <w:t xml:space="preserve">one fifth of human fecal proteins are </w:t>
      </w:r>
      <w:r w:rsidR="00771D39">
        <w:rPr>
          <w:bCs/>
          <w:lang w:eastAsia="ko-KR"/>
        </w:rPr>
        <w:t>not shared</w:t>
      </w:r>
      <w:r w:rsidR="00CE1AE9">
        <w:rPr>
          <w:bCs/>
          <w:lang w:eastAsia="ko-KR"/>
        </w:rPr>
        <w:t>.</w:t>
      </w:r>
    </w:p>
    <w:p w14:paraId="35BAABF7" w14:textId="4534CDC3" w:rsidR="007568A7" w:rsidRPr="000B5BA3" w:rsidRDefault="00265F13" w:rsidP="0004652F">
      <w:pPr>
        <w:pStyle w:val="Heading3"/>
      </w:pPr>
      <w:bookmarkStart w:id="87" w:name="_Toc296333740"/>
      <w:r w:rsidRPr="00265F13">
        <w:t>Comparison of 29 fecal and 5 PBMC MS runs</w:t>
      </w:r>
      <w:bookmarkEnd w:id="87"/>
    </w:p>
    <w:p w14:paraId="243C97D4" w14:textId="3FA0EB1F" w:rsidR="00265F13" w:rsidRDefault="00265F13" w:rsidP="00265F13">
      <w:pPr>
        <w:spacing w:line="480" w:lineRule="auto"/>
        <w:ind w:firstLine="720"/>
        <w:rPr>
          <w:lang w:eastAsia="ko-KR"/>
        </w:rPr>
      </w:pPr>
      <w:r>
        <w:t xml:space="preserve">All the fecal samples were collected from healthy volunteers who do not have any of </w:t>
      </w:r>
      <w:r>
        <w:rPr>
          <w:lang w:eastAsia="ko-KR"/>
        </w:rPr>
        <w:t>gastrointestinal disorders.  To understand how their fecal proteomes are different, first we compared 29 MS runs in a broad sense</w:t>
      </w:r>
      <w:r>
        <w:t xml:space="preserve"> using hierarchical clustering method </w:t>
      </w:r>
      <w:r w:rsidRPr="00BC6F83">
        <w:rPr>
          <w:color w:val="FF0000"/>
        </w:rPr>
        <w:t>(Fig</w:t>
      </w:r>
      <w:r>
        <w:rPr>
          <w:color w:val="FF0000"/>
        </w:rPr>
        <w:t>.</w:t>
      </w:r>
      <w:r w:rsidR="00DA6961">
        <w:rPr>
          <w:color w:val="FF0000"/>
        </w:rPr>
        <w:t xml:space="preserve"> 30</w:t>
      </w:r>
      <w:r w:rsidRPr="00BC6F83">
        <w:rPr>
          <w:color w:val="FF0000"/>
        </w:rPr>
        <w:t>)</w:t>
      </w:r>
      <w:r>
        <w:t xml:space="preserve">.  </w:t>
      </w:r>
      <w:r w:rsidRPr="00C358C5">
        <w:t>Unweighted pair-group method u</w:t>
      </w:r>
      <w:r>
        <w:t>sing arithmetic averages (UPGMA) was used to calculate distance between MS runs because its Gower similarity coefficient is lower than other metrics, such as complete</w:t>
      </w:r>
      <w:r>
        <w:rPr>
          <w:rFonts w:hint="eastAsia"/>
          <w:lang w:eastAsia="ko-KR"/>
        </w:rPr>
        <w:t>,</w:t>
      </w:r>
      <w:r>
        <w:rPr>
          <w:lang w:eastAsia="ko-KR"/>
        </w:rPr>
        <w:t xml:space="preserve"> average and</w:t>
      </w:r>
      <w:r>
        <w:t xml:space="preserve"> single linkage metrics.  The dendrogram of </w:t>
      </w:r>
      <w:r w:rsidRPr="00AC20DD">
        <w:rPr>
          <w:color w:val="FF0000"/>
        </w:rPr>
        <w:t xml:space="preserve">figure </w:t>
      </w:r>
      <w:r w:rsidR="00DA6961">
        <w:rPr>
          <w:color w:val="FF0000"/>
        </w:rPr>
        <w:t>30</w:t>
      </w:r>
      <w:r>
        <w:t xml:space="preserve"> shows that technical replicates of </w:t>
      </w:r>
      <w:r>
        <w:rPr>
          <w:rFonts w:hint="eastAsia"/>
          <w:lang w:eastAsia="ko-KR"/>
        </w:rPr>
        <w:t xml:space="preserve">11 </w:t>
      </w:r>
      <w:r>
        <w:rPr>
          <w:lang w:eastAsia="ko-KR"/>
        </w:rPr>
        <w:t>fecal samples</w:t>
      </w:r>
      <w:r>
        <w:t xml:space="preserve"> are clustered together </w:t>
      </w:r>
      <w:r w:rsidRPr="00BC6F83">
        <w:rPr>
          <w:color w:val="FF0000"/>
        </w:rPr>
        <w:t>(Fig</w:t>
      </w:r>
      <w:r>
        <w:rPr>
          <w:color w:val="FF0000"/>
        </w:rPr>
        <w:t xml:space="preserve">. </w:t>
      </w:r>
      <w:r w:rsidR="00DA6961">
        <w:rPr>
          <w:color w:val="FF0000"/>
        </w:rPr>
        <w:t>30</w:t>
      </w:r>
      <w:r w:rsidRPr="00BC6F83">
        <w:rPr>
          <w:color w:val="FF0000"/>
        </w:rPr>
        <w:t>)</w:t>
      </w:r>
      <w:r>
        <w:t>, which means</w:t>
      </w:r>
      <w:r>
        <w:rPr>
          <w:rFonts w:hint="eastAsia"/>
          <w:lang w:eastAsia="ko-KR"/>
        </w:rPr>
        <w:t xml:space="preserve"> </w:t>
      </w:r>
      <w:r>
        <w:rPr>
          <w:lang w:eastAsia="ko-KR"/>
        </w:rPr>
        <w:t>technical replicates are not biased nor varied</w:t>
      </w:r>
      <w:r>
        <w:t xml:space="preserve"> neither.  Pearson correlation coefficients (PCC) between technical replicates confirm their similarity ranged from 0.75 to 0.98, which means closely correlated data </w:t>
      </w:r>
      <w:r w:rsidRPr="007A6201">
        <w:rPr>
          <w:color w:val="FF0000"/>
        </w:rPr>
        <w:t>(Fig</w:t>
      </w:r>
      <w:r>
        <w:rPr>
          <w:color w:val="FF0000"/>
        </w:rPr>
        <w:t>.</w:t>
      </w:r>
      <w:r w:rsidR="00DA6961">
        <w:rPr>
          <w:color w:val="FF0000"/>
        </w:rPr>
        <w:t xml:space="preserve"> 31</w:t>
      </w:r>
      <w:r w:rsidR="00D23884">
        <w:rPr>
          <w:color w:val="FF0000"/>
        </w:rPr>
        <w:t>A</w:t>
      </w:r>
      <w:r w:rsidRPr="007A6201">
        <w:rPr>
          <w:color w:val="FF0000"/>
        </w:rPr>
        <w:t>)</w:t>
      </w:r>
      <w:r>
        <w:t>.</w:t>
      </w:r>
    </w:p>
    <w:p w14:paraId="172AB266" w14:textId="6E1E4148" w:rsidR="00FD1AFC" w:rsidRDefault="00265F13" w:rsidP="00DC3AF8">
      <w:pPr>
        <w:spacing w:line="480" w:lineRule="auto"/>
        <w:ind w:firstLine="720"/>
      </w:pPr>
      <w:r>
        <w:t xml:space="preserve">In contrast to technical replicates’ high similarity, all the biological replicates of fecal proteomes are dissimilar each other.  In addition to hierarchical clustering result, we could confirm this </w:t>
      </w:r>
      <w:r>
        <w:rPr>
          <w:lang w:eastAsia="ko-KR"/>
        </w:rPr>
        <w:t>dissimilarity</w:t>
      </w:r>
      <w:r>
        <w:t xml:space="preserve"> from comparing PCC between biological replicate MS runs.  PCC between biological replicates of feces are ranged from 0.15</w:t>
      </w:r>
      <w:r w:rsidRPr="00AD2FDC">
        <w:rPr>
          <w:color w:val="FF0000"/>
        </w:rPr>
        <w:t xml:space="preserve"> </w:t>
      </w:r>
      <w:r>
        <w:t>to 0.81</w:t>
      </w:r>
      <w:r w:rsidRPr="002C4A5A">
        <w:t xml:space="preserve"> </w:t>
      </w:r>
      <w:r w:rsidRPr="00AD2FDC">
        <w:rPr>
          <w:color w:val="FF0000"/>
        </w:rPr>
        <w:t>(Fig</w:t>
      </w:r>
      <w:r w:rsidR="00DA6961">
        <w:rPr>
          <w:color w:val="FF0000"/>
        </w:rPr>
        <w:t>. 31</w:t>
      </w:r>
      <w:r w:rsidR="00D23884">
        <w:rPr>
          <w:color w:val="FF0000"/>
        </w:rPr>
        <w:t>C</w:t>
      </w:r>
      <w:r w:rsidRPr="00AD2FDC">
        <w:rPr>
          <w:color w:val="FF0000"/>
        </w:rPr>
        <w:t>)</w:t>
      </w:r>
      <w:r>
        <w:t>.</w:t>
      </w:r>
      <w:r w:rsidR="003A20A3">
        <w:t xml:space="preserve"> </w:t>
      </w:r>
      <w:r w:rsidR="00FD1AFC">
        <w:br w:type="page"/>
      </w:r>
    </w:p>
    <w:p w14:paraId="4DF1003A" w14:textId="77777777" w:rsidR="00FD1AFC" w:rsidRDefault="00FD1AFC" w:rsidP="00FD1AFC">
      <w:pPr>
        <w:keepNext/>
        <w:jc w:val="left"/>
      </w:pPr>
      <w:r w:rsidRPr="00FD1AFC">
        <w:rPr>
          <w:noProof/>
        </w:rPr>
        <w:lastRenderedPageBreak/>
        <w:drawing>
          <wp:inline distT="0" distB="0" distL="0" distR="0" wp14:anchorId="57B1490E" wp14:editId="4EE06AB0">
            <wp:extent cx="5486400" cy="4248785"/>
            <wp:effectExtent l="0" t="0" r="0" b="0"/>
            <wp:docPr id="56" name="Picture 1" descr="Dendrogram_29Run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endrogram_29Runs.tiff"/>
                    <pic:cNvPicPr>
                      <a:picLocks noChangeAspect="1"/>
                    </pic:cNvPicPr>
                  </pic:nvPicPr>
                  <pic:blipFill rotWithShape="1">
                    <a:blip r:embed="rId59">
                      <a:extLst>
                        <a:ext uri="{28A0092B-C50C-407E-A947-70E740481C1C}">
                          <a14:useLocalDpi xmlns:a14="http://schemas.microsoft.com/office/drawing/2010/main" val="0"/>
                        </a:ext>
                      </a:extLst>
                    </a:blip>
                    <a:srcRect t="9041" b="12834"/>
                    <a:stretch/>
                  </pic:blipFill>
                  <pic:spPr bwMode="auto">
                    <a:xfrm>
                      <a:off x="0" y="0"/>
                      <a:ext cx="5486400" cy="4248785"/>
                    </a:xfrm>
                    <a:prstGeom prst="rect">
                      <a:avLst/>
                    </a:prstGeom>
                    <a:ln>
                      <a:noFill/>
                    </a:ln>
                    <a:extLst>
                      <a:ext uri="{53640926-AAD7-44d8-BBD7-CCE9431645EC}">
                        <a14:shadowObscured xmlns:a14="http://schemas.microsoft.com/office/drawing/2010/main"/>
                      </a:ext>
                    </a:extLst>
                  </pic:spPr>
                </pic:pic>
              </a:graphicData>
            </a:graphic>
          </wp:inline>
        </w:drawing>
      </w:r>
    </w:p>
    <w:p w14:paraId="7C2189CF" w14:textId="1FC9C4FF" w:rsidR="00956351" w:rsidRDefault="00FD1AFC" w:rsidP="00A24CBF">
      <w:pPr>
        <w:pStyle w:val="Caption"/>
        <w:rPr>
          <w:b w:val="0"/>
          <w:lang w:eastAsia="ko-KR"/>
        </w:rPr>
      </w:pPr>
      <w:bookmarkStart w:id="88" w:name="_Toc296333123"/>
      <w:r>
        <w:t xml:space="preserve">Figure </w:t>
      </w:r>
      <w:fldSimple w:instr=" SEQ Figure \* ARABIC ">
        <w:r w:rsidR="002B3E83">
          <w:rPr>
            <w:noProof/>
          </w:rPr>
          <w:t>30</w:t>
        </w:r>
      </w:fldSimple>
      <w:r>
        <w:t xml:space="preserve"> Hierarchical clustering of 29 MS runs of 11 fecal samples.  </w:t>
      </w:r>
      <w:r>
        <w:rPr>
          <w:b w:val="0"/>
          <w:lang w:eastAsia="ko-KR"/>
        </w:rPr>
        <w:t>Technical replicates are closely clustered together, which means small variance within technical replicates.</w:t>
      </w:r>
      <w:bookmarkEnd w:id="88"/>
      <w:r>
        <w:rPr>
          <w:b w:val="0"/>
          <w:lang w:eastAsia="ko-KR"/>
        </w:rPr>
        <w:t xml:space="preserve"> </w:t>
      </w:r>
    </w:p>
    <w:p w14:paraId="1A971B6B" w14:textId="77777777" w:rsidR="00956351" w:rsidRDefault="00956351">
      <w:pPr>
        <w:jc w:val="left"/>
        <w:rPr>
          <w:bCs/>
          <w:szCs w:val="20"/>
          <w:lang w:eastAsia="ko-KR"/>
        </w:rPr>
      </w:pPr>
      <w:r>
        <w:rPr>
          <w:b/>
          <w:lang w:eastAsia="ko-KR"/>
        </w:rPr>
        <w:br w:type="page"/>
      </w:r>
    </w:p>
    <w:p w14:paraId="2281746E" w14:textId="79A72CA6" w:rsidR="00956351" w:rsidRDefault="00D23884" w:rsidP="00956351">
      <w:pPr>
        <w:pStyle w:val="Caption"/>
        <w:keepNext/>
      </w:pPr>
      <w:r w:rsidRPr="00C16570">
        <w:rPr>
          <w:noProof/>
        </w:rPr>
        <w:lastRenderedPageBreak/>
        <mc:AlternateContent>
          <mc:Choice Requires="wps">
            <w:drawing>
              <wp:anchor distT="0" distB="0" distL="114300" distR="114300" simplePos="0" relativeHeight="251721728" behindDoc="0" locked="0" layoutInCell="1" allowOverlap="1" wp14:anchorId="1D68D624" wp14:editId="70DB4CAF">
                <wp:simplePos x="0" y="0"/>
                <wp:positionH relativeFrom="column">
                  <wp:posOffset>0</wp:posOffset>
                </wp:positionH>
                <wp:positionV relativeFrom="paragraph">
                  <wp:posOffset>1943100</wp:posOffset>
                </wp:positionV>
                <wp:extent cx="375920" cy="334645"/>
                <wp:effectExtent l="0" t="0" r="0" b="0"/>
                <wp:wrapNone/>
                <wp:docPr id="64" name="Text Box 64"/>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47A764" w14:textId="7F09090B" w:rsidR="008864ED" w:rsidRPr="00FA55C1" w:rsidRDefault="008864ED" w:rsidP="00D23884">
                            <w:pPr>
                              <w:rPr>
                                <w:b/>
                              </w:rPr>
                            </w:pPr>
                            <w:r>
                              <w:rPr>
                                <w:b/>
                              </w:rPr>
                              <w:t>C</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47" type="#_x0000_t202" style="position:absolute;left:0;text-align:left;margin-left:0;margin-top:153pt;width:29.6pt;height:26.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ZA39ECAAAXBgAADgAAAGRycy9lMm9Eb2MueG1srFRNb9swDL0P2H8QdE9tp07W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" filled="f" stroked="f">
                <v:textbox>
                  <w:txbxContent>
                    <w:p w14:paraId="3047A764" w14:textId="7F09090B" w:rsidR="008864ED" w:rsidRPr="00FA55C1" w:rsidRDefault="008864ED" w:rsidP="00D23884">
                      <w:pPr>
                        <w:rPr>
                          <w:b/>
                        </w:rPr>
                      </w:pPr>
                      <w:r>
                        <w:rPr>
                          <w:b/>
                        </w:rPr>
                        <w:t>C</w:t>
                      </w:r>
                      <w:r w:rsidRPr="00FA55C1">
                        <w:rPr>
                          <w:b/>
                        </w:rPr>
                        <w:t>)</w:t>
                      </w:r>
                    </w:p>
                  </w:txbxContent>
                </v:textbox>
              </v:shape>
            </w:pict>
          </mc:Fallback>
        </mc:AlternateContent>
      </w:r>
      <w:r w:rsidRPr="00C16570">
        <w:rPr>
          <w:noProof/>
        </w:rPr>
        <mc:AlternateContent>
          <mc:Choice Requires="wps">
            <w:drawing>
              <wp:anchor distT="0" distB="0" distL="114300" distR="114300" simplePos="0" relativeHeight="251719680" behindDoc="0" locked="0" layoutInCell="1" allowOverlap="1" wp14:anchorId="0418F9CD" wp14:editId="710FAF3D">
                <wp:simplePos x="0" y="0"/>
                <wp:positionH relativeFrom="column">
                  <wp:posOffset>20320</wp:posOffset>
                </wp:positionH>
                <wp:positionV relativeFrom="paragraph">
                  <wp:posOffset>-73660</wp:posOffset>
                </wp:positionV>
                <wp:extent cx="375920" cy="334645"/>
                <wp:effectExtent l="0" t="0" r="0" b="0"/>
                <wp:wrapNone/>
                <wp:docPr id="63" name="Text Box 63"/>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5DA497" w14:textId="250447EA" w:rsidR="008864ED" w:rsidRPr="00FA55C1" w:rsidRDefault="008864ED" w:rsidP="00D23884">
                            <w:pPr>
                              <w:rPr>
                                <w:b/>
                              </w:rPr>
                            </w:pPr>
                            <w:r>
                              <w:rPr>
                                <w:b/>
                              </w:rPr>
                              <w:t>A</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48" type="#_x0000_t202" style="position:absolute;left:0;text-align:left;margin-left:1.6pt;margin-top:-5.75pt;width:29.6pt;height:26.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" filled="f" stroked="f">
                <v:textbox>
                  <w:txbxContent>
                    <w:p w14:paraId="035DA497" w14:textId="250447EA" w:rsidR="008864ED" w:rsidRPr="00FA55C1" w:rsidRDefault="008864ED" w:rsidP="00D23884">
                      <w:pPr>
                        <w:rPr>
                          <w:b/>
                        </w:rPr>
                      </w:pPr>
                      <w:r>
                        <w:rPr>
                          <w:b/>
                        </w:rPr>
                        <w:t>A</w:t>
                      </w:r>
                      <w:r w:rsidRPr="00FA55C1">
                        <w:rPr>
                          <w:b/>
                        </w:rPr>
                        <w:t>)</w:t>
                      </w:r>
                    </w:p>
                  </w:txbxContent>
                </v:textbox>
              </v:shape>
            </w:pict>
          </mc:Fallback>
        </mc:AlternateContent>
      </w:r>
      <w:r w:rsidRPr="00C16570">
        <w:rPr>
          <w:noProof/>
        </w:rPr>
        <mc:AlternateContent>
          <mc:Choice Requires="wps">
            <w:drawing>
              <wp:anchor distT="0" distB="0" distL="114300" distR="114300" simplePos="0" relativeHeight="251717632" behindDoc="0" locked="0" layoutInCell="1" allowOverlap="1" wp14:anchorId="6642C5C5" wp14:editId="22507322">
                <wp:simplePos x="0" y="0"/>
                <wp:positionH relativeFrom="column">
                  <wp:posOffset>2731135</wp:posOffset>
                </wp:positionH>
                <wp:positionV relativeFrom="paragraph">
                  <wp:posOffset>-106045</wp:posOffset>
                </wp:positionV>
                <wp:extent cx="375920" cy="33464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D62D46" w14:textId="3C8B7811" w:rsidR="008864ED" w:rsidRPr="00FA55C1" w:rsidRDefault="008864ED" w:rsidP="00D23884">
                            <w:pPr>
                              <w:rPr>
                                <w:b/>
                              </w:rPr>
                            </w:pPr>
                            <w:r>
                              <w:rPr>
                                <w:b/>
                              </w:rPr>
                              <w:t>B</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49" type="#_x0000_t202" style="position:absolute;left:0;text-align:left;margin-left:215.05pt;margin-top:-8.3pt;width:29.6pt;height:26.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" filled="f" stroked="f">
                <v:textbox>
                  <w:txbxContent>
                    <w:p w14:paraId="56D62D46" w14:textId="3C8B7811" w:rsidR="008864ED" w:rsidRPr="00FA55C1" w:rsidRDefault="008864ED" w:rsidP="00D23884">
                      <w:pPr>
                        <w:rPr>
                          <w:b/>
                        </w:rPr>
                      </w:pPr>
                      <w:r>
                        <w:rPr>
                          <w:b/>
                        </w:rPr>
                        <w:t>B</w:t>
                      </w:r>
                      <w:r w:rsidRPr="00FA55C1">
                        <w:rPr>
                          <w:b/>
                        </w:rPr>
                        <w:t>)</w:t>
                      </w:r>
                    </w:p>
                  </w:txbxContent>
                </v:textbox>
              </v:shape>
            </w:pict>
          </mc:Fallback>
        </mc:AlternateContent>
      </w:r>
      <w:r w:rsidR="00956351">
        <w:rPr>
          <w:b w:val="0"/>
          <w:noProof/>
        </w:rPr>
        <w:drawing>
          <wp:inline distT="0" distB="0" distL="0" distR="0" wp14:anchorId="0D51F631" wp14:editId="4687D4AF">
            <wp:extent cx="5638800" cy="4229100"/>
            <wp:effectExtent l="0" t="0" r="0" b="127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1.tif"/>
                    <pic:cNvPicPr/>
                  </pic:nvPicPr>
                  <pic:blipFill>
                    <a:blip r:embed="rId60">
                      <a:extLst>
                        <a:ext uri="{28A0092B-C50C-407E-A947-70E740481C1C}">
                          <a14:useLocalDpi xmlns:a14="http://schemas.microsoft.com/office/drawing/2010/main" val="0"/>
                        </a:ext>
                      </a:extLst>
                    </a:blip>
                    <a:stretch>
                      <a:fillRect/>
                    </a:stretch>
                  </pic:blipFill>
                  <pic:spPr>
                    <a:xfrm>
                      <a:off x="0" y="0"/>
                      <a:ext cx="5638800" cy="4229100"/>
                    </a:xfrm>
                    <a:prstGeom prst="rect">
                      <a:avLst/>
                    </a:prstGeom>
                  </pic:spPr>
                </pic:pic>
              </a:graphicData>
            </a:graphic>
          </wp:inline>
        </w:drawing>
      </w:r>
    </w:p>
    <w:p w14:paraId="2FF9D67D" w14:textId="1F9FB093" w:rsidR="00956351" w:rsidRPr="00FD75B8" w:rsidRDefault="00956351" w:rsidP="00956351">
      <w:pPr>
        <w:pStyle w:val="Caption"/>
        <w:rPr>
          <w:b w:val="0"/>
        </w:rPr>
      </w:pPr>
      <w:bookmarkStart w:id="89" w:name="_Toc296333124"/>
      <w:r>
        <w:t xml:space="preserve">Figure </w:t>
      </w:r>
      <w:fldSimple w:instr=" SEQ Figure \* ARABIC ">
        <w:r w:rsidR="002B3E83">
          <w:rPr>
            <w:noProof/>
          </w:rPr>
          <w:t>31</w:t>
        </w:r>
      </w:fldSimple>
      <w:r>
        <w:t xml:space="preserve"> </w:t>
      </w:r>
      <w:r w:rsidRPr="00956351">
        <w:t>Correlation coefficients between fecal and PBMC MS runs</w:t>
      </w:r>
      <w:r>
        <w:t xml:space="preserve">.  </w:t>
      </w:r>
      <w:r w:rsidR="00FD75B8">
        <w:rPr>
          <w:b w:val="0"/>
        </w:rPr>
        <w:t>Pearson correlation coefficients between A) technological replicates of fecal samples, B) biological replicates of PBMC samples and C) biological replicates of fecal samples.</w:t>
      </w:r>
      <w:bookmarkEnd w:id="89"/>
      <w:r w:rsidR="00FD75B8">
        <w:rPr>
          <w:b w:val="0"/>
        </w:rPr>
        <w:t xml:space="preserve">  </w:t>
      </w:r>
    </w:p>
    <w:p w14:paraId="1F61640E" w14:textId="2DB0C23C" w:rsidR="00FD1AFC" w:rsidRDefault="00FD1AFC">
      <w:pPr>
        <w:jc w:val="left"/>
      </w:pPr>
      <w:r>
        <w:br w:type="page"/>
      </w:r>
    </w:p>
    <w:p w14:paraId="616BAA8F" w14:textId="40779471" w:rsidR="00F20325" w:rsidRDefault="0037436E" w:rsidP="00143E8F">
      <w:pPr>
        <w:spacing w:line="480" w:lineRule="auto"/>
      </w:pPr>
      <w:r>
        <w:lastRenderedPageBreak/>
        <w:t>A difference between maximum and minimum PCC is 0.23 in technical replicates, but 0.66 in biological replicates, which means dissimilarity of fecal proteome is seriously high.  Moreover, minimums of PCCs in technical and of biological replicates are much different, 0.77 for technical replicates and 0.10 for biological replicates.  Also, average PCC of biological replicates is 0.5</w:t>
      </w:r>
      <w:r>
        <w:rPr>
          <w:rFonts w:hint="eastAsia"/>
          <w:lang w:eastAsia="ko-KR"/>
        </w:rPr>
        <w:t>0</w:t>
      </w:r>
      <w:r>
        <w:t xml:space="preserve"> that is much lower than one of technical replicates (0.9</w:t>
      </w:r>
      <w:r>
        <w:rPr>
          <w:rFonts w:hint="eastAsia"/>
          <w:lang w:eastAsia="ko-KR"/>
        </w:rPr>
        <w:t>1</w:t>
      </w:r>
      <w:r>
        <w:rPr>
          <w:lang w:eastAsia="ko-KR"/>
        </w:rPr>
        <w:t>)</w:t>
      </w:r>
      <w:r>
        <w:t xml:space="preserve">.  </w:t>
      </w:r>
      <w:r w:rsidR="00F20325">
        <w:t xml:space="preserve">Low mean and wide range of PCC in the biological replicates show the diversity between individual fecal proteomes.  </w:t>
      </w:r>
    </w:p>
    <w:p w14:paraId="6CABF45D" w14:textId="1CD6C2EE" w:rsidR="00265F13" w:rsidRDefault="00265F13" w:rsidP="004D5FE5">
      <w:pPr>
        <w:spacing w:line="480" w:lineRule="auto"/>
        <w:ind w:firstLine="720"/>
      </w:pPr>
      <w:r>
        <w:t xml:space="preserve">Comparing PCC of biological replicates between fecal and PBMC proteome confirms that the heterogeneity of fecal proteome is especially high. PCCs between PBMC biological replicates are ranged from 0.62 to 0.95 </w:t>
      </w:r>
      <w:r w:rsidR="00DA6961">
        <w:rPr>
          <w:color w:val="FF0000"/>
        </w:rPr>
        <w:t>(Fig. 31</w:t>
      </w:r>
      <w:r w:rsidR="00D23884">
        <w:rPr>
          <w:color w:val="FF0000"/>
        </w:rPr>
        <w:t>B</w:t>
      </w:r>
      <w:r w:rsidRPr="0088096A">
        <w:rPr>
          <w:color w:val="FF0000"/>
        </w:rPr>
        <w:t>)</w:t>
      </w:r>
      <w:r>
        <w:t xml:space="preserve">.  This range is much narrower and </w:t>
      </w:r>
      <w:r w:rsidR="00482C02">
        <w:t>relatively higher than the fecal proteome (PCC: 0.15~0.81)</w:t>
      </w:r>
      <w:r>
        <w:t>.  The difference between minimum and maximum of PCC in PBMC is 0.33 that is half of the fecal proteome</w:t>
      </w:r>
      <w:r>
        <w:rPr>
          <w:rFonts w:hint="eastAsia"/>
          <w:lang w:eastAsia="ko-KR"/>
        </w:rPr>
        <w:t>, 0.66</w:t>
      </w:r>
      <w:r>
        <w:t>.  Also, minimum PCC of the fecal proteome, 0.1</w:t>
      </w:r>
      <w:r>
        <w:rPr>
          <w:rFonts w:hint="eastAsia"/>
          <w:lang w:eastAsia="ko-KR"/>
        </w:rPr>
        <w:t>5</w:t>
      </w:r>
      <w:r>
        <w:t xml:space="preserve">, is one fourth to one of PBMC, 0.62.  All in all, we could see </w:t>
      </w:r>
      <w:r w:rsidR="002745B0">
        <w:t>high variability</w:t>
      </w:r>
      <w:r>
        <w:t xml:space="preserve"> in individual human fecal proteomes</w:t>
      </w:r>
      <w:r>
        <w:rPr>
          <w:lang w:eastAsia="ko-KR"/>
        </w:rPr>
        <w:t xml:space="preserve"> when compared to PBMC</w:t>
      </w:r>
      <w:r>
        <w:t>.</w:t>
      </w:r>
    </w:p>
    <w:p w14:paraId="68ED241B" w14:textId="432B9DD7" w:rsidR="002E0D92" w:rsidRDefault="00265F13" w:rsidP="00133CB5">
      <w:pPr>
        <w:spacing w:line="480" w:lineRule="auto"/>
        <w:ind w:firstLine="720"/>
      </w:pPr>
      <w:r>
        <w:t xml:space="preserve">In addition to PCC comparisons, frequency of protein identifications within 11 fecal samples shows non-uniformity in protein identifications </w:t>
      </w:r>
      <w:r w:rsidR="002E0D92">
        <w:rPr>
          <w:color w:val="FF0000"/>
        </w:rPr>
        <w:t>(Table 14</w:t>
      </w:r>
      <w:r w:rsidRPr="005D3DAC">
        <w:rPr>
          <w:color w:val="FF0000"/>
        </w:rPr>
        <w:t>)</w:t>
      </w:r>
      <w:r w:rsidR="00BB302F">
        <w:t xml:space="preserve">.  We counted how many times </w:t>
      </w:r>
      <w:r>
        <w:t>protein</w:t>
      </w:r>
      <w:r w:rsidR="00BB302F">
        <w:t>s were</w:t>
      </w:r>
      <w:r>
        <w:t xml:space="preserve"> identified in 11 fecal samples.  Surprisingly, of overall 7,455 proteins, the number of proteins with frequency 1 is 3,603, which means that almost half of total proteins are not redundantly detected in 11 healthy volunteers </w:t>
      </w:r>
      <w:r w:rsidR="002E0D92">
        <w:rPr>
          <w:color w:val="FF0000"/>
        </w:rPr>
        <w:t>(Table 14</w:t>
      </w:r>
      <w:r w:rsidRPr="00864D67">
        <w:rPr>
          <w:color w:val="FF0000"/>
        </w:rPr>
        <w:t>)</w:t>
      </w:r>
      <w:r>
        <w:t xml:space="preserve">.  </w:t>
      </w:r>
      <w:r w:rsidR="002D11DA">
        <w:t xml:space="preserve">This percentage of unshared proteins is increased up to 60% in human proteins (1,261 proteins over total </w:t>
      </w:r>
      <w:r w:rsidR="002D11DA">
        <w:lastRenderedPageBreak/>
        <w:t>2,102 proteins).  This 60% is much higher than one of PBMC, 37%.  As protein frequency is increased, the number of proteins is drastically decreased i</w:t>
      </w:r>
      <w:r w:rsidR="00C9403E">
        <w:t>n fecal samples, 60% to around 1</w:t>
      </w:r>
      <w:r w:rsidR="002D11DA">
        <w:t>%, when com</w:t>
      </w:r>
      <w:r w:rsidR="0038194D">
        <w:t>pared to PBMC samples, 37% to about 12</w:t>
      </w:r>
      <w:r w:rsidR="002D11DA">
        <w:t xml:space="preserve">% </w:t>
      </w:r>
      <w:r w:rsidR="002D11DA">
        <w:rPr>
          <w:color w:val="FF0000"/>
        </w:rPr>
        <w:t>(Table 14</w:t>
      </w:r>
      <w:r w:rsidR="002D11DA" w:rsidRPr="00864D67">
        <w:rPr>
          <w:color w:val="FF0000"/>
        </w:rPr>
        <w:t>)</w:t>
      </w:r>
      <w:r w:rsidR="002D11DA">
        <w:t xml:space="preserve">.  It is significant that </w:t>
      </w:r>
      <w:r w:rsidR="00A236A5">
        <w:t>almost</w:t>
      </w:r>
      <w:r w:rsidR="00E3169B">
        <w:t xml:space="preserve"> 74</w:t>
      </w:r>
      <w:r w:rsidR="002D11DA">
        <w:t xml:space="preserve">% of </w:t>
      </w:r>
      <w:r w:rsidR="00E3169B">
        <w:t>human</w:t>
      </w:r>
      <w:r w:rsidR="002D11DA">
        <w:t xml:space="preserve"> fecal proteins were discovered just once or twice in 11 fecal samples </w:t>
      </w:r>
      <w:r w:rsidR="002D11DA">
        <w:rPr>
          <w:color w:val="FF0000"/>
        </w:rPr>
        <w:t>(Table 14</w:t>
      </w:r>
      <w:r w:rsidR="002D11DA" w:rsidRPr="00864D67">
        <w:rPr>
          <w:color w:val="FF0000"/>
        </w:rPr>
        <w:t>)</w:t>
      </w:r>
      <w:r w:rsidR="002D11DA">
        <w:t>.</w:t>
      </w:r>
      <w:r w:rsidR="00133CB5">
        <w:t xml:space="preserve">  PCC comparison and identification frequency of fecal proteins shows its serious</w:t>
      </w:r>
      <w:r w:rsidR="004E7902">
        <w:t>ly high</w:t>
      </w:r>
      <w:r w:rsidR="00133CB5">
        <w:t xml:space="preserve"> dissimilarity.</w:t>
      </w:r>
    </w:p>
    <w:p w14:paraId="252358D1" w14:textId="2718AB25" w:rsidR="002E0D92" w:rsidRPr="00DA26EC" w:rsidRDefault="002E0D92" w:rsidP="002E0D92">
      <w:pPr>
        <w:pStyle w:val="Caption"/>
        <w:keepNext/>
        <w:rPr>
          <w:b w:val="0"/>
        </w:rPr>
      </w:pPr>
      <w:bookmarkStart w:id="90" w:name="_Toc296333086"/>
      <w:r>
        <w:t xml:space="preserve">Table </w:t>
      </w:r>
      <w:fldSimple w:instr=" SEQ Table \* ARABIC ">
        <w:r w:rsidR="0093776B">
          <w:rPr>
            <w:noProof/>
          </w:rPr>
          <w:t>14</w:t>
        </w:r>
      </w:fldSimple>
      <w:r w:rsidR="00DA26EC">
        <w:t xml:space="preserve"> Protein identification frequency in fecal and PBMC proteomes.</w:t>
      </w:r>
      <w:bookmarkEnd w:id="90"/>
      <w:r w:rsidR="00DA26EC">
        <w:t xml:space="preserve">  </w:t>
      </w:r>
    </w:p>
    <w:tbl>
      <w:tblPr>
        <w:tblW w:w="8304" w:type="dxa"/>
        <w:jc w:val="center"/>
        <w:tblLook w:val="06A0" w:firstRow="1" w:lastRow="0" w:firstColumn="1" w:lastColumn="0" w:noHBand="1" w:noVBand="1"/>
      </w:tblPr>
      <w:tblGrid>
        <w:gridCol w:w="1351"/>
        <w:gridCol w:w="1070"/>
        <w:gridCol w:w="1271"/>
        <w:gridCol w:w="1070"/>
        <w:gridCol w:w="1271"/>
        <w:gridCol w:w="1070"/>
        <w:gridCol w:w="1271"/>
      </w:tblGrid>
      <w:tr w:rsidR="008E6DBE" w:rsidRPr="00F96F12" w14:paraId="14AD0FD9" w14:textId="77777777" w:rsidTr="00F96F12">
        <w:trPr>
          <w:trHeight w:val="516"/>
          <w:jc w:val="center"/>
        </w:trPr>
        <w:tc>
          <w:tcPr>
            <w:tcW w:w="778" w:type="dxa"/>
            <w:vMerge w:val="restart"/>
            <w:tcBorders>
              <w:top w:val="single" w:sz="4" w:space="0" w:color="auto"/>
              <w:bottom w:val="single" w:sz="4" w:space="0" w:color="auto"/>
            </w:tcBorders>
            <w:hideMark/>
          </w:tcPr>
          <w:p w14:paraId="275D6A13" w14:textId="1AC56A61" w:rsidR="008E6DBE" w:rsidRPr="00F96F12" w:rsidRDefault="002E0D92" w:rsidP="008E6DBE">
            <w:pPr>
              <w:jc w:val="center"/>
              <w:rPr>
                <w:rFonts w:cs="Arial"/>
                <w:bCs/>
              </w:rPr>
            </w:pPr>
            <w:r w:rsidRPr="00F96F12">
              <w:rPr>
                <w:rFonts w:cs="Arial"/>
                <w:bCs/>
              </w:rPr>
              <w:t>Prot</w:t>
            </w:r>
            <w:r w:rsidR="008E6DBE" w:rsidRPr="00F96F12">
              <w:rPr>
                <w:rFonts w:cs="Arial"/>
                <w:bCs/>
              </w:rPr>
              <w:t>ein</w:t>
            </w:r>
          </w:p>
          <w:p w14:paraId="27900B8B" w14:textId="1CFBB533" w:rsidR="00E36175" w:rsidRPr="00F96F12" w:rsidRDefault="008E6DBE" w:rsidP="008E6DBE">
            <w:pPr>
              <w:jc w:val="center"/>
              <w:rPr>
                <w:rFonts w:cs="Arial"/>
              </w:rPr>
            </w:pPr>
            <w:r w:rsidRPr="00F96F12">
              <w:rPr>
                <w:rFonts w:cs="Arial"/>
                <w:bCs/>
              </w:rPr>
              <w:t>F</w:t>
            </w:r>
            <w:r w:rsidR="002E0D92" w:rsidRPr="00F96F12">
              <w:rPr>
                <w:rFonts w:cs="Arial"/>
                <w:bCs/>
              </w:rPr>
              <w:t>re</w:t>
            </w:r>
            <w:r w:rsidRPr="00F96F12">
              <w:rPr>
                <w:rFonts w:cs="Arial"/>
                <w:bCs/>
              </w:rPr>
              <w:t>quency</w:t>
            </w:r>
          </w:p>
        </w:tc>
        <w:tc>
          <w:tcPr>
            <w:tcW w:w="2341" w:type="dxa"/>
            <w:gridSpan w:val="2"/>
            <w:tcBorders>
              <w:top w:val="single" w:sz="12" w:space="0" w:color="000000"/>
              <w:bottom w:val="single" w:sz="4" w:space="0" w:color="auto"/>
            </w:tcBorders>
            <w:hideMark/>
          </w:tcPr>
          <w:p w14:paraId="5C179C2D" w14:textId="77777777" w:rsidR="00E36175" w:rsidRPr="00F96F12" w:rsidRDefault="002E0D92" w:rsidP="002E0D92">
            <w:pPr>
              <w:jc w:val="center"/>
              <w:rPr>
                <w:rFonts w:cs="Arial"/>
              </w:rPr>
            </w:pPr>
            <w:r w:rsidRPr="00F96F12">
              <w:rPr>
                <w:rFonts w:cs="Arial"/>
                <w:bCs/>
              </w:rPr>
              <w:t>Fecal Human</w:t>
            </w:r>
          </w:p>
        </w:tc>
        <w:tc>
          <w:tcPr>
            <w:tcW w:w="2390" w:type="dxa"/>
            <w:gridSpan w:val="2"/>
            <w:tcBorders>
              <w:top w:val="single" w:sz="12" w:space="0" w:color="000000"/>
              <w:bottom w:val="single" w:sz="4" w:space="0" w:color="auto"/>
            </w:tcBorders>
            <w:hideMark/>
          </w:tcPr>
          <w:p w14:paraId="10CF4B88" w14:textId="77777777" w:rsidR="00E36175" w:rsidRPr="00F96F12" w:rsidRDefault="002E0D92" w:rsidP="002E0D92">
            <w:pPr>
              <w:jc w:val="center"/>
              <w:rPr>
                <w:rFonts w:cs="Arial"/>
              </w:rPr>
            </w:pPr>
            <w:r w:rsidRPr="00F96F12">
              <w:rPr>
                <w:rFonts w:cs="Arial"/>
                <w:bCs/>
              </w:rPr>
              <w:t>PBMC Human</w:t>
            </w:r>
          </w:p>
        </w:tc>
        <w:tc>
          <w:tcPr>
            <w:tcW w:w="2795" w:type="dxa"/>
            <w:gridSpan w:val="2"/>
            <w:tcBorders>
              <w:top w:val="single" w:sz="12" w:space="0" w:color="000000"/>
              <w:bottom w:val="single" w:sz="4" w:space="0" w:color="auto"/>
            </w:tcBorders>
            <w:hideMark/>
          </w:tcPr>
          <w:p w14:paraId="7B916A6F" w14:textId="77777777" w:rsidR="00E36175" w:rsidRPr="00F96F12" w:rsidRDefault="002E0D92" w:rsidP="002E0D92">
            <w:pPr>
              <w:jc w:val="center"/>
              <w:rPr>
                <w:rFonts w:cs="Arial"/>
              </w:rPr>
            </w:pPr>
            <w:r w:rsidRPr="00F96F12">
              <w:rPr>
                <w:rFonts w:cs="Arial"/>
                <w:bCs/>
              </w:rPr>
              <w:t>Fecal Microbiome</w:t>
            </w:r>
          </w:p>
        </w:tc>
      </w:tr>
      <w:tr w:rsidR="008E6DBE" w:rsidRPr="00F96F12" w14:paraId="1897920E" w14:textId="77777777" w:rsidTr="00F96F12">
        <w:trPr>
          <w:trHeight w:val="300"/>
          <w:jc w:val="center"/>
        </w:trPr>
        <w:tc>
          <w:tcPr>
            <w:tcW w:w="778" w:type="dxa"/>
            <w:vMerge/>
            <w:tcBorders>
              <w:top w:val="single" w:sz="4" w:space="0" w:color="auto"/>
            </w:tcBorders>
            <w:hideMark/>
          </w:tcPr>
          <w:p w14:paraId="4E45C47C" w14:textId="77777777" w:rsidR="002E0D92" w:rsidRPr="00F96F12" w:rsidRDefault="002E0D92" w:rsidP="002E0D92">
            <w:pPr>
              <w:jc w:val="left"/>
              <w:rPr>
                <w:rFonts w:cs="Arial"/>
              </w:rPr>
            </w:pPr>
          </w:p>
        </w:tc>
        <w:tc>
          <w:tcPr>
            <w:tcW w:w="1070" w:type="dxa"/>
            <w:tcBorders>
              <w:top w:val="single" w:sz="4" w:space="0" w:color="auto"/>
              <w:bottom w:val="single" w:sz="4" w:space="0" w:color="auto"/>
            </w:tcBorders>
            <w:hideMark/>
          </w:tcPr>
          <w:p w14:paraId="658F9BEA" w14:textId="2D5F2ADF" w:rsidR="00E36175" w:rsidRPr="00F96F12" w:rsidRDefault="00E36175" w:rsidP="00EE6B37">
            <w:pPr>
              <w:jc w:val="center"/>
              <w:rPr>
                <w:rFonts w:cs="Arial"/>
              </w:rPr>
            </w:pPr>
            <w:r w:rsidRPr="00F96F12">
              <w:rPr>
                <w:rFonts w:cs="Arial"/>
                <w:bCs/>
              </w:rPr>
              <w:t xml:space="preserve"># of </w:t>
            </w:r>
            <w:r w:rsidR="002E0D92" w:rsidRPr="00F96F12">
              <w:rPr>
                <w:rFonts w:cs="Arial"/>
                <w:bCs/>
              </w:rPr>
              <w:t>proteins</w:t>
            </w:r>
          </w:p>
        </w:tc>
        <w:tc>
          <w:tcPr>
            <w:tcW w:w="1271" w:type="dxa"/>
            <w:tcBorders>
              <w:top w:val="single" w:sz="4" w:space="0" w:color="auto"/>
              <w:bottom w:val="single" w:sz="4" w:space="0" w:color="auto"/>
            </w:tcBorders>
            <w:hideMark/>
          </w:tcPr>
          <w:p w14:paraId="515D5C2A" w14:textId="0D0E2191" w:rsidR="00E36175" w:rsidRPr="00F96F12" w:rsidRDefault="00E36175" w:rsidP="00EE6B37">
            <w:pPr>
              <w:jc w:val="center"/>
              <w:rPr>
                <w:rFonts w:cs="Arial"/>
              </w:rPr>
            </w:pPr>
            <w:r w:rsidRPr="00F96F12">
              <w:rPr>
                <w:rFonts w:cs="Arial"/>
                <w:bCs/>
              </w:rPr>
              <w:t xml:space="preserve">% of </w:t>
            </w:r>
            <w:r w:rsidR="00DA26EC" w:rsidRPr="00F96F12">
              <w:rPr>
                <w:rFonts w:cs="Arial"/>
                <w:bCs/>
              </w:rPr>
              <w:t>f</w:t>
            </w:r>
            <w:r w:rsidR="002E0D92" w:rsidRPr="00F96F12">
              <w:rPr>
                <w:rFonts w:cs="Arial"/>
                <w:bCs/>
              </w:rPr>
              <w:t>requency</w:t>
            </w:r>
          </w:p>
        </w:tc>
        <w:tc>
          <w:tcPr>
            <w:tcW w:w="1070" w:type="dxa"/>
            <w:tcBorders>
              <w:top w:val="single" w:sz="4" w:space="0" w:color="auto"/>
              <w:bottom w:val="single" w:sz="4" w:space="0" w:color="auto"/>
            </w:tcBorders>
            <w:hideMark/>
          </w:tcPr>
          <w:p w14:paraId="05A59047" w14:textId="61CA986A" w:rsidR="00E36175" w:rsidRPr="00F96F12" w:rsidRDefault="00E36175" w:rsidP="00EE6B37">
            <w:pPr>
              <w:jc w:val="center"/>
              <w:rPr>
                <w:rFonts w:cs="Arial"/>
              </w:rPr>
            </w:pPr>
            <w:r w:rsidRPr="00F96F12">
              <w:rPr>
                <w:rFonts w:cs="Arial"/>
                <w:bCs/>
              </w:rPr>
              <w:t xml:space="preserve"># of </w:t>
            </w:r>
            <w:r w:rsidR="002E0D92" w:rsidRPr="00F96F12">
              <w:rPr>
                <w:rFonts w:cs="Arial"/>
                <w:bCs/>
              </w:rPr>
              <w:t>proteins</w:t>
            </w:r>
          </w:p>
        </w:tc>
        <w:tc>
          <w:tcPr>
            <w:tcW w:w="1320" w:type="dxa"/>
            <w:tcBorders>
              <w:top w:val="single" w:sz="4" w:space="0" w:color="auto"/>
              <w:bottom w:val="single" w:sz="4" w:space="0" w:color="auto"/>
            </w:tcBorders>
            <w:hideMark/>
          </w:tcPr>
          <w:p w14:paraId="3B9C9F2D" w14:textId="6EE3105B" w:rsidR="00E36175" w:rsidRPr="00F96F12" w:rsidRDefault="00DA26EC" w:rsidP="00EE6B37">
            <w:pPr>
              <w:jc w:val="center"/>
              <w:rPr>
                <w:rFonts w:cs="Arial"/>
              </w:rPr>
            </w:pPr>
            <w:r w:rsidRPr="00F96F12">
              <w:rPr>
                <w:rFonts w:cs="Arial"/>
                <w:bCs/>
              </w:rPr>
              <w:t>% of f</w:t>
            </w:r>
            <w:r w:rsidR="002E0D92" w:rsidRPr="00F96F12">
              <w:rPr>
                <w:rFonts w:cs="Arial"/>
                <w:bCs/>
              </w:rPr>
              <w:t>requency</w:t>
            </w:r>
          </w:p>
        </w:tc>
        <w:tc>
          <w:tcPr>
            <w:tcW w:w="1070" w:type="dxa"/>
            <w:tcBorders>
              <w:top w:val="single" w:sz="4" w:space="0" w:color="auto"/>
              <w:bottom w:val="single" w:sz="4" w:space="0" w:color="auto"/>
            </w:tcBorders>
            <w:hideMark/>
          </w:tcPr>
          <w:p w14:paraId="029361B6" w14:textId="77777777" w:rsidR="00E36175" w:rsidRPr="00F96F12" w:rsidRDefault="002E0D92" w:rsidP="00EE6B37">
            <w:pPr>
              <w:jc w:val="center"/>
              <w:rPr>
                <w:rFonts w:cs="Arial"/>
              </w:rPr>
            </w:pPr>
            <w:r w:rsidRPr="00F96F12">
              <w:rPr>
                <w:rFonts w:cs="Arial"/>
                <w:bCs/>
              </w:rPr>
              <w:t># of proteins</w:t>
            </w:r>
          </w:p>
        </w:tc>
        <w:tc>
          <w:tcPr>
            <w:tcW w:w="1725" w:type="dxa"/>
            <w:tcBorders>
              <w:top w:val="single" w:sz="4" w:space="0" w:color="auto"/>
              <w:bottom w:val="single" w:sz="4" w:space="0" w:color="auto"/>
            </w:tcBorders>
            <w:hideMark/>
          </w:tcPr>
          <w:p w14:paraId="6B1826DB" w14:textId="0816C53B" w:rsidR="00E36175" w:rsidRPr="00F96F12" w:rsidRDefault="00DA26EC" w:rsidP="00EE6B37">
            <w:pPr>
              <w:jc w:val="center"/>
              <w:rPr>
                <w:rFonts w:cs="Arial"/>
              </w:rPr>
            </w:pPr>
            <w:r w:rsidRPr="00F96F12">
              <w:rPr>
                <w:rFonts w:cs="Arial"/>
                <w:bCs/>
              </w:rPr>
              <w:t>% of f</w:t>
            </w:r>
            <w:r w:rsidR="002E0D92" w:rsidRPr="00F96F12">
              <w:rPr>
                <w:rFonts w:cs="Arial"/>
                <w:bCs/>
              </w:rPr>
              <w:t>requency</w:t>
            </w:r>
          </w:p>
        </w:tc>
      </w:tr>
      <w:tr w:rsidR="008E6DBE" w:rsidRPr="00F96F12" w14:paraId="60718D5F" w14:textId="77777777" w:rsidTr="00F96F12">
        <w:trPr>
          <w:trHeight w:val="300"/>
          <w:jc w:val="center"/>
        </w:trPr>
        <w:tc>
          <w:tcPr>
            <w:tcW w:w="778" w:type="dxa"/>
            <w:tcBorders>
              <w:bottom w:val="nil"/>
            </w:tcBorders>
            <w:hideMark/>
          </w:tcPr>
          <w:p w14:paraId="09CADC43" w14:textId="77777777" w:rsidR="00E36175" w:rsidRPr="00F96F12" w:rsidRDefault="002E0D92" w:rsidP="002E0D92">
            <w:pPr>
              <w:jc w:val="center"/>
              <w:rPr>
                <w:rFonts w:cs="Arial"/>
              </w:rPr>
            </w:pPr>
            <w:r w:rsidRPr="00F96F12">
              <w:rPr>
                <w:rFonts w:cs="Arial"/>
              </w:rPr>
              <w:t>1</w:t>
            </w:r>
          </w:p>
        </w:tc>
        <w:tc>
          <w:tcPr>
            <w:tcW w:w="1070" w:type="dxa"/>
            <w:tcBorders>
              <w:top w:val="single" w:sz="4" w:space="0" w:color="auto"/>
            </w:tcBorders>
            <w:hideMark/>
          </w:tcPr>
          <w:p w14:paraId="46709A28" w14:textId="77777777" w:rsidR="00E36175" w:rsidRPr="00F96F12" w:rsidRDefault="002E0D92" w:rsidP="002E0D92">
            <w:pPr>
              <w:jc w:val="right"/>
              <w:rPr>
                <w:rFonts w:cs="Arial"/>
              </w:rPr>
            </w:pPr>
            <w:r w:rsidRPr="00F96F12">
              <w:rPr>
                <w:rFonts w:cs="Arial"/>
              </w:rPr>
              <w:t>1,261</w:t>
            </w:r>
          </w:p>
        </w:tc>
        <w:tc>
          <w:tcPr>
            <w:tcW w:w="1271" w:type="dxa"/>
            <w:tcBorders>
              <w:top w:val="single" w:sz="4" w:space="0" w:color="auto"/>
            </w:tcBorders>
            <w:hideMark/>
          </w:tcPr>
          <w:p w14:paraId="68D6C3A0" w14:textId="77777777" w:rsidR="00E36175" w:rsidRPr="00F96F12" w:rsidRDefault="002E0D92" w:rsidP="002E0D92">
            <w:pPr>
              <w:jc w:val="right"/>
              <w:rPr>
                <w:rFonts w:cs="Arial"/>
              </w:rPr>
            </w:pPr>
            <w:r w:rsidRPr="00F96F12">
              <w:rPr>
                <w:rFonts w:cs="Arial"/>
              </w:rPr>
              <w:t>59.99%</w:t>
            </w:r>
          </w:p>
        </w:tc>
        <w:tc>
          <w:tcPr>
            <w:tcW w:w="1070" w:type="dxa"/>
            <w:tcBorders>
              <w:top w:val="single" w:sz="4" w:space="0" w:color="auto"/>
            </w:tcBorders>
            <w:hideMark/>
          </w:tcPr>
          <w:p w14:paraId="121BBBD3" w14:textId="77777777" w:rsidR="00E36175" w:rsidRPr="00F96F12" w:rsidRDefault="002E0D92" w:rsidP="002E0D92">
            <w:pPr>
              <w:jc w:val="right"/>
              <w:rPr>
                <w:rFonts w:cs="Arial"/>
              </w:rPr>
            </w:pPr>
            <w:r w:rsidRPr="00F96F12">
              <w:rPr>
                <w:rFonts w:cs="Arial"/>
              </w:rPr>
              <w:t>947</w:t>
            </w:r>
          </w:p>
        </w:tc>
        <w:tc>
          <w:tcPr>
            <w:tcW w:w="1320" w:type="dxa"/>
            <w:tcBorders>
              <w:top w:val="single" w:sz="4" w:space="0" w:color="auto"/>
            </w:tcBorders>
            <w:hideMark/>
          </w:tcPr>
          <w:p w14:paraId="4D015A4E" w14:textId="77777777" w:rsidR="00E36175" w:rsidRPr="00F96F12" w:rsidRDefault="002E0D92" w:rsidP="002E0D92">
            <w:pPr>
              <w:jc w:val="right"/>
              <w:rPr>
                <w:rFonts w:cs="Arial"/>
              </w:rPr>
            </w:pPr>
            <w:r w:rsidRPr="00F96F12">
              <w:rPr>
                <w:rFonts w:cs="Arial"/>
              </w:rPr>
              <w:t>37.05%</w:t>
            </w:r>
          </w:p>
        </w:tc>
        <w:tc>
          <w:tcPr>
            <w:tcW w:w="1070" w:type="dxa"/>
            <w:tcBorders>
              <w:top w:val="single" w:sz="4" w:space="0" w:color="auto"/>
            </w:tcBorders>
            <w:hideMark/>
          </w:tcPr>
          <w:p w14:paraId="47F23535" w14:textId="77777777" w:rsidR="00E36175" w:rsidRPr="00F96F12" w:rsidRDefault="002E0D92" w:rsidP="002E0D92">
            <w:pPr>
              <w:jc w:val="right"/>
              <w:rPr>
                <w:rFonts w:cs="Arial"/>
              </w:rPr>
            </w:pPr>
            <w:r w:rsidRPr="00F96F12">
              <w:rPr>
                <w:rFonts w:cs="Arial"/>
              </w:rPr>
              <w:t>2,342</w:t>
            </w:r>
          </w:p>
        </w:tc>
        <w:tc>
          <w:tcPr>
            <w:tcW w:w="1725" w:type="dxa"/>
            <w:tcBorders>
              <w:top w:val="single" w:sz="4" w:space="0" w:color="auto"/>
            </w:tcBorders>
            <w:hideMark/>
          </w:tcPr>
          <w:p w14:paraId="31F0080C" w14:textId="77777777" w:rsidR="00E36175" w:rsidRPr="00F96F12" w:rsidRDefault="002E0D92" w:rsidP="002E0D92">
            <w:pPr>
              <w:jc w:val="right"/>
              <w:rPr>
                <w:rFonts w:cs="Arial"/>
              </w:rPr>
            </w:pPr>
            <w:r w:rsidRPr="00F96F12">
              <w:rPr>
                <w:rFonts w:cs="Arial"/>
              </w:rPr>
              <w:t>43.75%</w:t>
            </w:r>
          </w:p>
        </w:tc>
      </w:tr>
      <w:tr w:rsidR="008E6DBE" w:rsidRPr="00F96F12" w14:paraId="75404A6C" w14:textId="77777777" w:rsidTr="00F96F12">
        <w:trPr>
          <w:trHeight w:val="300"/>
          <w:jc w:val="center"/>
        </w:trPr>
        <w:tc>
          <w:tcPr>
            <w:tcW w:w="778" w:type="dxa"/>
            <w:tcBorders>
              <w:top w:val="nil"/>
            </w:tcBorders>
            <w:hideMark/>
          </w:tcPr>
          <w:p w14:paraId="7F496D9E" w14:textId="77777777" w:rsidR="00E36175" w:rsidRPr="00F96F12" w:rsidRDefault="002E0D92" w:rsidP="002E0D92">
            <w:pPr>
              <w:jc w:val="center"/>
              <w:rPr>
                <w:rFonts w:cs="Arial"/>
              </w:rPr>
            </w:pPr>
            <w:r w:rsidRPr="00F96F12">
              <w:rPr>
                <w:rFonts w:cs="Arial"/>
              </w:rPr>
              <w:t>2</w:t>
            </w:r>
          </w:p>
        </w:tc>
        <w:tc>
          <w:tcPr>
            <w:tcW w:w="1070" w:type="dxa"/>
            <w:hideMark/>
          </w:tcPr>
          <w:p w14:paraId="3EFF4D1F" w14:textId="77777777" w:rsidR="00E36175" w:rsidRPr="00F96F12" w:rsidRDefault="002E0D92" w:rsidP="002E0D92">
            <w:pPr>
              <w:jc w:val="right"/>
              <w:rPr>
                <w:rFonts w:cs="Arial"/>
              </w:rPr>
            </w:pPr>
            <w:r w:rsidRPr="00F96F12">
              <w:rPr>
                <w:rFonts w:cs="Arial"/>
              </w:rPr>
              <w:t>287</w:t>
            </w:r>
          </w:p>
        </w:tc>
        <w:tc>
          <w:tcPr>
            <w:tcW w:w="1271" w:type="dxa"/>
            <w:hideMark/>
          </w:tcPr>
          <w:p w14:paraId="633E6884" w14:textId="77777777" w:rsidR="00E36175" w:rsidRPr="00F96F12" w:rsidRDefault="002E0D92" w:rsidP="002E0D92">
            <w:pPr>
              <w:jc w:val="right"/>
              <w:rPr>
                <w:rFonts w:cs="Arial"/>
              </w:rPr>
            </w:pPr>
            <w:r w:rsidRPr="00F96F12">
              <w:rPr>
                <w:rFonts w:cs="Arial"/>
              </w:rPr>
              <w:t>13.65%</w:t>
            </w:r>
          </w:p>
        </w:tc>
        <w:tc>
          <w:tcPr>
            <w:tcW w:w="1070" w:type="dxa"/>
            <w:hideMark/>
          </w:tcPr>
          <w:p w14:paraId="6C3C6A04" w14:textId="77777777" w:rsidR="00E36175" w:rsidRPr="00F96F12" w:rsidRDefault="002E0D92" w:rsidP="002E0D92">
            <w:pPr>
              <w:jc w:val="right"/>
              <w:rPr>
                <w:rFonts w:cs="Arial"/>
              </w:rPr>
            </w:pPr>
            <w:r w:rsidRPr="00F96F12">
              <w:rPr>
                <w:rFonts w:cs="Arial"/>
              </w:rPr>
              <w:t>540</w:t>
            </w:r>
          </w:p>
        </w:tc>
        <w:tc>
          <w:tcPr>
            <w:tcW w:w="1320" w:type="dxa"/>
            <w:hideMark/>
          </w:tcPr>
          <w:p w14:paraId="64BC0207" w14:textId="77777777" w:rsidR="00E36175" w:rsidRPr="00F96F12" w:rsidRDefault="002E0D92" w:rsidP="002E0D92">
            <w:pPr>
              <w:jc w:val="right"/>
              <w:rPr>
                <w:rFonts w:cs="Arial"/>
              </w:rPr>
            </w:pPr>
            <w:r w:rsidRPr="00F96F12">
              <w:rPr>
                <w:rFonts w:cs="Arial"/>
              </w:rPr>
              <w:t>21.13%</w:t>
            </w:r>
          </w:p>
        </w:tc>
        <w:tc>
          <w:tcPr>
            <w:tcW w:w="1070" w:type="dxa"/>
            <w:hideMark/>
          </w:tcPr>
          <w:p w14:paraId="1BA6BA03" w14:textId="77777777" w:rsidR="00E36175" w:rsidRPr="00F96F12" w:rsidRDefault="002E0D92" w:rsidP="002E0D92">
            <w:pPr>
              <w:jc w:val="right"/>
              <w:rPr>
                <w:rFonts w:cs="Arial"/>
              </w:rPr>
            </w:pPr>
            <w:r w:rsidRPr="00F96F12">
              <w:rPr>
                <w:rFonts w:cs="Arial"/>
              </w:rPr>
              <w:t>738</w:t>
            </w:r>
          </w:p>
        </w:tc>
        <w:tc>
          <w:tcPr>
            <w:tcW w:w="1725" w:type="dxa"/>
            <w:hideMark/>
          </w:tcPr>
          <w:p w14:paraId="663AB50B" w14:textId="77777777" w:rsidR="00E36175" w:rsidRPr="00F96F12" w:rsidRDefault="002E0D92" w:rsidP="002E0D92">
            <w:pPr>
              <w:jc w:val="right"/>
              <w:rPr>
                <w:rFonts w:cs="Arial"/>
              </w:rPr>
            </w:pPr>
            <w:r w:rsidRPr="00F96F12">
              <w:rPr>
                <w:rFonts w:cs="Arial"/>
              </w:rPr>
              <w:t>13.79%</w:t>
            </w:r>
          </w:p>
        </w:tc>
      </w:tr>
      <w:tr w:rsidR="008E6DBE" w:rsidRPr="00F96F12" w14:paraId="6CBD3B88" w14:textId="77777777" w:rsidTr="008E6DBE">
        <w:trPr>
          <w:trHeight w:val="300"/>
          <w:jc w:val="center"/>
        </w:trPr>
        <w:tc>
          <w:tcPr>
            <w:tcW w:w="778" w:type="dxa"/>
            <w:hideMark/>
          </w:tcPr>
          <w:p w14:paraId="3E7412DC" w14:textId="77777777" w:rsidR="00E36175" w:rsidRPr="00F96F12" w:rsidRDefault="002E0D92" w:rsidP="002E0D92">
            <w:pPr>
              <w:jc w:val="center"/>
              <w:rPr>
                <w:rFonts w:cs="Arial"/>
              </w:rPr>
            </w:pPr>
            <w:r w:rsidRPr="00F96F12">
              <w:rPr>
                <w:rFonts w:cs="Arial"/>
              </w:rPr>
              <w:t>3</w:t>
            </w:r>
          </w:p>
        </w:tc>
        <w:tc>
          <w:tcPr>
            <w:tcW w:w="1070" w:type="dxa"/>
            <w:hideMark/>
          </w:tcPr>
          <w:p w14:paraId="0604650E" w14:textId="77777777" w:rsidR="00E36175" w:rsidRPr="00F96F12" w:rsidRDefault="002E0D92" w:rsidP="002E0D92">
            <w:pPr>
              <w:jc w:val="right"/>
              <w:rPr>
                <w:rFonts w:cs="Arial"/>
              </w:rPr>
            </w:pPr>
            <w:r w:rsidRPr="00F96F12">
              <w:rPr>
                <w:rFonts w:cs="Arial"/>
              </w:rPr>
              <w:t>116</w:t>
            </w:r>
          </w:p>
        </w:tc>
        <w:tc>
          <w:tcPr>
            <w:tcW w:w="1271" w:type="dxa"/>
            <w:hideMark/>
          </w:tcPr>
          <w:p w14:paraId="71A58979" w14:textId="77777777" w:rsidR="00E36175" w:rsidRPr="00F96F12" w:rsidRDefault="002E0D92" w:rsidP="002E0D92">
            <w:pPr>
              <w:jc w:val="right"/>
              <w:rPr>
                <w:rFonts w:cs="Arial"/>
              </w:rPr>
            </w:pPr>
            <w:r w:rsidRPr="00F96F12">
              <w:rPr>
                <w:rFonts w:cs="Arial"/>
              </w:rPr>
              <w:t>5.52%</w:t>
            </w:r>
          </w:p>
        </w:tc>
        <w:tc>
          <w:tcPr>
            <w:tcW w:w="1070" w:type="dxa"/>
            <w:hideMark/>
          </w:tcPr>
          <w:p w14:paraId="7697DA6B" w14:textId="77777777" w:rsidR="00E36175" w:rsidRPr="00F96F12" w:rsidRDefault="002E0D92" w:rsidP="002E0D92">
            <w:pPr>
              <w:jc w:val="right"/>
              <w:rPr>
                <w:rFonts w:cs="Arial"/>
              </w:rPr>
            </w:pPr>
            <w:r w:rsidRPr="00F96F12">
              <w:rPr>
                <w:rFonts w:cs="Arial"/>
              </w:rPr>
              <w:t>342</w:t>
            </w:r>
          </w:p>
        </w:tc>
        <w:tc>
          <w:tcPr>
            <w:tcW w:w="1320" w:type="dxa"/>
            <w:hideMark/>
          </w:tcPr>
          <w:p w14:paraId="3AA337A1" w14:textId="77777777" w:rsidR="00E36175" w:rsidRPr="00F96F12" w:rsidRDefault="002E0D92" w:rsidP="002E0D92">
            <w:pPr>
              <w:jc w:val="right"/>
              <w:rPr>
                <w:rFonts w:cs="Arial"/>
              </w:rPr>
            </w:pPr>
            <w:r w:rsidRPr="00F96F12">
              <w:rPr>
                <w:rFonts w:cs="Arial"/>
              </w:rPr>
              <w:t>13.38%</w:t>
            </w:r>
          </w:p>
        </w:tc>
        <w:tc>
          <w:tcPr>
            <w:tcW w:w="1070" w:type="dxa"/>
            <w:hideMark/>
          </w:tcPr>
          <w:p w14:paraId="2299DF9A" w14:textId="77777777" w:rsidR="00E36175" w:rsidRPr="00F96F12" w:rsidRDefault="002E0D92" w:rsidP="002E0D92">
            <w:pPr>
              <w:jc w:val="right"/>
              <w:rPr>
                <w:rFonts w:cs="Arial"/>
              </w:rPr>
            </w:pPr>
            <w:r w:rsidRPr="00F96F12">
              <w:rPr>
                <w:rFonts w:cs="Arial"/>
              </w:rPr>
              <w:t>479</w:t>
            </w:r>
          </w:p>
        </w:tc>
        <w:tc>
          <w:tcPr>
            <w:tcW w:w="1725" w:type="dxa"/>
            <w:hideMark/>
          </w:tcPr>
          <w:p w14:paraId="0423CEB2" w14:textId="77777777" w:rsidR="00E36175" w:rsidRPr="00F96F12" w:rsidRDefault="002E0D92" w:rsidP="002E0D92">
            <w:pPr>
              <w:jc w:val="right"/>
              <w:rPr>
                <w:rFonts w:cs="Arial"/>
              </w:rPr>
            </w:pPr>
            <w:r w:rsidRPr="00F96F12">
              <w:rPr>
                <w:rFonts w:cs="Arial"/>
              </w:rPr>
              <w:t>8.95%</w:t>
            </w:r>
          </w:p>
        </w:tc>
      </w:tr>
      <w:tr w:rsidR="008E6DBE" w:rsidRPr="00F96F12" w14:paraId="758652D1" w14:textId="77777777" w:rsidTr="008E6DBE">
        <w:trPr>
          <w:trHeight w:val="300"/>
          <w:jc w:val="center"/>
        </w:trPr>
        <w:tc>
          <w:tcPr>
            <w:tcW w:w="778" w:type="dxa"/>
            <w:hideMark/>
          </w:tcPr>
          <w:p w14:paraId="32A1CB71" w14:textId="77777777" w:rsidR="00E36175" w:rsidRPr="00F96F12" w:rsidRDefault="002E0D92" w:rsidP="002E0D92">
            <w:pPr>
              <w:jc w:val="center"/>
              <w:rPr>
                <w:rFonts w:cs="Arial"/>
              </w:rPr>
            </w:pPr>
            <w:r w:rsidRPr="00F96F12">
              <w:rPr>
                <w:rFonts w:cs="Arial"/>
              </w:rPr>
              <w:t>4</w:t>
            </w:r>
          </w:p>
        </w:tc>
        <w:tc>
          <w:tcPr>
            <w:tcW w:w="1070" w:type="dxa"/>
            <w:hideMark/>
          </w:tcPr>
          <w:p w14:paraId="04066B6C" w14:textId="77777777" w:rsidR="00E36175" w:rsidRPr="00F96F12" w:rsidRDefault="002E0D92" w:rsidP="002E0D92">
            <w:pPr>
              <w:jc w:val="right"/>
              <w:rPr>
                <w:rFonts w:cs="Arial"/>
              </w:rPr>
            </w:pPr>
            <w:r w:rsidRPr="00F96F12">
              <w:rPr>
                <w:rFonts w:cs="Arial"/>
              </w:rPr>
              <w:t>86</w:t>
            </w:r>
          </w:p>
        </w:tc>
        <w:tc>
          <w:tcPr>
            <w:tcW w:w="1271" w:type="dxa"/>
            <w:hideMark/>
          </w:tcPr>
          <w:p w14:paraId="0553B8A6" w14:textId="77777777" w:rsidR="00E36175" w:rsidRPr="00F96F12" w:rsidRDefault="002E0D92" w:rsidP="002E0D92">
            <w:pPr>
              <w:jc w:val="right"/>
              <w:rPr>
                <w:rFonts w:cs="Arial"/>
              </w:rPr>
            </w:pPr>
            <w:r w:rsidRPr="00F96F12">
              <w:rPr>
                <w:rFonts w:cs="Arial"/>
              </w:rPr>
              <w:t>4.09%</w:t>
            </w:r>
          </w:p>
        </w:tc>
        <w:tc>
          <w:tcPr>
            <w:tcW w:w="1070" w:type="dxa"/>
            <w:hideMark/>
          </w:tcPr>
          <w:p w14:paraId="77DF646F" w14:textId="77777777" w:rsidR="00E36175" w:rsidRPr="00F96F12" w:rsidRDefault="002E0D92" w:rsidP="002E0D92">
            <w:pPr>
              <w:jc w:val="right"/>
              <w:rPr>
                <w:rFonts w:cs="Arial"/>
              </w:rPr>
            </w:pPr>
            <w:r w:rsidRPr="00F96F12">
              <w:rPr>
                <w:rFonts w:cs="Arial"/>
              </w:rPr>
              <w:t>299</w:t>
            </w:r>
          </w:p>
        </w:tc>
        <w:tc>
          <w:tcPr>
            <w:tcW w:w="1320" w:type="dxa"/>
            <w:hideMark/>
          </w:tcPr>
          <w:p w14:paraId="501CF600" w14:textId="77777777" w:rsidR="00E36175" w:rsidRPr="00F96F12" w:rsidRDefault="002E0D92" w:rsidP="002E0D92">
            <w:pPr>
              <w:jc w:val="right"/>
              <w:rPr>
                <w:rFonts w:cs="Arial"/>
              </w:rPr>
            </w:pPr>
            <w:r w:rsidRPr="00F96F12">
              <w:rPr>
                <w:rFonts w:cs="Arial"/>
              </w:rPr>
              <w:t>11.70%</w:t>
            </w:r>
          </w:p>
        </w:tc>
        <w:tc>
          <w:tcPr>
            <w:tcW w:w="1070" w:type="dxa"/>
            <w:hideMark/>
          </w:tcPr>
          <w:p w14:paraId="02164BA0" w14:textId="77777777" w:rsidR="00E36175" w:rsidRPr="00F96F12" w:rsidRDefault="002E0D92" w:rsidP="002E0D92">
            <w:pPr>
              <w:jc w:val="right"/>
              <w:rPr>
                <w:rFonts w:cs="Arial"/>
              </w:rPr>
            </w:pPr>
            <w:r w:rsidRPr="00F96F12">
              <w:rPr>
                <w:rFonts w:cs="Arial"/>
              </w:rPr>
              <w:t>315</w:t>
            </w:r>
          </w:p>
        </w:tc>
        <w:tc>
          <w:tcPr>
            <w:tcW w:w="1725" w:type="dxa"/>
            <w:hideMark/>
          </w:tcPr>
          <w:p w14:paraId="2C5FE2A3" w14:textId="77777777" w:rsidR="00E36175" w:rsidRPr="00F96F12" w:rsidRDefault="002E0D92" w:rsidP="002E0D92">
            <w:pPr>
              <w:jc w:val="right"/>
              <w:rPr>
                <w:rFonts w:cs="Arial"/>
              </w:rPr>
            </w:pPr>
            <w:r w:rsidRPr="00F96F12">
              <w:rPr>
                <w:rFonts w:cs="Arial"/>
              </w:rPr>
              <w:t>5.88%</w:t>
            </w:r>
          </w:p>
        </w:tc>
      </w:tr>
      <w:tr w:rsidR="008E6DBE" w:rsidRPr="00F96F12" w14:paraId="133E3031" w14:textId="77777777" w:rsidTr="008E6DBE">
        <w:trPr>
          <w:trHeight w:val="300"/>
          <w:jc w:val="center"/>
        </w:trPr>
        <w:tc>
          <w:tcPr>
            <w:tcW w:w="778" w:type="dxa"/>
            <w:hideMark/>
          </w:tcPr>
          <w:p w14:paraId="3D241755" w14:textId="77777777" w:rsidR="00E36175" w:rsidRPr="00F96F12" w:rsidRDefault="002E0D92" w:rsidP="002E0D92">
            <w:pPr>
              <w:jc w:val="center"/>
              <w:rPr>
                <w:rFonts w:cs="Arial"/>
              </w:rPr>
            </w:pPr>
            <w:r w:rsidRPr="00F96F12">
              <w:rPr>
                <w:rFonts w:cs="Arial"/>
              </w:rPr>
              <w:t>5</w:t>
            </w:r>
          </w:p>
        </w:tc>
        <w:tc>
          <w:tcPr>
            <w:tcW w:w="1070" w:type="dxa"/>
            <w:hideMark/>
          </w:tcPr>
          <w:p w14:paraId="2C9FF803" w14:textId="77777777" w:rsidR="00E36175" w:rsidRPr="00F96F12" w:rsidRDefault="002E0D92" w:rsidP="002E0D92">
            <w:pPr>
              <w:jc w:val="right"/>
              <w:rPr>
                <w:rFonts w:cs="Arial"/>
              </w:rPr>
            </w:pPr>
            <w:r w:rsidRPr="00F96F12">
              <w:rPr>
                <w:rFonts w:cs="Arial"/>
              </w:rPr>
              <w:t>64</w:t>
            </w:r>
          </w:p>
        </w:tc>
        <w:tc>
          <w:tcPr>
            <w:tcW w:w="1271" w:type="dxa"/>
            <w:hideMark/>
          </w:tcPr>
          <w:p w14:paraId="0FFA66A8" w14:textId="77777777" w:rsidR="00E36175" w:rsidRPr="00F96F12" w:rsidRDefault="002E0D92" w:rsidP="002E0D92">
            <w:pPr>
              <w:jc w:val="right"/>
              <w:rPr>
                <w:rFonts w:cs="Arial"/>
              </w:rPr>
            </w:pPr>
            <w:r w:rsidRPr="00F96F12">
              <w:rPr>
                <w:rFonts w:cs="Arial"/>
              </w:rPr>
              <w:t>3.04%</w:t>
            </w:r>
          </w:p>
        </w:tc>
        <w:tc>
          <w:tcPr>
            <w:tcW w:w="1070" w:type="dxa"/>
            <w:hideMark/>
          </w:tcPr>
          <w:p w14:paraId="1440ED29" w14:textId="77777777" w:rsidR="00E36175" w:rsidRPr="00F96F12" w:rsidRDefault="002E0D92" w:rsidP="002E0D92">
            <w:pPr>
              <w:jc w:val="right"/>
              <w:rPr>
                <w:rFonts w:cs="Arial"/>
              </w:rPr>
            </w:pPr>
            <w:r w:rsidRPr="00F96F12">
              <w:rPr>
                <w:rFonts w:cs="Arial"/>
              </w:rPr>
              <w:t>428</w:t>
            </w:r>
          </w:p>
        </w:tc>
        <w:tc>
          <w:tcPr>
            <w:tcW w:w="1320" w:type="dxa"/>
            <w:hideMark/>
          </w:tcPr>
          <w:p w14:paraId="19D7053B" w14:textId="77777777" w:rsidR="00E36175" w:rsidRPr="00F96F12" w:rsidRDefault="002E0D92" w:rsidP="002E0D92">
            <w:pPr>
              <w:jc w:val="right"/>
              <w:rPr>
                <w:rFonts w:cs="Arial"/>
              </w:rPr>
            </w:pPr>
            <w:r w:rsidRPr="00F96F12">
              <w:rPr>
                <w:rFonts w:cs="Arial"/>
              </w:rPr>
              <w:t>16.74%</w:t>
            </w:r>
          </w:p>
        </w:tc>
        <w:tc>
          <w:tcPr>
            <w:tcW w:w="1070" w:type="dxa"/>
            <w:hideMark/>
          </w:tcPr>
          <w:p w14:paraId="68F058E9" w14:textId="77777777" w:rsidR="00E36175" w:rsidRPr="00F96F12" w:rsidRDefault="002E0D92" w:rsidP="002E0D92">
            <w:pPr>
              <w:jc w:val="right"/>
              <w:rPr>
                <w:rFonts w:cs="Arial"/>
              </w:rPr>
            </w:pPr>
            <w:r w:rsidRPr="00F96F12">
              <w:rPr>
                <w:rFonts w:cs="Arial"/>
              </w:rPr>
              <w:t>233</w:t>
            </w:r>
          </w:p>
        </w:tc>
        <w:tc>
          <w:tcPr>
            <w:tcW w:w="1725" w:type="dxa"/>
            <w:hideMark/>
          </w:tcPr>
          <w:p w14:paraId="678FD07D" w14:textId="77777777" w:rsidR="00E36175" w:rsidRPr="00F96F12" w:rsidRDefault="002E0D92" w:rsidP="002E0D92">
            <w:pPr>
              <w:jc w:val="right"/>
              <w:rPr>
                <w:rFonts w:cs="Arial"/>
              </w:rPr>
            </w:pPr>
            <w:r w:rsidRPr="00F96F12">
              <w:rPr>
                <w:rFonts w:cs="Arial"/>
              </w:rPr>
              <w:t>4.35%</w:t>
            </w:r>
          </w:p>
        </w:tc>
      </w:tr>
      <w:tr w:rsidR="008E6DBE" w:rsidRPr="00F96F12" w14:paraId="0FC94029" w14:textId="77777777" w:rsidTr="008E6DBE">
        <w:trPr>
          <w:trHeight w:val="300"/>
          <w:jc w:val="center"/>
        </w:trPr>
        <w:tc>
          <w:tcPr>
            <w:tcW w:w="778" w:type="dxa"/>
            <w:hideMark/>
          </w:tcPr>
          <w:p w14:paraId="53CB870A" w14:textId="77777777" w:rsidR="00E36175" w:rsidRPr="00F96F12" w:rsidRDefault="002E0D92" w:rsidP="002E0D92">
            <w:pPr>
              <w:jc w:val="center"/>
              <w:rPr>
                <w:rFonts w:cs="Arial"/>
              </w:rPr>
            </w:pPr>
            <w:r w:rsidRPr="00F96F12">
              <w:rPr>
                <w:rFonts w:cs="Arial"/>
              </w:rPr>
              <w:t>6</w:t>
            </w:r>
          </w:p>
        </w:tc>
        <w:tc>
          <w:tcPr>
            <w:tcW w:w="1070" w:type="dxa"/>
            <w:hideMark/>
          </w:tcPr>
          <w:p w14:paraId="42087029" w14:textId="77777777" w:rsidR="00E36175" w:rsidRPr="00F96F12" w:rsidRDefault="002E0D92" w:rsidP="002E0D92">
            <w:pPr>
              <w:jc w:val="right"/>
              <w:rPr>
                <w:rFonts w:cs="Arial"/>
              </w:rPr>
            </w:pPr>
            <w:r w:rsidRPr="00F96F12">
              <w:rPr>
                <w:rFonts w:cs="Arial"/>
              </w:rPr>
              <w:t>32</w:t>
            </w:r>
          </w:p>
        </w:tc>
        <w:tc>
          <w:tcPr>
            <w:tcW w:w="1271" w:type="dxa"/>
            <w:hideMark/>
          </w:tcPr>
          <w:p w14:paraId="58C3B374" w14:textId="77777777" w:rsidR="00E36175" w:rsidRPr="00F96F12" w:rsidRDefault="002E0D92" w:rsidP="002E0D92">
            <w:pPr>
              <w:jc w:val="right"/>
              <w:rPr>
                <w:rFonts w:cs="Arial"/>
              </w:rPr>
            </w:pPr>
            <w:r w:rsidRPr="00F96F12">
              <w:rPr>
                <w:rFonts w:cs="Arial"/>
              </w:rPr>
              <w:t>1.52%</w:t>
            </w:r>
          </w:p>
        </w:tc>
        <w:tc>
          <w:tcPr>
            <w:tcW w:w="1070" w:type="dxa"/>
            <w:hideMark/>
          </w:tcPr>
          <w:p w14:paraId="66C84BD2" w14:textId="77777777" w:rsidR="00E36175" w:rsidRPr="00F96F12" w:rsidRDefault="002E0D92" w:rsidP="002E0D92">
            <w:pPr>
              <w:jc w:val="right"/>
              <w:rPr>
                <w:rFonts w:cs="Arial"/>
              </w:rPr>
            </w:pPr>
            <w:r w:rsidRPr="00F96F12">
              <w:rPr>
                <w:rFonts w:cs="Arial"/>
              </w:rPr>
              <w:t>-</w:t>
            </w:r>
          </w:p>
        </w:tc>
        <w:tc>
          <w:tcPr>
            <w:tcW w:w="1320" w:type="dxa"/>
            <w:hideMark/>
          </w:tcPr>
          <w:p w14:paraId="2D119999" w14:textId="77777777" w:rsidR="00E36175" w:rsidRPr="00F96F12" w:rsidRDefault="002E0D92" w:rsidP="002E0D92">
            <w:pPr>
              <w:jc w:val="right"/>
              <w:rPr>
                <w:rFonts w:cs="Arial"/>
              </w:rPr>
            </w:pPr>
            <w:r w:rsidRPr="00F96F12">
              <w:rPr>
                <w:rFonts w:cs="Arial"/>
              </w:rPr>
              <w:t>-</w:t>
            </w:r>
          </w:p>
        </w:tc>
        <w:tc>
          <w:tcPr>
            <w:tcW w:w="1070" w:type="dxa"/>
            <w:hideMark/>
          </w:tcPr>
          <w:p w14:paraId="173E420D" w14:textId="77777777" w:rsidR="00E36175" w:rsidRPr="00F96F12" w:rsidRDefault="002E0D92" w:rsidP="002E0D92">
            <w:pPr>
              <w:jc w:val="right"/>
              <w:rPr>
                <w:rFonts w:cs="Arial"/>
              </w:rPr>
            </w:pPr>
            <w:r w:rsidRPr="00F96F12">
              <w:rPr>
                <w:rFonts w:cs="Arial"/>
              </w:rPr>
              <w:t>226</w:t>
            </w:r>
          </w:p>
        </w:tc>
        <w:tc>
          <w:tcPr>
            <w:tcW w:w="1725" w:type="dxa"/>
            <w:hideMark/>
          </w:tcPr>
          <w:p w14:paraId="4A789A6E" w14:textId="77777777" w:rsidR="00E36175" w:rsidRPr="00F96F12" w:rsidRDefault="002E0D92" w:rsidP="002E0D92">
            <w:pPr>
              <w:jc w:val="right"/>
              <w:rPr>
                <w:rFonts w:cs="Arial"/>
              </w:rPr>
            </w:pPr>
            <w:r w:rsidRPr="00F96F12">
              <w:rPr>
                <w:rFonts w:cs="Arial"/>
              </w:rPr>
              <w:t>4.22%</w:t>
            </w:r>
          </w:p>
        </w:tc>
      </w:tr>
      <w:tr w:rsidR="008E6DBE" w:rsidRPr="00F96F12" w14:paraId="2E45D77E" w14:textId="77777777" w:rsidTr="008E6DBE">
        <w:trPr>
          <w:trHeight w:val="300"/>
          <w:jc w:val="center"/>
        </w:trPr>
        <w:tc>
          <w:tcPr>
            <w:tcW w:w="778" w:type="dxa"/>
            <w:hideMark/>
          </w:tcPr>
          <w:p w14:paraId="36AF2256" w14:textId="77777777" w:rsidR="00E36175" w:rsidRPr="00F96F12" w:rsidRDefault="002E0D92" w:rsidP="002E0D92">
            <w:pPr>
              <w:jc w:val="center"/>
              <w:rPr>
                <w:rFonts w:cs="Arial"/>
              </w:rPr>
            </w:pPr>
            <w:r w:rsidRPr="00F96F12">
              <w:rPr>
                <w:rFonts w:cs="Arial"/>
              </w:rPr>
              <w:t>7</w:t>
            </w:r>
          </w:p>
        </w:tc>
        <w:tc>
          <w:tcPr>
            <w:tcW w:w="1070" w:type="dxa"/>
            <w:hideMark/>
          </w:tcPr>
          <w:p w14:paraId="77C514FB" w14:textId="77777777" w:rsidR="00E36175" w:rsidRPr="00F96F12" w:rsidRDefault="002E0D92" w:rsidP="002E0D92">
            <w:pPr>
              <w:jc w:val="right"/>
              <w:rPr>
                <w:rFonts w:cs="Arial"/>
              </w:rPr>
            </w:pPr>
            <w:r w:rsidRPr="00F96F12">
              <w:rPr>
                <w:rFonts w:cs="Arial"/>
              </w:rPr>
              <w:t>30</w:t>
            </w:r>
          </w:p>
        </w:tc>
        <w:tc>
          <w:tcPr>
            <w:tcW w:w="1271" w:type="dxa"/>
            <w:hideMark/>
          </w:tcPr>
          <w:p w14:paraId="5EC2D5EC" w14:textId="77777777" w:rsidR="00E36175" w:rsidRPr="00F96F12" w:rsidRDefault="002E0D92" w:rsidP="002E0D92">
            <w:pPr>
              <w:jc w:val="right"/>
              <w:rPr>
                <w:rFonts w:cs="Arial"/>
              </w:rPr>
            </w:pPr>
            <w:r w:rsidRPr="00F96F12">
              <w:rPr>
                <w:rFonts w:cs="Arial"/>
              </w:rPr>
              <w:t>1.43%</w:t>
            </w:r>
          </w:p>
        </w:tc>
        <w:tc>
          <w:tcPr>
            <w:tcW w:w="1070" w:type="dxa"/>
            <w:hideMark/>
          </w:tcPr>
          <w:p w14:paraId="73959892" w14:textId="77777777" w:rsidR="00E36175" w:rsidRPr="00F96F12" w:rsidRDefault="002E0D92" w:rsidP="002E0D92">
            <w:pPr>
              <w:jc w:val="right"/>
              <w:rPr>
                <w:rFonts w:cs="Arial"/>
              </w:rPr>
            </w:pPr>
            <w:r w:rsidRPr="00F96F12">
              <w:rPr>
                <w:rFonts w:cs="Arial"/>
              </w:rPr>
              <w:t>-</w:t>
            </w:r>
          </w:p>
        </w:tc>
        <w:tc>
          <w:tcPr>
            <w:tcW w:w="1320" w:type="dxa"/>
            <w:hideMark/>
          </w:tcPr>
          <w:p w14:paraId="4D0B1113" w14:textId="77777777" w:rsidR="00E36175" w:rsidRPr="00F96F12" w:rsidRDefault="002E0D92" w:rsidP="002E0D92">
            <w:pPr>
              <w:jc w:val="right"/>
              <w:rPr>
                <w:rFonts w:cs="Arial"/>
              </w:rPr>
            </w:pPr>
            <w:r w:rsidRPr="00F96F12">
              <w:rPr>
                <w:rFonts w:cs="Arial"/>
              </w:rPr>
              <w:t>-</w:t>
            </w:r>
          </w:p>
        </w:tc>
        <w:tc>
          <w:tcPr>
            <w:tcW w:w="1070" w:type="dxa"/>
            <w:hideMark/>
          </w:tcPr>
          <w:p w14:paraId="3C9ADF71" w14:textId="77777777" w:rsidR="00E36175" w:rsidRPr="00F96F12" w:rsidRDefault="002E0D92" w:rsidP="002E0D92">
            <w:pPr>
              <w:jc w:val="right"/>
              <w:rPr>
                <w:rFonts w:cs="Arial"/>
              </w:rPr>
            </w:pPr>
            <w:r w:rsidRPr="00F96F12">
              <w:rPr>
                <w:rFonts w:cs="Arial"/>
              </w:rPr>
              <w:t>175</w:t>
            </w:r>
          </w:p>
        </w:tc>
        <w:tc>
          <w:tcPr>
            <w:tcW w:w="1725" w:type="dxa"/>
            <w:hideMark/>
          </w:tcPr>
          <w:p w14:paraId="1C7ACE37" w14:textId="77777777" w:rsidR="00E36175" w:rsidRPr="00F96F12" w:rsidRDefault="002E0D92" w:rsidP="002E0D92">
            <w:pPr>
              <w:jc w:val="right"/>
              <w:rPr>
                <w:rFonts w:cs="Arial"/>
              </w:rPr>
            </w:pPr>
            <w:r w:rsidRPr="00F96F12">
              <w:rPr>
                <w:rFonts w:cs="Arial"/>
              </w:rPr>
              <w:t>3.27%</w:t>
            </w:r>
          </w:p>
        </w:tc>
      </w:tr>
      <w:tr w:rsidR="008E6DBE" w:rsidRPr="00F96F12" w14:paraId="55CEB47B" w14:textId="77777777" w:rsidTr="008E6DBE">
        <w:trPr>
          <w:trHeight w:val="300"/>
          <w:jc w:val="center"/>
        </w:trPr>
        <w:tc>
          <w:tcPr>
            <w:tcW w:w="778" w:type="dxa"/>
            <w:hideMark/>
          </w:tcPr>
          <w:p w14:paraId="4868C980" w14:textId="77777777" w:rsidR="00E36175" w:rsidRPr="00F96F12" w:rsidRDefault="002E0D92" w:rsidP="002E0D92">
            <w:pPr>
              <w:jc w:val="center"/>
              <w:rPr>
                <w:rFonts w:cs="Arial"/>
              </w:rPr>
            </w:pPr>
            <w:r w:rsidRPr="00F96F12">
              <w:rPr>
                <w:rFonts w:cs="Arial"/>
              </w:rPr>
              <w:t>8</w:t>
            </w:r>
          </w:p>
        </w:tc>
        <w:tc>
          <w:tcPr>
            <w:tcW w:w="1070" w:type="dxa"/>
            <w:hideMark/>
          </w:tcPr>
          <w:p w14:paraId="77070D56" w14:textId="77777777" w:rsidR="00E36175" w:rsidRPr="00F96F12" w:rsidRDefault="002E0D92" w:rsidP="002E0D92">
            <w:pPr>
              <w:jc w:val="right"/>
              <w:rPr>
                <w:rFonts w:cs="Arial"/>
              </w:rPr>
            </w:pPr>
            <w:r w:rsidRPr="00F96F12">
              <w:rPr>
                <w:rFonts w:cs="Arial"/>
              </w:rPr>
              <w:t>32</w:t>
            </w:r>
          </w:p>
        </w:tc>
        <w:tc>
          <w:tcPr>
            <w:tcW w:w="1271" w:type="dxa"/>
            <w:hideMark/>
          </w:tcPr>
          <w:p w14:paraId="64979447" w14:textId="77777777" w:rsidR="00E36175" w:rsidRPr="00F96F12" w:rsidRDefault="002E0D92" w:rsidP="002E0D92">
            <w:pPr>
              <w:jc w:val="right"/>
              <w:rPr>
                <w:rFonts w:cs="Arial"/>
              </w:rPr>
            </w:pPr>
            <w:r w:rsidRPr="00F96F12">
              <w:rPr>
                <w:rFonts w:cs="Arial"/>
              </w:rPr>
              <w:t>1.52%</w:t>
            </w:r>
          </w:p>
        </w:tc>
        <w:tc>
          <w:tcPr>
            <w:tcW w:w="1070" w:type="dxa"/>
            <w:hideMark/>
          </w:tcPr>
          <w:p w14:paraId="26204156" w14:textId="77777777" w:rsidR="00E36175" w:rsidRPr="00F96F12" w:rsidRDefault="002E0D92" w:rsidP="002E0D92">
            <w:pPr>
              <w:jc w:val="right"/>
              <w:rPr>
                <w:rFonts w:cs="Arial"/>
              </w:rPr>
            </w:pPr>
            <w:r w:rsidRPr="00F96F12">
              <w:rPr>
                <w:rFonts w:cs="Arial"/>
              </w:rPr>
              <w:t>-</w:t>
            </w:r>
          </w:p>
        </w:tc>
        <w:tc>
          <w:tcPr>
            <w:tcW w:w="1320" w:type="dxa"/>
            <w:hideMark/>
          </w:tcPr>
          <w:p w14:paraId="3E77360B" w14:textId="77777777" w:rsidR="00E36175" w:rsidRPr="00F96F12" w:rsidRDefault="002E0D92" w:rsidP="002E0D92">
            <w:pPr>
              <w:jc w:val="right"/>
              <w:rPr>
                <w:rFonts w:cs="Arial"/>
              </w:rPr>
            </w:pPr>
            <w:r w:rsidRPr="00F96F12">
              <w:rPr>
                <w:rFonts w:cs="Arial"/>
              </w:rPr>
              <w:t>-</w:t>
            </w:r>
          </w:p>
        </w:tc>
        <w:tc>
          <w:tcPr>
            <w:tcW w:w="1070" w:type="dxa"/>
            <w:hideMark/>
          </w:tcPr>
          <w:p w14:paraId="7E610781" w14:textId="77777777" w:rsidR="00E36175" w:rsidRPr="00F96F12" w:rsidRDefault="002E0D92" w:rsidP="002E0D92">
            <w:pPr>
              <w:jc w:val="right"/>
              <w:rPr>
                <w:rFonts w:cs="Arial"/>
              </w:rPr>
            </w:pPr>
            <w:r w:rsidRPr="00F96F12">
              <w:rPr>
                <w:rFonts w:cs="Arial"/>
              </w:rPr>
              <w:t>158</w:t>
            </w:r>
          </w:p>
        </w:tc>
        <w:tc>
          <w:tcPr>
            <w:tcW w:w="1725" w:type="dxa"/>
            <w:hideMark/>
          </w:tcPr>
          <w:p w14:paraId="6B69D2F3" w14:textId="77777777" w:rsidR="00E36175" w:rsidRPr="00F96F12" w:rsidRDefault="002E0D92" w:rsidP="002E0D92">
            <w:pPr>
              <w:jc w:val="right"/>
              <w:rPr>
                <w:rFonts w:cs="Arial"/>
              </w:rPr>
            </w:pPr>
            <w:r w:rsidRPr="00F96F12">
              <w:rPr>
                <w:rFonts w:cs="Arial"/>
              </w:rPr>
              <w:t>2.95%</w:t>
            </w:r>
          </w:p>
        </w:tc>
      </w:tr>
      <w:tr w:rsidR="008E6DBE" w:rsidRPr="00F96F12" w14:paraId="5389E0EC" w14:textId="77777777" w:rsidTr="008E6DBE">
        <w:trPr>
          <w:trHeight w:val="300"/>
          <w:jc w:val="center"/>
        </w:trPr>
        <w:tc>
          <w:tcPr>
            <w:tcW w:w="778" w:type="dxa"/>
            <w:hideMark/>
          </w:tcPr>
          <w:p w14:paraId="75EEA46D" w14:textId="77777777" w:rsidR="00E36175" w:rsidRPr="00F96F12" w:rsidRDefault="002E0D92" w:rsidP="002E0D92">
            <w:pPr>
              <w:jc w:val="center"/>
              <w:rPr>
                <w:rFonts w:cs="Arial"/>
              </w:rPr>
            </w:pPr>
            <w:r w:rsidRPr="00F96F12">
              <w:rPr>
                <w:rFonts w:cs="Arial"/>
              </w:rPr>
              <w:t>9</w:t>
            </w:r>
          </w:p>
        </w:tc>
        <w:tc>
          <w:tcPr>
            <w:tcW w:w="1070" w:type="dxa"/>
            <w:hideMark/>
          </w:tcPr>
          <w:p w14:paraId="5F26F051" w14:textId="77777777" w:rsidR="00E36175" w:rsidRPr="00F96F12" w:rsidRDefault="002E0D92" w:rsidP="002E0D92">
            <w:pPr>
              <w:jc w:val="right"/>
              <w:rPr>
                <w:rFonts w:cs="Arial"/>
              </w:rPr>
            </w:pPr>
            <w:r w:rsidRPr="00F96F12">
              <w:rPr>
                <w:rFonts w:cs="Arial"/>
              </w:rPr>
              <w:t>37</w:t>
            </w:r>
          </w:p>
        </w:tc>
        <w:tc>
          <w:tcPr>
            <w:tcW w:w="1271" w:type="dxa"/>
            <w:hideMark/>
          </w:tcPr>
          <w:p w14:paraId="73DE440A" w14:textId="77777777" w:rsidR="00E36175" w:rsidRPr="00F96F12" w:rsidRDefault="002E0D92" w:rsidP="002E0D92">
            <w:pPr>
              <w:jc w:val="right"/>
              <w:rPr>
                <w:rFonts w:cs="Arial"/>
              </w:rPr>
            </w:pPr>
            <w:r w:rsidRPr="00F96F12">
              <w:rPr>
                <w:rFonts w:cs="Arial"/>
              </w:rPr>
              <w:t>1.76%</w:t>
            </w:r>
          </w:p>
        </w:tc>
        <w:tc>
          <w:tcPr>
            <w:tcW w:w="1070" w:type="dxa"/>
            <w:hideMark/>
          </w:tcPr>
          <w:p w14:paraId="30E53410" w14:textId="77777777" w:rsidR="00E36175" w:rsidRPr="00F96F12" w:rsidRDefault="002E0D92" w:rsidP="002E0D92">
            <w:pPr>
              <w:jc w:val="right"/>
              <w:rPr>
                <w:rFonts w:cs="Arial"/>
              </w:rPr>
            </w:pPr>
            <w:r w:rsidRPr="00F96F12">
              <w:rPr>
                <w:rFonts w:cs="Arial"/>
              </w:rPr>
              <w:t>-</w:t>
            </w:r>
          </w:p>
        </w:tc>
        <w:tc>
          <w:tcPr>
            <w:tcW w:w="1320" w:type="dxa"/>
            <w:hideMark/>
          </w:tcPr>
          <w:p w14:paraId="640B0A2D" w14:textId="77777777" w:rsidR="00E36175" w:rsidRPr="00F96F12" w:rsidRDefault="002E0D92" w:rsidP="002E0D92">
            <w:pPr>
              <w:jc w:val="right"/>
              <w:rPr>
                <w:rFonts w:cs="Arial"/>
              </w:rPr>
            </w:pPr>
            <w:r w:rsidRPr="00F96F12">
              <w:rPr>
                <w:rFonts w:cs="Arial"/>
              </w:rPr>
              <w:t>-</w:t>
            </w:r>
          </w:p>
        </w:tc>
        <w:tc>
          <w:tcPr>
            <w:tcW w:w="1070" w:type="dxa"/>
            <w:hideMark/>
          </w:tcPr>
          <w:p w14:paraId="16923B50" w14:textId="77777777" w:rsidR="00E36175" w:rsidRPr="00F96F12" w:rsidRDefault="002E0D92" w:rsidP="002E0D92">
            <w:pPr>
              <w:jc w:val="right"/>
              <w:rPr>
                <w:rFonts w:cs="Arial"/>
              </w:rPr>
            </w:pPr>
            <w:r w:rsidRPr="00F96F12">
              <w:rPr>
                <w:rFonts w:cs="Arial"/>
              </w:rPr>
              <w:t>140</w:t>
            </w:r>
          </w:p>
        </w:tc>
        <w:tc>
          <w:tcPr>
            <w:tcW w:w="1725" w:type="dxa"/>
            <w:hideMark/>
          </w:tcPr>
          <w:p w14:paraId="02FA332C" w14:textId="77777777" w:rsidR="00E36175" w:rsidRPr="00F96F12" w:rsidRDefault="002E0D92" w:rsidP="002E0D92">
            <w:pPr>
              <w:jc w:val="right"/>
              <w:rPr>
                <w:rFonts w:cs="Arial"/>
              </w:rPr>
            </w:pPr>
            <w:r w:rsidRPr="00F96F12">
              <w:rPr>
                <w:rFonts w:cs="Arial"/>
              </w:rPr>
              <w:t>2.62%</w:t>
            </w:r>
          </w:p>
        </w:tc>
      </w:tr>
      <w:tr w:rsidR="008E6DBE" w:rsidRPr="00F96F12" w14:paraId="76A3A203" w14:textId="77777777" w:rsidTr="008E6DBE">
        <w:trPr>
          <w:trHeight w:val="300"/>
          <w:jc w:val="center"/>
        </w:trPr>
        <w:tc>
          <w:tcPr>
            <w:tcW w:w="778" w:type="dxa"/>
            <w:hideMark/>
          </w:tcPr>
          <w:p w14:paraId="6B869194" w14:textId="77777777" w:rsidR="00E36175" w:rsidRPr="00F96F12" w:rsidRDefault="002E0D92" w:rsidP="002E0D92">
            <w:pPr>
              <w:jc w:val="center"/>
              <w:rPr>
                <w:rFonts w:cs="Arial"/>
              </w:rPr>
            </w:pPr>
            <w:r w:rsidRPr="00F96F12">
              <w:rPr>
                <w:rFonts w:cs="Arial"/>
              </w:rPr>
              <w:t>10</w:t>
            </w:r>
          </w:p>
        </w:tc>
        <w:tc>
          <w:tcPr>
            <w:tcW w:w="1070" w:type="dxa"/>
            <w:hideMark/>
          </w:tcPr>
          <w:p w14:paraId="248BD56D" w14:textId="77777777" w:rsidR="00E36175" w:rsidRPr="00F96F12" w:rsidRDefault="002E0D92" w:rsidP="002E0D92">
            <w:pPr>
              <w:jc w:val="right"/>
              <w:rPr>
                <w:rFonts w:cs="Arial"/>
              </w:rPr>
            </w:pPr>
            <w:r w:rsidRPr="00F96F12">
              <w:rPr>
                <w:rFonts w:cs="Arial"/>
              </w:rPr>
              <w:t>54</w:t>
            </w:r>
          </w:p>
        </w:tc>
        <w:tc>
          <w:tcPr>
            <w:tcW w:w="1271" w:type="dxa"/>
            <w:hideMark/>
          </w:tcPr>
          <w:p w14:paraId="2387776A" w14:textId="77777777" w:rsidR="00E36175" w:rsidRPr="00F96F12" w:rsidRDefault="002E0D92" w:rsidP="002E0D92">
            <w:pPr>
              <w:jc w:val="right"/>
              <w:rPr>
                <w:rFonts w:cs="Arial"/>
              </w:rPr>
            </w:pPr>
            <w:r w:rsidRPr="00F96F12">
              <w:rPr>
                <w:rFonts w:cs="Arial"/>
              </w:rPr>
              <w:t>2.57%</w:t>
            </w:r>
          </w:p>
        </w:tc>
        <w:tc>
          <w:tcPr>
            <w:tcW w:w="1070" w:type="dxa"/>
            <w:hideMark/>
          </w:tcPr>
          <w:p w14:paraId="1EFCD58E" w14:textId="77777777" w:rsidR="00E36175" w:rsidRPr="00F96F12" w:rsidRDefault="002E0D92" w:rsidP="002E0D92">
            <w:pPr>
              <w:jc w:val="right"/>
              <w:rPr>
                <w:rFonts w:cs="Arial"/>
              </w:rPr>
            </w:pPr>
            <w:r w:rsidRPr="00F96F12">
              <w:rPr>
                <w:rFonts w:cs="Arial"/>
              </w:rPr>
              <w:t>-</w:t>
            </w:r>
          </w:p>
        </w:tc>
        <w:tc>
          <w:tcPr>
            <w:tcW w:w="1320" w:type="dxa"/>
            <w:hideMark/>
          </w:tcPr>
          <w:p w14:paraId="64997D54" w14:textId="77777777" w:rsidR="00E36175" w:rsidRPr="00F96F12" w:rsidRDefault="002E0D92" w:rsidP="002E0D92">
            <w:pPr>
              <w:jc w:val="right"/>
              <w:rPr>
                <w:rFonts w:cs="Arial"/>
              </w:rPr>
            </w:pPr>
            <w:r w:rsidRPr="00F96F12">
              <w:rPr>
                <w:rFonts w:cs="Arial"/>
              </w:rPr>
              <w:t>-</w:t>
            </w:r>
          </w:p>
        </w:tc>
        <w:tc>
          <w:tcPr>
            <w:tcW w:w="1070" w:type="dxa"/>
            <w:hideMark/>
          </w:tcPr>
          <w:p w14:paraId="6F69EA10" w14:textId="77777777" w:rsidR="00E36175" w:rsidRPr="00F96F12" w:rsidRDefault="002E0D92" w:rsidP="002E0D92">
            <w:pPr>
              <w:jc w:val="right"/>
              <w:rPr>
                <w:rFonts w:cs="Arial"/>
              </w:rPr>
            </w:pPr>
            <w:r w:rsidRPr="00F96F12">
              <w:rPr>
                <w:rFonts w:cs="Arial"/>
              </w:rPr>
              <w:t>236</w:t>
            </w:r>
          </w:p>
        </w:tc>
        <w:tc>
          <w:tcPr>
            <w:tcW w:w="1725" w:type="dxa"/>
            <w:hideMark/>
          </w:tcPr>
          <w:p w14:paraId="4D454CE4" w14:textId="77777777" w:rsidR="00E36175" w:rsidRPr="00F96F12" w:rsidRDefault="002E0D92" w:rsidP="002E0D92">
            <w:pPr>
              <w:jc w:val="right"/>
              <w:rPr>
                <w:rFonts w:cs="Arial"/>
              </w:rPr>
            </w:pPr>
            <w:r w:rsidRPr="00F96F12">
              <w:rPr>
                <w:rFonts w:cs="Arial"/>
              </w:rPr>
              <w:t>4.41%</w:t>
            </w:r>
          </w:p>
        </w:tc>
      </w:tr>
      <w:tr w:rsidR="008E6DBE" w:rsidRPr="00F96F12" w14:paraId="29E48EBD" w14:textId="77777777" w:rsidTr="008E6DBE">
        <w:trPr>
          <w:trHeight w:val="300"/>
          <w:jc w:val="center"/>
        </w:trPr>
        <w:tc>
          <w:tcPr>
            <w:tcW w:w="778" w:type="dxa"/>
            <w:hideMark/>
          </w:tcPr>
          <w:p w14:paraId="7E8B4F76" w14:textId="77777777" w:rsidR="00E36175" w:rsidRPr="00F96F12" w:rsidRDefault="002E0D92" w:rsidP="002E0D92">
            <w:pPr>
              <w:jc w:val="center"/>
              <w:rPr>
                <w:rFonts w:cs="Arial"/>
              </w:rPr>
            </w:pPr>
            <w:r w:rsidRPr="00F96F12">
              <w:rPr>
                <w:rFonts w:cs="Arial"/>
              </w:rPr>
              <w:t>11</w:t>
            </w:r>
          </w:p>
        </w:tc>
        <w:tc>
          <w:tcPr>
            <w:tcW w:w="1070" w:type="dxa"/>
            <w:hideMark/>
          </w:tcPr>
          <w:p w14:paraId="4174642B" w14:textId="77777777" w:rsidR="00E36175" w:rsidRPr="00F96F12" w:rsidRDefault="002E0D92" w:rsidP="002E0D92">
            <w:pPr>
              <w:jc w:val="right"/>
              <w:rPr>
                <w:rFonts w:cs="Arial"/>
              </w:rPr>
            </w:pPr>
            <w:r w:rsidRPr="00F96F12">
              <w:rPr>
                <w:rFonts w:cs="Arial"/>
              </w:rPr>
              <w:t>103</w:t>
            </w:r>
          </w:p>
        </w:tc>
        <w:tc>
          <w:tcPr>
            <w:tcW w:w="1271" w:type="dxa"/>
            <w:hideMark/>
          </w:tcPr>
          <w:p w14:paraId="29339AAB" w14:textId="77777777" w:rsidR="00E36175" w:rsidRPr="00F96F12" w:rsidRDefault="002E0D92" w:rsidP="002E0D92">
            <w:pPr>
              <w:jc w:val="right"/>
              <w:rPr>
                <w:rFonts w:cs="Arial"/>
              </w:rPr>
            </w:pPr>
            <w:r w:rsidRPr="00F96F12">
              <w:rPr>
                <w:rFonts w:cs="Arial"/>
              </w:rPr>
              <w:t>4.90%</w:t>
            </w:r>
          </w:p>
        </w:tc>
        <w:tc>
          <w:tcPr>
            <w:tcW w:w="1070" w:type="dxa"/>
            <w:hideMark/>
          </w:tcPr>
          <w:p w14:paraId="3BC14BD1" w14:textId="77777777" w:rsidR="00E36175" w:rsidRPr="00F96F12" w:rsidRDefault="002E0D92" w:rsidP="002E0D92">
            <w:pPr>
              <w:jc w:val="right"/>
              <w:rPr>
                <w:rFonts w:cs="Arial"/>
              </w:rPr>
            </w:pPr>
            <w:r w:rsidRPr="00F96F12">
              <w:rPr>
                <w:rFonts w:cs="Arial"/>
              </w:rPr>
              <w:t>-</w:t>
            </w:r>
          </w:p>
        </w:tc>
        <w:tc>
          <w:tcPr>
            <w:tcW w:w="1320" w:type="dxa"/>
            <w:hideMark/>
          </w:tcPr>
          <w:p w14:paraId="01866586" w14:textId="77777777" w:rsidR="00E36175" w:rsidRPr="00F96F12" w:rsidRDefault="002E0D92" w:rsidP="002E0D92">
            <w:pPr>
              <w:jc w:val="right"/>
              <w:rPr>
                <w:rFonts w:cs="Arial"/>
              </w:rPr>
            </w:pPr>
            <w:r w:rsidRPr="00F96F12">
              <w:rPr>
                <w:rFonts w:cs="Arial"/>
              </w:rPr>
              <w:t>-</w:t>
            </w:r>
          </w:p>
        </w:tc>
        <w:tc>
          <w:tcPr>
            <w:tcW w:w="1070" w:type="dxa"/>
            <w:hideMark/>
          </w:tcPr>
          <w:p w14:paraId="1BF17BEE" w14:textId="77777777" w:rsidR="00E36175" w:rsidRPr="00F96F12" w:rsidRDefault="002E0D92" w:rsidP="002E0D92">
            <w:pPr>
              <w:jc w:val="right"/>
              <w:rPr>
                <w:rFonts w:cs="Arial"/>
              </w:rPr>
            </w:pPr>
            <w:r w:rsidRPr="00F96F12">
              <w:rPr>
                <w:rFonts w:cs="Arial"/>
              </w:rPr>
              <w:t>311</w:t>
            </w:r>
          </w:p>
        </w:tc>
        <w:tc>
          <w:tcPr>
            <w:tcW w:w="1725" w:type="dxa"/>
            <w:hideMark/>
          </w:tcPr>
          <w:p w14:paraId="1A2C206C" w14:textId="77777777" w:rsidR="00E36175" w:rsidRPr="00F96F12" w:rsidRDefault="002E0D92" w:rsidP="002E0D92">
            <w:pPr>
              <w:jc w:val="right"/>
              <w:rPr>
                <w:rFonts w:cs="Arial"/>
              </w:rPr>
            </w:pPr>
            <w:r w:rsidRPr="00F96F12">
              <w:rPr>
                <w:rFonts w:cs="Arial"/>
              </w:rPr>
              <w:t>5.81%</w:t>
            </w:r>
          </w:p>
        </w:tc>
      </w:tr>
      <w:tr w:rsidR="008E6DBE" w:rsidRPr="00F96F12" w14:paraId="325B79FC" w14:textId="77777777" w:rsidTr="008E6DBE">
        <w:trPr>
          <w:trHeight w:val="300"/>
          <w:jc w:val="center"/>
        </w:trPr>
        <w:tc>
          <w:tcPr>
            <w:tcW w:w="778" w:type="dxa"/>
            <w:hideMark/>
          </w:tcPr>
          <w:p w14:paraId="4044AD08" w14:textId="77777777" w:rsidR="00E36175" w:rsidRPr="00F96F12" w:rsidRDefault="002E0D92" w:rsidP="002E0D92">
            <w:pPr>
              <w:jc w:val="center"/>
              <w:rPr>
                <w:rFonts w:cs="Arial"/>
              </w:rPr>
            </w:pPr>
            <w:r w:rsidRPr="00F96F12">
              <w:rPr>
                <w:rFonts w:cs="Arial"/>
              </w:rPr>
              <w:t>Total</w:t>
            </w:r>
          </w:p>
        </w:tc>
        <w:tc>
          <w:tcPr>
            <w:tcW w:w="1070" w:type="dxa"/>
            <w:hideMark/>
          </w:tcPr>
          <w:p w14:paraId="25AEEF3A" w14:textId="77777777" w:rsidR="00E36175" w:rsidRPr="00F96F12" w:rsidRDefault="002E0D92" w:rsidP="002E0D92">
            <w:pPr>
              <w:jc w:val="right"/>
              <w:rPr>
                <w:rFonts w:cs="Arial"/>
              </w:rPr>
            </w:pPr>
            <w:r w:rsidRPr="00F96F12">
              <w:rPr>
                <w:rFonts w:cs="Arial"/>
              </w:rPr>
              <w:t>2,102</w:t>
            </w:r>
          </w:p>
        </w:tc>
        <w:tc>
          <w:tcPr>
            <w:tcW w:w="1271" w:type="dxa"/>
            <w:hideMark/>
          </w:tcPr>
          <w:p w14:paraId="431C41A9" w14:textId="77777777" w:rsidR="00E36175" w:rsidRPr="00F96F12" w:rsidRDefault="002E0D92" w:rsidP="002E0D92">
            <w:pPr>
              <w:jc w:val="right"/>
              <w:rPr>
                <w:rFonts w:cs="Arial"/>
              </w:rPr>
            </w:pPr>
            <w:r w:rsidRPr="00F96F12">
              <w:rPr>
                <w:rFonts w:cs="Arial"/>
              </w:rPr>
              <w:t>100.00%</w:t>
            </w:r>
          </w:p>
        </w:tc>
        <w:tc>
          <w:tcPr>
            <w:tcW w:w="1070" w:type="dxa"/>
            <w:hideMark/>
          </w:tcPr>
          <w:p w14:paraId="2E0FD613" w14:textId="77777777" w:rsidR="00E36175" w:rsidRPr="00F96F12" w:rsidRDefault="002E0D92" w:rsidP="002E0D92">
            <w:pPr>
              <w:jc w:val="right"/>
              <w:rPr>
                <w:rFonts w:cs="Arial"/>
              </w:rPr>
            </w:pPr>
            <w:r w:rsidRPr="00F96F12">
              <w:rPr>
                <w:rFonts w:cs="Arial"/>
              </w:rPr>
              <w:t>2556</w:t>
            </w:r>
          </w:p>
        </w:tc>
        <w:tc>
          <w:tcPr>
            <w:tcW w:w="1320" w:type="dxa"/>
            <w:hideMark/>
          </w:tcPr>
          <w:p w14:paraId="30945D09" w14:textId="77777777" w:rsidR="00E36175" w:rsidRPr="00F96F12" w:rsidRDefault="002E0D92" w:rsidP="002E0D92">
            <w:pPr>
              <w:jc w:val="right"/>
              <w:rPr>
                <w:rFonts w:cs="Arial"/>
              </w:rPr>
            </w:pPr>
            <w:r w:rsidRPr="00F96F12">
              <w:rPr>
                <w:rFonts w:cs="Arial"/>
              </w:rPr>
              <w:t>100.00%</w:t>
            </w:r>
          </w:p>
        </w:tc>
        <w:tc>
          <w:tcPr>
            <w:tcW w:w="1070" w:type="dxa"/>
            <w:hideMark/>
          </w:tcPr>
          <w:p w14:paraId="46C1FCB5" w14:textId="77777777" w:rsidR="00E36175" w:rsidRPr="00F96F12" w:rsidRDefault="002E0D92" w:rsidP="002E0D92">
            <w:pPr>
              <w:jc w:val="right"/>
              <w:rPr>
                <w:rFonts w:cs="Arial"/>
              </w:rPr>
            </w:pPr>
            <w:r w:rsidRPr="00F96F12">
              <w:rPr>
                <w:rFonts w:cs="Arial"/>
              </w:rPr>
              <w:t>5,353</w:t>
            </w:r>
          </w:p>
        </w:tc>
        <w:tc>
          <w:tcPr>
            <w:tcW w:w="1725" w:type="dxa"/>
            <w:hideMark/>
          </w:tcPr>
          <w:p w14:paraId="1B088ED0" w14:textId="77777777" w:rsidR="00E36175" w:rsidRPr="00F96F12" w:rsidRDefault="002E0D92" w:rsidP="002E0D92">
            <w:pPr>
              <w:jc w:val="right"/>
              <w:rPr>
                <w:rFonts w:cs="Arial"/>
              </w:rPr>
            </w:pPr>
            <w:r w:rsidRPr="00F96F12">
              <w:rPr>
                <w:rFonts w:cs="Arial"/>
              </w:rPr>
              <w:t>100.00%</w:t>
            </w:r>
          </w:p>
        </w:tc>
      </w:tr>
    </w:tbl>
    <w:p w14:paraId="344601AF" w14:textId="77777777" w:rsidR="00E36175" w:rsidRDefault="00E36175" w:rsidP="008E6DBE">
      <w:pPr>
        <w:spacing w:line="480" w:lineRule="auto"/>
      </w:pPr>
    </w:p>
    <w:p w14:paraId="0C9D88AD" w14:textId="25C54A87" w:rsidR="008007E8" w:rsidRDefault="008007E8" w:rsidP="008007E8">
      <w:pPr>
        <w:pStyle w:val="Heading3"/>
      </w:pPr>
      <w:bookmarkStart w:id="91" w:name="_Toc296333741"/>
      <w:r w:rsidRPr="008007E8">
        <w:t>Human proteins in 11 fecal proteomes</w:t>
      </w:r>
      <w:bookmarkEnd w:id="91"/>
    </w:p>
    <w:p w14:paraId="2D73105A" w14:textId="375AE01F" w:rsidR="00F96F12" w:rsidRDefault="00F96F12" w:rsidP="00F96F12">
      <w:pPr>
        <w:spacing w:line="480" w:lineRule="auto"/>
      </w:pPr>
      <w:r>
        <w:t xml:space="preserve">Even though many of human fecal proteins are low abundant and unshared, about one hundred proteins were repeatedly and abundantly identified in 11 healthy volunteers </w:t>
      </w:r>
      <w:r>
        <w:rPr>
          <w:color w:val="FF0000"/>
        </w:rPr>
        <w:t>(Table 14</w:t>
      </w:r>
      <w:r w:rsidRPr="001B2264">
        <w:rPr>
          <w:color w:val="FF0000"/>
        </w:rPr>
        <w:t>)</w:t>
      </w:r>
      <w:r>
        <w:t xml:space="preserve">.  Many of these high-spectral-count proteins are </w:t>
      </w:r>
      <w:r>
        <w:lastRenderedPageBreak/>
        <w:t xml:space="preserve">related to digestion, such as chymotrypsin like elastases (CELA3A and CELA3B), alpha-amylases (AMY1A, 1B, 1C and 2A), trypsins (PRSS1 and PRSS2) and </w:t>
      </w:r>
      <w:r w:rsidRPr="00394BFA">
        <w:t>chymotrypsinogen B</w:t>
      </w:r>
      <w:r>
        <w:t xml:space="preserve"> (CTRB1 and CTRB2) </w:t>
      </w:r>
      <w:r w:rsidR="006F415D">
        <w:rPr>
          <w:color w:val="FF0000"/>
        </w:rPr>
        <w:t>(Table 15</w:t>
      </w:r>
      <w:r w:rsidRPr="00D67A09">
        <w:rPr>
          <w:color w:val="FF0000"/>
        </w:rPr>
        <w:t>)</w:t>
      </w:r>
      <w:r>
        <w:t xml:space="preserve">.  Also, immune response related proteins are frequently spotted such as, IgG Fc binding protein, DBMT1 that is related to innate immunity </w:t>
      </w:r>
      <w:r>
        <w:fldChar w:fldCharType="begin"/>
      </w:r>
      <w:r w:rsidR="00913405">
        <w:instrText xml:space="preserve"> ADDIN EN.CITE &lt;EndNote&gt;&lt;Cite&gt;&lt;Author&gt;Madsen&lt;/Author&gt;&lt;Year&gt;2010&lt;/Year&gt;&lt;RecNum&gt;158&lt;/RecNum&gt;&lt;DisplayText&gt;[126,127]&lt;/DisplayText&gt;&lt;record&gt;&lt;rec-number&gt;158&lt;/rec-number&gt;&lt;foreign-keys&gt;&lt;key app="EN" db-id="efx2002d5f0z21etvw3x9zp7tw2axpa2eez0" timestamp="1434509735"&gt;158&lt;/key&gt;&lt;/foreign-keys&gt;&lt;ref-type name="Journal Article"&gt;17&lt;/ref-type&gt;&lt;contributors&gt;&lt;authors&gt;&lt;author&gt;Madsen, Jens&lt;/author&gt;&lt;author&gt;Mollenhauer, Jan&lt;/author&gt;&lt;author&gt;Holmskov, Uffe&lt;/author&gt;&lt;/authors&gt;&lt;/contributors&gt;&lt;titles&gt;&lt;title&gt;Review: Gp-340/DMBT1 in mucosal innate immunity&lt;/title&gt;&lt;secondary-title&gt;Innate immunity&lt;/secondary-title&gt;&lt;/titles&gt;&lt;periodical&gt;&lt;full-title&gt;Innate immunity&lt;/full-title&gt;&lt;/periodical&gt;&lt;pages&gt;160-167&lt;/pages&gt;&lt;volume&gt;16&lt;/volume&gt;&lt;number&gt;3&lt;/number&gt;&lt;dates&gt;&lt;year&gt;2010&lt;/year&gt;&lt;/dates&gt;&lt;isbn&gt;1753-4259&lt;/isbn&gt;&lt;urls&gt;&lt;/urls&gt;&lt;/record&gt;&lt;/Cite&gt;&lt;Cite&gt;&lt;Author&gt;Verberkmoes&lt;/Author&gt;&lt;Year&gt;2008&lt;/Year&gt;&lt;RecNum&gt;17&lt;/RecNum&gt;&lt;record&gt;&lt;rec-number&gt;17&lt;/rec-number&gt;&lt;foreign-keys&gt;&lt;key app="EN" db-id="dv5rxf0vx9xt01epsfuxx0p5292ff2dt9p0r" timestamp="1406139564"&gt;17&lt;/key&gt;&lt;/foreign-keys&gt;&lt;ref-type name="Journal Article"&gt;17&lt;/ref-type&gt;&lt;contributors&gt;&lt;authors&gt;&lt;author&gt;Verberkmoes, Nathan C&lt;/author&gt;&lt;author&gt;Russell, Alison L&lt;/author&gt;&lt;author&gt;Shah, Manesh&lt;/author&gt;&lt;author&gt;Godzik, Adam&lt;/author&gt;&lt;author&gt;Rosenquist, Magnus&lt;/author&gt;&lt;author&gt;Halfvarson, Jonas&lt;/author&gt;&lt;author&gt;Lefsrud, Mark G&lt;/author&gt;&lt;author&gt;Apajalahti, Juha&lt;/author&gt;&lt;author&gt;Tysk, Curt&lt;/author&gt;&lt;author&gt;Hettich, Robert L&lt;/author&gt;&lt;/authors&gt;&lt;/contributors&gt;&lt;titles&gt;&lt;title&gt;Shotgun metaproteomics of the human distal gut microbiota&lt;/title&gt;&lt;secondary-title&gt;The ISME journal&lt;/secondary-title&gt;&lt;/titles&gt;&lt;periodical&gt;&lt;full-title&gt;The ISME journal&lt;/full-title&gt;&lt;/periodical&gt;&lt;pages&gt;179-189&lt;/pages&gt;&lt;volume&gt;3&lt;/volume&gt;&lt;number&gt;2&lt;/number&gt;&lt;dates&gt;&lt;year&gt;2008&lt;/year&gt;&lt;/dates&gt;&lt;isbn&gt;1751-7362&lt;/isbn&gt;&lt;urls&gt;&lt;/urls&gt;&lt;/record&gt;&lt;/Cite&gt;&lt;/EndNote&gt;</w:instrText>
      </w:r>
      <w:r>
        <w:fldChar w:fldCharType="separate"/>
      </w:r>
      <w:r w:rsidR="00913405">
        <w:rPr>
          <w:noProof/>
        </w:rPr>
        <w:t>[126,127]</w:t>
      </w:r>
      <w:r>
        <w:fldChar w:fldCharType="end"/>
      </w:r>
      <w:r>
        <w:t xml:space="preserve">, </w:t>
      </w:r>
      <w:r w:rsidRPr="0089080F">
        <w:t>SERPINA3</w:t>
      </w:r>
      <w:r>
        <w:t xml:space="preserve"> that is related to inflammation </w:t>
      </w:r>
      <w:r>
        <w:fldChar w:fldCharType="begin"/>
      </w:r>
      <w:r w:rsidR="00913405">
        <w:instrText xml:space="preserve"> ADDIN EN.CITE &lt;EndNote&gt;&lt;Cite&gt;&lt;Author&gt;Sun&lt;/Author&gt;&lt;Year&gt;2002&lt;/Year&gt;&lt;RecNum&gt;169&lt;/RecNum&gt;&lt;DisplayText&gt;[128]&lt;/DisplayText&gt;&lt;record&gt;&lt;rec-number&gt;169&lt;/rec-number&gt;&lt;foreign-keys&gt;&lt;key app="EN" db-id="efx2002d5f0z21etvw3x9zp7tw2axpa2eez0" timestamp="1434509735"&gt;169&lt;/key&gt;&lt;/foreign-keys&gt;&lt;ref-type name="Journal Article"&gt;17&lt;/ref-type&gt;&lt;contributors&gt;&lt;authors&gt;&lt;author&gt;Sun, YX&lt;/author&gt;&lt;author&gt;Wright, HT&lt;/author&gt;&lt;author&gt;Janciauskiene, Sabina&lt;/author&gt;&lt;/authors&gt;&lt;/contributors&gt;&lt;titles&gt;&lt;title&gt;Glioma cell activation by Alzheimer&amp;apos;s peptide A</w:instrText>
      </w:r>
      <w:r w:rsidR="00913405">
        <w:rPr>
          <w:rFonts w:hint="eastAsia"/>
        </w:rPr>
        <w:instrText>β</w:instrText>
      </w:r>
      <w:r w:rsidR="00913405">
        <w:instrText xml:space="preserve"> 1–42, </w:instrText>
      </w:r>
      <w:r w:rsidR="00913405">
        <w:rPr>
          <w:rFonts w:hint="eastAsia"/>
        </w:rPr>
        <w:instrText>α</w:instrText>
      </w:r>
      <w:r w:rsidR="00913405">
        <w:instrText xml:space="preserve"> 1-antichymotrypsin, and their mixture&lt;/title&gt;&lt;secondary-title&gt;Cellular and Molecular Life Sciences CMLS&lt;/secondary-title&gt;&lt;/titles&gt;&lt;periodical&gt;&lt;full-title&gt;Cellular and Molecular Life Sciences CMLS&lt;/full-title&gt;&lt;/periodical&gt;&lt;pages&gt;1734-1743&lt;/pages&gt;&lt;volume&gt;59&lt;/volume&gt;&lt;number&gt;10&lt;/number&gt;&lt;dates&gt;&lt;year&gt;2002&lt;/year&gt;&lt;/dates&gt;&lt;isbn&gt;1420-682X&lt;/isbn&gt;&lt;urls&gt;&lt;/urls&gt;&lt;/record&gt;&lt;/Cite&gt;&lt;/EndNote&gt;</w:instrText>
      </w:r>
      <w:r>
        <w:fldChar w:fldCharType="separate"/>
      </w:r>
      <w:r w:rsidR="00913405">
        <w:rPr>
          <w:noProof/>
        </w:rPr>
        <w:t>[128]</w:t>
      </w:r>
      <w:r>
        <w:fldChar w:fldCharType="end"/>
      </w:r>
      <w:r>
        <w:t xml:space="preserve"> and PIGR that is </w:t>
      </w:r>
      <w:r w:rsidRPr="00932A5C">
        <w:t xml:space="preserve">polymeric immunoglobulin receptor precursor </w:t>
      </w:r>
      <w:r w:rsidR="006F415D">
        <w:rPr>
          <w:color w:val="FF0000"/>
        </w:rPr>
        <w:t>(Table 15</w:t>
      </w:r>
      <w:r w:rsidRPr="00E06085">
        <w:rPr>
          <w:color w:val="FF0000"/>
        </w:rPr>
        <w:t>)</w:t>
      </w:r>
      <w:r>
        <w:t xml:space="preserve">.  Polyubiquitin-C (UBC) is also in top-25 list and is related to innate immunity according to Gene Ontology DB (GO) </w:t>
      </w:r>
      <w:r>
        <w:fldChar w:fldCharType="begin"/>
      </w:r>
      <w:r w:rsidR="00913405">
        <w:instrText xml:space="preserve"> ADDIN EN.CITE &lt;EndNote&gt;&lt;Cite&gt;&lt;Author&gt;Ashburner&lt;/Author&gt;&lt;Year&gt;2000&lt;/Year&gt;&lt;RecNum&gt;15&lt;/RecNum&gt;&lt;DisplayText&gt;[94]&lt;/DisplayText&gt;&lt;record&gt;&lt;rec-number&gt;15&lt;/rec-number&gt;&lt;foreign-keys&gt;&lt;key app="EN" db-id="dv5rxf0vx9xt01epsfuxx0p5292ff2dt9p0r" timestamp="1406058167"&gt;15&lt;/key&gt;&lt;/foreign-keys&gt;&lt;ref-type name="Journal Article"&gt;17&lt;/ref-type&gt;&lt;contributors&gt;&lt;authors&gt;&lt;author&gt;Ashburner, Michael&lt;/author&gt;&lt;author&gt;Ball, Catherine A&lt;/author&gt;&lt;author&gt;Blake, Judith A&lt;/author&gt;&lt;author&gt;Botstein, David&lt;/author&gt;&lt;author&gt;Butler, Heather&lt;/author&gt;&lt;author&gt;Cherry, J Michael&lt;/author&gt;&lt;author&gt;Davis, Allan P&lt;/author&gt;&lt;author&gt;Dolinski, Kara&lt;/author&gt;&lt;author&gt;Dwight, Selina S&lt;/author&gt;&lt;author&gt;Eppig, Janan T&lt;/author&gt;&lt;/authors&gt;&lt;/contributors&gt;&lt;titles&gt;&lt;title&gt;Gene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genetics&lt;/full-title&gt;&lt;/periodical&gt;&lt;pages&gt;25-29&lt;/pages&gt;&lt;volume&gt;25&lt;/volume&gt;&lt;number&gt;1&lt;/number&gt;&lt;dates&gt;&lt;year&gt;2000&lt;/year&gt;&lt;/dates&gt;&lt;urls&gt;&lt;/urls&gt;&lt;/record&gt;&lt;/Cite&gt;&lt;/EndNote&gt;</w:instrText>
      </w:r>
      <w:r>
        <w:fldChar w:fldCharType="separate"/>
      </w:r>
      <w:r w:rsidR="00913405">
        <w:rPr>
          <w:noProof/>
        </w:rPr>
        <w:t>[94]</w:t>
      </w:r>
      <w:r>
        <w:fldChar w:fldCharType="end"/>
      </w:r>
      <w:r>
        <w:t>.  Polyubiquitin B that is isoform of UBC is also discovered in all the fecal samples.  Various myosin isotypes were found in fecal proteomes, such as myosin type 1, 2, 4, 6 and 8</w:t>
      </w:r>
      <w:r w:rsidRPr="00932A5C">
        <w:t xml:space="preserve"> </w:t>
      </w:r>
      <w:r w:rsidR="006F415D">
        <w:rPr>
          <w:color w:val="FF0000"/>
        </w:rPr>
        <w:t>(Table 15</w:t>
      </w:r>
      <w:r w:rsidRPr="00E06085">
        <w:rPr>
          <w:color w:val="FF0000"/>
        </w:rPr>
        <w:t>)</w:t>
      </w:r>
      <w:r>
        <w:t xml:space="preserve">. </w:t>
      </w:r>
      <w:r>
        <w:rPr>
          <w:rFonts w:hint="eastAsia"/>
          <w:lang w:eastAsia="ko-KR"/>
        </w:rPr>
        <w:t xml:space="preserve"> </w:t>
      </w:r>
      <w:r>
        <w:rPr>
          <w:lang w:eastAsia="ko-KR"/>
        </w:rPr>
        <w:t>Interestingly, t</w:t>
      </w:r>
      <w:r w:rsidRPr="00D60DF0">
        <w:rPr>
          <w:lang w:eastAsia="ko-KR"/>
        </w:rPr>
        <w:t xml:space="preserve">ransthyretin precursor </w:t>
      </w:r>
      <w:r>
        <w:rPr>
          <w:lang w:eastAsia="ko-KR"/>
        </w:rPr>
        <w:t xml:space="preserve">(TTR) is copiously identified in 11 fecal samples. TTR is thyroid hormone-binding protein and is considered that it transports thyroxine from the bloodstream to the brain.  TTR is found in various tissues including colon muscle according to Proteomics DB </w:t>
      </w:r>
      <w:r>
        <w:fldChar w:fldCharType="begin"/>
      </w:r>
      <w:r w:rsidR="00180DA4">
        <w:instrText xml:space="preserve"> ADDIN EN.CITE &lt;EndNote&gt;&lt;Cite ExcludeAuth="1" ExcludeYear="1"&gt;&lt;Author&gt;Sharma&lt;/Author&gt;&lt;Year&gt;2012&lt;/Year&gt;&lt;RecNum&gt;16&lt;/RecNum&gt;&lt;DisplayText&gt;[17]&lt;/DisplayText&gt;&lt;record&gt;&lt;rec-number&gt;16&lt;/rec-number&gt;&lt;foreign-keys&gt;&lt;key app="EN" db-id="efx2002d5f0z21etvw3x9zp7tw2axpa2eez0" timestamp="1432912375"&gt;16&lt;/key&gt;&lt;/foreign-keys&gt;&lt;ref-type name="Journal Article"&gt;17&lt;/ref-type&gt;&lt;contributors&gt;&lt;authors&gt;&lt;author&gt;Sharma, Ritin&lt;/author&gt;&lt;author&gt;Dill, Brian D&lt;/author&gt;&lt;author&gt;Chourey, Karuna&lt;/author&gt;&lt;author&gt;Shah, Manesh&lt;/author&gt;&lt;author&gt;VerBerkmoes, Nathan C&lt;/author&gt;&lt;author&gt;Hettich, Robert L&lt;/author&gt;&lt;/authors&gt;&lt;/contributors&gt;&lt;titles&gt;&lt;title&gt;Coupling a detergent lysis/cleanup methodology with intact protein fractionation for enhanced proteome characterization&lt;/title&gt;&lt;secondary-title&gt;Journal of proteome research&lt;/secondary-title&gt;&lt;/titles&gt;&lt;periodical&gt;&lt;full-title&gt;Journal of proteome research&lt;/full-title&gt;&lt;/periodical&gt;&lt;pages&gt;6008-6018&lt;/pages&gt;&lt;volume&gt;11&lt;/volume&gt;&lt;number&gt;12&lt;/number&gt;&lt;dates&gt;&lt;year&gt;2012&lt;/year&gt;&lt;/dates&gt;&lt;isbn&gt;1535-3893&lt;/isbn&gt;&lt;urls&gt;&lt;/urls&gt;&lt;/record&gt;&lt;/Cite&gt;&lt;/EndNote&gt;</w:instrText>
      </w:r>
      <w:r>
        <w:fldChar w:fldCharType="separate"/>
      </w:r>
      <w:r w:rsidR="00913405">
        <w:rPr>
          <w:noProof/>
        </w:rPr>
        <w:t>[17]</w:t>
      </w:r>
      <w:r>
        <w:fldChar w:fldCharType="end"/>
      </w:r>
      <w:r>
        <w:t xml:space="preserve">.  </w:t>
      </w:r>
    </w:p>
    <w:p w14:paraId="5139585D" w14:textId="1F9BE19D" w:rsidR="00373BB8" w:rsidRDefault="00F96F12" w:rsidP="00820BF9">
      <w:pPr>
        <w:spacing w:line="480" w:lineRule="auto"/>
        <w:ind w:firstLine="720"/>
        <w:rPr>
          <w:lang w:eastAsia="ko-KR"/>
        </w:rPr>
      </w:pPr>
      <w:r>
        <w:rPr>
          <w:lang w:eastAsia="ko-KR"/>
        </w:rPr>
        <w:t xml:space="preserve">We searched </w:t>
      </w:r>
      <w:r w:rsidR="00E92EED">
        <w:rPr>
          <w:lang w:eastAsia="ko-KR"/>
        </w:rPr>
        <w:t xml:space="preserve">top </w:t>
      </w:r>
      <w:r>
        <w:rPr>
          <w:lang w:eastAsia="ko-KR"/>
        </w:rPr>
        <w:t>25</w:t>
      </w:r>
      <w:r w:rsidR="00E92EED">
        <w:rPr>
          <w:lang w:eastAsia="ko-KR"/>
        </w:rPr>
        <w:t xml:space="preserve"> abundant</w:t>
      </w:r>
      <w:r>
        <w:rPr>
          <w:lang w:eastAsia="ko-KR"/>
        </w:rPr>
        <w:t xml:space="preserve"> proteins of </w:t>
      </w:r>
      <w:r w:rsidRPr="001A3D8D">
        <w:rPr>
          <w:color w:val="FF0000"/>
          <w:lang w:eastAsia="ko-KR"/>
        </w:rPr>
        <w:t xml:space="preserve">table </w:t>
      </w:r>
      <w:r w:rsidR="006F415D">
        <w:rPr>
          <w:color w:val="FF0000"/>
          <w:lang w:eastAsia="ko-KR"/>
        </w:rPr>
        <w:t>15</w:t>
      </w:r>
      <w:r>
        <w:rPr>
          <w:lang w:eastAsia="ko-KR"/>
        </w:rPr>
        <w:t xml:space="preserve"> </w:t>
      </w:r>
      <w:r w:rsidR="00BB056D">
        <w:rPr>
          <w:lang w:eastAsia="ko-KR"/>
        </w:rPr>
        <w:t>using</w:t>
      </w:r>
      <w:r>
        <w:rPr>
          <w:lang w:eastAsia="ko-KR"/>
        </w:rPr>
        <w:t xml:space="preserve"> Human Proteome Map </w:t>
      </w:r>
      <w:r w:rsidRPr="001356A5">
        <w:rPr>
          <w:color w:val="FF0000"/>
          <w:lang w:eastAsia="ko-KR"/>
        </w:rPr>
        <w:t>(Fi</w:t>
      </w:r>
      <w:r>
        <w:rPr>
          <w:color w:val="FF0000"/>
          <w:lang w:eastAsia="ko-KR"/>
        </w:rPr>
        <w:t>g. 3</w:t>
      </w:r>
      <w:r w:rsidR="00101EC7">
        <w:rPr>
          <w:color w:val="FF0000"/>
          <w:lang w:eastAsia="ko-KR"/>
        </w:rPr>
        <w:t>2A</w:t>
      </w:r>
      <w:r w:rsidRPr="001356A5">
        <w:rPr>
          <w:color w:val="FF0000"/>
          <w:lang w:eastAsia="ko-KR"/>
        </w:rPr>
        <w:t>)</w:t>
      </w:r>
      <w:r>
        <w:rPr>
          <w:lang w:eastAsia="ko-KR"/>
        </w:rPr>
        <w:t xml:space="preserve"> </w:t>
      </w:r>
      <w:r>
        <w:rPr>
          <w:lang w:eastAsia="ko-KR"/>
        </w:rPr>
        <w:fldChar w:fldCharType="begin"/>
      </w:r>
      <w:r w:rsidR="00913405">
        <w:rPr>
          <w:lang w:eastAsia="ko-KR"/>
        </w:rPr>
        <w:instrText xml:space="preserve"> ADDIN EN.CITE &lt;EndNote&gt;&lt;Cite&gt;&lt;Author&gt;Kim&lt;/Author&gt;&lt;Year&gt;2014&lt;/Year&gt;&lt;RecNum&gt;187&lt;/RecNum&gt;&lt;DisplayText&gt;[129]&lt;/DisplayText&gt;&lt;record&gt;&lt;rec-number&gt;187&lt;/rec-number&gt;&lt;foreign-keys&gt;&lt;key app="EN" db-id="efx2002d5f0z21etvw3x9zp7tw2axpa2eez0" timestamp="1434509735"&gt;187&lt;/key&gt;&lt;/foreign-keys&gt;&lt;ref-type name="Journal Article"&gt;17&lt;/ref-type&gt;&lt;contributors&gt;&lt;authors&gt;&lt;author&gt;Kim, Min-Sik&lt;/author&gt;&lt;author&gt;Pinto, Sneha M&lt;/author&gt;&lt;author&gt;Getnet, Derese&lt;/author&gt;&lt;author&gt;Nirujogi, Raja Sekhar&lt;/author&gt;&lt;author&gt;Manda, Srikanth S&lt;/author&gt;&lt;author&gt;Chaerkady, Raghothama&lt;/author&gt;&lt;author&gt;Madugundu, Anil K&lt;/author&gt;&lt;author&gt;Kelkar, Dhanashree S&lt;/author&gt;&lt;author&gt;Isserlin, Ruth&lt;/author&gt;&lt;author&gt;Jain, Shobhit&lt;/author&gt;&lt;/authors&gt;&lt;/contributors&gt;&lt;titles&gt;&lt;title&gt;A draft map of the human proteome&lt;/title&gt;&lt;secondary-title&gt;Nature&lt;/secondary-title&gt;&lt;/titles&gt;&lt;periodical&gt;&lt;full-title&gt;Nature&lt;/full-title&gt;&lt;/periodical&gt;&lt;pages&gt;575-581&lt;/pages&gt;&lt;volume&gt;509&lt;/volume&gt;&lt;number&gt;7502&lt;/number&gt;&lt;dates&gt;&lt;year&gt;2014&lt;/year&gt;&lt;/dates&gt;&lt;isbn&gt;0028-0836&lt;/isbn&gt;&lt;urls&gt;&lt;/urls&gt;&lt;/record&gt;&lt;/Cite&gt;&lt;/EndNote&gt;</w:instrText>
      </w:r>
      <w:r>
        <w:rPr>
          <w:lang w:eastAsia="ko-KR"/>
        </w:rPr>
        <w:fldChar w:fldCharType="separate"/>
      </w:r>
      <w:r w:rsidR="00913405">
        <w:rPr>
          <w:noProof/>
          <w:lang w:eastAsia="ko-KR"/>
        </w:rPr>
        <w:t>[129]</w:t>
      </w:r>
      <w:r>
        <w:rPr>
          <w:lang w:eastAsia="ko-KR"/>
        </w:rPr>
        <w:fldChar w:fldCharType="end"/>
      </w:r>
      <w:r>
        <w:rPr>
          <w:lang w:eastAsia="ko-KR"/>
        </w:rPr>
        <w:t xml:space="preserve"> and Proteomics DB </w:t>
      </w:r>
      <w:r w:rsidR="00101EC7">
        <w:rPr>
          <w:color w:val="FF0000"/>
          <w:lang w:eastAsia="ko-KR"/>
        </w:rPr>
        <w:t>(Fig. 32B</w:t>
      </w:r>
      <w:r w:rsidRPr="001356A5">
        <w:rPr>
          <w:color w:val="FF0000"/>
          <w:lang w:eastAsia="ko-KR"/>
        </w:rPr>
        <w:t>)</w:t>
      </w:r>
      <w:r>
        <w:rPr>
          <w:lang w:eastAsia="ko-KR"/>
        </w:rPr>
        <w:t xml:space="preserve"> </w:t>
      </w:r>
      <w:r>
        <w:rPr>
          <w:lang w:eastAsia="ko-KR"/>
        </w:rPr>
        <w:fldChar w:fldCharType="begin"/>
      </w:r>
      <w:r w:rsidR="00180DA4">
        <w:rPr>
          <w:lang w:eastAsia="ko-KR"/>
        </w:rPr>
        <w:instrText xml:space="preserve"> ADDIN EN.CITE &lt;EndNote&gt;&lt;Cite ExcludeAuth="1" ExcludeYear="1"&gt;&lt;Author&gt;Sharma&lt;/Author&gt;&lt;Year&gt;2012&lt;/Year&gt;&lt;RecNum&gt;16&lt;/RecNum&gt;&lt;DisplayText&gt;[17]&lt;/DisplayText&gt;&lt;record&gt;&lt;rec-number&gt;16&lt;/rec-number&gt;&lt;foreign-keys&gt;&lt;key app="EN" db-id="efx2002d5f0z21etvw3x9zp7tw2axpa2eez0" timestamp="1432912375"&gt;16&lt;/key&gt;&lt;/foreign-keys&gt;&lt;ref-type name="Journal Article"&gt;17&lt;/ref-type&gt;&lt;contributors&gt;&lt;authors&gt;&lt;author&gt;Sharma, Ritin&lt;/author&gt;&lt;author&gt;Dill, Brian D&lt;/author&gt;&lt;author&gt;Chourey, Karuna&lt;/author&gt;&lt;author&gt;Shah, Manesh&lt;/author&gt;&lt;author&gt;VerBerkmoes, Nathan C&lt;/author&gt;&lt;author&gt;Hettich, Robert L&lt;/author&gt;&lt;/authors&gt;&lt;/contributors&gt;&lt;titles&gt;&lt;title&gt;Coupling a detergent lysis/cleanup methodology with intact protein fractionation for enhanced proteome characterization&lt;/title&gt;&lt;secondary-title&gt;Journal of proteome research&lt;/secondary-title&gt;&lt;/titles&gt;&lt;periodical&gt;&lt;full-title&gt;Journal of proteome research&lt;/full-title&gt;&lt;/periodical&gt;&lt;pages&gt;6008-6018&lt;/pages&gt;&lt;volume&gt;11&lt;/volume&gt;&lt;number&gt;12&lt;/number&gt;&lt;dates&gt;&lt;year&gt;2012&lt;/year&gt;&lt;/dates&gt;&lt;isbn&gt;1535-3893&lt;/isbn&gt;&lt;urls&gt;&lt;/urls&gt;&lt;/record&gt;&lt;/Cite&gt;&lt;/EndNote&gt;</w:instrText>
      </w:r>
      <w:r>
        <w:rPr>
          <w:lang w:eastAsia="ko-KR"/>
        </w:rPr>
        <w:fldChar w:fldCharType="separate"/>
      </w:r>
      <w:r w:rsidR="00913405">
        <w:rPr>
          <w:noProof/>
          <w:lang w:eastAsia="ko-KR"/>
        </w:rPr>
        <w:t>[17]</w:t>
      </w:r>
      <w:r>
        <w:rPr>
          <w:lang w:eastAsia="ko-KR"/>
        </w:rPr>
        <w:fldChar w:fldCharType="end"/>
      </w:r>
      <w:r w:rsidR="009E065D">
        <w:rPr>
          <w:lang w:eastAsia="ko-KR"/>
        </w:rPr>
        <w:t xml:space="preserve"> to know where these </w:t>
      </w:r>
      <w:r w:rsidR="00B00703">
        <w:rPr>
          <w:lang w:eastAsia="ko-KR"/>
        </w:rPr>
        <w:t>came</w:t>
      </w:r>
      <w:r>
        <w:rPr>
          <w:lang w:eastAsia="ko-KR"/>
        </w:rPr>
        <w:t xml:space="preserve"> from.  Human Proteome Map is a database that has proteins profiled from 17 adult tissues, 6 primary hematopoietic cells and 7 fetal tissues.  Proteomics DB is developed by </w:t>
      </w:r>
      <w:r w:rsidRPr="00CD1843">
        <w:rPr>
          <w:lang w:eastAsia="ko-KR"/>
        </w:rPr>
        <w:t>Technische Universität München (TUM)</w:t>
      </w:r>
      <w:r>
        <w:rPr>
          <w:lang w:eastAsia="ko-KR"/>
        </w:rPr>
        <w:t xml:space="preserve"> and dedicated to deposit and share proteomics data to the scientific community.  We compared our top-25 list to Proteomics DB through its provided analysis tool.  </w:t>
      </w:r>
    </w:p>
    <w:p w14:paraId="1224E07E" w14:textId="67715ED4" w:rsidR="00F96F12" w:rsidRDefault="00F96F12" w:rsidP="00820BF9">
      <w:pPr>
        <w:spacing w:line="480" w:lineRule="auto"/>
        <w:ind w:firstLine="720"/>
        <w:rPr>
          <w:lang w:eastAsia="ko-KR"/>
        </w:rPr>
      </w:pPr>
      <w:r>
        <w:rPr>
          <w:lang w:eastAsia="ko-KR"/>
        </w:rPr>
        <w:br w:type="page"/>
      </w:r>
    </w:p>
    <w:p w14:paraId="71B86752" w14:textId="08BA59DF" w:rsidR="006F415D" w:rsidRDefault="006F415D" w:rsidP="006F415D">
      <w:pPr>
        <w:pStyle w:val="Caption"/>
        <w:keepNext/>
      </w:pPr>
      <w:bookmarkStart w:id="92" w:name="_Toc296333087"/>
      <w:r>
        <w:lastRenderedPageBreak/>
        <w:t xml:space="preserve">Table </w:t>
      </w:r>
      <w:fldSimple w:instr=" SEQ Table \* ARABIC ">
        <w:r w:rsidR="0093776B">
          <w:rPr>
            <w:noProof/>
          </w:rPr>
          <w:t>15</w:t>
        </w:r>
      </w:fldSimple>
      <w:r w:rsidR="00174D7B">
        <w:t xml:space="preserve"> Top 25 abundant </w:t>
      </w:r>
      <w:r w:rsidR="00C97F47">
        <w:t>human proteins in 11 fecal samples.</w:t>
      </w:r>
      <w:r w:rsidR="00EB7C52">
        <w:t xml:space="preserve"> </w:t>
      </w:r>
      <w:r w:rsidR="00EB7C52" w:rsidRPr="00EB7C52">
        <w:rPr>
          <w:b w:val="0"/>
        </w:rPr>
        <w:t xml:space="preserve">* </w:t>
      </w:r>
      <w:r w:rsidR="00EB7C52">
        <w:rPr>
          <w:b w:val="0"/>
        </w:rPr>
        <w:t>means immune response related proteins.</w:t>
      </w:r>
      <w:r w:rsidR="00C42263">
        <w:rPr>
          <w:b w:val="0"/>
        </w:rPr>
        <w:t xml:space="preserve">  Frequency is identification frequency in 11 fecal samples of healthy volunteers.  Sum of SC is total count of SC from 29 MS runs.</w:t>
      </w:r>
      <w:bookmarkEnd w:id="92"/>
    </w:p>
    <w:tbl>
      <w:tblPr>
        <w:tblW w:w="8748" w:type="dxa"/>
        <w:tblLook w:val="06A0" w:firstRow="1" w:lastRow="0" w:firstColumn="1" w:lastColumn="0" w:noHBand="1" w:noVBand="1"/>
      </w:tblPr>
      <w:tblGrid>
        <w:gridCol w:w="860"/>
        <w:gridCol w:w="1720"/>
        <w:gridCol w:w="3666"/>
        <w:gridCol w:w="1351"/>
        <w:gridCol w:w="1151"/>
      </w:tblGrid>
      <w:tr w:rsidR="007D51F6" w:rsidRPr="007D51F6" w14:paraId="3CF472D4" w14:textId="77777777" w:rsidTr="007D51F6">
        <w:trPr>
          <w:trHeight w:val="622"/>
        </w:trPr>
        <w:tc>
          <w:tcPr>
            <w:tcW w:w="860" w:type="dxa"/>
            <w:hideMark/>
          </w:tcPr>
          <w:p w14:paraId="481B2706" w14:textId="77777777" w:rsidR="00757238" w:rsidRPr="007D51F6" w:rsidRDefault="007D51F6" w:rsidP="00EE6B37">
            <w:pPr>
              <w:jc w:val="center"/>
              <w:rPr>
                <w:rFonts w:cs="Arial"/>
                <w:lang w:eastAsia="ko-KR"/>
              </w:rPr>
            </w:pPr>
            <w:r w:rsidRPr="007D51F6">
              <w:rPr>
                <w:rFonts w:cs="Arial"/>
                <w:bCs/>
                <w:lang w:eastAsia="ko-KR"/>
              </w:rPr>
              <w:t>Rank</w:t>
            </w:r>
          </w:p>
        </w:tc>
        <w:tc>
          <w:tcPr>
            <w:tcW w:w="1720" w:type="dxa"/>
            <w:hideMark/>
          </w:tcPr>
          <w:p w14:paraId="54B4FEB9" w14:textId="77777777" w:rsidR="00757238" w:rsidRPr="007D51F6" w:rsidRDefault="007D51F6" w:rsidP="00EE6B37">
            <w:pPr>
              <w:jc w:val="center"/>
              <w:rPr>
                <w:rFonts w:cs="Arial"/>
                <w:lang w:eastAsia="ko-KR"/>
              </w:rPr>
            </w:pPr>
            <w:r w:rsidRPr="007D51F6">
              <w:rPr>
                <w:rFonts w:cs="Arial"/>
                <w:bCs/>
                <w:lang w:eastAsia="ko-KR"/>
              </w:rPr>
              <w:t>Gene Symbol</w:t>
            </w:r>
          </w:p>
        </w:tc>
        <w:tc>
          <w:tcPr>
            <w:tcW w:w="3667" w:type="dxa"/>
            <w:hideMark/>
          </w:tcPr>
          <w:p w14:paraId="3E9CEE7A" w14:textId="77777777" w:rsidR="00757238" w:rsidRPr="007D51F6" w:rsidRDefault="007D51F6" w:rsidP="00EE6B37">
            <w:pPr>
              <w:jc w:val="center"/>
              <w:rPr>
                <w:rFonts w:cs="Arial"/>
                <w:lang w:eastAsia="ko-KR"/>
              </w:rPr>
            </w:pPr>
            <w:r w:rsidRPr="007D51F6">
              <w:rPr>
                <w:rFonts w:cs="Arial"/>
                <w:bCs/>
                <w:lang w:eastAsia="ko-KR"/>
              </w:rPr>
              <w:t>Description</w:t>
            </w:r>
          </w:p>
        </w:tc>
        <w:tc>
          <w:tcPr>
            <w:tcW w:w="1350" w:type="dxa"/>
            <w:hideMark/>
          </w:tcPr>
          <w:p w14:paraId="25758E0C" w14:textId="77777777" w:rsidR="00757238" w:rsidRPr="007D51F6" w:rsidRDefault="007D51F6" w:rsidP="00EE6B37">
            <w:pPr>
              <w:jc w:val="center"/>
              <w:rPr>
                <w:rFonts w:cs="Arial"/>
                <w:lang w:eastAsia="ko-KR"/>
              </w:rPr>
            </w:pPr>
            <w:r w:rsidRPr="007D51F6">
              <w:rPr>
                <w:rFonts w:cs="Arial"/>
                <w:bCs/>
                <w:lang w:eastAsia="ko-KR"/>
              </w:rPr>
              <w:t>Frequency</w:t>
            </w:r>
          </w:p>
        </w:tc>
        <w:tc>
          <w:tcPr>
            <w:tcW w:w="1151" w:type="dxa"/>
            <w:hideMark/>
          </w:tcPr>
          <w:p w14:paraId="29D72007" w14:textId="77777777" w:rsidR="00757238" w:rsidRPr="007D51F6" w:rsidRDefault="007D51F6" w:rsidP="00EE6B37">
            <w:pPr>
              <w:jc w:val="center"/>
              <w:rPr>
                <w:rFonts w:cs="Arial"/>
                <w:lang w:eastAsia="ko-KR"/>
              </w:rPr>
            </w:pPr>
            <w:r w:rsidRPr="007D51F6">
              <w:rPr>
                <w:rFonts w:cs="Arial"/>
                <w:bCs/>
                <w:lang w:eastAsia="ko-KR"/>
              </w:rPr>
              <w:t>Sum of SC</w:t>
            </w:r>
          </w:p>
        </w:tc>
      </w:tr>
      <w:tr w:rsidR="007D51F6" w:rsidRPr="007D51F6" w14:paraId="27EC4965" w14:textId="77777777" w:rsidTr="007D51F6">
        <w:tc>
          <w:tcPr>
            <w:tcW w:w="860" w:type="dxa"/>
            <w:hideMark/>
          </w:tcPr>
          <w:p w14:paraId="08E5F108" w14:textId="77777777" w:rsidR="00757238" w:rsidRPr="007D51F6" w:rsidRDefault="007D51F6" w:rsidP="007D51F6">
            <w:pPr>
              <w:jc w:val="center"/>
              <w:rPr>
                <w:rFonts w:cs="Arial"/>
                <w:lang w:eastAsia="ko-KR"/>
              </w:rPr>
            </w:pPr>
            <w:r w:rsidRPr="007D51F6">
              <w:rPr>
                <w:rFonts w:cs="Arial"/>
                <w:lang w:eastAsia="ko-KR"/>
              </w:rPr>
              <w:t>1</w:t>
            </w:r>
          </w:p>
        </w:tc>
        <w:tc>
          <w:tcPr>
            <w:tcW w:w="1720" w:type="dxa"/>
            <w:hideMark/>
          </w:tcPr>
          <w:p w14:paraId="785C745A" w14:textId="77777777" w:rsidR="00757238" w:rsidRPr="007D51F6" w:rsidRDefault="007D51F6" w:rsidP="007D51F6">
            <w:pPr>
              <w:jc w:val="center"/>
              <w:rPr>
                <w:rFonts w:cs="Arial"/>
                <w:lang w:eastAsia="ko-KR"/>
              </w:rPr>
            </w:pPr>
            <w:r w:rsidRPr="007D51F6">
              <w:rPr>
                <w:rFonts w:cs="Arial"/>
                <w:lang w:eastAsia="ko-KR"/>
              </w:rPr>
              <w:t>CELA3A</w:t>
            </w:r>
          </w:p>
        </w:tc>
        <w:tc>
          <w:tcPr>
            <w:tcW w:w="3667" w:type="dxa"/>
            <w:hideMark/>
          </w:tcPr>
          <w:p w14:paraId="0DE8A698" w14:textId="0AC2FC5C" w:rsidR="00757238" w:rsidRPr="007D51F6" w:rsidRDefault="007D51F6" w:rsidP="007D51F6">
            <w:pPr>
              <w:jc w:val="left"/>
              <w:rPr>
                <w:rFonts w:cs="Arial"/>
                <w:lang w:eastAsia="ko-KR"/>
              </w:rPr>
            </w:pPr>
            <w:r>
              <w:rPr>
                <w:rFonts w:cs="Arial"/>
                <w:lang w:eastAsia="ko-KR"/>
              </w:rPr>
              <w:t>C</w:t>
            </w:r>
            <w:r w:rsidRPr="007D51F6">
              <w:rPr>
                <w:rFonts w:cs="Arial"/>
                <w:lang w:eastAsia="ko-KR"/>
              </w:rPr>
              <w:t>hymotrypsin-like elastase family member 3A preproprotein</w:t>
            </w:r>
          </w:p>
        </w:tc>
        <w:tc>
          <w:tcPr>
            <w:tcW w:w="1350" w:type="dxa"/>
            <w:hideMark/>
          </w:tcPr>
          <w:p w14:paraId="314BDF79"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46C8FF05" w14:textId="77777777" w:rsidR="00757238" w:rsidRPr="007D51F6" w:rsidRDefault="007D51F6" w:rsidP="00BA7D4D">
            <w:pPr>
              <w:jc w:val="right"/>
              <w:rPr>
                <w:rFonts w:cs="Arial"/>
                <w:lang w:eastAsia="ko-KR"/>
              </w:rPr>
            </w:pPr>
            <w:r w:rsidRPr="007D51F6">
              <w:rPr>
                <w:rFonts w:cs="Arial"/>
                <w:lang w:eastAsia="ko-KR"/>
              </w:rPr>
              <w:t>7,562.19</w:t>
            </w:r>
          </w:p>
        </w:tc>
      </w:tr>
      <w:tr w:rsidR="007D51F6" w:rsidRPr="007D51F6" w14:paraId="223D0EE9" w14:textId="77777777" w:rsidTr="007D51F6">
        <w:tc>
          <w:tcPr>
            <w:tcW w:w="860" w:type="dxa"/>
            <w:hideMark/>
          </w:tcPr>
          <w:p w14:paraId="2EC874B8" w14:textId="77777777" w:rsidR="00757238" w:rsidRPr="007D51F6" w:rsidRDefault="007D51F6" w:rsidP="007D51F6">
            <w:pPr>
              <w:jc w:val="center"/>
              <w:rPr>
                <w:rFonts w:cs="Arial"/>
                <w:lang w:eastAsia="ko-KR"/>
              </w:rPr>
            </w:pPr>
            <w:r w:rsidRPr="007D51F6">
              <w:rPr>
                <w:rFonts w:cs="Arial"/>
                <w:lang w:eastAsia="ko-KR"/>
              </w:rPr>
              <w:t>2</w:t>
            </w:r>
          </w:p>
        </w:tc>
        <w:tc>
          <w:tcPr>
            <w:tcW w:w="1720" w:type="dxa"/>
            <w:hideMark/>
          </w:tcPr>
          <w:p w14:paraId="5B328631" w14:textId="77777777" w:rsidR="00757238" w:rsidRPr="007D51F6" w:rsidRDefault="007D51F6" w:rsidP="007D51F6">
            <w:pPr>
              <w:jc w:val="center"/>
              <w:rPr>
                <w:rFonts w:cs="Arial"/>
                <w:lang w:eastAsia="ko-KR"/>
              </w:rPr>
            </w:pPr>
            <w:r w:rsidRPr="007D51F6">
              <w:rPr>
                <w:rFonts w:cs="Arial"/>
                <w:lang w:eastAsia="ko-KR"/>
              </w:rPr>
              <w:t>*FCGBP</w:t>
            </w:r>
          </w:p>
        </w:tc>
        <w:tc>
          <w:tcPr>
            <w:tcW w:w="3667" w:type="dxa"/>
            <w:hideMark/>
          </w:tcPr>
          <w:p w14:paraId="3C52ED5A" w14:textId="77777777" w:rsidR="00757238" w:rsidRPr="007D51F6" w:rsidRDefault="007D51F6" w:rsidP="007D51F6">
            <w:pPr>
              <w:jc w:val="left"/>
              <w:rPr>
                <w:rFonts w:cs="Arial"/>
                <w:lang w:eastAsia="ko-KR"/>
              </w:rPr>
            </w:pPr>
            <w:r w:rsidRPr="007D51F6">
              <w:rPr>
                <w:rFonts w:cs="Arial"/>
                <w:lang w:eastAsia="ko-KR"/>
              </w:rPr>
              <w:t>IgGFc-binding protein precursor</w:t>
            </w:r>
          </w:p>
        </w:tc>
        <w:tc>
          <w:tcPr>
            <w:tcW w:w="1350" w:type="dxa"/>
            <w:hideMark/>
          </w:tcPr>
          <w:p w14:paraId="54687095"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45B3EAA1" w14:textId="77777777" w:rsidR="00757238" w:rsidRPr="007D51F6" w:rsidRDefault="007D51F6" w:rsidP="00BA7D4D">
            <w:pPr>
              <w:jc w:val="right"/>
              <w:rPr>
                <w:rFonts w:cs="Arial"/>
                <w:lang w:eastAsia="ko-KR"/>
              </w:rPr>
            </w:pPr>
            <w:r w:rsidRPr="007D51F6">
              <w:rPr>
                <w:rFonts w:cs="Arial"/>
                <w:lang w:eastAsia="ko-KR"/>
              </w:rPr>
              <w:t>5,582.98</w:t>
            </w:r>
          </w:p>
        </w:tc>
      </w:tr>
      <w:tr w:rsidR="007D51F6" w:rsidRPr="007D51F6" w14:paraId="548A12C1" w14:textId="77777777" w:rsidTr="007D51F6">
        <w:tc>
          <w:tcPr>
            <w:tcW w:w="860" w:type="dxa"/>
            <w:hideMark/>
          </w:tcPr>
          <w:p w14:paraId="1B71D41E" w14:textId="77777777" w:rsidR="00757238" w:rsidRPr="007D51F6" w:rsidRDefault="007D51F6" w:rsidP="007D51F6">
            <w:pPr>
              <w:jc w:val="center"/>
              <w:rPr>
                <w:rFonts w:cs="Arial"/>
                <w:lang w:eastAsia="ko-KR"/>
              </w:rPr>
            </w:pPr>
            <w:r w:rsidRPr="007D51F6">
              <w:rPr>
                <w:rFonts w:cs="Arial"/>
                <w:lang w:eastAsia="ko-KR"/>
              </w:rPr>
              <w:t>3</w:t>
            </w:r>
          </w:p>
        </w:tc>
        <w:tc>
          <w:tcPr>
            <w:tcW w:w="1720" w:type="dxa"/>
            <w:hideMark/>
          </w:tcPr>
          <w:p w14:paraId="78E343B5" w14:textId="77777777" w:rsidR="00757238" w:rsidRPr="007D51F6" w:rsidRDefault="007D51F6" w:rsidP="007D51F6">
            <w:pPr>
              <w:jc w:val="center"/>
              <w:rPr>
                <w:rFonts w:cs="Arial"/>
                <w:lang w:eastAsia="ko-KR"/>
              </w:rPr>
            </w:pPr>
            <w:r w:rsidRPr="007D51F6">
              <w:rPr>
                <w:rFonts w:cs="Arial"/>
                <w:lang w:eastAsia="ko-KR"/>
              </w:rPr>
              <w:t>*DMBT1</w:t>
            </w:r>
          </w:p>
        </w:tc>
        <w:tc>
          <w:tcPr>
            <w:tcW w:w="3667" w:type="dxa"/>
            <w:hideMark/>
          </w:tcPr>
          <w:p w14:paraId="41A97B87" w14:textId="508A8C7F" w:rsidR="00757238" w:rsidRPr="007D51F6" w:rsidRDefault="007D51F6" w:rsidP="007D51F6">
            <w:pPr>
              <w:jc w:val="left"/>
              <w:rPr>
                <w:rFonts w:cs="Arial"/>
                <w:lang w:eastAsia="ko-KR"/>
              </w:rPr>
            </w:pPr>
            <w:r>
              <w:rPr>
                <w:rFonts w:cs="Arial"/>
                <w:lang w:eastAsia="ko-KR"/>
              </w:rPr>
              <w:t>D</w:t>
            </w:r>
            <w:r w:rsidRPr="007D51F6">
              <w:rPr>
                <w:rFonts w:cs="Arial"/>
                <w:lang w:eastAsia="ko-KR"/>
              </w:rPr>
              <w:t>eleted in malignant brain tumors 1 protein isoform c precursor</w:t>
            </w:r>
          </w:p>
        </w:tc>
        <w:tc>
          <w:tcPr>
            <w:tcW w:w="1350" w:type="dxa"/>
            <w:hideMark/>
          </w:tcPr>
          <w:p w14:paraId="1DF4BECA"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51480F91" w14:textId="77777777" w:rsidR="00757238" w:rsidRPr="007D51F6" w:rsidRDefault="007D51F6" w:rsidP="00BA7D4D">
            <w:pPr>
              <w:jc w:val="right"/>
              <w:rPr>
                <w:rFonts w:cs="Arial"/>
                <w:lang w:eastAsia="ko-KR"/>
              </w:rPr>
            </w:pPr>
            <w:r w:rsidRPr="007D51F6">
              <w:rPr>
                <w:rFonts w:cs="Arial"/>
                <w:lang w:eastAsia="ko-KR"/>
              </w:rPr>
              <w:t>4,793.61</w:t>
            </w:r>
          </w:p>
        </w:tc>
      </w:tr>
      <w:tr w:rsidR="007D51F6" w:rsidRPr="007D51F6" w14:paraId="49259B4E" w14:textId="77777777" w:rsidTr="007D51F6">
        <w:tc>
          <w:tcPr>
            <w:tcW w:w="860" w:type="dxa"/>
            <w:hideMark/>
          </w:tcPr>
          <w:p w14:paraId="4FFE513A" w14:textId="77777777" w:rsidR="00757238" w:rsidRPr="007D51F6" w:rsidRDefault="007D51F6" w:rsidP="007D51F6">
            <w:pPr>
              <w:jc w:val="center"/>
              <w:rPr>
                <w:rFonts w:cs="Arial"/>
                <w:lang w:eastAsia="ko-KR"/>
              </w:rPr>
            </w:pPr>
            <w:r w:rsidRPr="007D51F6">
              <w:rPr>
                <w:rFonts w:cs="Arial"/>
                <w:lang w:eastAsia="ko-KR"/>
              </w:rPr>
              <w:t>4</w:t>
            </w:r>
          </w:p>
        </w:tc>
        <w:tc>
          <w:tcPr>
            <w:tcW w:w="1720" w:type="dxa"/>
            <w:hideMark/>
          </w:tcPr>
          <w:p w14:paraId="6A7EF31D" w14:textId="77777777" w:rsidR="00757238" w:rsidRPr="007D51F6" w:rsidRDefault="007D51F6" w:rsidP="007D51F6">
            <w:pPr>
              <w:jc w:val="center"/>
              <w:rPr>
                <w:rFonts w:cs="Arial"/>
                <w:lang w:eastAsia="ko-KR"/>
              </w:rPr>
            </w:pPr>
            <w:r w:rsidRPr="007D51F6">
              <w:rPr>
                <w:rFonts w:cs="Arial"/>
                <w:lang w:eastAsia="ko-KR"/>
              </w:rPr>
              <w:t>SERPINA1</w:t>
            </w:r>
          </w:p>
        </w:tc>
        <w:tc>
          <w:tcPr>
            <w:tcW w:w="3667" w:type="dxa"/>
            <w:hideMark/>
          </w:tcPr>
          <w:p w14:paraId="23417F98" w14:textId="2E19D16C" w:rsidR="00757238" w:rsidRPr="007D51F6" w:rsidRDefault="007D51F6" w:rsidP="007D51F6">
            <w:pPr>
              <w:jc w:val="left"/>
              <w:rPr>
                <w:rFonts w:cs="Arial"/>
                <w:lang w:eastAsia="ko-KR"/>
              </w:rPr>
            </w:pPr>
            <w:r>
              <w:rPr>
                <w:rFonts w:cs="Arial"/>
                <w:lang w:eastAsia="ko-KR"/>
              </w:rPr>
              <w:t>A</w:t>
            </w:r>
            <w:r w:rsidRPr="007D51F6">
              <w:rPr>
                <w:rFonts w:cs="Arial"/>
                <w:lang w:eastAsia="ko-KR"/>
              </w:rPr>
              <w:t>lpha-1-antitrypsin precursor</w:t>
            </w:r>
          </w:p>
        </w:tc>
        <w:tc>
          <w:tcPr>
            <w:tcW w:w="1350" w:type="dxa"/>
            <w:hideMark/>
          </w:tcPr>
          <w:p w14:paraId="22C8BED1"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0A4D0E2D" w14:textId="77777777" w:rsidR="00757238" w:rsidRPr="007D51F6" w:rsidRDefault="007D51F6" w:rsidP="00BA7D4D">
            <w:pPr>
              <w:jc w:val="right"/>
              <w:rPr>
                <w:rFonts w:cs="Arial"/>
                <w:lang w:eastAsia="ko-KR"/>
              </w:rPr>
            </w:pPr>
            <w:r w:rsidRPr="007D51F6">
              <w:rPr>
                <w:rFonts w:cs="Arial"/>
                <w:lang w:eastAsia="ko-KR"/>
              </w:rPr>
              <w:t>4,089.48</w:t>
            </w:r>
          </w:p>
        </w:tc>
      </w:tr>
      <w:tr w:rsidR="007D51F6" w:rsidRPr="007D51F6" w14:paraId="048AE404" w14:textId="77777777" w:rsidTr="007D51F6">
        <w:tc>
          <w:tcPr>
            <w:tcW w:w="860" w:type="dxa"/>
            <w:hideMark/>
          </w:tcPr>
          <w:p w14:paraId="42C3D9B3" w14:textId="77777777" w:rsidR="00757238" w:rsidRPr="007D51F6" w:rsidRDefault="007D51F6" w:rsidP="007D51F6">
            <w:pPr>
              <w:jc w:val="center"/>
              <w:rPr>
                <w:rFonts w:cs="Arial"/>
                <w:lang w:eastAsia="ko-KR"/>
              </w:rPr>
            </w:pPr>
            <w:r w:rsidRPr="007D51F6">
              <w:rPr>
                <w:rFonts w:cs="Arial"/>
                <w:lang w:eastAsia="ko-KR"/>
              </w:rPr>
              <w:t>5</w:t>
            </w:r>
          </w:p>
        </w:tc>
        <w:tc>
          <w:tcPr>
            <w:tcW w:w="1720" w:type="dxa"/>
            <w:hideMark/>
          </w:tcPr>
          <w:p w14:paraId="6E83841D" w14:textId="77777777" w:rsidR="00757238" w:rsidRPr="007D51F6" w:rsidRDefault="007D51F6" w:rsidP="007D51F6">
            <w:pPr>
              <w:jc w:val="center"/>
              <w:rPr>
                <w:rFonts w:cs="Arial"/>
                <w:lang w:eastAsia="ko-KR"/>
              </w:rPr>
            </w:pPr>
            <w:r w:rsidRPr="007D51F6">
              <w:rPr>
                <w:rFonts w:cs="Arial"/>
                <w:lang w:eastAsia="ko-KR"/>
              </w:rPr>
              <w:t>AMY2A</w:t>
            </w:r>
          </w:p>
        </w:tc>
        <w:tc>
          <w:tcPr>
            <w:tcW w:w="3667" w:type="dxa"/>
            <w:hideMark/>
          </w:tcPr>
          <w:p w14:paraId="46702F71" w14:textId="70C9B382" w:rsidR="00757238" w:rsidRPr="007D51F6" w:rsidRDefault="007D51F6" w:rsidP="007D51F6">
            <w:pPr>
              <w:jc w:val="left"/>
              <w:rPr>
                <w:rFonts w:cs="Arial"/>
                <w:lang w:eastAsia="ko-KR"/>
              </w:rPr>
            </w:pPr>
            <w:r>
              <w:rPr>
                <w:rFonts w:cs="Arial"/>
                <w:lang w:eastAsia="ko-KR"/>
              </w:rPr>
              <w:t>P</w:t>
            </w:r>
            <w:r w:rsidRPr="007D51F6">
              <w:rPr>
                <w:rFonts w:cs="Arial"/>
                <w:lang w:eastAsia="ko-KR"/>
              </w:rPr>
              <w:t>ancreatic alpha-amylase precursor</w:t>
            </w:r>
          </w:p>
        </w:tc>
        <w:tc>
          <w:tcPr>
            <w:tcW w:w="1350" w:type="dxa"/>
            <w:hideMark/>
          </w:tcPr>
          <w:p w14:paraId="58D8D2E6" w14:textId="77777777" w:rsidR="00757238" w:rsidRPr="007D51F6" w:rsidRDefault="007D51F6" w:rsidP="007D51F6">
            <w:pPr>
              <w:jc w:val="right"/>
              <w:rPr>
                <w:rFonts w:cs="Arial"/>
                <w:lang w:eastAsia="ko-KR"/>
              </w:rPr>
            </w:pPr>
            <w:r w:rsidRPr="007D51F6">
              <w:rPr>
                <w:rFonts w:cs="Arial"/>
                <w:lang w:eastAsia="ko-KR"/>
              </w:rPr>
              <w:t>9</w:t>
            </w:r>
          </w:p>
        </w:tc>
        <w:tc>
          <w:tcPr>
            <w:tcW w:w="1151" w:type="dxa"/>
            <w:hideMark/>
          </w:tcPr>
          <w:p w14:paraId="111F9B06" w14:textId="77777777" w:rsidR="00757238" w:rsidRPr="007D51F6" w:rsidRDefault="007D51F6" w:rsidP="00BA7D4D">
            <w:pPr>
              <w:jc w:val="right"/>
              <w:rPr>
                <w:rFonts w:cs="Arial"/>
                <w:lang w:eastAsia="ko-KR"/>
              </w:rPr>
            </w:pPr>
            <w:r w:rsidRPr="007D51F6">
              <w:rPr>
                <w:rFonts w:cs="Arial"/>
                <w:lang w:eastAsia="ko-KR"/>
              </w:rPr>
              <w:t>3,367.48</w:t>
            </w:r>
          </w:p>
        </w:tc>
      </w:tr>
      <w:tr w:rsidR="007D51F6" w:rsidRPr="007D51F6" w14:paraId="6AADB713" w14:textId="77777777" w:rsidTr="007D51F6">
        <w:tc>
          <w:tcPr>
            <w:tcW w:w="860" w:type="dxa"/>
            <w:hideMark/>
          </w:tcPr>
          <w:p w14:paraId="5F5A0EB8" w14:textId="77777777" w:rsidR="00757238" w:rsidRPr="007D51F6" w:rsidRDefault="007D51F6" w:rsidP="007D51F6">
            <w:pPr>
              <w:jc w:val="center"/>
              <w:rPr>
                <w:rFonts w:cs="Arial"/>
                <w:lang w:eastAsia="ko-KR"/>
              </w:rPr>
            </w:pPr>
            <w:r w:rsidRPr="007D51F6">
              <w:rPr>
                <w:rFonts w:cs="Arial"/>
                <w:lang w:eastAsia="ko-KR"/>
              </w:rPr>
              <w:t>6</w:t>
            </w:r>
          </w:p>
        </w:tc>
        <w:tc>
          <w:tcPr>
            <w:tcW w:w="1720" w:type="dxa"/>
            <w:hideMark/>
          </w:tcPr>
          <w:p w14:paraId="1CF39B90" w14:textId="77777777" w:rsidR="00757238" w:rsidRPr="007D51F6" w:rsidRDefault="007D51F6" w:rsidP="007D51F6">
            <w:pPr>
              <w:jc w:val="center"/>
              <w:rPr>
                <w:rFonts w:cs="Arial"/>
                <w:lang w:eastAsia="ko-KR"/>
              </w:rPr>
            </w:pPr>
            <w:r w:rsidRPr="007D51F6">
              <w:rPr>
                <w:rFonts w:cs="Arial"/>
                <w:lang w:eastAsia="ko-KR"/>
              </w:rPr>
              <w:t>AMY1A</w:t>
            </w:r>
          </w:p>
        </w:tc>
        <w:tc>
          <w:tcPr>
            <w:tcW w:w="3667" w:type="dxa"/>
            <w:hideMark/>
          </w:tcPr>
          <w:p w14:paraId="48A39A4F" w14:textId="4AB0DEBA" w:rsidR="00757238" w:rsidRPr="007D51F6" w:rsidRDefault="007D51F6" w:rsidP="007D51F6">
            <w:pPr>
              <w:jc w:val="left"/>
              <w:rPr>
                <w:rFonts w:cs="Arial"/>
                <w:lang w:eastAsia="ko-KR"/>
              </w:rPr>
            </w:pPr>
            <w:r>
              <w:rPr>
                <w:rFonts w:cs="Arial"/>
                <w:lang w:eastAsia="ko-KR"/>
              </w:rPr>
              <w:t>A</w:t>
            </w:r>
            <w:r w:rsidRPr="007D51F6">
              <w:rPr>
                <w:rFonts w:cs="Arial"/>
                <w:lang w:eastAsia="ko-KR"/>
              </w:rPr>
              <w:t>lpha-amylase 1 precursor</w:t>
            </w:r>
          </w:p>
        </w:tc>
        <w:tc>
          <w:tcPr>
            <w:tcW w:w="1350" w:type="dxa"/>
            <w:hideMark/>
          </w:tcPr>
          <w:p w14:paraId="4763AEFA" w14:textId="77777777" w:rsidR="00757238" w:rsidRPr="007D51F6" w:rsidRDefault="007D51F6" w:rsidP="007D51F6">
            <w:pPr>
              <w:jc w:val="right"/>
              <w:rPr>
                <w:rFonts w:cs="Arial"/>
                <w:lang w:eastAsia="ko-KR"/>
              </w:rPr>
            </w:pPr>
            <w:r w:rsidRPr="007D51F6">
              <w:rPr>
                <w:rFonts w:cs="Arial"/>
                <w:lang w:eastAsia="ko-KR"/>
              </w:rPr>
              <w:t>9</w:t>
            </w:r>
          </w:p>
        </w:tc>
        <w:tc>
          <w:tcPr>
            <w:tcW w:w="1151" w:type="dxa"/>
            <w:hideMark/>
          </w:tcPr>
          <w:p w14:paraId="563C8456" w14:textId="77777777" w:rsidR="00757238" w:rsidRPr="007D51F6" w:rsidRDefault="007D51F6" w:rsidP="00BA7D4D">
            <w:pPr>
              <w:jc w:val="right"/>
              <w:rPr>
                <w:rFonts w:cs="Arial"/>
                <w:lang w:eastAsia="ko-KR"/>
              </w:rPr>
            </w:pPr>
            <w:r w:rsidRPr="007D51F6">
              <w:rPr>
                <w:rFonts w:cs="Arial"/>
                <w:lang w:eastAsia="ko-KR"/>
              </w:rPr>
              <w:t>3,225.87</w:t>
            </w:r>
          </w:p>
        </w:tc>
      </w:tr>
      <w:tr w:rsidR="007D51F6" w:rsidRPr="007D51F6" w14:paraId="690F6FA7" w14:textId="77777777" w:rsidTr="007D51F6">
        <w:tc>
          <w:tcPr>
            <w:tcW w:w="860" w:type="dxa"/>
            <w:hideMark/>
          </w:tcPr>
          <w:p w14:paraId="255539F5" w14:textId="77777777" w:rsidR="00757238" w:rsidRPr="007D51F6" w:rsidRDefault="007D51F6" w:rsidP="007D51F6">
            <w:pPr>
              <w:jc w:val="center"/>
              <w:rPr>
                <w:rFonts w:cs="Arial"/>
                <w:lang w:eastAsia="ko-KR"/>
              </w:rPr>
            </w:pPr>
            <w:r w:rsidRPr="007D51F6">
              <w:rPr>
                <w:rFonts w:cs="Arial"/>
                <w:lang w:eastAsia="ko-KR"/>
              </w:rPr>
              <w:t>7</w:t>
            </w:r>
          </w:p>
        </w:tc>
        <w:tc>
          <w:tcPr>
            <w:tcW w:w="1720" w:type="dxa"/>
            <w:hideMark/>
          </w:tcPr>
          <w:p w14:paraId="519D2E9D" w14:textId="77777777" w:rsidR="00757238" w:rsidRPr="007D51F6" w:rsidRDefault="007D51F6" w:rsidP="007D51F6">
            <w:pPr>
              <w:jc w:val="center"/>
              <w:rPr>
                <w:rFonts w:cs="Arial"/>
                <w:lang w:eastAsia="ko-KR"/>
              </w:rPr>
            </w:pPr>
            <w:r w:rsidRPr="007D51F6">
              <w:rPr>
                <w:rFonts w:cs="Arial"/>
                <w:lang w:eastAsia="ko-KR"/>
              </w:rPr>
              <w:t>AMY1B</w:t>
            </w:r>
          </w:p>
        </w:tc>
        <w:tc>
          <w:tcPr>
            <w:tcW w:w="3667" w:type="dxa"/>
            <w:hideMark/>
          </w:tcPr>
          <w:p w14:paraId="1612293C" w14:textId="60CE5D8C" w:rsidR="00757238" w:rsidRPr="007D51F6" w:rsidRDefault="007D51F6" w:rsidP="007D51F6">
            <w:pPr>
              <w:jc w:val="left"/>
              <w:rPr>
                <w:rFonts w:cs="Arial"/>
                <w:lang w:eastAsia="ko-KR"/>
              </w:rPr>
            </w:pPr>
            <w:r>
              <w:rPr>
                <w:rFonts w:cs="Arial"/>
                <w:lang w:eastAsia="ko-KR"/>
              </w:rPr>
              <w:t>Al</w:t>
            </w:r>
            <w:r w:rsidRPr="007D51F6">
              <w:rPr>
                <w:rFonts w:cs="Arial"/>
                <w:lang w:eastAsia="ko-KR"/>
              </w:rPr>
              <w:t>pha-amylase 1 precursor</w:t>
            </w:r>
          </w:p>
        </w:tc>
        <w:tc>
          <w:tcPr>
            <w:tcW w:w="1350" w:type="dxa"/>
            <w:hideMark/>
          </w:tcPr>
          <w:p w14:paraId="51C4A15C" w14:textId="77777777" w:rsidR="00757238" w:rsidRPr="007D51F6" w:rsidRDefault="007D51F6" w:rsidP="007D51F6">
            <w:pPr>
              <w:jc w:val="right"/>
              <w:rPr>
                <w:rFonts w:cs="Arial"/>
                <w:lang w:eastAsia="ko-KR"/>
              </w:rPr>
            </w:pPr>
            <w:r w:rsidRPr="007D51F6">
              <w:rPr>
                <w:rFonts w:cs="Arial"/>
                <w:lang w:eastAsia="ko-KR"/>
              </w:rPr>
              <w:t>9</w:t>
            </w:r>
          </w:p>
        </w:tc>
        <w:tc>
          <w:tcPr>
            <w:tcW w:w="1151" w:type="dxa"/>
            <w:hideMark/>
          </w:tcPr>
          <w:p w14:paraId="7F6F39F5" w14:textId="77777777" w:rsidR="00757238" w:rsidRPr="007D51F6" w:rsidRDefault="007D51F6" w:rsidP="00BA7D4D">
            <w:pPr>
              <w:jc w:val="right"/>
              <w:rPr>
                <w:rFonts w:cs="Arial"/>
                <w:lang w:eastAsia="ko-KR"/>
              </w:rPr>
            </w:pPr>
            <w:r w:rsidRPr="007D51F6">
              <w:rPr>
                <w:rFonts w:cs="Arial"/>
                <w:lang w:eastAsia="ko-KR"/>
              </w:rPr>
              <w:t>3,225.87</w:t>
            </w:r>
          </w:p>
        </w:tc>
      </w:tr>
      <w:tr w:rsidR="007D51F6" w:rsidRPr="007D51F6" w14:paraId="4FE9736F" w14:textId="77777777" w:rsidTr="007D51F6">
        <w:tc>
          <w:tcPr>
            <w:tcW w:w="860" w:type="dxa"/>
            <w:hideMark/>
          </w:tcPr>
          <w:p w14:paraId="103B390E" w14:textId="77777777" w:rsidR="00757238" w:rsidRPr="007D51F6" w:rsidRDefault="007D51F6" w:rsidP="007D51F6">
            <w:pPr>
              <w:jc w:val="center"/>
              <w:rPr>
                <w:rFonts w:cs="Arial"/>
                <w:lang w:eastAsia="ko-KR"/>
              </w:rPr>
            </w:pPr>
            <w:r w:rsidRPr="007D51F6">
              <w:rPr>
                <w:rFonts w:cs="Arial"/>
                <w:lang w:eastAsia="ko-KR"/>
              </w:rPr>
              <w:t>8</w:t>
            </w:r>
          </w:p>
        </w:tc>
        <w:tc>
          <w:tcPr>
            <w:tcW w:w="1720" w:type="dxa"/>
            <w:hideMark/>
          </w:tcPr>
          <w:p w14:paraId="4B088A54" w14:textId="77777777" w:rsidR="00757238" w:rsidRPr="007D51F6" w:rsidRDefault="007D51F6" w:rsidP="007D51F6">
            <w:pPr>
              <w:jc w:val="center"/>
              <w:rPr>
                <w:rFonts w:cs="Arial"/>
                <w:lang w:eastAsia="ko-KR"/>
              </w:rPr>
            </w:pPr>
            <w:r w:rsidRPr="007D51F6">
              <w:rPr>
                <w:rFonts w:cs="Arial"/>
                <w:lang w:eastAsia="ko-KR"/>
              </w:rPr>
              <w:t>AMY1C</w:t>
            </w:r>
          </w:p>
        </w:tc>
        <w:tc>
          <w:tcPr>
            <w:tcW w:w="3667" w:type="dxa"/>
            <w:hideMark/>
          </w:tcPr>
          <w:p w14:paraId="21AF93DB" w14:textId="3B82AEBC" w:rsidR="00757238" w:rsidRPr="007D51F6" w:rsidRDefault="007D51F6" w:rsidP="007D51F6">
            <w:pPr>
              <w:jc w:val="left"/>
              <w:rPr>
                <w:rFonts w:cs="Arial"/>
                <w:lang w:eastAsia="ko-KR"/>
              </w:rPr>
            </w:pPr>
            <w:r>
              <w:rPr>
                <w:rFonts w:cs="Arial"/>
                <w:lang w:eastAsia="ko-KR"/>
              </w:rPr>
              <w:t>A</w:t>
            </w:r>
            <w:r w:rsidRPr="007D51F6">
              <w:rPr>
                <w:rFonts w:cs="Arial"/>
                <w:lang w:eastAsia="ko-KR"/>
              </w:rPr>
              <w:t>lpha-amylase 1 precursor</w:t>
            </w:r>
          </w:p>
        </w:tc>
        <w:tc>
          <w:tcPr>
            <w:tcW w:w="1350" w:type="dxa"/>
            <w:hideMark/>
          </w:tcPr>
          <w:p w14:paraId="67C7FC24" w14:textId="77777777" w:rsidR="00757238" w:rsidRPr="007D51F6" w:rsidRDefault="007D51F6" w:rsidP="007D51F6">
            <w:pPr>
              <w:jc w:val="right"/>
              <w:rPr>
                <w:rFonts w:cs="Arial"/>
                <w:lang w:eastAsia="ko-KR"/>
              </w:rPr>
            </w:pPr>
            <w:r w:rsidRPr="007D51F6">
              <w:rPr>
                <w:rFonts w:cs="Arial"/>
                <w:lang w:eastAsia="ko-KR"/>
              </w:rPr>
              <w:t>9</w:t>
            </w:r>
          </w:p>
        </w:tc>
        <w:tc>
          <w:tcPr>
            <w:tcW w:w="1151" w:type="dxa"/>
            <w:hideMark/>
          </w:tcPr>
          <w:p w14:paraId="7E20EB22" w14:textId="77777777" w:rsidR="00757238" w:rsidRPr="007D51F6" w:rsidRDefault="007D51F6" w:rsidP="00BA7D4D">
            <w:pPr>
              <w:jc w:val="right"/>
              <w:rPr>
                <w:rFonts w:cs="Arial"/>
                <w:lang w:eastAsia="ko-KR"/>
              </w:rPr>
            </w:pPr>
            <w:r w:rsidRPr="007D51F6">
              <w:rPr>
                <w:rFonts w:cs="Arial"/>
                <w:lang w:eastAsia="ko-KR"/>
              </w:rPr>
              <w:t>3,225.87</w:t>
            </w:r>
          </w:p>
        </w:tc>
      </w:tr>
      <w:tr w:rsidR="007D51F6" w:rsidRPr="007D51F6" w14:paraId="7E13CC9D" w14:textId="77777777" w:rsidTr="007D51F6">
        <w:tc>
          <w:tcPr>
            <w:tcW w:w="860" w:type="dxa"/>
            <w:hideMark/>
          </w:tcPr>
          <w:p w14:paraId="49FE3B5F" w14:textId="77777777" w:rsidR="00757238" w:rsidRPr="007D51F6" w:rsidRDefault="007D51F6" w:rsidP="007D51F6">
            <w:pPr>
              <w:jc w:val="center"/>
              <w:rPr>
                <w:rFonts w:cs="Arial"/>
                <w:lang w:eastAsia="ko-KR"/>
              </w:rPr>
            </w:pPr>
            <w:r w:rsidRPr="007D51F6">
              <w:rPr>
                <w:rFonts w:cs="Arial"/>
                <w:lang w:eastAsia="ko-KR"/>
              </w:rPr>
              <w:t>9</w:t>
            </w:r>
          </w:p>
        </w:tc>
        <w:tc>
          <w:tcPr>
            <w:tcW w:w="1720" w:type="dxa"/>
            <w:hideMark/>
          </w:tcPr>
          <w:p w14:paraId="39388161" w14:textId="77777777" w:rsidR="00757238" w:rsidRPr="007D51F6" w:rsidRDefault="007D51F6" w:rsidP="007D51F6">
            <w:pPr>
              <w:jc w:val="center"/>
              <w:rPr>
                <w:rFonts w:cs="Arial"/>
                <w:lang w:eastAsia="ko-KR"/>
              </w:rPr>
            </w:pPr>
            <w:r w:rsidRPr="007D51F6">
              <w:rPr>
                <w:rFonts w:cs="Arial"/>
                <w:lang w:eastAsia="ko-KR"/>
              </w:rPr>
              <w:t>CELA3B</w:t>
            </w:r>
          </w:p>
        </w:tc>
        <w:tc>
          <w:tcPr>
            <w:tcW w:w="3667" w:type="dxa"/>
            <w:hideMark/>
          </w:tcPr>
          <w:p w14:paraId="47C84639" w14:textId="150DA67A" w:rsidR="00757238" w:rsidRPr="007D51F6" w:rsidRDefault="007D51F6" w:rsidP="007D51F6">
            <w:pPr>
              <w:jc w:val="left"/>
              <w:rPr>
                <w:rFonts w:cs="Arial"/>
                <w:lang w:eastAsia="ko-KR"/>
              </w:rPr>
            </w:pPr>
            <w:r>
              <w:rPr>
                <w:rFonts w:cs="Arial"/>
                <w:lang w:eastAsia="ko-KR"/>
              </w:rPr>
              <w:t>C</w:t>
            </w:r>
            <w:r w:rsidRPr="007D51F6">
              <w:rPr>
                <w:rFonts w:cs="Arial"/>
                <w:lang w:eastAsia="ko-KR"/>
              </w:rPr>
              <w:t>hymotrypsin-like elastase family member 3B preproprotein</w:t>
            </w:r>
          </w:p>
        </w:tc>
        <w:tc>
          <w:tcPr>
            <w:tcW w:w="1350" w:type="dxa"/>
            <w:hideMark/>
          </w:tcPr>
          <w:p w14:paraId="693AC655"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0ED78B9D" w14:textId="77777777" w:rsidR="00757238" w:rsidRPr="007D51F6" w:rsidRDefault="007D51F6" w:rsidP="00BA7D4D">
            <w:pPr>
              <w:jc w:val="right"/>
              <w:rPr>
                <w:rFonts w:cs="Arial"/>
                <w:lang w:eastAsia="ko-KR"/>
              </w:rPr>
            </w:pPr>
            <w:r w:rsidRPr="007D51F6">
              <w:rPr>
                <w:rFonts w:cs="Arial"/>
                <w:lang w:eastAsia="ko-KR"/>
              </w:rPr>
              <w:t>3,176.00</w:t>
            </w:r>
          </w:p>
        </w:tc>
      </w:tr>
      <w:tr w:rsidR="007D51F6" w:rsidRPr="007D51F6" w14:paraId="67D5D4CB" w14:textId="77777777" w:rsidTr="007D51F6">
        <w:tc>
          <w:tcPr>
            <w:tcW w:w="860" w:type="dxa"/>
            <w:hideMark/>
          </w:tcPr>
          <w:p w14:paraId="589DA748" w14:textId="77777777" w:rsidR="00757238" w:rsidRPr="007D51F6" w:rsidRDefault="007D51F6" w:rsidP="007D51F6">
            <w:pPr>
              <w:jc w:val="center"/>
              <w:rPr>
                <w:rFonts w:cs="Arial"/>
                <w:lang w:eastAsia="ko-KR"/>
              </w:rPr>
            </w:pPr>
            <w:r w:rsidRPr="007D51F6">
              <w:rPr>
                <w:rFonts w:cs="Arial"/>
                <w:lang w:eastAsia="ko-KR"/>
              </w:rPr>
              <w:t>10</w:t>
            </w:r>
          </w:p>
        </w:tc>
        <w:tc>
          <w:tcPr>
            <w:tcW w:w="1720" w:type="dxa"/>
            <w:hideMark/>
          </w:tcPr>
          <w:p w14:paraId="332765ED" w14:textId="77777777" w:rsidR="00757238" w:rsidRPr="007D51F6" w:rsidRDefault="007D51F6" w:rsidP="007D51F6">
            <w:pPr>
              <w:jc w:val="center"/>
              <w:rPr>
                <w:rFonts w:cs="Arial"/>
                <w:lang w:eastAsia="ko-KR"/>
              </w:rPr>
            </w:pPr>
            <w:r w:rsidRPr="007D51F6">
              <w:rPr>
                <w:rFonts w:cs="Arial"/>
                <w:lang w:eastAsia="ko-KR"/>
              </w:rPr>
              <w:t>AMY2B</w:t>
            </w:r>
          </w:p>
        </w:tc>
        <w:tc>
          <w:tcPr>
            <w:tcW w:w="3667" w:type="dxa"/>
            <w:hideMark/>
          </w:tcPr>
          <w:p w14:paraId="097DF6BD" w14:textId="06105079" w:rsidR="00757238" w:rsidRPr="007D51F6" w:rsidRDefault="007D51F6" w:rsidP="007D51F6">
            <w:pPr>
              <w:jc w:val="left"/>
              <w:rPr>
                <w:rFonts w:cs="Arial"/>
                <w:lang w:eastAsia="ko-KR"/>
              </w:rPr>
            </w:pPr>
            <w:r>
              <w:rPr>
                <w:rFonts w:cs="Arial"/>
                <w:lang w:eastAsia="ko-KR"/>
              </w:rPr>
              <w:t>A</w:t>
            </w:r>
            <w:r w:rsidRPr="007D51F6">
              <w:rPr>
                <w:rFonts w:cs="Arial"/>
                <w:lang w:eastAsia="ko-KR"/>
              </w:rPr>
              <w:t>lpha-amylase 2B precursor</w:t>
            </w:r>
          </w:p>
        </w:tc>
        <w:tc>
          <w:tcPr>
            <w:tcW w:w="1350" w:type="dxa"/>
            <w:hideMark/>
          </w:tcPr>
          <w:p w14:paraId="406F68A2" w14:textId="77777777" w:rsidR="00757238" w:rsidRPr="007D51F6" w:rsidRDefault="007D51F6" w:rsidP="007D51F6">
            <w:pPr>
              <w:jc w:val="right"/>
              <w:rPr>
                <w:rFonts w:cs="Arial"/>
                <w:lang w:eastAsia="ko-KR"/>
              </w:rPr>
            </w:pPr>
            <w:r w:rsidRPr="007D51F6">
              <w:rPr>
                <w:rFonts w:cs="Arial"/>
                <w:lang w:eastAsia="ko-KR"/>
              </w:rPr>
              <w:t>9</w:t>
            </w:r>
          </w:p>
        </w:tc>
        <w:tc>
          <w:tcPr>
            <w:tcW w:w="1151" w:type="dxa"/>
            <w:hideMark/>
          </w:tcPr>
          <w:p w14:paraId="0D0DDCA1" w14:textId="77777777" w:rsidR="00757238" w:rsidRPr="007D51F6" w:rsidRDefault="007D51F6" w:rsidP="00BA7D4D">
            <w:pPr>
              <w:jc w:val="right"/>
              <w:rPr>
                <w:rFonts w:cs="Arial"/>
                <w:lang w:eastAsia="ko-KR"/>
              </w:rPr>
            </w:pPr>
            <w:r w:rsidRPr="007D51F6">
              <w:rPr>
                <w:rFonts w:cs="Arial"/>
                <w:lang w:eastAsia="ko-KR"/>
              </w:rPr>
              <w:t>3,015.61</w:t>
            </w:r>
          </w:p>
        </w:tc>
      </w:tr>
      <w:tr w:rsidR="007D51F6" w:rsidRPr="007D51F6" w14:paraId="1013F617" w14:textId="77777777" w:rsidTr="007D51F6">
        <w:tc>
          <w:tcPr>
            <w:tcW w:w="860" w:type="dxa"/>
            <w:hideMark/>
          </w:tcPr>
          <w:p w14:paraId="11515474" w14:textId="77777777" w:rsidR="00757238" w:rsidRPr="007D51F6" w:rsidRDefault="007D51F6" w:rsidP="007D51F6">
            <w:pPr>
              <w:jc w:val="center"/>
              <w:rPr>
                <w:rFonts w:cs="Arial"/>
                <w:lang w:eastAsia="ko-KR"/>
              </w:rPr>
            </w:pPr>
            <w:r w:rsidRPr="007D51F6">
              <w:rPr>
                <w:rFonts w:cs="Arial"/>
                <w:lang w:eastAsia="ko-KR"/>
              </w:rPr>
              <w:t>11</w:t>
            </w:r>
          </w:p>
        </w:tc>
        <w:tc>
          <w:tcPr>
            <w:tcW w:w="1720" w:type="dxa"/>
            <w:hideMark/>
          </w:tcPr>
          <w:p w14:paraId="78219E69" w14:textId="77777777" w:rsidR="00757238" w:rsidRPr="007D51F6" w:rsidRDefault="007D51F6" w:rsidP="007D51F6">
            <w:pPr>
              <w:jc w:val="center"/>
              <w:rPr>
                <w:rFonts w:cs="Arial"/>
                <w:lang w:eastAsia="ko-KR"/>
              </w:rPr>
            </w:pPr>
            <w:r w:rsidRPr="007D51F6">
              <w:rPr>
                <w:rFonts w:cs="Arial"/>
                <w:lang w:eastAsia="ko-KR"/>
              </w:rPr>
              <w:t>MYH2</w:t>
            </w:r>
          </w:p>
        </w:tc>
        <w:tc>
          <w:tcPr>
            <w:tcW w:w="3667" w:type="dxa"/>
            <w:hideMark/>
          </w:tcPr>
          <w:p w14:paraId="3CC70BCB" w14:textId="059CF2B5" w:rsidR="00757238" w:rsidRPr="007D51F6" w:rsidRDefault="007D51F6" w:rsidP="007D51F6">
            <w:pPr>
              <w:jc w:val="left"/>
              <w:rPr>
                <w:rFonts w:cs="Arial"/>
                <w:lang w:eastAsia="ko-KR"/>
              </w:rPr>
            </w:pPr>
            <w:r>
              <w:rPr>
                <w:rFonts w:cs="Arial"/>
                <w:lang w:eastAsia="ko-KR"/>
              </w:rPr>
              <w:t>M</w:t>
            </w:r>
            <w:r w:rsidRPr="007D51F6">
              <w:rPr>
                <w:rFonts w:cs="Arial"/>
                <w:lang w:eastAsia="ko-KR"/>
              </w:rPr>
              <w:t>yosin-2</w:t>
            </w:r>
          </w:p>
        </w:tc>
        <w:tc>
          <w:tcPr>
            <w:tcW w:w="1350" w:type="dxa"/>
            <w:hideMark/>
          </w:tcPr>
          <w:p w14:paraId="3B1C4915"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472C7868" w14:textId="77777777" w:rsidR="00757238" w:rsidRPr="007D51F6" w:rsidRDefault="007D51F6" w:rsidP="00BA7D4D">
            <w:pPr>
              <w:jc w:val="right"/>
              <w:rPr>
                <w:rFonts w:cs="Arial"/>
                <w:lang w:eastAsia="ko-KR"/>
              </w:rPr>
            </w:pPr>
            <w:r w:rsidRPr="007D51F6">
              <w:rPr>
                <w:rFonts w:cs="Arial"/>
                <w:lang w:eastAsia="ko-KR"/>
              </w:rPr>
              <w:t>2,067.20</w:t>
            </w:r>
          </w:p>
        </w:tc>
      </w:tr>
      <w:tr w:rsidR="007D51F6" w:rsidRPr="007D51F6" w14:paraId="2C9C52A2" w14:textId="77777777" w:rsidTr="007D51F6">
        <w:tc>
          <w:tcPr>
            <w:tcW w:w="860" w:type="dxa"/>
            <w:hideMark/>
          </w:tcPr>
          <w:p w14:paraId="68D48EB2" w14:textId="77777777" w:rsidR="00757238" w:rsidRPr="007D51F6" w:rsidRDefault="007D51F6" w:rsidP="007D51F6">
            <w:pPr>
              <w:jc w:val="center"/>
              <w:rPr>
                <w:rFonts w:cs="Arial"/>
                <w:lang w:eastAsia="ko-KR"/>
              </w:rPr>
            </w:pPr>
            <w:r w:rsidRPr="007D51F6">
              <w:rPr>
                <w:rFonts w:cs="Arial"/>
                <w:lang w:eastAsia="ko-KR"/>
              </w:rPr>
              <w:t>12</w:t>
            </w:r>
          </w:p>
        </w:tc>
        <w:tc>
          <w:tcPr>
            <w:tcW w:w="1720" w:type="dxa"/>
            <w:hideMark/>
          </w:tcPr>
          <w:p w14:paraId="3D73214D" w14:textId="77777777" w:rsidR="00757238" w:rsidRPr="007D51F6" w:rsidRDefault="007D51F6" w:rsidP="007D51F6">
            <w:pPr>
              <w:jc w:val="center"/>
              <w:rPr>
                <w:rFonts w:cs="Arial"/>
                <w:lang w:eastAsia="ko-KR"/>
              </w:rPr>
            </w:pPr>
            <w:r w:rsidRPr="007D51F6">
              <w:rPr>
                <w:rFonts w:cs="Arial"/>
                <w:lang w:eastAsia="ko-KR"/>
              </w:rPr>
              <w:t>MYH1</w:t>
            </w:r>
          </w:p>
        </w:tc>
        <w:tc>
          <w:tcPr>
            <w:tcW w:w="3667" w:type="dxa"/>
            <w:hideMark/>
          </w:tcPr>
          <w:p w14:paraId="04D14A43" w14:textId="38EB3947" w:rsidR="00757238" w:rsidRPr="007D51F6" w:rsidRDefault="007D51F6" w:rsidP="007D51F6">
            <w:pPr>
              <w:jc w:val="left"/>
              <w:rPr>
                <w:rFonts w:cs="Arial"/>
                <w:lang w:eastAsia="ko-KR"/>
              </w:rPr>
            </w:pPr>
            <w:r>
              <w:rPr>
                <w:rFonts w:cs="Arial"/>
                <w:lang w:eastAsia="ko-KR"/>
              </w:rPr>
              <w:t>M</w:t>
            </w:r>
            <w:r w:rsidRPr="007D51F6">
              <w:rPr>
                <w:rFonts w:cs="Arial"/>
                <w:lang w:eastAsia="ko-KR"/>
              </w:rPr>
              <w:t>yosin-1</w:t>
            </w:r>
          </w:p>
        </w:tc>
        <w:tc>
          <w:tcPr>
            <w:tcW w:w="1350" w:type="dxa"/>
            <w:hideMark/>
          </w:tcPr>
          <w:p w14:paraId="6C1AA429"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55189F19" w14:textId="77777777" w:rsidR="00757238" w:rsidRPr="007D51F6" w:rsidRDefault="007D51F6" w:rsidP="00BA7D4D">
            <w:pPr>
              <w:jc w:val="right"/>
              <w:rPr>
                <w:rFonts w:cs="Arial"/>
                <w:lang w:eastAsia="ko-KR"/>
              </w:rPr>
            </w:pPr>
            <w:r w:rsidRPr="007D51F6">
              <w:rPr>
                <w:rFonts w:cs="Arial"/>
                <w:lang w:eastAsia="ko-KR"/>
              </w:rPr>
              <w:t>1,984.50</w:t>
            </w:r>
          </w:p>
        </w:tc>
      </w:tr>
      <w:tr w:rsidR="007D51F6" w:rsidRPr="007D51F6" w14:paraId="4556AF24" w14:textId="77777777" w:rsidTr="007D51F6">
        <w:tc>
          <w:tcPr>
            <w:tcW w:w="860" w:type="dxa"/>
            <w:hideMark/>
          </w:tcPr>
          <w:p w14:paraId="041ACE72" w14:textId="77777777" w:rsidR="00757238" w:rsidRPr="007D51F6" w:rsidRDefault="007D51F6" w:rsidP="007D51F6">
            <w:pPr>
              <w:jc w:val="center"/>
              <w:rPr>
                <w:rFonts w:cs="Arial"/>
                <w:lang w:eastAsia="ko-KR"/>
              </w:rPr>
            </w:pPr>
            <w:r w:rsidRPr="007D51F6">
              <w:rPr>
                <w:rFonts w:cs="Arial"/>
                <w:lang w:eastAsia="ko-KR"/>
              </w:rPr>
              <w:t>13</w:t>
            </w:r>
          </w:p>
        </w:tc>
        <w:tc>
          <w:tcPr>
            <w:tcW w:w="1720" w:type="dxa"/>
            <w:hideMark/>
          </w:tcPr>
          <w:p w14:paraId="136EAABB" w14:textId="77777777" w:rsidR="00757238" w:rsidRPr="007D51F6" w:rsidRDefault="007D51F6" w:rsidP="007D51F6">
            <w:pPr>
              <w:jc w:val="center"/>
              <w:rPr>
                <w:rFonts w:cs="Arial"/>
                <w:lang w:eastAsia="ko-KR"/>
              </w:rPr>
            </w:pPr>
            <w:r w:rsidRPr="007D51F6">
              <w:rPr>
                <w:rFonts w:cs="Arial"/>
                <w:lang w:eastAsia="ko-KR"/>
              </w:rPr>
              <w:t>TTR</w:t>
            </w:r>
          </w:p>
        </w:tc>
        <w:tc>
          <w:tcPr>
            <w:tcW w:w="3667" w:type="dxa"/>
            <w:hideMark/>
          </w:tcPr>
          <w:p w14:paraId="17988E12" w14:textId="4C5CEC6D" w:rsidR="00757238" w:rsidRPr="007D51F6" w:rsidRDefault="007D51F6" w:rsidP="007D51F6">
            <w:pPr>
              <w:jc w:val="left"/>
              <w:rPr>
                <w:rFonts w:cs="Arial"/>
                <w:lang w:eastAsia="ko-KR"/>
              </w:rPr>
            </w:pPr>
            <w:r>
              <w:rPr>
                <w:rFonts w:cs="Arial"/>
                <w:lang w:eastAsia="ko-KR"/>
              </w:rPr>
              <w:t>T</w:t>
            </w:r>
            <w:r w:rsidRPr="007D51F6">
              <w:rPr>
                <w:rFonts w:cs="Arial"/>
                <w:lang w:eastAsia="ko-KR"/>
              </w:rPr>
              <w:t>ransthyretin precursor</w:t>
            </w:r>
          </w:p>
        </w:tc>
        <w:tc>
          <w:tcPr>
            <w:tcW w:w="1350" w:type="dxa"/>
            <w:hideMark/>
          </w:tcPr>
          <w:p w14:paraId="528EFC9D" w14:textId="77777777" w:rsidR="00757238" w:rsidRPr="007D51F6" w:rsidRDefault="007D51F6" w:rsidP="007D51F6">
            <w:pPr>
              <w:jc w:val="right"/>
              <w:rPr>
                <w:rFonts w:cs="Arial"/>
                <w:lang w:eastAsia="ko-KR"/>
              </w:rPr>
            </w:pPr>
            <w:r w:rsidRPr="007D51F6">
              <w:rPr>
                <w:rFonts w:cs="Arial"/>
                <w:lang w:eastAsia="ko-KR"/>
              </w:rPr>
              <w:t>10</w:t>
            </w:r>
          </w:p>
        </w:tc>
        <w:tc>
          <w:tcPr>
            <w:tcW w:w="1151" w:type="dxa"/>
            <w:hideMark/>
          </w:tcPr>
          <w:p w14:paraId="527DF617" w14:textId="77777777" w:rsidR="00757238" w:rsidRPr="007D51F6" w:rsidRDefault="007D51F6" w:rsidP="00BA7D4D">
            <w:pPr>
              <w:jc w:val="right"/>
              <w:rPr>
                <w:rFonts w:cs="Arial"/>
                <w:lang w:eastAsia="ko-KR"/>
              </w:rPr>
            </w:pPr>
            <w:r w:rsidRPr="007D51F6">
              <w:rPr>
                <w:rFonts w:cs="Arial"/>
                <w:lang w:eastAsia="ko-KR"/>
              </w:rPr>
              <w:t>1,860.49</w:t>
            </w:r>
          </w:p>
        </w:tc>
      </w:tr>
      <w:tr w:rsidR="007D51F6" w:rsidRPr="007D51F6" w14:paraId="5AE5D152" w14:textId="77777777" w:rsidTr="007D51F6">
        <w:tc>
          <w:tcPr>
            <w:tcW w:w="860" w:type="dxa"/>
            <w:hideMark/>
          </w:tcPr>
          <w:p w14:paraId="2989C94D" w14:textId="77777777" w:rsidR="00757238" w:rsidRPr="007D51F6" w:rsidRDefault="007D51F6" w:rsidP="007D51F6">
            <w:pPr>
              <w:jc w:val="center"/>
              <w:rPr>
                <w:rFonts w:cs="Arial"/>
                <w:lang w:eastAsia="ko-KR"/>
              </w:rPr>
            </w:pPr>
            <w:r w:rsidRPr="007D51F6">
              <w:rPr>
                <w:rFonts w:cs="Arial"/>
                <w:lang w:eastAsia="ko-KR"/>
              </w:rPr>
              <w:t>14</w:t>
            </w:r>
          </w:p>
        </w:tc>
        <w:tc>
          <w:tcPr>
            <w:tcW w:w="1720" w:type="dxa"/>
            <w:hideMark/>
          </w:tcPr>
          <w:p w14:paraId="25FC64EB" w14:textId="77777777" w:rsidR="00757238" w:rsidRPr="007D51F6" w:rsidRDefault="007D51F6" w:rsidP="007D51F6">
            <w:pPr>
              <w:jc w:val="center"/>
              <w:rPr>
                <w:rFonts w:cs="Arial"/>
                <w:lang w:eastAsia="ko-KR"/>
              </w:rPr>
            </w:pPr>
            <w:r w:rsidRPr="007D51F6">
              <w:rPr>
                <w:rFonts w:cs="Arial"/>
                <w:lang w:eastAsia="ko-KR"/>
              </w:rPr>
              <w:t>PRSS1</w:t>
            </w:r>
          </w:p>
        </w:tc>
        <w:tc>
          <w:tcPr>
            <w:tcW w:w="3667" w:type="dxa"/>
            <w:hideMark/>
          </w:tcPr>
          <w:p w14:paraId="5EB84BF5" w14:textId="6BB24711" w:rsidR="00757238" w:rsidRPr="007D51F6" w:rsidRDefault="007D51F6" w:rsidP="007D51F6">
            <w:pPr>
              <w:jc w:val="left"/>
              <w:rPr>
                <w:rFonts w:cs="Arial"/>
                <w:lang w:eastAsia="ko-KR"/>
              </w:rPr>
            </w:pPr>
            <w:r>
              <w:rPr>
                <w:rFonts w:cs="Arial"/>
                <w:lang w:eastAsia="ko-KR"/>
              </w:rPr>
              <w:t>T</w:t>
            </w:r>
            <w:r w:rsidRPr="007D51F6">
              <w:rPr>
                <w:rFonts w:cs="Arial"/>
                <w:lang w:eastAsia="ko-KR"/>
              </w:rPr>
              <w:t>rypsin-1 preproprotein</w:t>
            </w:r>
          </w:p>
        </w:tc>
        <w:tc>
          <w:tcPr>
            <w:tcW w:w="1350" w:type="dxa"/>
            <w:hideMark/>
          </w:tcPr>
          <w:p w14:paraId="5F46E5DF"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3DED7D1F" w14:textId="77777777" w:rsidR="00757238" w:rsidRPr="007D51F6" w:rsidRDefault="007D51F6" w:rsidP="00BA7D4D">
            <w:pPr>
              <w:jc w:val="right"/>
              <w:rPr>
                <w:rFonts w:cs="Arial"/>
                <w:lang w:eastAsia="ko-KR"/>
              </w:rPr>
            </w:pPr>
            <w:r w:rsidRPr="007D51F6">
              <w:rPr>
                <w:rFonts w:cs="Arial"/>
                <w:lang w:eastAsia="ko-KR"/>
              </w:rPr>
              <w:t>1,654.03</w:t>
            </w:r>
          </w:p>
        </w:tc>
      </w:tr>
      <w:tr w:rsidR="007D51F6" w:rsidRPr="007D51F6" w14:paraId="7DB9A3FA" w14:textId="77777777" w:rsidTr="007D51F6">
        <w:tc>
          <w:tcPr>
            <w:tcW w:w="860" w:type="dxa"/>
            <w:hideMark/>
          </w:tcPr>
          <w:p w14:paraId="3D9C266F" w14:textId="77777777" w:rsidR="00757238" w:rsidRPr="007D51F6" w:rsidRDefault="007D51F6" w:rsidP="007D51F6">
            <w:pPr>
              <w:jc w:val="center"/>
              <w:rPr>
                <w:rFonts w:cs="Arial"/>
                <w:lang w:eastAsia="ko-KR"/>
              </w:rPr>
            </w:pPr>
            <w:r w:rsidRPr="007D51F6">
              <w:rPr>
                <w:rFonts w:cs="Arial"/>
                <w:lang w:eastAsia="ko-KR"/>
              </w:rPr>
              <w:t>15</w:t>
            </w:r>
          </w:p>
        </w:tc>
        <w:tc>
          <w:tcPr>
            <w:tcW w:w="1720" w:type="dxa"/>
            <w:hideMark/>
          </w:tcPr>
          <w:p w14:paraId="2A7B3C87" w14:textId="77777777" w:rsidR="00757238" w:rsidRPr="007D51F6" w:rsidRDefault="007D51F6" w:rsidP="007D51F6">
            <w:pPr>
              <w:jc w:val="center"/>
              <w:rPr>
                <w:rFonts w:cs="Arial"/>
                <w:lang w:eastAsia="ko-KR"/>
              </w:rPr>
            </w:pPr>
            <w:r w:rsidRPr="007D51F6">
              <w:rPr>
                <w:rFonts w:cs="Arial"/>
                <w:lang w:eastAsia="ko-KR"/>
              </w:rPr>
              <w:t>MYH4</w:t>
            </w:r>
          </w:p>
        </w:tc>
        <w:tc>
          <w:tcPr>
            <w:tcW w:w="3667" w:type="dxa"/>
            <w:hideMark/>
          </w:tcPr>
          <w:p w14:paraId="54CDD677" w14:textId="61561F5E" w:rsidR="00757238" w:rsidRPr="007D51F6" w:rsidRDefault="007D51F6" w:rsidP="007D51F6">
            <w:pPr>
              <w:jc w:val="left"/>
              <w:rPr>
                <w:rFonts w:cs="Arial"/>
                <w:lang w:eastAsia="ko-KR"/>
              </w:rPr>
            </w:pPr>
            <w:r>
              <w:rPr>
                <w:rFonts w:cs="Arial"/>
                <w:lang w:eastAsia="ko-KR"/>
              </w:rPr>
              <w:t>M</w:t>
            </w:r>
            <w:r w:rsidRPr="007D51F6">
              <w:rPr>
                <w:rFonts w:cs="Arial"/>
                <w:lang w:eastAsia="ko-KR"/>
              </w:rPr>
              <w:t>yosin-4</w:t>
            </w:r>
          </w:p>
        </w:tc>
        <w:tc>
          <w:tcPr>
            <w:tcW w:w="1350" w:type="dxa"/>
            <w:hideMark/>
          </w:tcPr>
          <w:p w14:paraId="77A981BF"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3CE37984" w14:textId="77777777" w:rsidR="00757238" w:rsidRPr="007D51F6" w:rsidRDefault="007D51F6" w:rsidP="00BA7D4D">
            <w:pPr>
              <w:jc w:val="right"/>
              <w:rPr>
                <w:rFonts w:cs="Arial"/>
                <w:lang w:eastAsia="ko-KR"/>
              </w:rPr>
            </w:pPr>
            <w:r w:rsidRPr="007D51F6">
              <w:rPr>
                <w:rFonts w:cs="Arial"/>
                <w:lang w:eastAsia="ko-KR"/>
              </w:rPr>
              <w:t>1,577.53</w:t>
            </w:r>
          </w:p>
        </w:tc>
      </w:tr>
      <w:tr w:rsidR="007D51F6" w:rsidRPr="007D51F6" w14:paraId="04747BFF" w14:textId="77777777" w:rsidTr="007D51F6">
        <w:tc>
          <w:tcPr>
            <w:tcW w:w="860" w:type="dxa"/>
            <w:hideMark/>
          </w:tcPr>
          <w:p w14:paraId="55D4A4A8" w14:textId="77777777" w:rsidR="00757238" w:rsidRPr="007D51F6" w:rsidRDefault="007D51F6" w:rsidP="007D51F6">
            <w:pPr>
              <w:jc w:val="center"/>
              <w:rPr>
                <w:rFonts w:cs="Arial"/>
                <w:lang w:eastAsia="ko-KR"/>
              </w:rPr>
            </w:pPr>
            <w:r w:rsidRPr="007D51F6">
              <w:rPr>
                <w:rFonts w:cs="Arial"/>
                <w:lang w:eastAsia="ko-KR"/>
              </w:rPr>
              <w:t>16</w:t>
            </w:r>
          </w:p>
        </w:tc>
        <w:tc>
          <w:tcPr>
            <w:tcW w:w="1720" w:type="dxa"/>
            <w:hideMark/>
          </w:tcPr>
          <w:p w14:paraId="59BD9E2A" w14:textId="77777777" w:rsidR="00757238" w:rsidRPr="007D51F6" w:rsidRDefault="007D51F6" w:rsidP="007D51F6">
            <w:pPr>
              <w:jc w:val="center"/>
              <w:rPr>
                <w:rFonts w:cs="Arial"/>
                <w:lang w:eastAsia="ko-KR"/>
              </w:rPr>
            </w:pPr>
            <w:r w:rsidRPr="007D51F6">
              <w:rPr>
                <w:rFonts w:cs="Arial"/>
                <w:lang w:eastAsia="ko-KR"/>
              </w:rPr>
              <w:t>MYH8</w:t>
            </w:r>
          </w:p>
        </w:tc>
        <w:tc>
          <w:tcPr>
            <w:tcW w:w="3667" w:type="dxa"/>
            <w:hideMark/>
          </w:tcPr>
          <w:p w14:paraId="5A69A8FE" w14:textId="1918E181" w:rsidR="00757238" w:rsidRPr="007D51F6" w:rsidRDefault="007D51F6" w:rsidP="007D51F6">
            <w:pPr>
              <w:jc w:val="left"/>
              <w:rPr>
                <w:rFonts w:cs="Arial"/>
                <w:lang w:eastAsia="ko-KR"/>
              </w:rPr>
            </w:pPr>
            <w:r>
              <w:rPr>
                <w:rFonts w:cs="Arial"/>
                <w:lang w:eastAsia="ko-KR"/>
              </w:rPr>
              <w:t>M</w:t>
            </w:r>
            <w:r w:rsidRPr="007D51F6">
              <w:rPr>
                <w:rFonts w:cs="Arial"/>
                <w:lang w:eastAsia="ko-KR"/>
              </w:rPr>
              <w:t>yosin-8</w:t>
            </w:r>
          </w:p>
        </w:tc>
        <w:tc>
          <w:tcPr>
            <w:tcW w:w="1350" w:type="dxa"/>
            <w:hideMark/>
          </w:tcPr>
          <w:p w14:paraId="2284FC28"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62CA42E0" w14:textId="77777777" w:rsidR="00757238" w:rsidRPr="007D51F6" w:rsidRDefault="007D51F6" w:rsidP="00BA7D4D">
            <w:pPr>
              <w:jc w:val="right"/>
              <w:rPr>
                <w:rFonts w:cs="Arial"/>
                <w:lang w:eastAsia="ko-KR"/>
              </w:rPr>
            </w:pPr>
            <w:r w:rsidRPr="007D51F6">
              <w:rPr>
                <w:rFonts w:cs="Arial"/>
                <w:lang w:eastAsia="ko-KR"/>
              </w:rPr>
              <w:t>1,572.74</w:t>
            </w:r>
          </w:p>
        </w:tc>
      </w:tr>
      <w:tr w:rsidR="007D51F6" w:rsidRPr="007D51F6" w14:paraId="3FA4C992" w14:textId="77777777" w:rsidTr="007D51F6">
        <w:tc>
          <w:tcPr>
            <w:tcW w:w="860" w:type="dxa"/>
            <w:hideMark/>
          </w:tcPr>
          <w:p w14:paraId="03C59957" w14:textId="77777777" w:rsidR="00757238" w:rsidRPr="007D51F6" w:rsidRDefault="007D51F6" w:rsidP="007D51F6">
            <w:pPr>
              <w:jc w:val="center"/>
              <w:rPr>
                <w:rFonts w:cs="Arial"/>
                <w:lang w:eastAsia="ko-KR"/>
              </w:rPr>
            </w:pPr>
            <w:r w:rsidRPr="007D51F6">
              <w:rPr>
                <w:rFonts w:cs="Arial"/>
                <w:lang w:eastAsia="ko-KR"/>
              </w:rPr>
              <w:t>17</w:t>
            </w:r>
          </w:p>
        </w:tc>
        <w:tc>
          <w:tcPr>
            <w:tcW w:w="1720" w:type="dxa"/>
            <w:hideMark/>
          </w:tcPr>
          <w:p w14:paraId="4E985ED2" w14:textId="77777777" w:rsidR="00757238" w:rsidRPr="007D51F6" w:rsidRDefault="007D51F6" w:rsidP="007D51F6">
            <w:pPr>
              <w:jc w:val="center"/>
              <w:rPr>
                <w:rFonts w:cs="Arial"/>
                <w:lang w:eastAsia="ko-KR"/>
              </w:rPr>
            </w:pPr>
            <w:r w:rsidRPr="007D51F6">
              <w:rPr>
                <w:rFonts w:cs="Arial"/>
                <w:lang w:eastAsia="ko-KR"/>
              </w:rPr>
              <w:t>UBC</w:t>
            </w:r>
          </w:p>
        </w:tc>
        <w:tc>
          <w:tcPr>
            <w:tcW w:w="3667" w:type="dxa"/>
            <w:hideMark/>
          </w:tcPr>
          <w:p w14:paraId="467A6B51" w14:textId="28AC4B1D" w:rsidR="00757238" w:rsidRPr="007D51F6" w:rsidRDefault="007D51F6" w:rsidP="007D51F6">
            <w:pPr>
              <w:jc w:val="left"/>
              <w:rPr>
                <w:rFonts w:cs="Arial"/>
                <w:lang w:eastAsia="ko-KR"/>
              </w:rPr>
            </w:pPr>
            <w:r>
              <w:rPr>
                <w:rFonts w:cs="Arial"/>
                <w:lang w:eastAsia="ko-KR"/>
              </w:rPr>
              <w:t>P</w:t>
            </w:r>
            <w:r w:rsidRPr="007D51F6">
              <w:rPr>
                <w:rFonts w:cs="Arial"/>
                <w:lang w:eastAsia="ko-KR"/>
              </w:rPr>
              <w:t>olyubiquitin-C</w:t>
            </w:r>
          </w:p>
        </w:tc>
        <w:tc>
          <w:tcPr>
            <w:tcW w:w="1350" w:type="dxa"/>
            <w:hideMark/>
          </w:tcPr>
          <w:p w14:paraId="6173D1C6"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3343807B" w14:textId="77777777" w:rsidR="00757238" w:rsidRPr="007D51F6" w:rsidRDefault="007D51F6" w:rsidP="00BA7D4D">
            <w:pPr>
              <w:jc w:val="right"/>
              <w:rPr>
                <w:rFonts w:cs="Arial"/>
                <w:lang w:eastAsia="ko-KR"/>
              </w:rPr>
            </w:pPr>
            <w:r w:rsidRPr="007D51F6">
              <w:rPr>
                <w:rFonts w:cs="Arial"/>
                <w:lang w:eastAsia="ko-KR"/>
              </w:rPr>
              <w:t>1,568.63</w:t>
            </w:r>
          </w:p>
        </w:tc>
      </w:tr>
      <w:tr w:rsidR="007D51F6" w:rsidRPr="007D51F6" w14:paraId="7697FF7E" w14:textId="77777777" w:rsidTr="007D51F6">
        <w:tc>
          <w:tcPr>
            <w:tcW w:w="860" w:type="dxa"/>
            <w:hideMark/>
          </w:tcPr>
          <w:p w14:paraId="2FD5CC8B" w14:textId="77777777" w:rsidR="00757238" w:rsidRPr="007D51F6" w:rsidRDefault="007D51F6" w:rsidP="007D51F6">
            <w:pPr>
              <w:jc w:val="center"/>
              <w:rPr>
                <w:rFonts w:cs="Arial"/>
                <w:lang w:eastAsia="ko-KR"/>
              </w:rPr>
            </w:pPr>
            <w:r w:rsidRPr="007D51F6">
              <w:rPr>
                <w:rFonts w:cs="Arial"/>
                <w:lang w:eastAsia="ko-KR"/>
              </w:rPr>
              <w:t>18</w:t>
            </w:r>
          </w:p>
        </w:tc>
        <w:tc>
          <w:tcPr>
            <w:tcW w:w="1720" w:type="dxa"/>
            <w:hideMark/>
          </w:tcPr>
          <w:p w14:paraId="3814B68E" w14:textId="77777777" w:rsidR="00757238" w:rsidRPr="007D51F6" w:rsidRDefault="007D51F6" w:rsidP="007D51F6">
            <w:pPr>
              <w:jc w:val="center"/>
              <w:rPr>
                <w:rFonts w:cs="Arial"/>
                <w:lang w:eastAsia="ko-KR"/>
              </w:rPr>
            </w:pPr>
            <w:r w:rsidRPr="007D51F6">
              <w:rPr>
                <w:rFonts w:cs="Arial"/>
                <w:lang w:eastAsia="ko-KR"/>
              </w:rPr>
              <w:t>PRSS2</w:t>
            </w:r>
          </w:p>
        </w:tc>
        <w:tc>
          <w:tcPr>
            <w:tcW w:w="3667" w:type="dxa"/>
            <w:hideMark/>
          </w:tcPr>
          <w:p w14:paraId="0DAC390F" w14:textId="158BE021" w:rsidR="00757238" w:rsidRPr="007D51F6" w:rsidRDefault="007D51F6" w:rsidP="007D51F6">
            <w:pPr>
              <w:jc w:val="left"/>
              <w:rPr>
                <w:rFonts w:cs="Arial"/>
                <w:lang w:eastAsia="ko-KR"/>
              </w:rPr>
            </w:pPr>
            <w:r>
              <w:rPr>
                <w:rFonts w:cs="Arial"/>
                <w:lang w:eastAsia="ko-KR"/>
              </w:rPr>
              <w:t>T</w:t>
            </w:r>
            <w:r w:rsidRPr="007D51F6">
              <w:rPr>
                <w:rFonts w:cs="Arial"/>
                <w:lang w:eastAsia="ko-KR"/>
              </w:rPr>
              <w:t>rypsin-2 preproprotein</w:t>
            </w:r>
          </w:p>
        </w:tc>
        <w:tc>
          <w:tcPr>
            <w:tcW w:w="1350" w:type="dxa"/>
            <w:hideMark/>
          </w:tcPr>
          <w:p w14:paraId="2315B544"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12D7A9C1" w14:textId="77777777" w:rsidR="00757238" w:rsidRPr="007D51F6" w:rsidRDefault="007D51F6" w:rsidP="00BA7D4D">
            <w:pPr>
              <w:jc w:val="right"/>
              <w:rPr>
                <w:rFonts w:cs="Arial"/>
                <w:lang w:eastAsia="ko-KR"/>
              </w:rPr>
            </w:pPr>
            <w:r w:rsidRPr="007D51F6">
              <w:rPr>
                <w:rFonts w:cs="Arial"/>
                <w:lang w:eastAsia="ko-KR"/>
              </w:rPr>
              <w:t>1,178.51</w:t>
            </w:r>
          </w:p>
        </w:tc>
      </w:tr>
      <w:tr w:rsidR="007D51F6" w:rsidRPr="007D51F6" w14:paraId="5697CF3A" w14:textId="77777777" w:rsidTr="007D51F6">
        <w:tc>
          <w:tcPr>
            <w:tcW w:w="860" w:type="dxa"/>
            <w:hideMark/>
          </w:tcPr>
          <w:p w14:paraId="40316F52" w14:textId="77777777" w:rsidR="00757238" w:rsidRPr="007D51F6" w:rsidRDefault="007D51F6" w:rsidP="007D51F6">
            <w:pPr>
              <w:jc w:val="center"/>
              <w:rPr>
                <w:rFonts w:cs="Arial"/>
                <w:lang w:eastAsia="ko-KR"/>
              </w:rPr>
            </w:pPr>
            <w:r w:rsidRPr="007D51F6">
              <w:rPr>
                <w:rFonts w:cs="Arial"/>
                <w:lang w:eastAsia="ko-KR"/>
              </w:rPr>
              <w:t>19</w:t>
            </w:r>
          </w:p>
        </w:tc>
        <w:tc>
          <w:tcPr>
            <w:tcW w:w="1720" w:type="dxa"/>
            <w:hideMark/>
          </w:tcPr>
          <w:p w14:paraId="43888204" w14:textId="77777777" w:rsidR="00757238" w:rsidRPr="007D51F6" w:rsidRDefault="007D51F6" w:rsidP="007D51F6">
            <w:pPr>
              <w:jc w:val="center"/>
              <w:rPr>
                <w:rFonts w:cs="Arial"/>
                <w:lang w:eastAsia="ko-KR"/>
              </w:rPr>
            </w:pPr>
            <w:r w:rsidRPr="007D51F6">
              <w:rPr>
                <w:rFonts w:cs="Arial"/>
                <w:lang w:eastAsia="ko-KR"/>
              </w:rPr>
              <w:t>MYH6</w:t>
            </w:r>
          </w:p>
        </w:tc>
        <w:tc>
          <w:tcPr>
            <w:tcW w:w="3667" w:type="dxa"/>
            <w:hideMark/>
          </w:tcPr>
          <w:p w14:paraId="66F0BC80" w14:textId="5D1EC493" w:rsidR="00757238" w:rsidRPr="007D51F6" w:rsidRDefault="007D51F6" w:rsidP="007D51F6">
            <w:pPr>
              <w:jc w:val="left"/>
              <w:rPr>
                <w:rFonts w:cs="Arial"/>
                <w:lang w:eastAsia="ko-KR"/>
              </w:rPr>
            </w:pPr>
            <w:r>
              <w:rPr>
                <w:rFonts w:cs="Arial"/>
                <w:lang w:eastAsia="ko-KR"/>
              </w:rPr>
              <w:t>M</w:t>
            </w:r>
            <w:r w:rsidRPr="007D51F6">
              <w:rPr>
                <w:rFonts w:cs="Arial"/>
                <w:lang w:eastAsia="ko-KR"/>
              </w:rPr>
              <w:t>yosin-6</w:t>
            </w:r>
          </w:p>
        </w:tc>
        <w:tc>
          <w:tcPr>
            <w:tcW w:w="1350" w:type="dxa"/>
            <w:hideMark/>
          </w:tcPr>
          <w:p w14:paraId="3C7C6DAA"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0C87F392" w14:textId="77777777" w:rsidR="00757238" w:rsidRPr="007D51F6" w:rsidRDefault="007D51F6" w:rsidP="00BA7D4D">
            <w:pPr>
              <w:jc w:val="right"/>
              <w:rPr>
                <w:rFonts w:cs="Arial"/>
                <w:lang w:eastAsia="ko-KR"/>
              </w:rPr>
            </w:pPr>
            <w:r w:rsidRPr="007D51F6">
              <w:rPr>
                <w:rFonts w:cs="Arial"/>
                <w:lang w:eastAsia="ko-KR"/>
              </w:rPr>
              <w:t>1,134.14</w:t>
            </w:r>
          </w:p>
        </w:tc>
      </w:tr>
      <w:tr w:rsidR="007D51F6" w:rsidRPr="007D51F6" w14:paraId="654B9ECE" w14:textId="77777777" w:rsidTr="007D51F6">
        <w:tc>
          <w:tcPr>
            <w:tcW w:w="860" w:type="dxa"/>
            <w:hideMark/>
          </w:tcPr>
          <w:p w14:paraId="18F5BDD6" w14:textId="77777777" w:rsidR="00757238" w:rsidRPr="007D51F6" w:rsidRDefault="007D51F6" w:rsidP="007D51F6">
            <w:pPr>
              <w:jc w:val="center"/>
              <w:rPr>
                <w:rFonts w:cs="Arial"/>
                <w:lang w:eastAsia="ko-KR"/>
              </w:rPr>
            </w:pPr>
            <w:r w:rsidRPr="007D51F6">
              <w:rPr>
                <w:rFonts w:cs="Arial"/>
                <w:lang w:eastAsia="ko-KR"/>
              </w:rPr>
              <w:t>20</w:t>
            </w:r>
          </w:p>
        </w:tc>
        <w:tc>
          <w:tcPr>
            <w:tcW w:w="1720" w:type="dxa"/>
            <w:hideMark/>
          </w:tcPr>
          <w:p w14:paraId="26808573" w14:textId="77777777" w:rsidR="00757238" w:rsidRPr="007D51F6" w:rsidRDefault="007D51F6" w:rsidP="007D51F6">
            <w:pPr>
              <w:jc w:val="center"/>
              <w:rPr>
                <w:rFonts w:cs="Arial"/>
                <w:lang w:eastAsia="ko-KR"/>
              </w:rPr>
            </w:pPr>
            <w:r w:rsidRPr="007D51F6">
              <w:rPr>
                <w:rFonts w:cs="Arial"/>
                <w:lang w:eastAsia="ko-KR"/>
              </w:rPr>
              <w:t>MYH7</w:t>
            </w:r>
          </w:p>
        </w:tc>
        <w:tc>
          <w:tcPr>
            <w:tcW w:w="3667" w:type="dxa"/>
            <w:hideMark/>
          </w:tcPr>
          <w:p w14:paraId="2B8C43ED" w14:textId="36FA9B0E" w:rsidR="00757238" w:rsidRPr="007D51F6" w:rsidRDefault="007D51F6" w:rsidP="007D51F6">
            <w:pPr>
              <w:jc w:val="left"/>
              <w:rPr>
                <w:rFonts w:cs="Arial"/>
                <w:lang w:eastAsia="ko-KR"/>
              </w:rPr>
            </w:pPr>
            <w:r>
              <w:rPr>
                <w:rFonts w:cs="Arial"/>
                <w:lang w:eastAsia="ko-KR"/>
              </w:rPr>
              <w:t>M</w:t>
            </w:r>
            <w:r w:rsidRPr="007D51F6">
              <w:rPr>
                <w:rFonts w:cs="Arial"/>
                <w:lang w:eastAsia="ko-KR"/>
              </w:rPr>
              <w:t>yosin-7</w:t>
            </w:r>
          </w:p>
        </w:tc>
        <w:tc>
          <w:tcPr>
            <w:tcW w:w="1350" w:type="dxa"/>
            <w:hideMark/>
          </w:tcPr>
          <w:p w14:paraId="3F16A8F3"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635C418D" w14:textId="77777777" w:rsidR="00757238" w:rsidRPr="007D51F6" w:rsidRDefault="007D51F6" w:rsidP="00BA7D4D">
            <w:pPr>
              <w:jc w:val="right"/>
              <w:rPr>
                <w:rFonts w:cs="Arial"/>
                <w:lang w:eastAsia="ko-KR"/>
              </w:rPr>
            </w:pPr>
            <w:r w:rsidRPr="007D51F6">
              <w:rPr>
                <w:rFonts w:cs="Arial"/>
                <w:lang w:eastAsia="ko-KR"/>
              </w:rPr>
              <w:t>1,126.16</w:t>
            </w:r>
          </w:p>
        </w:tc>
      </w:tr>
      <w:tr w:rsidR="007D51F6" w:rsidRPr="007D51F6" w14:paraId="015D6FB7" w14:textId="77777777" w:rsidTr="007D51F6">
        <w:tc>
          <w:tcPr>
            <w:tcW w:w="860" w:type="dxa"/>
            <w:hideMark/>
          </w:tcPr>
          <w:p w14:paraId="211823D9" w14:textId="77777777" w:rsidR="00757238" w:rsidRPr="007D51F6" w:rsidRDefault="007D51F6" w:rsidP="007D51F6">
            <w:pPr>
              <w:jc w:val="center"/>
              <w:rPr>
                <w:rFonts w:cs="Arial"/>
                <w:lang w:eastAsia="ko-KR"/>
              </w:rPr>
            </w:pPr>
            <w:r w:rsidRPr="007D51F6">
              <w:rPr>
                <w:rFonts w:cs="Arial"/>
                <w:lang w:eastAsia="ko-KR"/>
              </w:rPr>
              <w:t>21</w:t>
            </w:r>
          </w:p>
        </w:tc>
        <w:tc>
          <w:tcPr>
            <w:tcW w:w="1720" w:type="dxa"/>
            <w:hideMark/>
          </w:tcPr>
          <w:p w14:paraId="3623FB99" w14:textId="77777777" w:rsidR="00757238" w:rsidRPr="007D51F6" w:rsidRDefault="007D51F6" w:rsidP="007D51F6">
            <w:pPr>
              <w:jc w:val="center"/>
              <w:rPr>
                <w:rFonts w:cs="Arial"/>
                <w:lang w:eastAsia="ko-KR"/>
              </w:rPr>
            </w:pPr>
            <w:r w:rsidRPr="007D51F6">
              <w:rPr>
                <w:rFonts w:cs="Arial"/>
                <w:lang w:eastAsia="ko-KR"/>
              </w:rPr>
              <w:t>CTRB2</w:t>
            </w:r>
          </w:p>
        </w:tc>
        <w:tc>
          <w:tcPr>
            <w:tcW w:w="3667" w:type="dxa"/>
            <w:hideMark/>
          </w:tcPr>
          <w:p w14:paraId="1D77E62A" w14:textId="799AD9B9" w:rsidR="00757238" w:rsidRPr="007D51F6" w:rsidRDefault="007D51F6" w:rsidP="007D51F6">
            <w:pPr>
              <w:jc w:val="left"/>
              <w:rPr>
                <w:rFonts w:cs="Arial"/>
                <w:lang w:eastAsia="ko-KR"/>
              </w:rPr>
            </w:pPr>
            <w:r>
              <w:rPr>
                <w:rFonts w:cs="Arial"/>
                <w:lang w:eastAsia="ko-KR"/>
              </w:rPr>
              <w:t>C</w:t>
            </w:r>
            <w:r w:rsidRPr="007D51F6">
              <w:rPr>
                <w:rFonts w:cs="Arial"/>
                <w:lang w:eastAsia="ko-KR"/>
              </w:rPr>
              <w:t>hymotrypsinogen B2 precursor</w:t>
            </w:r>
          </w:p>
        </w:tc>
        <w:tc>
          <w:tcPr>
            <w:tcW w:w="1350" w:type="dxa"/>
            <w:hideMark/>
          </w:tcPr>
          <w:p w14:paraId="1BC59AF9" w14:textId="77777777" w:rsidR="00757238" w:rsidRPr="007D51F6" w:rsidRDefault="007D51F6" w:rsidP="007D51F6">
            <w:pPr>
              <w:jc w:val="right"/>
              <w:rPr>
                <w:rFonts w:cs="Arial"/>
                <w:lang w:eastAsia="ko-KR"/>
              </w:rPr>
            </w:pPr>
            <w:r w:rsidRPr="007D51F6">
              <w:rPr>
                <w:rFonts w:cs="Arial"/>
                <w:lang w:eastAsia="ko-KR"/>
              </w:rPr>
              <w:t>10</w:t>
            </w:r>
          </w:p>
        </w:tc>
        <w:tc>
          <w:tcPr>
            <w:tcW w:w="1151" w:type="dxa"/>
            <w:hideMark/>
          </w:tcPr>
          <w:p w14:paraId="06D70167" w14:textId="77777777" w:rsidR="00757238" w:rsidRPr="007D51F6" w:rsidRDefault="007D51F6" w:rsidP="00BA7D4D">
            <w:pPr>
              <w:jc w:val="right"/>
              <w:rPr>
                <w:rFonts w:cs="Arial"/>
                <w:lang w:eastAsia="ko-KR"/>
              </w:rPr>
            </w:pPr>
            <w:r w:rsidRPr="007D51F6">
              <w:rPr>
                <w:rFonts w:cs="Arial"/>
                <w:lang w:eastAsia="ko-KR"/>
              </w:rPr>
              <w:t>1,041.42</w:t>
            </w:r>
          </w:p>
        </w:tc>
      </w:tr>
      <w:tr w:rsidR="007D51F6" w:rsidRPr="007D51F6" w14:paraId="598A03AC" w14:textId="77777777" w:rsidTr="007D51F6">
        <w:tc>
          <w:tcPr>
            <w:tcW w:w="860" w:type="dxa"/>
            <w:hideMark/>
          </w:tcPr>
          <w:p w14:paraId="789361CB" w14:textId="77777777" w:rsidR="00757238" w:rsidRPr="007D51F6" w:rsidRDefault="007D51F6" w:rsidP="007D51F6">
            <w:pPr>
              <w:jc w:val="center"/>
              <w:rPr>
                <w:rFonts w:cs="Arial"/>
                <w:lang w:eastAsia="ko-KR"/>
              </w:rPr>
            </w:pPr>
            <w:r w:rsidRPr="007D51F6">
              <w:rPr>
                <w:rFonts w:cs="Arial"/>
                <w:lang w:eastAsia="ko-KR"/>
              </w:rPr>
              <w:t>22</w:t>
            </w:r>
          </w:p>
        </w:tc>
        <w:tc>
          <w:tcPr>
            <w:tcW w:w="1720" w:type="dxa"/>
            <w:hideMark/>
          </w:tcPr>
          <w:p w14:paraId="491BB04B" w14:textId="77777777" w:rsidR="00757238" w:rsidRPr="007D51F6" w:rsidRDefault="007D51F6" w:rsidP="007D51F6">
            <w:pPr>
              <w:jc w:val="center"/>
              <w:rPr>
                <w:rFonts w:cs="Arial"/>
                <w:lang w:eastAsia="ko-KR"/>
              </w:rPr>
            </w:pPr>
            <w:r w:rsidRPr="007D51F6">
              <w:rPr>
                <w:rFonts w:cs="Arial"/>
                <w:lang w:eastAsia="ko-KR"/>
              </w:rPr>
              <w:t>CTRB1</w:t>
            </w:r>
          </w:p>
        </w:tc>
        <w:tc>
          <w:tcPr>
            <w:tcW w:w="3667" w:type="dxa"/>
            <w:hideMark/>
          </w:tcPr>
          <w:p w14:paraId="464702E4" w14:textId="39B991C9" w:rsidR="00757238" w:rsidRPr="007D51F6" w:rsidRDefault="007D51F6" w:rsidP="007D51F6">
            <w:pPr>
              <w:jc w:val="left"/>
              <w:rPr>
                <w:rFonts w:cs="Arial"/>
                <w:lang w:eastAsia="ko-KR"/>
              </w:rPr>
            </w:pPr>
            <w:r>
              <w:rPr>
                <w:rFonts w:cs="Arial"/>
                <w:lang w:eastAsia="ko-KR"/>
              </w:rPr>
              <w:t>C</w:t>
            </w:r>
            <w:r w:rsidRPr="007D51F6">
              <w:rPr>
                <w:rFonts w:cs="Arial"/>
                <w:lang w:eastAsia="ko-KR"/>
              </w:rPr>
              <w:t>hymotrypsinogen B precursor</w:t>
            </w:r>
          </w:p>
        </w:tc>
        <w:tc>
          <w:tcPr>
            <w:tcW w:w="1350" w:type="dxa"/>
            <w:hideMark/>
          </w:tcPr>
          <w:p w14:paraId="2D46AFE8" w14:textId="77777777" w:rsidR="00757238" w:rsidRPr="007D51F6" w:rsidRDefault="007D51F6" w:rsidP="007D51F6">
            <w:pPr>
              <w:jc w:val="right"/>
              <w:rPr>
                <w:rFonts w:cs="Arial"/>
                <w:lang w:eastAsia="ko-KR"/>
              </w:rPr>
            </w:pPr>
            <w:r w:rsidRPr="007D51F6">
              <w:rPr>
                <w:rFonts w:cs="Arial"/>
                <w:lang w:eastAsia="ko-KR"/>
              </w:rPr>
              <w:t>10</w:t>
            </w:r>
          </w:p>
        </w:tc>
        <w:tc>
          <w:tcPr>
            <w:tcW w:w="1151" w:type="dxa"/>
            <w:hideMark/>
          </w:tcPr>
          <w:p w14:paraId="0BD73146" w14:textId="77777777" w:rsidR="00757238" w:rsidRPr="007D51F6" w:rsidRDefault="007D51F6" w:rsidP="00BA7D4D">
            <w:pPr>
              <w:jc w:val="right"/>
              <w:rPr>
                <w:rFonts w:cs="Arial"/>
                <w:lang w:eastAsia="ko-KR"/>
              </w:rPr>
            </w:pPr>
            <w:r w:rsidRPr="007D51F6">
              <w:rPr>
                <w:rFonts w:cs="Arial"/>
                <w:lang w:eastAsia="ko-KR"/>
              </w:rPr>
              <w:t>997.56</w:t>
            </w:r>
          </w:p>
        </w:tc>
      </w:tr>
      <w:tr w:rsidR="007D51F6" w:rsidRPr="007D51F6" w14:paraId="575F1FCB" w14:textId="77777777" w:rsidTr="007D51F6">
        <w:tc>
          <w:tcPr>
            <w:tcW w:w="860" w:type="dxa"/>
            <w:hideMark/>
          </w:tcPr>
          <w:p w14:paraId="1EBBD4FF" w14:textId="77777777" w:rsidR="00757238" w:rsidRPr="007D51F6" w:rsidRDefault="007D51F6" w:rsidP="007D51F6">
            <w:pPr>
              <w:jc w:val="center"/>
              <w:rPr>
                <w:rFonts w:cs="Arial"/>
                <w:lang w:eastAsia="ko-KR"/>
              </w:rPr>
            </w:pPr>
            <w:r w:rsidRPr="007D51F6">
              <w:rPr>
                <w:rFonts w:cs="Arial"/>
                <w:lang w:eastAsia="ko-KR"/>
              </w:rPr>
              <w:t>23</w:t>
            </w:r>
          </w:p>
        </w:tc>
        <w:tc>
          <w:tcPr>
            <w:tcW w:w="1720" w:type="dxa"/>
            <w:hideMark/>
          </w:tcPr>
          <w:p w14:paraId="26E7099D" w14:textId="77777777" w:rsidR="00757238" w:rsidRPr="007D51F6" w:rsidRDefault="007D51F6" w:rsidP="007D51F6">
            <w:pPr>
              <w:jc w:val="center"/>
              <w:rPr>
                <w:rFonts w:cs="Arial"/>
                <w:lang w:eastAsia="ko-KR"/>
              </w:rPr>
            </w:pPr>
            <w:r w:rsidRPr="007D51F6">
              <w:rPr>
                <w:rFonts w:cs="Arial"/>
                <w:lang w:eastAsia="ko-KR"/>
              </w:rPr>
              <w:t>*PIGR</w:t>
            </w:r>
          </w:p>
        </w:tc>
        <w:tc>
          <w:tcPr>
            <w:tcW w:w="3667" w:type="dxa"/>
            <w:hideMark/>
          </w:tcPr>
          <w:p w14:paraId="086890C0" w14:textId="5D1A51ED" w:rsidR="00757238" w:rsidRPr="007D51F6" w:rsidRDefault="007D51F6" w:rsidP="007D51F6">
            <w:pPr>
              <w:jc w:val="left"/>
              <w:rPr>
                <w:rFonts w:cs="Arial"/>
                <w:lang w:eastAsia="ko-KR"/>
              </w:rPr>
            </w:pPr>
            <w:r>
              <w:rPr>
                <w:rFonts w:cs="Arial"/>
                <w:lang w:eastAsia="ko-KR"/>
              </w:rPr>
              <w:t>P</w:t>
            </w:r>
            <w:r w:rsidRPr="007D51F6">
              <w:rPr>
                <w:rFonts w:cs="Arial"/>
                <w:lang w:eastAsia="ko-KR"/>
              </w:rPr>
              <w:t>olymeric immunoglobulin receptor precursor</w:t>
            </w:r>
          </w:p>
        </w:tc>
        <w:tc>
          <w:tcPr>
            <w:tcW w:w="1350" w:type="dxa"/>
            <w:hideMark/>
          </w:tcPr>
          <w:p w14:paraId="2E85B885" w14:textId="77777777" w:rsidR="00757238" w:rsidRPr="007D51F6" w:rsidRDefault="007D51F6" w:rsidP="007D51F6">
            <w:pPr>
              <w:jc w:val="right"/>
              <w:rPr>
                <w:rFonts w:cs="Arial"/>
                <w:lang w:eastAsia="ko-KR"/>
              </w:rPr>
            </w:pPr>
            <w:r w:rsidRPr="007D51F6">
              <w:rPr>
                <w:rFonts w:cs="Arial"/>
                <w:lang w:eastAsia="ko-KR"/>
              </w:rPr>
              <w:t>10</w:t>
            </w:r>
          </w:p>
        </w:tc>
        <w:tc>
          <w:tcPr>
            <w:tcW w:w="1151" w:type="dxa"/>
            <w:hideMark/>
          </w:tcPr>
          <w:p w14:paraId="5B048495" w14:textId="77777777" w:rsidR="00757238" w:rsidRPr="007D51F6" w:rsidRDefault="007D51F6" w:rsidP="00BA7D4D">
            <w:pPr>
              <w:jc w:val="right"/>
              <w:rPr>
                <w:rFonts w:cs="Arial"/>
                <w:lang w:eastAsia="ko-KR"/>
              </w:rPr>
            </w:pPr>
            <w:r w:rsidRPr="007D51F6">
              <w:rPr>
                <w:rFonts w:cs="Arial"/>
                <w:lang w:eastAsia="ko-KR"/>
              </w:rPr>
              <w:t>950.77</w:t>
            </w:r>
          </w:p>
        </w:tc>
      </w:tr>
      <w:tr w:rsidR="007D51F6" w:rsidRPr="007D51F6" w14:paraId="5435150F" w14:textId="77777777" w:rsidTr="007D51F6">
        <w:tc>
          <w:tcPr>
            <w:tcW w:w="860" w:type="dxa"/>
            <w:hideMark/>
          </w:tcPr>
          <w:p w14:paraId="77539C83" w14:textId="77777777" w:rsidR="00757238" w:rsidRPr="007D51F6" w:rsidRDefault="007D51F6" w:rsidP="007D51F6">
            <w:pPr>
              <w:jc w:val="center"/>
              <w:rPr>
                <w:rFonts w:cs="Arial"/>
                <w:lang w:eastAsia="ko-KR"/>
              </w:rPr>
            </w:pPr>
            <w:r w:rsidRPr="007D51F6">
              <w:rPr>
                <w:rFonts w:cs="Arial"/>
                <w:lang w:eastAsia="ko-KR"/>
              </w:rPr>
              <w:t>24</w:t>
            </w:r>
          </w:p>
        </w:tc>
        <w:tc>
          <w:tcPr>
            <w:tcW w:w="1720" w:type="dxa"/>
            <w:hideMark/>
          </w:tcPr>
          <w:p w14:paraId="5DA851C3" w14:textId="77777777" w:rsidR="00757238" w:rsidRPr="007D51F6" w:rsidRDefault="007D51F6" w:rsidP="007D51F6">
            <w:pPr>
              <w:jc w:val="center"/>
              <w:rPr>
                <w:rFonts w:cs="Arial"/>
                <w:lang w:eastAsia="ko-KR"/>
              </w:rPr>
            </w:pPr>
            <w:r w:rsidRPr="007D51F6">
              <w:rPr>
                <w:rFonts w:cs="Arial"/>
                <w:lang w:eastAsia="ko-KR"/>
              </w:rPr>
              <w:t>*IGLL5</w:t>
            </w:r>
          </w:p>
        </w:tc>
        <w:tc>
          <w:tcPr>
            <w:tcW w:w="3667" w:type="dxa"/>
            <w:hideMark/>
          </w:tcPr>
          <w:p w14:paraId="1D558F91" w14:textId="2493567C" w:rsidR="00757238" w:rsidRPr="007D51F6" w:rsidRDefault="007D51F6" w:rsidP="007D51F6">
            <w:pPr>
              <w:jc w:val="left"/>
              <w:rPr>
                <w:rFonts w:cs="Arial"/>
                <w:lang w:eastAsia="ko-KR"/>
              </w:rPr>
            </w:pPr>
            <w:r>
              <w:rPr>
                <w:rFonts w:cs="Arial"/>
                <w:lang w:eastAsia="ko-KR"/>
              </w:rPr>
              <w:t>I</w:t>
            </w:r>
            <w:r w:rsidRPr="007D51F6">
              <w:rPr>
                <w:rFonts w:cs="Arial"/>
                <w:lang w:eastAsia="ko-KR"/>
              </w:rPr>
              <w:t>mmunoglobulin lambda-like polypeptide 5</w:t>
            </w:r>
          </w:p>
        </w:tc>
        <w:tc>
          <w:tcPr>
            <w:tcW w:w="1350" w:type="dxa"/>
            <w:hideMark/>
          </w:tcPr>
          <w:p w14:paraId="76716C76"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785AF34F" w14:textId="77777777" w:rsidR="00757238" w:rsidRPr="007D51F6" w:rsidRDefault="007D51F6" w:rsidP="00BA7D4D">
            <w:pPr>
              <w:jc w:val="right"/>
              <w:rPr>
                <w:rFonts w:cs="Arial"/>
                <w:lang w:eastAsia="ko-KR"/>
              </w:rPr>
            </w:pPr>
            <w:r w:rsidRPr="007D51F6">
              <w:rPr>
                <w:rFonts w:cs="Arial"/>
                <w:lang w:eastAsia="ko-KR"/>
              </w:rPr>
              <w:t>938.32</w:t>
            </w:r>
          </w:p>
        </w:tc>
      </w:tr>
      <w:tr w:rsidR="007D51F6" w:rsidRPr="007D51F6" w14:paraId="3727547C" w14:textId="77777777" w:rsidTr="007D51F6">
        <w:tc>
          <w:tcPr>
            <w:tcW w:w="860" w:type="dxa"/>
            <w:hideMark/>
          </w:tcPr>
          <w:p w14:paraId="1375C7EE" w14:textId="77777777" w:rsidR="00757238" w:rsidRPr="007D51F6" w:rsidRDefault="007D51F6" w:rsidP="007D51F6">
            <w:pPr>
              <w:jc w:val="center"/>
              <w:rPr>
                <w:rFonts w:cs="Arial"/>
                <w:lang w:eastAsia="ko-KR"/>
              </w:rPr>
            </w:pPr>
            <w:r w:rsidRPr="007D51F6">
              <w:rPr>
                <w:rFonts w:cs="Arial"/>
                <w:lang w:eastAsia="ko-KR"/>
              </w:rPr>
              <w:t>25</w:t>
            </w:r>
          </w:p>
        </w:tc>
        <w:tc>
          <w:tcPr>
            <w:tcW w:w="1720" w:type="dxa"/>
            <w:hideMark/>
          </w:tcPr>
          <w:p w14:paraId="2883A305" w14:textId="77777777" w:rsidR="00757238" w:rsidRPr="007D51F6" w:rsidRDefault="007D51F6" w:rsidP="007D51F6">
            <w:pPr>
              <w:jc w:val="center"/>
              <w:rPr>
                <w:rFonts w:cs="Arial"/>
                <w:lang w:eastAsia="ko-KR"/>
              </w:rPr>
            </w:pPr>
            <w:r w:rsidRPr="007D51F6">
              <w:rPr>
                <w:rFonts w:cs="Arial"/>
                <w:lang w:eastAsia="ko-KR"/>
              </w:rPr>
              <w:t>*SERPINA3</w:t>
            </w:r>
          </w:p>
        </w:tc>
        <w:tc>
          <w:tcPr>
            <w:tcW w:w="3667" w:type="dxa"/>
            <w:hideMark/>
          </w:tcPr>
          <w:p w14:paraId="5D11BB13" w14:textId="45209468" w:rsidR="00757238" w:rsidRPr="007D51F6" w:rsidRDefault="007D51F6" w:rsidP="007D51F6">
            <w:pPr>
              <w:jc w:val="left"/>
              <w:rPr>
                <w:rFonts w:cs="Arial"/>
                <w:lang w:eastAsia="ko-KR"/>
              </w:rPr>
            </w:pPr>
            <w:r>
              <w:rPr>
                <w:rFonts w:cs="Arial"/>
                <w:lang w:eastAsia="ko-KR"/>
              </w:rPr>
              <w:t>A</w:t>
            </w:r>
            <w:r w:rsidRPr="007D51F6">
              <w:rPr>
                <w:rFonts w:cs="Arial"/>
                <w:lang w:eastAsia="ko-KR"/>
              </w:rPr>
              <w:t>lpha-1-antichymotrypsin precursor [Homo sapiens]</w:t>
            </w:r>
          </w:p>
        </w:tc>
        <w:tc>
          <w:tcPr>
            <w:tcW w:w="1350" w:type="dxa"/>
            <w:hideMark/>
          </w:tcPr>
          <w:p w14:paraId="0C42B3F4" w14:textId="77777777" w:rsidR="00757238" w:rsidRPr="007D51F6" w:rsidRDefault="007D51F6" w:rsidP="007D51F6">
            <w:pPr>
              <w:jc w:val="right"/>
              <w:rPr>
                <w:rFonts w:cs="Arial"/>
                <w:lang w:eastAsia="ko-KR"/>
              </w:rPr>
            </w:pPr>
            <w:r w:rsidRPr="007D51F6">
              <w:rPr>
                <w:rFonts w:cs="Arial"/>
                <w:lang w:eastAsia="ko-KR"/>
              </w:rPr>
              <w:t>11</w:t>
            </w:r>
          </w:p>
        </w:tc>
        <w:tc>
          <w:tcPr>
            <w:tcW w:w="1151" w:type="dxa"/>
            <w:hideMark/>
          </w:tcPr>
          <w:p w14:paraId="75FE4844" w14:textId="77777777" w:rsidR="00757238" w:rsidRPr="007D51F6" w:rsidRDefault="007D51F6" w:rsidP="00BA7D4D">
            <w:pPr>
              <w:jc w:val="right"/>
              <w:rPr>
                <w:rFonts w:cs="Arial"/>
                <w:lang w:eastAsia="ko-KR"/>
              </w:rPr>
            </w:pPr>
            <w:r w:rsidRPr="007D51F6">
              <w:rPr>
                <w:rFonts w:cs="Arial"/>
                <w:lang w:eastAsia="ko-KR"/>
              </w:rPr>
              <w:t>935.14</w:t>
            </w:r>
          </w:p>
        </w:tc>
      </w:tr>
    </w:tbl>
    <w:p w14:paraId="576D27F1" w14:textId="77777777" w:rsidR="007D51F6" w:rsidRDefault="007D51F6" w:rsidP="007D51F6">
      <w:pPr>
        <w:rPr>
          <w:lang w:eastAsia="ko-KR"/>
        </w:rPr>
      </w:pPr>
    </w:p>
    <w:p w14:paraId="7AF7E9F0" w14:textId="13760B3F" w:rsidR="00DB34AF" w:rsidRDefault="00C97F47" w:rsidP="00DB34AF">
      <w:pPr>
        <w:jc w:val="center"/>
        <w:rPr>
          <w:rFonts w:ascii="Times" w:hAnsi="Times"/>
          <w:noProof/>
          <w:sz w:val="20"/>
          <w:szCs w:val="20"/>
        </w:rPr>
      </w:pPr>
      <w:r>
        <w:rPr>
          <w:lang w:eastAsia="ko-KR"/>
        </w:rPr>
        <w:br w:type="page"/>
      </w:r>
      <w:r w:rsidR="0043437A" w:rsidRPr="00C16570">
        <w:rPr>
          <w:noProof/>
        </w:rPr>
        <w:lastRenderedPageBreak/>
        <mc:AlternateContent>
          <mc:Choice Requires="wps">
            <w:drawing>
              <wp:anchor distT="0" distB="0" distL="114300" distR="114300" simplePos="0" relativeHeight="251723776" behindDoc="0" locked="0" layoutInCell="1" allowOverlap="1" wp14:anchorId="329A2889" wp14:editId="5F11CF88">
                <wp:simplePos x="0" y="0"/>
                <wp:positionH relativeFrom="column">
                  <wp:posOffset>172720</wp:posOffset>
                </wp:positionH>
                <wp:positionV relativeFrom="paragraph">
                  <wp:posOffset>78740</wp:posOffset>
                </wp:positionV>
                <wp:extent cx="375920" cy="334645"/>
                <wp:effectExtent l="0" t="0" r="0" b="0"/>
                <wp:wrapNone/>
                <wp:docPr id="68" name="Text Box 68"/>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7B29E3" w14:textId="77777777" w:rsidR="008864ED" w:rsidRPr="00FA55C1" w:rsidRDefault="008864ED" w:rsidP="0043437A">
                            <w:pPr>
                              <w:rPr>
                                <w:b/>
                              </w:rPr>
                            </w:pPr>
                            <w:r>
                              <w:rPr>
                                <w:b/>
                              </w:rPr>
                              <w:t>A</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8" o:spid="_x0000_s1050" type="#_x0000_t202" style="position:absolute;left:0;text-align:left;margin-left:13.6pt;margin-top:6.2pt;width:29.6pt;height:26.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xmWtICAAAXBgAADgAAAGRycy9lMm9Eb2MueG1srFRNb9swDL0P2H8QdE9tp07W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" filled="f" stroked="f">
                <v:textbox>
                  <w:txbxContent>
                    <w:p w14:paraId="407B29E3" w14:textId="77777777" w:rsidR="008864ED" w:rsidRPr="00FA55C1" w:rsidRDefault="008864ED" w:rsidP="0043437A">
                      <w:pPr>
                        <w:rPr>
                          <w:b/>
                        </w:rPr>
                      </w:pPr>
                      <w:r>
                        <w:rPr>
                          <w:b/>
                        </w:rPr>
                        <w:t>A</w:t>
                      </w:r>
                      <w:r w:rsidRPr="00FA55C1">
                        <w:rPr>
                          <w:b/>
                        </w:rPr>
                        <w:t>)</w:t>
                      </w:r>
                    </w:p>
                  </w:txbxContent>
                </v:textbox>
              </v:shape>
            </w:pict>
          </mc:Fallback>
        </mc:AlternateContent>
      </w:r>
      <w:r w:rsidR="00DB34AF">
        <w:rPr>
          <w:noProof/>
        </w:rPr>
        <w:drawing>
          <wp:inline distT="0" distB="0" distL="0" distR="0" wp14:anchorId="3FE9200D" wp14:editId="39AE3BCD">
            <wp:extent cx="3902710" cy="7955280"/>
            <wp:effectExtent l="0" t="0" r="889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2.tif"/>
                    <pic:cNvPicPr/>
                  </pic:nvPicPr>
                  <pic:blipFill>
                    <a:blip r:embed="rId61">
                      <a:extLst>
                        <a:ext uri="{28A0092B-C50C-407E-A947-70E740481C1C}">
                          <a14:useLocalDpi xmlns:a14="http://schemas.microsoft.com/office/drawing/2010/main" val="0"/>
                        </a:ext>
                      </a:extLst>
                    </a:blip>
                    <a:stretch>
                      <a:fillRect/>
                    </a:stretch>
                  </pic:blipFill>
                  <pic:spPr>
                    <a:xfrm>
                      <a:off x="0" y="0"/>
                      <a:ext cx="3902710" cy="7955280"/>
                    </a:xfrm>
                    <a:prstGeom prst="rect">
                      <a:avLst/>
                    </a:prstGeom>
                  </pic:spPr>
                </pic:pic>
              </a:graphicData>
            </a:graphic>
          </wp:inline>
        </w:drawing>
      </w:r>
      <w:r w:rsidR="00DB34AF" w:rsidRPr="00DB34AF">
        <w:rPr>
          <w:rFonts w:ascii="Times" w:hAnsi="Times"/>
          <w:noProof/>
          <w:sz w:val="20"/>
          <w:szCs w:val="20"/>
        </w:rPr>
        <w:t xml:space="preserve"> </w:t>
      </w:r>
    </w:p>
    <w:p w14:paraId="3EE2968A" w14:textId="0FDFA516" w:rsidR="00DB34AF" w:rsidRDefault="0043437A" w:rsidP="00DB34AF">
      <w:pPr>
        <w:keepNext/>
        <w:jc w:val="center"/>
      </w:pPr>
      <w:r w:rsidRPr="00C16570">
        <w:rPr>
          <w:noProof/>
        </w:rPr>
        <w:lastRenderedPageBreak/>
        <mc:AlternateContent>
          <mc:Choice Requires="wps">
            <w:drawing>
              <wp:anchor distT="0" distB="0" distL="114300" distR="114300" simplePos="0" relativeHeight="251725824" behindDoc="0" locked="0" layoutInCell="1" allowOverlap="1" wp14:anchorId="11CD06A6" wp14:editId="6E3069F6">
                <wp:simplePos x="0" y="0"/>
                <wp:positionH relativeFrom="column">
                  <wp:posOffset>-356235</wp:posOffset>
                </wp:positionH>
                <wp:positionV relativeFrom="paragraph">
                  <wp:posOffset>0</wp:posOffset>
                </wp:positionV>
                <wp:extent cx="375920" cy="334645"/>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75920" cy="3346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538459" w14:textId="7A33DC9D" w:rsidR="008864ED" w:rsidRPr="00FA55C1" w:rsidRDefault="008864ED" w:rsidP="0043437A">
                            <w:pPr>
                              <w:rPr>
                                <w:b/>
                              </w:rPr>
                            </w:pPr>
                            <w:r>
                              <w:rPr>
                                <w:b/>
                              </w:rPr>
                              <w:t>B</w:t>
                            </w:r>
                            <w:r w:rsidRPr="00FA55C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 o:spid="_x0000_s1051" type="#_x0000_t202" style="position:absolute;left:0;text-align:left;margin-left:-28pt;margin-top:0;width:29.6pt;height:26.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" filled="f" stroked="f">
                <v:textbox>
                  <w:txbxContent>
                    <w:p w14:paraId="49538459" w14:textId="7A33DC9D" w:rsidR="008864ED" w:rsidRPr="00FA55C1" w:rsidRDefault="008864ED" w:rsidP="0043437A">
                      <w:pPr>
                        <w:rPr>
                          <w:b/>
                        </w:rPr>
                      </w:pPr>
                      <w:r>
                        <w:rPr>
                          <w:b/>
                        </w:rPr>
                        <w:t>B</w:t>
                      </w:r>
                      <w:r w:rsidRPr="00FA55C1">
                        <w:rPr>
                          <w:b/>
                        </w:rPr>
                        <w:t>)</w:t>
                      </w:r>
                    </w:p>
                  </w:txbxContent>
                </v:textbox>
              </v:shape>
            </w:pict>
          </mc:Fallback>
        </mc:AlternateContent>
      </w:r>
      <w:r w:rsidR="00DB34AF" w:rsidRPr="00DB34AF">
        <w:rPr>
          <w:noProof/>
        </w:rPr>
        <w:drawing>
          <wp:inline distT="0" distB="0" distL="0" distR="0" wp14:anchorId="47D19D03" wp14:editId="7FAC7551">
            <wp:extent cx="5486400" cy="5624830"/>
            <wp:effectExtent l="0" t="0" r="0" b="0"/>
            <wp:docPr id="66" name="Picture 4" descr="Figure 3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igure 3b.tiff"/>
                    <pic:cNvPicPr>
                      <a:picLocks noChangeAspect="1"/>
                    </pic:cNvPicPr>
                  </pic:nvPicPr>
                  <pic:blipFill rotWithShape="1">
                    <a:blip r:embed="rId62">
                      <a:extLst>
                        <a:ext uri="{28A0092B-C50C-407E-A947-70E740481C1C}">
                          <a14:useLocalDpi xmlns:a14="http://schemas.microsoft.com/office/drawing/2010/main" val="0"/>
                        </a:ext>
                      </a:extLst>
                    </a:blip>
                    <a:srcRect l="5002" t="5234" r="4717" b="29341"/>
                    <a:stretch/>
                  </pic:blipFill>
                  <pic:spPr>
                    <a:xfrm>
                      <a:off x="0" y="0"/>
                      <a:ext cx="5486400" cy="5624830"/>
                    </a:xfrm>
                    <a:prstGeom prst="rect">
                      <a:avLst/>
                    </a:prstGeom>
                  </pic:spPr>
                </pic:pic>
              </a:graphicData>
            </a:graphic>
          </wp:inline>
        </w:drawing>
      </w:r>
    </w:p>
    <w:p w14:paraId="15B611AA" w14:textId="4860E1E4" w:rsidR="00DB34AF" w:rsidRPr="00DB34AF" w:rsidRDefault="00DB34AF" w:rsidP="00DB34AF">
      <w:pPr>
        <w:pStyle w:val="Caption"/>
        <w:jc w:val="left"/>
        <w:rPr>
          <w:b w:val="0"/>
        </w:rPr>
      </w:pPr>
      <w:bookmarkStart w:id="93" w:name="_Toc296333125"/>
      <w:r>
        <w:t xml:space="preserve">Figure </w:t>
      </w:r>
      <w:fldSimple w:instr=" SEQ Figure \* ARABIC ">
        <w:r w:rsidR="002B3E83">
          <w:rPr>
            <w:noProof/>
          </w:rPr>
          <w:t>32</w:t>
        </w:r>
      </w:fldSimple>
      <w:r>
        <w:t xml:space="preserve"> Expression location of top 25 abundant human fecal proteins. </w:t>
      </w:r>
      <w:r w:rsidRPr="00DB34AF">
        <w:rPr>
          <w:b w:val="0"/>
        </w:rPr>
        <w:t xml:space="preserve">Origin of </w:t>
      </w:r>
      <w:r>
        <w:rPr>
          <w:b w:val="0"/>
        </w:rPr>
        <w:t>fecal proteins were estimated by two databases, A) Proteomics DB</w:t>
      </w:r>
      <w:r w:rsidR="001C3625">
        <w:rPr>
          <w:b w:val="0"/>
        </w:rPr>
        <w:t xml:space="preserve"> and B) Human Proteome Map.</w:t>
      </w:r>
      <w:bookmarkEnd w:id="93"/>
    </w:p>
    <w:p w14:paraId="416B429B" w14:textId="750794C1" w:rsidR="00881A42" w:rsidRDefault="00881A42" w:rsidP="00DB34AF">
      <w:pPr>
        <w:jc w:val="center"/>
        <w:rPr>
          <w:lang w:eastAsia="ko-KR"/>
        </w:rPr>
      </w:pPr>
      <w:r>
        <w:rPr>
          <w:lang w:eastAsia="ko-KR"/>
        </w:rPr>
        <w:br w:type="page"/>
      </w:r>
    </w:p>
    <w:p w14:paraId="32471142" w14:textId="280322EE" w:rsidR="00F96F12" w:rsidRDefault="0037436E" w:rsidP="00373BB8">
      <w:pPr>
        <w:spacing w:line="480" w:lineRule="auto"/>
        <w:rPr>
          <w:lang w:eastAsia="ko-KR"/>
        </w:rPr>
      </w:pPr>
      <w:r>
        <w:rPr>
          <w:lang w:eastAsia="ko-KR"/>
        </w:rPr>
        <w:lastRenderedPageBreak/>
        <w:t xml:space="preserve">The most frequently matched tissue in Proteomics DB is colon (22 proteins) and pancreas (19 proteins) </w:t>
      </w:r>
      <w:r>
        <w:rPr>
          <w:color w:val="FF0000"/>
          <w:lang w:eastAsia="ko-KR"/>
        </w:rPr>
        <w:t>(Fig. 32A</w:t>
      </w:r>
      <w:r w:rsidRPr="001356A5">
        <w:rPr>
          <w:color w:val="FF0000"/>
          <w:lang w:eastAsia="ko-KR"/>
        </w:rPr>
        <w:t>)</w:t>
      </w:r>
      <w:r>
        <w:rPr>
          <w:lang w:eastAsia="ko-KR"/>
        </w:rPr>
        <w:t xml:space="preserve">, whereas is adult pancreas (16 proteins) and adult gallbladder (14 proteins) in Human Proteome Map </w:t>
      </w:r>
      <w:r>
        <w:rPr>
          <w:rFonts w:hint="eastAsia"/>
          <w:lang w:eastAsia="ko-KR"/>
        </w:rPr>
        <w:t xml:space="preserve"> </w:t>
      </w:r>
      <w:r>
        <w:rPr>
          <w:color w:val="FF0000"/>
          <w:lang w:eastAsia="ko-KR"/>
        </w:rPr>
        <w:t>(Fig. 32B</w:t>
      </w:r>
      <w:r w:rsidRPr="001356A5">
        <w:rPr>
          <w:color w:val="FF0000"/>
          <w:lang w:eastAsia="ko-KR"/>
        </w:rPr>
        <w:t>)</w:t>
      </w:r>
      <w:r>
        <w:rPr>
          <w:lang w:eastAsia="ko-KR"/>
        </w:rPr>
        <w:t xml:space="preserve">.  All those tissues, frequently matched in both of Proteomics DB and Human Proteome Map are related with digestion.  MYH1, MYH7 and MYH8 are not detected in colon tissue of Proteomics DB, but these are previously identified in esophagus among digestion related tissues.  </w:t>
      </w:r>
      <w:r w:rsidR="00F96F12">
        <w:rPr>
          <w:lang w:eastAsia="ko-KR"/>
        </w:rPr>
        <w:t xml:space="preserve">Therefore, we guess that MYH1, MYH7 and MYH8 come from esophagus unlike other isotypes of myosins.  Many tissues involved in the digestion are found in the search result of Proteomics DB, such as colon muscle, saliva, salivary gland, rectum, pancreatic juice, pancreas, oral epithelium, </w:t>
      </w:r>
      <w:r w:rsidR="00F96F12" w:rsidRPr="00F56BE7">
        <w:rPr>
          <w:lang w:eastAsia="ko-KR"/>
        </w:rPr>
        <w:t>esophagus</w:t>
      </w:r>
      <w:r w:rsidR="00F96F12">
        <w:rPr>
          <w:lang w:eastAsia="ko-KR"/>
        </w:rPr>
        <w:t xml:space="preserve"> and colon </w:t>
      </w:r>
      <w:r w:rsidR="00DA6C41">
        <w:rPr>
          <w:color w:val="FF0000"/>
          <w:lang w:eastAsia="ko-KR"/>
        </w:rPr>
        <w:t>(Fig. 32B</w:t>
      </w:r>
      <w:r w:rsidR="00F96F12" w:rsidRPr="001356A5">
        <w:rPr>
          <w:color w:val="FF0000"/>
          <w:lang w:eastAsia="ko-KR"/>
        </w:rPr>
        <w:t>)</w:t>
      </w:r>
      <w:r w:rsidR="00F96F12">
        <w:rPr>
          <w:lang w:eastAsia="ko-KR"/>
        </w:rPr>
        <w:t xml:space="preserve">.  Besides tissues on the digestion tract, immune response related cells are spotted in the result of Proteomics DB and Human Proteome Map </w:t>
      </w:r>
      <w:r w:rsidR="00F96F12">
        <w:rPr>
          <w:color w:val="FF0000"/>
          <w:lang w:eastAsia="ko-KR"/>
        </w:rPr>
        <w:t>(Fig. 3</w:t>
      </w:r>
      <w:r w:rsidR="00DA6C41">
        <w:rPr>
          <w:color w:val="FF0000"/>
          <w:lang w:eastAsia="ko-KR"/>
        </w:rPr>
        <w:t>2</w:t>
      </w:r>
      <w:r w:rsidR="00F96F12" w:rsidRPr="001356A5">
        <w:rPr>
          <w:color w:val="FF0000"/>
          <w:lang w:eastAsia="ko-KR"/>
        </w:rPr>
        <w:t>)</w:t>
      </w:r>
      <w:r w:rsidR="00F96F12">
        <w:rPr>
          <w:lang w:eastAsia="ko-KR"/>
        </w:rPr>
        <w:t xml:space="preserve">.  Some of proteins in the top-25 list are reported that these are expressed in Natural killer cell, monocyte, helper T-cell, cytotoxic T-cell and B-lymphocyte according to previous studies of Proteomics DB </w:t>
      </w:r>
      <w:r w:rsidR="00F96F12">
        <w:rPr>
          <w:color w:val="FF0000"/>
          <w:lang w:eastAsia="ko-KR"/>
        </w:rPr>
        <w:t>(Fig. 3</w:t>
      </w:r>
      <w:r w:rsidR="00DA6C41">
        <w:rPr>
          <w:color w:val="FF0000"/>
          <w:lang w:eastAsia="ko-KR"/>
        </w:rPr>
        <w:t>2B</w:t>
      </w:r>
      <w:r w:rsidR="00F96F12" w:rsidRPr="001356A5">
        <w:rPr>
          <w:color w:val="FF0000"/>
          <w:lang w:eastAsia="ko-KR"/>
        </w:rPr>
        <w:t>)</w:t>
      </w:r>
      <w:r w:rsidR="00F96F12">
        <w:rPr>
          <w:lang w:eastAsia="ko-KR"/>
        </w:rPr>
        <w:t xml:space="preserve">.  Human Proteome Map also shows similar result including B cells, CD4+ T cells, CD8+ T cells, NK cells and Monocytes </w:t>
      </w:r>
      <w:r w:rsidR="00F96F12">
        <w:rPr>
          <w:color w:val="FF0000"/>
          <w:lang w:eastAsia="ko-KR"/>
        </w:rPr>
        <w:t>(Fig. 3</w:t>
      </w:r>
      <w:r w:rsidR="00DA6C41">
        <w:rPr>
          <w:color w:val="FF0000"/>
          <w:lang w:eastAsia="ko-KR"/>
        </w:rPr>
        <w:t>2A</w:t>
      </w:r>
      <w:r w:rsidR="00F96F12" w:rsidRPr="001356A5">
        <w:rPr>
          <w:color w:val="FF0000"/>
          <w:lang w:eastAsia="ko-KR"/>
        </w:rPr>
        <w:t>)</w:t>
      </w:r>
      <w:r w:rsidR="00F96F12">
        <w:rPr>
          <w:lang w:eastAsia="ko-KR"/>
        </w:rPr>
        <w:t xml:space="preserve">.  </w:t>
      </w:r>
    </w:p>
    <w:p w14:paraId="72232A5E" w14:textId="431C46FF" w:rsidR="00415FB2" w:rsidRDefault="00F96F12" w:rsidP="0063508B">
      <w:pPr>
        <w:spacing w:line="480" w:lineRule="auto"/>
        <w:rPr>
          <w:lang w:eastAsia="ko-KR"/>
        </w:rPr>
      </w:pPr>
      <w:r>
        <w:t>On top of proteins</w:t>
      </w:r>
      <w:r w:rsidR="0095653F">
        <w:t xml:space="preserve"> related with digestion</w:t>
      </w:r>
      <w:r>
        <w:t>, proteins</w:t>
      </w:r>
      <w:r w:rsidR="0095653F">
        <w:t xml:space="preserve"> associated with immune response</w:t>
      </w:r>
      <w:r>
        <w:t xml:space="preserve"> </w:t>
      </w:r>
      <w:r w:rsidR="0051004E">
        <w:t>were</w:t>
      </w:r>
      <w:r>
        <w:t xml:space="preserve"> also repeatedly identified in the 11 fecal samples.  We expected that feces have abundant immune proteins because of </w:t>
      </w:r>
      <w:r w:rsidR="00F86A12">
        <w:t xml:space="preserve">innate and adaptive </w:t>
      </w:r>
      <w:r>
        <w:t>immune responses</w:t>
      </w:r>
      <w:r w:rsidR="00F86A12">
        <w:t xml:space="preserve"> against microflora, </w:t>
      </w:r>
      <w:r>
        <w:t>pathogens</w:t>
      </w:r>
      <w:r w:rsidR="0054301D">
        <w:t xml:space="preserve"> or vaccines</w:t>
      </w:r>
      <w:r>
        <w:t xml:space="preserve">.  Immune proteins </w:t>
      </w:r>
      <w:r w:rsidR="00006438">
        <w:t>were</w:t>
      </w:r>
      <w:r>
        <w:t xml:space="preserve"> recognized by combining several annotation resources that are WikiGO </w:t>
      </w:r>
      <w:r>
        <w:fldChar w:fldCharType="begin"/>
      </w:r>
      <w:r w:rsidR="00180DA4">
        <w:instrText xml:space="preserve"> ADDIN EN.CITE &lt;EndNote&gt;&lt;Cite ExcludeAuth="1" ExcludeYear="1"&gt;&lt;Author&gt;Lacerda&lt;/Author&gt;&lt;Year&gt;2007&lt;/Year&gt;&lt;RecNum&gt;6&lt;/RecNum&gt;&lt;DisplayText&gt;[6]&lt;/DisplayText&gt;&lt;record&gt;&lt;rec-number&gt;6&lt;/rec-number&gt;&lt;foreign-keys&gt;&lt;key app="EN" db-id="efx2002d5f0z21etvw3x9zp7tw2axpa2eez0" timestamp="1432760464"&gt;6&lt;/key&gt;&lt;/foreign-keys&gt;&lt;ref-type name="Journal Article"&gt;17&lt;/ref-type&gt;&lt;contributors&gt;&lt;authors&gt;&lt;author&gt;Lacerda, Carla MR&lt;/author&gt;&lt;author&gt;Choe, Leila H&lt;/author&gt;&lt;author&gt;Reardon, Kenneth F&lt;/author&gt;&lt;/authors&gt;&lt;/contributors&gt;&lt;titles&gt;&lt;title&gt;Metaproteomic analysis of a bacterial community response to cadmium exposure&lt;/title&gt;&lt;secondary-title&gt;Journal of proteome research&lt;/secondary-title&gt;&lt;/titles&gt;&lt;periodical&gt;&lt;full-title&gt;Journal of proteome research&lt;/full-title&gt;&lt;/periodical&gt;&lt;pages&gt;1145-1152&lt;/pages&gt;&lt;volume&gt;6&lt;/volume&gt;&lt;number&gt;3&lt;/number&gt;&lt;dates&gt;&lt;year&gt;2007&lt;/year&gt;&lt;/dates&gt;&lt;isbn&gt;1535-3893&lt;/isbn&gt;&lt;urls&gt;&lt;/urls&gt;&lt;/record&gt;&lt;/Cite&gt;&lt;/EndNote&gt;</w:instrText>
      </w:r>
      <w:r>
        <w:fldChar w:fldCharType="separate"/>
      </w:r>
      <w:r w:rsidR="00913405">
        <w:rPr>
          <w:noProof/>
        </w:rPr>
        <w:t>[6]</w:t>
      </w:r>
      <w:r>
        <w:fldChar w:fldCharType="end"/>
      </w:r>
      <w:r>
        <w:t xml:space="preserve">, Immunome </w:t>
      </w:r>
      <w:r>
        <w:fldChar w:fldCharType="begin"/>
      </w:r>
      <w:r w:rsidR="00913405">
        <w:instrText xml:space="preserve"> ADDIN EN.CITE &lt;EndNote&gt;&lt;Cite&gt;&lt;Author&gt;Ortutay&lt;/Author&gt;&lt;Year&gt;2006&lt;/Year&gt;&lt;RecNum&gt;164&lt;/RecNum&gt;&lt;DisplayText&gt;[130,131]&lt;/DisplayText&gt;&lt;record&gt;&lt;rec-number&gt;164&lt;/rec-number&gt;&lt;foreign-keys&gt;&lt;key app="EN" db-id="efx2002d5f0z21etvw3x9zp7tw2axpa2eez0" timestamp="1434509735"&gt;164&lt;/key&gt;&lt;/foreign-keys&gt;&lt;ref-type name="Journal Article"&gt;17&lt;/ref-type&gt;&lt;contributors&gt;&lt;authors&gt;&lt;author&gt;Ortutay, Csaba&lt;/author&gt;&lt;author&gt;Vihinen, Mauno&lt;/author&gt;&lt;/authors&gt;&lt;/contributors&gt;&lt;titles&gt;&lt;title&gt;Immunome: a reference set of genes and proteins for systems biology of the human immune system&lt;/title&gt;&lt;secondary-title&gt;Cellular immunology&lt;/secondary-title&gt;&lt;/titles&gt;&lt;periodical&gt;&lt;full-title&gt;Cellular immunology&lt;/full-title&gt;&lt;/periodical&gt;&lt;pages&gt;87-89&lt;/pages&gt;&lt;volume&gt;244&lt;/volume&gt;&lt;number&gt;2&lt;/number&gt;&lt;dates&gt;&lt;year&gt;2006&lt;/year&gt;&lt;/dates&gt;&lt;isbn&gt;0008-8749&lt;/isbn&gt;&lt;urls&gt;&lt;/urls&gt;&lt;/record&gt;&lt;/Cite&gt;&lt;Cite&gt;&lt;Author&gt;Ortutay&lt;/Author&gt;&lt;Year&gt;2007&lt;/Year&gt;&lt;RecNum&gt;163&lt;/RecNum&gt;&lt;record&gt;&lt;rec-number&gt;163&lt;/rec-number&gt;&lt;foreign-keys&gt;&lt;key app="EN" db-id="efx2002d5f0z21etvw3x9zp7tw2axpa2eez0" timestamp="1434509735"&gt;163&lt;/key&gt;&lt;/foreign-keys&gt;&lt;ref-type name="Journal Article"&gt;17&lt;/ref-type&gt;&lt;contributors&gt;&lt;authors&gt;&lt;author&gt;Ortutay, Csaba&lt;/author&gt;&lt;author&gt;Siermala, Markku&lt;/author&gt;&lt;author&gt;Vihinen, Mauno&lt;/author&gt;&lt;/authors&gt;&lt;/contributors&gt;&lt;titles&gt;&lt;title&gt;Molecular characterization of the immune system: emergence of proteins, processes, and domains&lt;/title&gt;&lt;secondary-title&gt;Immunogenetics&lt;/secondary-title&gt;&lt;/titles&gt;&lt;periodical&gt;&lt;full-title&gt;Immunogenetics&lt;/full-title&gt;&lt;/periodical&gt;&lt;pages&gt;333-348&lt;/pages&gt;&lt;volume&gt;59&lt;/volume&gt;&lt;number&gt;5&lt;/number&gt;&lt;dates&gt;&lt;year&gt;2007&lt;/year&gt;&lt;/dates&gt;&lt;isbn&gt;0093-7711&lt;/isbn&gt;&lt;urls&gt;&lt;/urls&gt;&lt;/record&gt;&lt;/Cite&gt;&lt;/EndNote&gt;</w:instrText>
      </w:r>
      <w:r>
        <w:fldChar w:fldCharType="separate"/>
      </w:r>
      <w:r w:rsidR="00913405">
        <w:rPr>
          <w:noProof/>
        </w:rPr>
        <w:t>[130,131]</w:t>
      </w:r>
      <w:r>
        <w:fldChar w:fldCharType="end"/>
      </w:r>
      <w:r>
        <w:t xml:space="preserve">, Innate DB </w:t>
      </w:r>
      <w:r>
        <w:fldChar w:fldCharType="begin"/>
      </w:r>
      <w:r w:rsidR="00913405">
        <w:instrText xml:space="preserve"> ADDIN EN.CITE &lt;EndNote&gt;&lt;Cite&gt;&lt;Author&gt;Lynn&lt;/Author&gt;&lt;Year&gt;2008&lt;/Year&gt;&lt;RecNum&gt;188&lt;/RecNum&gt;&lt;DisplayText&gt;[132]&lt;/DisplayText&gt;&lt;record&gt;&lt;rec-number&gt;188&lt;/rec-number&gt;&lt;foreign-keys&gt;&lt;key app="EN" db-id="efx2002d5f0z21etvw3x9zp7tw2axpa2eez0" timestamp="1434509735"&gt;188&lt;/key&gt;&lt;/foreign-keys&gt;&lt;ref-type name="Journal Article"&gt;17&lt;/ref-type&gt;&lt;contributors&gt;&lt;authors&gt;&lt;author&gt;Lynn, David J&lt;/author&gt;&lt;author&gt;Winsor, Geoffrey L&lt;/author&gt;&lt;author&gt;Chan, Calvin&lt;/author&gt;&lt;author&gt;Richard, Nicolas&lt;/author&gt;&lt;author&gt;Laird, Matthew R&lt;/author&gt;&lt;author&gt;Barsky, Aaron&lt;/author&gt;&lt;author&gt;Gardy, Jennifer L&lt;/author&gt;&lt;author&gt;Roche, Fiona M&lt;/author&gt;&lt;author&gt;Chan, Timothy HW&lt;/author&gt;&lt;author&gt;Shah, Naisha&lt;/author&gt;&lt;/authors&gt;&lt;/contributors&gt;&lt;titles&gt;&lt;title&gt;InnateDB: facilitating systems</w:instrText>
      </w:r>
      <w:r w:rsidR="00913405">
        <w:rPr>
          <w:rFonts w:ascii="American Typewriter Light" w:hAnsi="American Typewriter Light" w:cs="American Typewriter Light"/>
        </w:rPr>
        <w:instrText>‐</w:instrText>
      </w:r>
      <w:r w:rsidR="00913405">
        <w:instrText>level analyses of the mammalian innate immune response&lt;/title&gt;&lt;secondary-title&gt;Molecular systems biology&lt;/secondary-title&gt;&lt;/titles&gt;&lt;periodical&gt;&lt;full-title&gt;Molecular systems biology&lt;/full-title&gt;&lt;/periodical&gt;&lt;volume&gt;4&lt;/volume&gt;&lt;number&gt;1&lt;/number&gt;&lt;dates&gt;&lt;year&gt;2008&lt;/year&gt;&lt;/dates&gt;&lt;isbn&gt;1744-4292&lt;/isbn&gt;&lt;urls&gt;&lt;/urls&gt;&lt;/record&gt;&lt;/Cite&gt;&lt;/EndNote&gt;</w:instrText>
      </w:r>
      <w:r>
        <w:fldChar w:fldCharType="separate"/>
      </w:r>
      <w:r w:rsidR="00913405">
        <w:rPr>
          <w:noProof/>
        </w:rPr>
        <w:t>[132]</w:t>
      </w:r>
      <w:r>
        <w:fldChar w:fldCharType="end"/>
      </w:r>
      <w:r>
        <w:t xml:space="preserve">, 19 immune response GO terms </w:t>
      </w:r>
      <w:r>
        <w:fldChar w:fldCharType="begin"/>
      </w:r>
      <w:r w:rsidR="00913405">
        <w:instrText xml:space="preserve"> ADDIN EN.CITE &lt;EndNote&gt;&lt;Cite&gt;&lt;Author&gt;Diehl&lt;/Author&gt;&lt;Year&gt;2007&lt;/Year&gt;&lt;RecNum&gt;182&lt;/RecNum&gt;&lt;DisplayText&gt;[133]&lt;/DisplayText&gt;&lt;record&gt;&lt;rec-number&gt;182&lt;/rec-number&gt;&lt;foreign-keys&gt;&lt;key app="EN" db-id="efx2002d5f0z21etvw3x9zp7tw2axpa2eez0" timestamp="1434509735"&gt;182&lt;/key&gt;&lt;/foreign-keys&gt;&lt;ref-type name="Journal Article"&gt;17&lt;/ref-type&gt;&lt;contributors&gt;&lt;authors&gt;&lt;author&gt;Diehl, Alexander D&lt;/author&gt;&lt;author&gt;Lee, Jamie A&lt;/author&gt;&lt;author&gt;Scheuermann, Richard H&lt;/author&gt;&lt;author&gt;Blake, Judith A&lt;/author&gt;&lt;/authors&gt;&lt;/contributors&gt;&lt;titles&gt;&lt;title&gt;Ontology development for biological systems: immunology&lt;/title&gt;&lt;secondary-title&gt;Bioinformatics&lt;/secondary-title&gt;&lt;/titles&gt;&lt;periodical&gt;&lt;full-title&gt;Bioinformatics&lt;/full-title&gt;&lt;/periodical&gt;&lt;pages&gt;913-915&lt;/pages&gt;&lt;volume&gt;23&lt;/volume&gt;&lt;number&gt;7&lt;/number&gt;&lt;dates&gt;&lt;year&gt;2007&lt;/year&gt;&lt;/dates&gt;&lt;isbn&gt;1367-4803&lt;/isbn&gt;&lt;urls&gt;&lt;/urls&gt;&lt;/record&gt;&lt;/Cite&gt;&lt;/EndNote&gt;</w:instrText>
      </w:r>
      <w:r>
        <w:fldChar w:fldCharType="separate"/>
      </w:r>
      <w:r w:rsidR="00913405">
        <w:rPr>
          <w:noProof/>
        </w:rPr>
        <w:t>[133]</w:t>
      </w:r>
      <w:r>
        <w:fldChar w:fldCharType="end"/>
      </w:r>
      <w:r>
        <w:t xml:space="preserve"> and </w:t>
      </w:r>
      <w:r>
        <w:lastRenderedPageBreak/>
        <w:t xml:space="preserve">immune response keyword search against protein description, such as immunoglobulin and IgA that </w:t>
      </w:r>
      <w:r w:rsidR="0051004E">
        <w:t>were</w:t>
      </w:r>
      <w:r>
        <w:t xml:space="preserve"> missed by other methods.  Of 2,102 total </w:t>
      </w:r>
      <w:r w:rsidR="0051004E">
        <w:t xml:space="preserve">human </w:t>
      </w:r>
      <w:r>
        <w:t>fecal proteins, 214 immune response proteins were discovered. We listed frequently</w:t>
      </w:r>
      <w:r w:rsidR="0051004E">
        <w:t xml:space="preserve"> and abundantly</w:t>
      </w:r>
      <w:r>
        <w:t xml:space="preserve"> identified 25 immune response proteins in </w:t>
      </w:r>
      <w:r w:rsidRPr="00F5608A">
        <w:rPr>
          <w:color w:val="FF0000"/>
        </w:rPr>
        <w:t xml:space="preserve">Table </w:t>
      </w:r>
      <w:r w:rsidR="00EE5F9C">
        <w:rPr>
          <w:color w:val="FF0000"/>
        </w:rPr>
        <w:t>16</w:t>
      </w:r>
      <w:r>
        <w:t xml:space="preserve">.  </w:t>
      </w:r>
      <w:r w:rsidRPr="002A6888">
        <w:t xml:space="preserve">IgGFc-binding protein precursor </w:t>
      </w:r>
      <w:r>
        <w:t xml:space="preserve">(FCGBP) is the most abundant protein in </w:t>
      </w:r>
      <w:r w:rsidRPr="00644278">
        <w:rPr>
          <w:color w:val="FF0000"/>
        </w:rPr>
        <w:t xml:space="preserve">Table </w:t>
      </w:r>
      <w:r w:rsidR="00EE5F9C">
        <w:rPr>
          <w:color w:val="FF0000"/>
        </w:rPr>
        <w:t>16</w:t>
      </w:r>
      <w:r>
        <w:t xml:space="preserve">.  FCGBP is not directly related to immune response, but it is interacting with FC portion of IgG and indirectly involved in the mucosal immunity by making gel-like mucosa </w:t>
      </w:r>
      <w:r>
        <w:fldChar w:fldCharType="begin"/>
      </w:r>
      <w:r w:rsidR="00913405">
        <w:instrText xml:space="preserve"> ADDIN EN.CITE &lt;EndNote&gt;&lt;Cite&gt;&lt;Author&gt;Harada&lt;/Author&gt;&lt;Year&gt;1997&lt;/Year&gt;&lt;RecNum&gt;152&lt;/RecNum&gt;&lt;DisplayText&gt;[134]&lt;/DisplayText&gt;&lt;record&gt;&lt;rec-number&gt;152&lt;/rec-number&gt;&lt;foreign-keys&gt;&lt;key app="EN" db-id="efx2002d5f0z21etvw3x9zp7tw2axpa2eez0" timestamp="1434509735"&gt;152&lt;/key&gt;&lt;/foreign-keys&gt;&lt;ref-type name="Journal Article"&gt;17&lt;/ref-type&gt;&lt;contributors&gt;&lt;authors&gt;&lt;author&gt;Harada, Naoki&lt;/author&gt;&lt;author&gt;Iijima, Shigeyuki&lt;/author&gt;&lt;author&gt;Kobayashi, Kensuke&lt;/author&gt;&lt;author&gt;Yoshida, Takeshi&lt;/author&gt;&lt;author&gt;Brown, William R&lt;/autho</w:instrText>
      </w:r>
      <w:r w:rsidR="00913405">
        <w:rPr>
          <w:rFonts w:hint="eastAsia"/>
        </w:rPr>
        <w:instrText>r&gt;&lt;author&gt;Hibi, Toshifumi&lt;/author&gt;&lt;author&gt;Oshima, Akihiro&lt;/author&gt;&lt;author&gt;Morikawa, Minoru&lt;/author&gt;&lt;/authors&gt;&lt;/contributors&gt;&lt;titles&gt;&lt;title&gt;Human IgGFc binding protein (Fc</w:instrText>
      </w:r>
      <w:r w:rsidR="00913405">
        <w:rPr>
          <w:rFonts w:hint="eastAsia"/>
        </w:rPr>
        <w:instrText>γ</w:instrText>
      </w:r>
      <w:r w:rsidR="00913405">
        <w:rPr>
          <w:rFonts w:hint="eastAsia"/>
        </w:rPr>
        <w:instrText>BP) in colonic epithelial cells exhibits mucin-like structure&lt;/title&gt;&lt;secondary-titl</w:instrText>
      </w:r>
      <w:r w:rsidR="00913405">
        <w:instrText>e&gt;Journal of Biological Chemistry&lt;/secondary-title&gt;&lt;/titles&gt;&lt;periodical&gt;&lt;full-title&gt;Journal of Biological Chemistry&lt;/full-title&gt;&lt;/periodical&gt;&lt;pages&gt;15232-15241&lt;/pages&gt;&lt;volume&gt;272&lt;/volume&gt;&lt;number&gt;24&lt;/number&gt;&lt;dates&gt;&lt;year&gt;1997&lt;/year&gt;&lt;/dates&gt;&lt;isbn&gt;0021-9258&lt;/isbn&gt;&lt;urls&gt;&lt;/urls&gt;&lt;/record&gt;&lt;/Cite&gt;&lt;/EndNote&gt;</w:instrText>
      </w:r>
      <w:r>
        <w:fldChar w:fldCharType="separate"/>
      </w:r>
      <w:r w:rsidR="00913405">
        <w:rPr>
          <w:noProof/>
        </w:rPr>
        <w:t>[134]</w:t>
      </w:r>
      <w:r>
        <w:fldChar w:fldCharType="end"/>
      </w:r>
      <w:r>
        <w:t xml:space="preserve">.  FCGBP also interacts with Mucin-2 (MUC2) </w:t>
      </w:r>
      <w:r>
        <w:fldChar w:fldCharType="begin"/>
      </w:r>
      <w:r w:rsidR="00913405">
        <w:instrText xml:space="preserve"> ADDIN EN.CITE &lt;EndNote&gt;&lt;Cite&gt;&lt;Author&gt;Johansson&lt;/Author&gt;&lt;Year&gt;2009&lt;/Year&gt;&lt;RecNum&gt;153&lt;/RecNum&gt;&lt;DisplayText&gt;[135]&lt;/DisplayText&gt;&lt;record&gt;&lt;rec-number&gt;153&lt;/rec-number&gt;&lt;foreign-keys&gt;&lt;key app="EN" db-id="efx2002d5f0z21etvw3x9zp7tw2axpa2eez0" timestamp="1434509735"&gt;153&lt;/key&gt;&lt;/foreign-keys&gt;&lt;ref-type name="Journal Article"&gt;17&lt;/ref-type&gt;&lt;contributors&gt;&lt;authors&gt;&lt;author&gt;Johansson, Malin EV&lt;/author&gt;&lt;author&gt;Thomsson, Kristina A&lt;/author&gt;&lt;author&gt;Hansson, Gunnar C&lt;/author&gt;&lt;/authors&gt;&lt;/contributors&gt;&lt;titles&gt;&lt;title&gt;Proteomic analyses of the two mucus layers of the colon barrier reveal that their main component, the Muc2 mucin, is strongly bound to the Fcgbp protein&lt;/title&gt;&lt;secondary-title&gt;Journal of proteome research&lt;/secondary-title&gt;&lt;/titles&gt;&lt;periodical&gt;&lt;full-title&gt;Journal of proteome research&lt;/full-title&gt;&lt;/periodical&gt;&lt;pages&gt;3549-3557&lt;/pages&gt;&lt;volume&gt;8&lt;/volume&gt;&lt;number&gt;7&lt;/number&gt;&lt;dates&gt;&lt;year&gt;2009&lt;/year&gt;&lt;/dates&gt;&lt;isbn&gt;1535-3893&lt;/isbn&gt;&lt;urls&gt;&lt;/urls&gt;&lt;/record&gt;&lt;/Cite&gt;&lt;/EndNote&gt;</w:instrText>
      </w:r>
      <w:r>
        <w:fldChar w:fldCharType="separate"/>
      </w:r>
      <w:r w:rsidR="00913405">
        <w:rPr>
          <w:noProof/>
        </w:rPr>
        <w:t>[135]</w:t>
      </w:r>
      <w:r>
        <w:fldChar w:fldCharType="end"/>
      </w:r>
      <w:r>
        <w:t xml:space="preserve"> and is expressed at colon, colon epithelium, colon muscle and gut according to Proteomics DB </w:t>
      </w:r>
      <w:r>
        <w:rPr>
          <w:color w:val="FF0000"/>
        </w:rPr>
        <w:t>(Fig. 3</w:t>
      </w:r>
      <w:r w:rsidR="00DA6C41">
        <w:rPr>
          <w:color w:val="FF0000"/>
        </w:rPr>
        <w:t>2B</w:t>
      </w:r>
      <w:r w:rsidRPr="00E727E7">
        <w:rPr>
          <w:color w:val="FF0000"/>
        </w:rPr>
        <w:t>)</w:t>
      </w:r>
      <w:r>
        <w:t>.  Some of inflammatory proteins, such as S100-A8, S100-A9, lactotransferrin (LTF) and Keratin type II cytoskeletal 1 (KRT1)</w:t>
      </w:r>
      <w:r w:rsidRPr="00717741">
        <w:t xml:space="preserve"> </w:t>
      </w:r>
      <w:r w:rsidR="00D95D34">
        <w:t>were</w:t>
      </w:r>
      <w:r>
        <w:t xml:space="preserve"> copiously detected in the fecal proteomes.  LTF is antimicrobial protein by removing essential substrate required for bacterial growth and stimulateTLR4 signaling pathway </w:t>
      </w:r>
      <w:r>
        <w:fldChar w:fldCharType="begin">
          <w:fldData xml:space="preserve">PEVuZE5vdGU+PENpdGU+PEF1dGhvcj5WZWxsaXlhZ291bmRlcjwvQXV0aG9yPjxZZWFyPjIwMDM8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</w:fldData>
        </w:fldChar>
      </w:r>
      <w:r w:rsidR="00913405">
        <w:instrText xml:space="preserve"> ADDIN EN.CITE </w:instrText>
      </w:r>
      <w:r w:rsidR="00913405">
        <w:fldChar w:fldCharType="begin">
          <w:fldData xml:space="preserve">PEVuZE5vdGU+PENpdGU+PEF1dGhvcj5WZWxsaXlhZ291bmRlcjwvQXV0aG9yPjxZZWFyPjIwMDM8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</w:fldData>
        </w:fldChar>
      </w:r>
      <w:r w:rsidR="00913405">
        <w:instrText xml:space="preserve"> ADDIN EN.CITE.DATA </w:instrText>
      </w:r>
      <w:r w:rsidR="00913405">
        <w:fldChar w:fldCharType="end"/>
      </w:r>
      <w:r>
        <w:fldChar w:fldCharType="separate"/>
      </w:r>
      <w:r w:rsidR="00913405">
        <w:rPr>
          <w:noProof/>
        </w:rPr>
        <w:t>[136,137]</w:t>
      </w:r>
      <w:r>
        <w:fldChar w:fldCharType="end"/>
      </w:r>
      <w:r>
        <w:t xml:space="preserve">.  KTR1 is also reported that it is involved in the inflammatory network in a skin by interacting with interleukin-18 </w:t>
      </w:r>
      <w:r w:rsidRPr="00F704AC">
        <w:fldChar w:fldCharType="begin"/>
      </w:r>
      <w:r w:rsidR="00913405">
        <w:instrText xml:space="preserve"> ADDIN EN.CITE &lt;EndNote&gt;&lt;Cite&gt;&lt;Author&gt;Roth&lt;/Author&gt;&lt;Year&gt;2012&lt;/Year&gt;&lt;RecNum&gt;168&lt;/RecNum&gt;&lt;DisplayText&gt;[138]&lt;/DisplayText&gt;&lt;record&gt;&lt;rec-number&gt;168&lt;/rec-number&gt;&lt;foreign-keys&gt;&lt;key app="EN" db-id="efx2002d5f0z21etvw3x9zp7tw2axpa2eez0" timestamp="1434509735"&gt;168&lt;/key&gt;&lt;/foreign-keys&gt;&lt;ref-type name="Journal Article"&gt;17&lt;/ref-type&gt;&lt;contributors&gt;&lt;authors&gt;&lt;author&gt;Roth, Wera&lt;/author&gt;&lt;author&gt;Kumar, Vinod&lt;/author&gt;&lt;author&gt;Beer, Hans-Dietmar&lt;/author&gt;&lt;author&gt;Richter, Miriam&lt;/author&gt;&lt;author&gt;Wohlenberg, Claudia&lt;/author&gt;&lt;author&gt;Reuter, Ursula&lt;/author&gt;&lt;author&gt;Thiering, Sören&lt;/author&gt;&lt;author&gt;Staratschek-Jox, Andrea&lt;/author&gt;&lt;author&gt;Hofmann, Andrea&lt;/author&gt;&lt;author&gt;Kreusch, Fatima&lt;/author&gt;&lt;/authors&gt;&lt;/contributors&gt;&lt;titles&gt;&lt;title&gt;Keratin 1 maintains skin integrity and participates in an inflammatory network in skin through interleukin-18&lt;/title&gt;&lt;secondary-title&gt;Journal of cell science&lt;/secondary-title&gt;&lt;/titles&gt;&lt;periodical&gt;&lt;full-title&gt;Journal of cell science&lt;/full-title&gt;&lt;/periodical&gt;&lt;pages&gt;5269-5279&lt;/pages&gt;&lt;volume&gt;125&lt;/volume&gt;&lt;number&gt;22&lt;/number&gt;&lt;dates&gt;&lt;year&gt;2012&lt;/year&gt;&lt;/dates&gt;&lt;isbn&gt;0021-9533&lt;/isbn&gt;&lt;urls&gt;&lt;/urls&gt;&lt;/record&gt;&lt;/Cite&gt;&lt;/EndNote&gt;</w:instrText>
      </w:r>
      <w:r w:rsidRPr="00F704AC">
        <w:fldChar w:fldCharType="separate"/>
      </w:r>
      <w:r w:rsidR="00913405">
        <w:rPr>
          <w:noProof/>
        </w:rPr>
        <w:t>[138]</w:t>
      </w:r>
      <w:r w:rsidRPr="00F704AC">
        <w:fldChar w:fldCharType="end"/>
      </w:r>
      <w:r>
        <w:t xml:space="preserve">.  S100A8 binds to S100A9 in order to be heterodimer named as Calprotectin that is secreted </w:t>
      </w:r>
      <w:r>
        <w:rPr>
          <w:lang w:eastAsia="ko-KR"/>
        </w:rPr>
        <w:t>by</w:t>
      </w:r>
      <w:r>
        <w:t xml:space="preserve"> Neutrophils and acts as important pre-inflammatory mediator in acute and chronic inflammation </w:t>
      </w:r>
      <w:r>
        <w:fldChar w:fldCharType="begin"/>
      </w:r>
      <w:r w:rsidR="00913405">
        <w:instrText xml:space="preserve"> ADDIN EN.CITE &lt;EndNote&gt;&lt;Cite&gt;&lt;Author&gt;Gebhardt&lt;/Author&gt;&lt;Year&gt;2006&lt;/Year&gt;&lt;RecNum&gt;184&lt;/RecNum&gt;&lt;DisplayText&gt;[139]&lt;/DisplayText&gt;&lt;record&gt;&lt;rec-number&gt;184&lt;/rec-number&gt;&lt;foreign-keys&gt;&lt;key app="EN" db-id="efx2002d5f0z21etvw3x9zp7tw2axpa2eez0" timestamp="1434509735"&gt;184&lt;/key&gt;&lt;/foreign-keys&gt;&lt;ref-type name="Journal Article"&gt;17&lt;/ref-type&gt;&lt;contributors&gt;&lt;authors&gt;&lt;author&gt;Gebhardt, Christoffer&lt;/author&gt;&lt;author&gt;Németh, Julia&lt;/author&gt;&lt;author&gt;Angel, Peter&lt;/author&gt;&lt;author&gt;Hess, Jochen&lt;/author&gt;&lt;/authors&gt;&lt;/contributors&gt;&lt;titles&gt;&lt;title&gt;S100A8 and S100A9 in inflammation and cancer&lt;/title&gt;&lt;secondary-title&gt;Biochemical pharmacology&lt;/secondary-title&gt;&lt;/titles&gt;&lt;periodical&gt;&lt;full-title&gt;Biochemical pharmacology&lt;/full-title&gt;&lt;/periodical&gt;&lt;pages&gt;1622-1631&lt;/pages&gt;&lt;volume&gt;72&lt;/volume&gt;&lt;number&gt;11&lt;/number&gt;&lt;dates&gt;&lt;year&gt;2006&lt;/year&gt;&lt;/dates&gt;&lt;isbn&gt;0006-2952&lt;/isbn&gt;&lt;urls&gt;&lt;/urls&gt;&lt;/record&gt;&lt;/Cite&gt;&lt;/EndNote&gt;</w:instrText>
      </w:r>
      <w:r>
        <w:fldChar w:fldCharType="separate"/>
      </w:r>
      <w:r w:rsidR="00913405">
        <w:rPr>
          <w:noProof/>
        </w:rPr>
        <w:t>[139]</w:t>
      </w:r>
      <w:r>
        <w:fldChar w:fldCharType="end"/>
      </w:r>
      <w:r>
        <w:t>.</w:t>
      </w:r>
      <w:r>
        <w:rPr>
          <w:rFonts w:hint="eastAsia"/>
          <w:lang w:eastAsia="ko-KR"/>
        </w:rPr>
        <w:t xml:space="preserve">  IGLL5 and </w:t>
      </w:r>
      <w:r>
        <w:rPr>
          <w:lang w:eastAsia="ko-KR"/>
        </w:rPr>
        <w:t xml:space="preserve">IGJ are immunoglobulin subtypes, detected in the fecal proteome.  IGLL5’s function is not clarified while IGJ is known to interact with IGA and IGM to form polymers.  Even though IGA and IGM were not found in 11 fecal proteomes, we can speculate that there are IGA or IGM from IGJ identification.  CEACAM5, </w:t>
      </w:r>
      <w:r w:rsidRPr="00133E89">
        <w:rPr>
          <w:lang w:eastAsia="ko-KR"/>
        </w:rPr>
        <w:t>CEACAM1</w:t>
      </w:r>
      <w:r>
        <w:rPr>
          <w:lang w:eastAsia="ko-KR"/>
        </w:rPr>
        <w:t xml:space="preserve"> and CEACAM6 are another immunoglobulin superfamily called as CEA family. </w:t>
      </w:r>
      <w:r w:rsidR="00415FB2">
        <w:rPr>
          <w:lang w:eastAsia="ko-KR"/>
        </w:rPr>
        <w:br w:type="page"/>
      </w:r>
    </w:p>
    <w:p w14:paraId="52ECF62C" w14:textId="3FAB8601" w:rsidR="005D6620" w:rsidRDefault="005D6620" w:rsidP="005D6620">
      <w:pPr>
        <w:pStyle w:val="Caption"/>
        <w:keepNext/>
      </w:pPr>
      <w:bookmarkStart w:id="94" w:name="_Toc296333088"/>
      <w:r>
        <w:lastRenderedPageBreak/>
        <w:t xml:space="preserve">Table </w:t>
      </w:r>
      <w:fldSimple w:instr=" SEQ Table \* ARABIC ">
        <w:r w:rsidR="0093776B">
          <w:rPr>
            <w:noProof/>
          </w:rPr>
          <w:t>16</w:t>
        </w:r>
      </w:fldSimple>
      <w:r>
        <w:t xml:space="preserve"> Top 25 abundant immune response proteins in 11 fecal samples.</w:t>
      </w:r>
      <w:r w:rsidR="000B7631">
        <w:t xml:space="preserve">  </w:t>
      </w:r>
      <w:r w:rsidR="000B7631">
        <w:rPr>
          <w:b w:val="0"/>
        </w:rPr>
        <w:t>Frequency is identification frequency in 11 fecal samples of healthy volunteers.  Sum of SC is total count of SC from 29 MS runs.</w:t>
      </w:r>
      <w:bookmarkEnd w:id="94"/>
    </w:p>
    <w:tbl>
      <w:tblPr>
        <w:tblW w:w="8704" w:type="dxa"/>
        <w:tblLayout w:type="fixed"/>
        <w:tblLook w:val="06A0" w:firstRow="1" w:lastRow="0" w:firstColumn="1" w:lastColumn="0" w:noHBand="1" w:noVBand="1"/>
      </w:tblPr>
      <w:tblGrid>
        <w:gridCol w:w="1458"/>
        <w:gridCol w:w="3060"/>
        <w:gridCol w:w="810"/>
        <w:gridCol w:w="1170"/>
        <w:gridCol w:w="2174"/>
        <w:gridCol w:w="32"/>
      </w:tblGrid>
      <w:tr w:rsidR="005D6620" w:rsidRPr="005D6620" w14:paraId="3C703D2E" w14:textId="77777777" w:rsidTr="005D6620">
        <w:trPr>
          <w:gridAfter w:val="1"/>
          <w:wAfter w:w="32" w:type="dxa"/>
          <w:trHeight w:val="472"/>
        </w:trPr>
        <w:tc>
          <w:tcPr>
            <w:tcW w:w="1458" w:type="dxa"/>
            <w:hideMark/>
          </w:tcPr>
          <w:p w14:paraId="7C17FC3C" w14:textId="77777777" w:rsidR="00415FB2" w:rsidRPr="005D6620" w:rsidRDefault="00415FB2" w:rsidP="00EE6B37">
            <w:pPr>
              <w:jc w:val="center"/>
              <w:rPr>
                <w:lang w:eastAsia="ko-KR"/>
              </w:rPr>
            </w:pPr>
            <w:r w:rsidRPr="005D6620">
              <w:rPr>
                <w:bCs/>
                <w:lang w:eastAsia="ko-KR"/>
              </w:rPr>
              <w:t>Gene Symbol</w:t>
            </w:r>
          </w:p>
        </w:tc>
        <w:tc>
          <w:tcPr>
            <w:tcW w:w="3060" w:type="dxa"/>
            <w:hideMark/>
          </w:tcPr>
          <w:p w14:paraId="3F3492FE" w14:textId="77777777" w:rsidR="00415FB2" w:rsidRPr="005D6620" w:rsidRDefault="00415FB2" w:rsidP="00EE6B37">
            <w:pPr>
              <w:jc w:val="center"/>
              <w:rPr>
                <w:lang w:eastAsia="ko-KR"/>
              </w:rPr>
            </w:pPr>
            <w:r w:rsidRPr="005D6620">
              <w:rPr>
                <w:bCs/>
                <w:lang w:eastAsia="ko-KR"/>
              </w:rPr>
              <w:t>Description</w:t>
            </w:r>
          </w:p>
        </w:tc>
        <w:tc>
          <w:tcPr>
            <w:tcW w:w="810" w:type="dxa"/>
            <w:hideMark/>
          </w:tcPr>
          <w:p w14:paraId="5EF7E43A" w14:textId="77777777" w:rsidR="00415FB2" w:rsidRPr="005D6620" w:rsidRDefault="00415FB2" w:rsidP="00EE6B37">
            <w:pPr>
              <w:jc w:val="center"/>
              <w:rPr>
                <w:lang w:eastAsia="ko-KR"/>
              </w:rPr>
            </w:pPr>
            <w:r w:rsidRPr="005D6620">
              <w:rPr>
                <w:bCs/>
                <w:lang w:eastAsia="ko-KR"/>
              </w:rPr>
              <w:t>Freq.</w:t>
            </w:r>
          </w:p>
        </w:tc>
        <w:tc>
          <w:tcPr>
            <w:tcW w:w="1170" w:type="dxa"/>
            <w:hideMark/>
          </w:tcPr>
          <w:p w14:paraId="66FB699F" w14:textId="77777777" w:rsidR="00415FB2" w:rsidRPr="005D6620" w:rsidRDefault="00415FB2" w:rsidP="00EE6B37">
            <w:pPr>
              <w:jc w:val="center"/>
              <w:rPr>
                <w:lang w:eastAsia="ko-KR"/>
              </w:rPr>
            </w:pPr>
            <w:r w:rsidRPr="005D6620">
              <w:rPr>
                <w:bCs/>
                <w:lang w:eastAsia="ko-KR"/>
              </w:rPr>
              <w:t>Sum of SC</w:t>
            </w:r>
          </w:p>
        </w:tc>
        <w:tc>
          <w:tcPr>
            <w:tcW w:w="2174" w:type="dxa"/>
            <w:hideMark/>
          </w:tcPr>
          <w:p w14:paraId="560FEFD2" w14:textId="77777777" w:rsidR="00415FB2" w:rsidRPr="005D6620" w:rsidRDefault="00415FB2" w:rsidP="00EE6B37">
            <w:pPr>
              <w:jc w:val="center"/>
              <w:rPr>
                <w:lang w:eastAsia="ko-KR"/>
              </w:rPr>
            </w:pPr>
            <w:r w:rsidRPr="005D6620">
              <w:rPr>
                <w:bCs/>
                <w:lang w:eastAsia="ko-KR"/>
              </w:rPr>
              <w:t>Sources</w:t>
            </w:r>
          </w:p>
        </w:tc>
      </w:tr>
      <w:tr w:rsidR="005D6620" w:rsidRPr="005D6620" w14:paraId="1C1B6A0D" w14:textId="77777777" w:rsidTr="005D6620">
        <w:trPr>
          <w:gridAfter w:val="1"/>
          <w:wAfter w:w="32" w:type="dxa"/>
          <w:trHeight w:val="253"/>
        </w:trPr>
        <w:tc>
          <w:tcPr>
            <w:tcW w:w="1458" w:type="dxa"/>
            <w:hideMark/>
          </w:tcPr>
          <w:p w14:paraId="38E7EB26" w14:textId="77777777" w:rsidR="00415FB2" w:rsidRPr="005D6620" w:rsidRDefault="00415FB2" w:rsidP="00415FB2">
            <w:pPr>
              <w:jc w:val="left"/>
              <w:rPr>
                <w:lang w:eastAsia="ko-KR"/>
              </w:rPr>
            </w:pPr>
            <w:r w:rsidRPr="005D6620">
              <w:rPr>
                <w:bCs/>
                <w:lang w:eastAsia="ko-KR"/>
              </w:rPr>
              <w:t>FCGBP</w:t>
            </w:r>
          </w:p>
        </w:tc>
        <w:tc>
          <w:tcPr>
            <w:tcW w:w="3060" w:type="dxa"/>
            <w:hideMark/>
          </w:tcPr>
          <w:p w14:paraId="3434D7B0" w14:textId="77777777" w:rsidR="00415FB2" w:rsidRPr="005D6620" w:rsidRDefault="00415FB2" w:rsidP="00415FB2">
            <w:pPr>
              <w:jc w:val="left"/>
              <w:rPr>
                <w:lang w:eastAsia="ko-KR"/>
              </w:rPr>
            </w:pPr>
            <w:r w:rsidRPr="005D6620">
              <w:rPr>
                <w:lang w:eastAsia="ko-KR"/>
              </w:rPr>
              <w:t>IgGFc-binding protein precursor</w:t>
            </w:r>
          </w:p>
        </w:tc>
        <w:tc>
          <w:tcPr>
            <w:tcW w:w="810" w:type="dxa"/>
            <w:hideMark/>
          </w:tcPr>
          <w:p w14:paraId="6A434E55" w14:textId="77777777" w:rsidR="00415FB2" w:rsidRPr="005D6620" w:rsidRDefault="00415FB2" w:rsidP="005D6620">
            <w:pPr>
              <w:jc w:val="right"/>
              <w:rPr>
                <w:lang w:eastAsia="ko-KR"/>
              </w:rPr>
            </w:pPr>
            <w:r w:rsidRPr="005D6620">
              <w:rPr>
                <w:lang w:eastAsia="ko-KR"/>
              </w:rPr>
              <w:t>11</w:t>
            </w:r>
          </w:p>
        </w:tc>
        <w:tc>
          <w:tcPr>
            <w:tcW w:w="1170" w:type="dxa"/>
            <w:hideMark/>
          </w:tcPr>
          <w:p w14:paraId="3320F317" w14:textId="77777777" w:rsidR="00415FB2" w:rsidRPr="005D6620" w:rsidRDefault="00415FB2" w:rsidP="005D6620">
            <w:pPr>
              <w:jc w:val="right"/>
              <w:rPr>
                <w:lang w:eastAsia="ko-KR"/>
              </w:rPr>
            </w:pPr>
            <w:r w:rsidRPr="005D6620">
              <w:rPr>
                <w:lang w:eastAsia="ko-KR"/>
              </w:rPr>
              <w:t>5,582.98</w:t>
            </w:r>
          </w:p>
        </w:tc>
        <w:tc>
          <w:tcPr>
            <w:tcW w:w="2174" w:type="dxa"/>
            <w:hideMark/>
          </w:tcPr>
          <w:p w14:paraId="121A7587" w14:textId="3BB4FBD7" w:rsidR="00415FB2" w:rsidRPr="005D6620" w:rsidRDefault="00415FB2" w:rsidP="00415FB2">
            <w:pPr>
              <w:jc w:val="left"/>
              <w:rPr>
                <w:lang w:eastAsia="ko-KR"/>
              </w:rPr>
            </w:pPr>
            <w:r w:rsidRPr="005D6620">
              <w:rPr>
                <w:lang w:eastAsia="ko-KR"/>
              </w:rPr>
              <w:t>Keyword</w:t>
            </w:r>
          </w:p>
        </w:tc>
      </w:tr>
      <w:tr w:rsidR="005D6620" w:rsidRPr="005D6620" w14:paraId="084B30F6" w14:textId="77777777" w:rsidTr="005D6620">
        <w:trPr>
          <w:gridAfter w:val="1"/>
          <w:wAfter w:w="32" w:type="dxa"/>
          <w:trHeight w:val="439"/>
        </w:trPr>
        <w:tc>
          <w:tcPr>
            <w:tcW w:w="1458" w:type="dxa"/>
            <w:hideMark/>
          </w:tcPr>
          <w:p w14:paraId="62C03C6D" w14:textId="77777777" w:rsidR="00415FB2" w:rsidRPr="005D6620" w:rsidRDefault="00415FB2" w:rsidP="00415FB2">
            <w:pPr>
              <w:jc w:val="left"/>
              <w:rPr>
                <w:lang w:eastAsia="ko-KR"/>
              </w:rPr>
            </w:pPr>
            <w:r w:rsidRPr="005D6620">
              <w:rPr>
                <w:bCs/>
                <w:lang w:eastAsia="ko-KR"/>
              </w:rPr>
              <w:t>DMBT1</w:t>
            </w:r>
          </w:p>
        </w:tc>
        <w:tc>
          <w:tcPr>
            <w:tcW w:w="3060" w:type="dxa"/>
            <w:hideMark/>
          </w:tcPr>
          <w:p w14:paraId="03DB1B49" w14:textId="77777777" w:rsidR="00415FB2" w:rsidRPr="005D6620" w:rsidRDefault="00415FB2" w:rsidP="00415FB2">
            <w:pPr>
              <w:jc w:val="left"/>
              <w:rPr>
                <w:lang w:eastAsia="ko-KR"/>
              </w:rPr>
            </w:pPr>
            <w:r w:rsidRPr="005D6620">
              <w:rPr>
                <w:lang w:eastAsia="ko-KR"/>
              </w:rPr>
              <w:t>deleted in malignant brain tumors 1 protein isoform c precursor</w:t>
            </w:r>
          </w:p>
        </w:tc>
        <w:tc>
          <w:tcPr>
            <w:tcW w:w="810" w:type="dxa"/>
            <w:hideMark/>
          </w:tcPr>
          <w:p w14:paraId="07B27266" w14:textId="77777777" w:rsidR="00415FB2" w:rsidRPr="005D6620" w:rsidRDefault="00415FB2" w:rsidP="005D6620">
            <w:pPr>
              <w:jc w:val="right"/>
              <w:rPr>
                <w:lang w:eastAsia="ko-KR"/>
              </w:rPr>
            </w:pPr>
            <w:r w:rsidRPr="005D6620">
              <w:rPr>
                <w:lang w:eastAsia="ko-KR"/>
              </w:rPr>
              <w:t>11</w:t>
            </w:r>
          </w:p>
        </w:tc>
        <w:tc>
          <w:tcPr>
            <w:tcW w:w="1170" w:type="dxa"/>
            <w:hideMark/>
          </w:tcPr>
          <w:p w14:paraId="63DB7357" w14:textId="77777777" w:rsidR="00415FB2" w:rsidRPr="005D6620" w:rsidRDefault="00415FB2" w:rsidP="005D6620">
            <w:pPr>
              <w:jc w:val="right"/>
              <w:rPr>
                <w:lang w:eastAsia="ko-KR"/>
              </w:rPr>
            </w:pPr>
            <w:r w:rsidRPr="005D6620">
              <w:rPr>
                <w:lang w:eastAsia="ko-KR"/>
              </w:rPr>
              <w:t>4,793.61</w:t>
            </w:r>
          </w:p>
        </w:tc>
        <w:tc>
          <w:tcPr>
            <w:tcW w:w="2174" w:type="dxa"/>
            <w:hideMark/>
          </w:tcPr>
          <w:p w14:paraId="74E4CAF6" w14:textId="6B53BA0E" w:rsidR="00415FB2" w:rsidRPr="005D6620" w:rsidRDefault="00415FB2" w:rsidP="00415FB2">
            <w:pPr>
              <w:jc w:val="left"/>
              <w:rPr>
                <w:lang w:eastAsia="ko-KR"/>
              </w:rPr>
            </w:pPr>
            <w:r w:rsidRPr="005D6620">
              <w:rPr>
                <w:lang w:eastAsia="ko-KR"/>
              </w:rPr>
              <w:t>WikiGO, GO term, Innate DB</w:t>
            </w:r>
          </w:p>
        </w:tc>
      </w:tr>
      <w:tr w:rsidR="005D6620" w:rsidRPr="005D6620" w14:paraId="3CDE7F63" w14:textId="77777777" w:rsidTr="005D6620">
        <w:trPr>
          <w:gridAfter w:val="1"/>
          <w:wAfter w:w="32" w:type="dxa"/>
          <w:trHeight w:val="253"/>
        </w:trPr>
        <w:tc>
          <w:tcPr>
            <w:tcW w:w="1458" w:type="dxa"/>
            <w:hideMark/>
          </w:tcPr>
          <w:p w14:paraId="47A20EEE" w14:textId="77777777" w:rsidR="00415FB2" w:rsidRPr="005D6620" w:rsidRDefault="00415FB2" w:rsidP="00415FB2">
            <w:pPr>
              <w:jc w:val="left"/>
              <w:rPr>
                <w:lang w:eastAsia="ko-KR"/>
              </w:rPr>
            </w:pPr>
            <w:r w:rsidRPr="005D6620">
              <w:rPr>
                <w:bCs/>
                <w:lang w:eastAsia="ko-KR"/>
              </w:rPr>
              <w:t>IGLL5</w:t>
            </w:r>
          </w:p>
        </w:tc>
        <w:tc>
          <w:tcPr>
            <w:tcW w:w="3060" w:type="dxa"/>
            <w:hideMark/>
          </w:tcPr>
          <w:p w14:paraId="2F2397D4" w14:textId="77777777" w:rsidR="00415FB2" w:rsidRPr="005D6620" w:rsidRDefault="00415FB2" w:rsidP="00415FB2">
            <w:pPr>
              <w:jc w:val="left"/>
              <w:rPr>
                <w:lang w:eastAsia="ko-KR"/>
              </w:rPr>
            </w:pPr>
            <w:r w:rsidRPr="005D6620">
              <w:rPr>
                <w:lang w:eastAsia="ko-KR"/>
              </w:rPr>
              <w:t>immunoglobulin lambda-like polypeptide 5</w:t>
            </w:r>
          </w:p>
        </w:tc>
        <w:tc>
          <w:tcPr>
            <w:tcW w:w="810" w:type="dxa"/>
            <w:hideMark/>
          </w:tcPr>
          <w:p w14:paraId="038471EB" w14:textId="77777777" w:rsidR="00415FB2" w:rsidRPr="005D6620" w:rsidRDefault="00415FB2" w:rsidP="005D6620">
            <w:pPr>
              <w:jc w:val="right"/>
              <w:rPr>
                <w:lang w:eastAsia="ko-KR"/>
              </w:rPr>
            </w:pPr>
            <w:r w:rsidRPr="005D6620">
              <w:rPr>
                <w:lang w:eastAsia="ko-KR"/>
              </w:rPr>
              <w:t>11</w:t>
            </w:r>
          </w:p>
        </w:tc>
        <w:tc>
          <w:tcPr>
            <w:tcW w:w="1170" w:type="dxa"/>
            <w:hideMark/>
          </w:tcPr>
          <w:p w14:paraId="0B12E5F1" w14:textId="77777777" w:rsidR="00415FB2" w:rsidRPr="005D6620" w:rsidRDefault="00415FB2" w:rsidP="005D6620">
            <w:pPr>
              <w:jc w:val="right"/>
              <w:rPr>
                <w:lang w:eastAsia="ko-KR"/>
              </w:rPr>
            </w:pPr>
            <w:r w:rsidRPr="005D6620">
              <w:rPr>
                <w:lang w:eastAsia="ko-KR"/>
              </w:rPr>
              <w:t>950.77</w:t>
            </w:r>
          </w:p>
        </w:tc>
        <w:tc>
          <w:tcPr>
            <w:tcW w:w="2174" w:type="dxa"/>
            <w:hideMark/>
          </w:tcPr>
          <w:p w14:paraId="6F0C1069" w14:textId="0437373A" w:rsidR="00415FB2" w:rsidRPr="005D6620" w:rsidRDefault="00415FB2" w:rsidP="00415FB2">
            <w:pPr>
              <w:jc w:val="left"/>
              <w:rPr>
                <w:lang w:eastAsia="ko-KR"/>
              </w:rPr>
            </w:pPr>
            <w:r w:rsidRPr="005D6620">
              <w:rPr>
                <w:lang w:eastAsia="ko-KR"/>
              </w:rPr>
              <w:t>Keyword</w:t>
            </w:r>
          </w:p>
        </w:tc>
      </w:tr>
      <w:tr w:rsidR="005D6620" w:rsidRPr="005D6620" w14:paraId="299AB81B" w14:textId="77777777" w:rsidTr="005D6620">
        <w:trPr>
          <w:gridAfter w:val="1"/>
          <w:wAfter w:w="32" w:type="dxa"/>
          <w:trHeight w:val="315"/>
        </w:trPr>
        <w:tc>
          <w:tcPr>
            <w:tcW w:w="1458" w:type="dxa"/>
            <w:hideMark/>
          </w:tcPr>
          <w:p w14:paraId="3EC9BA87" w14:textId="77777777" w:rsidR="00415FB2" w:rsidRPr="005D6620" w:rsidRDefault="00415FB2" w:rsidP="00415FB2">
            <w:pPr>
              <w:jc w:val="left"/>
              <w:rPr>
                <w:lang w:eastAsia="ko-KR"/>
              </w:rPr>
            </w:pPr>
            <w:r w:rsidRPr="005D6620">
              <w:rPr>
                <w:bCs/>
                <w:lang w:eastAsia="ko-KR"/>
              </w:rPr>
              <w:t>SERPINA3</w:t>
            </w:r>
          </w:p>
        </w:tc>
        <w:tc>
          <w:tcPr>
            <w:tcW w:w="3060" w:type="dxa"/>
            <w:hideMark/>
          </w:tcPr>
          <w:p w14:paraId="5C05A468" w14:textId="77777777" w:rsidR="00415FB2" w:rsidRPr="005D6620" w:rsidRDefault="00415FB2" w:rsidP="00415FB2">
            <w:pPr>
              <w:jc w:val="left"/>
              <w:rPr>
                <w:lang w:eastAsia="ko-KR"/>
              </w:rPr>
            </w:pPr>
            <w:r w:rsidRPr="005D6620">
              <w:rPr>
                <w:lang w:eastAsia="ko-KR"/>
              </w:rPr>
              <w:t>alpha-1-antichymotrypsin precursor</w:t>
            </w:r>
          </w:p>
        </w:tc>
        <w:tc>
          <w:tcPr>
            <w:tcW w:w="810" w:type="dxa"/>
            <w:hideMark/>
          </w:tcPr>
          <w:p w14:paraId="5F81220A" w14:textId="77777777" w:rsidR="00415FB2" w:rsidRPr="005D6620" w:rsidRDefault="00415FB2" w:rsidP="005D6620">
            <w:pPr>
              <w:jc w:val="right"/>
              <w:rPr>
                <w:lang w:eastAsia="ko-KR"/>
              </w:rPr>
            </w:pPr>
            <w:r w:rsidRPr="005D6620">
              <w:rPr>
                <w:lang w:eastAsia="ko-KR"/>
              </w:rPr>
              <w:t>11</w:t>
            </w:r>
          </w:p>
        </w:tc>
        <w:tc>
          <w:tcPr>
            <w:tcW w:w="1170" w:type="dxa"/>
            <w:hideMark/>
          </w:tcPr>
          <w:p w14:paraId="7803C7ED" w14:textId="77777777" w:rsidR="00415FB2" w:rsidRPr="005D6620" w:rsidRDefault="00415FB2" w:rsidP="005D6620">
            <w:pPr>
              <w:jc w:val="right"/>
              <w:rPr>
                <w:lang w:eastAsia="ko-KR"/>
              </w:rPr>
            </w:pPr>
            <w:r w:rsidRPr="005D6620">
              <w:rPr>
                <w:lang w:eastAsia="ko-KR"/>
              </w:rPr>
              <w:t>938.32</w:t>
            </w:r>
          </w:p>
        </w:tc>
        <w:tc>
          <w:tcPr>
            <w:tcW w:w="2174" w:type="dxa"/>
            <w:hideMark/>
          </w:tcPr>
          <w:p w14:paraId="4419B753" w14:textId="38FC8352" w:rsidR="00415FB2" w:rsidRPr="005D6620" w:rsidRDefault="00415FB2" w:rsidP="00415FB2">
            <w:pPr>
              <w:jc w:val="left"/>
              <w:rPr>
                <w:lang w:eastAsia="ko-KR"/>
              </w:rPr>
            </w:pPr>
            <w:r w:rsidRPr="005D6620">
              <w:rPr>
                <w:lang w:eastAsia="ko-KR"/>
              </w:rPr>
              <w:t>WikiGO</w:t>
            </w:r>
          </w:p>
        </w:tc>
      </w:tr>
      <w:tr w:rsidR="005D6620" w:rsidRPr="005D6620" w14:paraId="0A038A7D" w14:textId="77777777" w:rsidTr="005D6620">
        <w:trPr>
          <w:gridAfter w:val="1"/>
          <w:wAfter w:w="32" w:type="dxa"/>
          <w:trHeight w:val="253"/>
        </w:trPr>
        <w:tc>
          <w:tcPr>
            <w:tcW w:w="1458" w:type="dxa"/>
            <w:hideMark/>
          </w:tcPr>
          <w:p w14:paraId="2F95AC31" w14:textId="77777777" w:rsidR="00415FB2" w:rsidRPr="005D6620" w:rsidRDefault="00415FB2" w:rsidP="00415FB2">
            <w:pPr>
              <w:jc w:val="left"/>
              <w:rPr>
                <w:lang w:eastAsia="ko-KR"/>
              </w:rPr>
            </w:pPr>
            <w:r w:rsidRPr="005D6620">
              <w:rPr>
                <w:bCs/>
                <w:lang w:eastAsia="ko-KR"/>
              </w:rPr>
              <w:t>PIGR</w:t>
            </w:r>
          </w:p>
        </w:tc>
        <w:tc>
          <w:tcPr>
            <w:tcW w:w="3060" w:type="dxa"/>
            <w:hideMark/>
          </w:tcPr>
          <w:p w14:paraId="1BFB991D" w14:textId="77777777" w:rsidR="00415FB2" w:rsidRPr="005D6620" w:rsidRDefault="00415FB2" w:rsidP="00415FB2">
            <w:pPr>
              <w:jc w:val="left"/>
              <w:rPr>
                <w:lang w:eastAsia="ko-KR"/>
              </w:rPr>
            </w:pPr>
            <w:r w:rsidRPr="005D6620">
              <w:rPr>
                <w:lang w:eastAsia="ko-KR"/>
              </w:rPr>
              <w:t>polymeric immunoglobulin receptor precursor</w:t>
            </w:r>
          </w:p>
        </w:tc>
        <w:tc>
          <w:tcPr>
            <w:tcW w:w="810" w:type="dxa"/>
            <w:hideMark/>
          </w:tcPr>
          <w:p w14:paraId="1E2DA1B0" w14:textId="77777777" w:rsidR="00415FB2" w:rsidRPr="005D6620" w:rsidRDefault="00415FB2" w:rsidP="005D6620">
            <w:pPr>
              <w:jc w:val="right"/>
              <w:rPr>
                <w:lang w:eastAsia="ko-KR"/>
              </w:rPr>
            </w:pPr>
            <w:r w:rsidRPr="005D6620">
              <w:rPr>
                <w:lang w:eastAsia="ko-KR"/>
              </w:rPr>
              <w:t>10</w:t>
            </w:r>
          </w:p>
        </w:tc>
        <w:tc>
          <w:tcPr>
            <w:tcW w:w="1170" w:type="dxa"/>
            <w:hideMark/>
          </w:tcPr>
          <w:p w14:paraId="57A0A099" w14:textId="77777777" w:rsidR="00415FB2" w:rsidRPr="005D6620" w:rsidRDefault="00415FB2" w:rsidP="005D6620">
            <w:pPr>
              <w:jc w:val="right"/>
              <w:rPr>
                <w:lang w:eastAsia="ko-KR"/>
              </w:rPr>
            </w:pPr>
            <w:r w:rsidRPr="005D6620">
              <w:rPr>
                <w:lang w:eastAsia="ko-KR"/>
              </w:rPr>
              <w:t>935.14</w:t>
            </w:r>
          </w:p>
        </w:tc>
        <w:tc>
          <w:tcPr>
            <w:tcW w:w="2174" w:type="dxa"/>
            <w:hideMark/>
          </w:tcPr>
          <w:p w14:paraId="483DE83F" w14:textId="13228A50" w:rsidR="00415FB2" w:rsidRPr="005D6620" w:rsidRDefault="00415FB2" w:rsidP="00415FB2">
            <w:pPr>
              <w:jc w:val="left"/>
              <w:rPr>
                <w:lang w:eastAsia="ko-KR"/>
              </w:rPr>
            </w:pPr>
            <w:r w:rsidRPr="005D6620">
              <w:rPr>
                <w:lang w:eastAsia="ko-KR"/>
              </w:rPr>
              <w:t>WikiGO, Keyword</w:t>
            </w:r>
          </w:p>
        </w:tc>
      </w:tr>
      <w:tr w:rsidR="005D6620" w:rsidRPr="005D6620" w14:paraId="1D1AEB6C" w14:textId="77777777" w:rsidTr="005D6620">
        <w:trPr>
          <w:gridAfter w:val="1"/>
          <w:wAfter w:w="32" w:type="dxa"/>
          <w:trHeight w:val="315"/>
        </w:trPr>
        <w:tc>
          <w:tcPr>
            <w:tcW w:w="1458" w:type="dxa"/>
            <w:hideMark/>
          </w:tcPr>
          <w:p w14:paraId="44E48978" w14:textId="77777777" w:rsidR="00415FB2" w:rsidRPr="005D6620" w:rsidRDefault="00415FB2" w:rsidP="00415FB2">
            <w:pPr>
              <w:jc w:val="left"/>
              <w:rPr>
                <w:lang w:eastAsia="ko-KR"/>
              </w:rPr>
            </w:pPr>
            <w:r w:rsidRPr="005D6620">
              <w:rPr>
                <w:bCs/>
                <w:lang w:eastAsia="ko-KR"/>
              </w:rPr>
              <w:t>IGJ</w:t>
            </w:r>
          </w:p>
        </w:tc>
        <w:tc>
          <w:tcPr>
            <w:tcW w:w="3060" w:type="dxa"/>
            <w:hideMark/>
          </w:tcPr>
          <w:p w14:paraId="0E7A92F1" w14:textId="77777777" w:rsidR="00415FB2" w:rsidRPr="005D6620" w:rsidRDefault="00415FB2" w:rsidP="00415FB2">
            <w:pPr>
              <w:jc w:val="left"/>
              <w:rPr>
                <w:lang w:eastAsia="ko-KR"/>
              </w:rPr>
            </w:pPr>
            <w:r w:rsidRPr="005D6620">
              <w:rPr>
                <w:lang w:eastAsia="ko-KR"/>
              </w:rPr>
              <w:t>immunoglobulin J chain</w:t>
            </w:r>
          </w:p>
        </w:tc>
        <w:tc>
          <w:tcPr>
            <w:tcW w:w="810" w:type="dxa"/>
            <w:hideMark/>
          </w:tcPr>
          <w:p w14:paraId="0F63F2EF" w14:textId="77777777" w:rsidR="00415FB2" w:rsidRPr="005D6620" w:rsidRDefault="00415FB2" w:rsidP="005D6620">
            <w:pPr>
              <w:jc w:val="right"/>
              <w:rPr>
                <w:lang w:eastAsia="ko-KR"/>
              </w:rPr>
            </w:pPr>
            <w:r w:rsidRPr="005D6620">
              <w:rPr>
                <w:lang w:eastAsia="ko-KR"/>
              </w:rPr>
              <w:t>10</w:t>
            </w:r>
          </w:p>
        </w:tc>
        <w:tc>
          <w:tcPr>
            <w:tcW w:w="1170" w:type="dxa"/>
            <w:hideMark/>
          </w:tcPr>
          <w:p w14:paraId="086B63F7" w14:textId="77777777" w:rsidR="00415FB2" w:rsidRPr="005D6620" w:rsidRDefault="00415FB2" w:rsidP="005D6620">
            <w:pPr>
              <w:jc w:val="right"/>
              <w:rPr>
                <w:lang w:eastAsia="ko-KR"/>
              </w:rPr>
            </w:pPr>
            <w:r w:rsidRPr="005D6620">
              <w:rPr>
                <w:lang w:eastAsia="ko-KR"/>
              </w:rPr>
              <w:t>729.67</w:t>
            </w:r>
          </w:p>
        </w:tc>
        <w:tc>
          <w:tcPr>
            <w:tcW w:w="2174" w:type="dxa"/>
            <w:hideMark/>
          </w:tcPr>
          <w:p w14:paraId="1AE6A37E" w14:textId="1D1F3CEE" w:rsidR="00415FB2" w:rsidRPr="005D6620" w:rsidRDefault="00415FB2" w:rsidP="00415FB2">
            <w:pPr>
              <w:jc w:val="left"/>
              <w:rPr>
                <w:lang w:eastAsia="ko-KR"/>
              </w:rPr>
            </w:pPr>
            <w:r w:rsidRPr="005D6620">
              <w:rPr>
                <w:lang w:eastAsia="ko-KR"/>
              </w:rPr>
              <w:t>WikiGO, GO term, Immunome, Keyword</w:t>
            </w:r>
          </w:p>
        </w:tc>
      </w:tr>
      <w:tr w:rsidR="005D6620" w:rsidRPr="005D6620" w14:paraId="685D3ABF" w14:textId="77777777" w:rsidTr="005D6620">
        <w:trPr>
          <w:gridAfter w:val="1"/>
          <w:wAfter w:w="32" w:type="dxa"/>
          <w:trHeight w:val="253"/>
        </w:trPr>
        <w:tc>
          <w:tcPr>
            <w:tcW w:w="1458" w:type="dxa"/>
            <w:hideMark/>
          </w:tcPr>
          <w:p w14:paraId="2CC64F20" w14:textId="77777777" w:rsidR="00415FB2" w:rsidRPr="005D6620" w:rsidRDefault="00415FB2" w:rsidP="00415FB2">
            <w:pPr>
              <w:jc w:val="left"/>
              <w:rPr>
                <w:lang w:eastAsia="ko-KR"/>
              </w:rPr>
            </w:pPr>
            <w:r w:rsidRPr="005D6620">
              <w:rPr>
                <w:bCs/>
                <w:lang w:eastAsia="ko-KR"/>
              </w:rPr>
              <w:t>S100A9</w:t>
            </w:r>
          </w:p>
        </w:tc>
        <w:tc>
          <w:tcPr>
            <w:tcW w:w="3060" w:type="dxa"/>
            <w:hideMark/>
          </w:tcPr>
          <w:p w14:paraId="4ED63DA4" w14:textId="77777777" w:rsidR="00415FB2" w:rsidRPr="005D6620" w:rsidRDefault="00415FB2" w:rsidP="00415FB2">
            <w:pPr>
              <w:jc w:val="left"/>
              <w:rPr>
                <w:lang w:eastAsia="ko-KR"/>
              </w:rPr>
            </w:pPr>
            <w:r w:rsidRPr="005D6620">
              <w:rPr>
                <w:lang w:eastAsia="ko-KR"/>
              </w:rPr>
              <w:t>protein S100-A9</w:t>
            </w:r>
          </w:p>
        </w:tc>
        <w:tc>
          <w:tcPr>
            <w:tcW w:w="810" w:type="dxa"/>
            <w:hideMark/>
          </w:tcPr>
          <w:p w14:paraId="0C078D34" w14:textId="77777777" w:rsidR="00415FB2" w:rsidRPr="005D6620" w:rsidRDefault="00415FB2" w:rsidP="005D6620">
            <w:pPr>
              <w:jc w:val="right"/>
              <w:rPr>
                <w:lang w:eastAsia="ko-KR"/>
              </w:rPr>
            </w:pPr>
            <w:r w:rsidRPr="005D6620">
              <w:rPr>
                <w:lang w:eastAsia="ko-KR"/>
              </w:rPr>
              <w:t>11</w:t>
            </w:r>
          </w:p>
        </w:tc>
        <w:tc>
          <w:tcPr>
            <w:tcW w:w="1170" w:type="dxa"/>
            <w:hideMark/>
          </w:tcPr>
          <w:p w14:paraId="18C0C874" w14:textId="77777777" w:rsidR="00415FB2" w:rsidRPr="005D6620" w:rsidRDefault="00415FB2" w:rsidP="005D6620">
            <w:pPr>
              <w:jc w:val="right"/>
              <w:rPr>
                <w:lang w:eastAsia="ko-KR"/>
              </w:rPr>
            </w:pPr>
            <w:r w:rsidRPr="005D6620">
              <w:rPr>
                <w:lang w:eastAsia="ko-KR"/>
              </w:rPr>
              <w:t>636.55</w:t>
            </w:r>
          </w:p>
        </w:tc>
        <w:tc>
          <w:tcPr>
            <w:tcW w:w="2174" w:type="dxa"/>
            <w:hideMark/>
          </w:tcPr>
          <w:p w14:paraId="36D6C556" w14:textId="5E7BDEA7" w:rsidR="00415FB2" w:rsidRPr="005D6620" w:rsidRDefault="00415FB2" w:rsidP="00415FB2">
            <w:pPr>
              <w:jc w:val="left"/>
              <w:rPr>
                <w:lang w:eastAsia="ko-KR"/>
              </w:rPr>
            </w:pPr>
            <w:r w:rsidRPr="005D6620">
              <w:rPr>
                <w:lang w:eastAsia="ko-KR"/>
              </w:rPr>
              <w:t>WikiGO, GO term, Innate DB</w:t>
            </w:r>
          </w:p>
        </w:tc>
      </w:tr>
      <w:tr w:rsidR="005D6620" w:rsidRPr="005D6620" w14:paraId="6E601072" w14:textId="77777777" w:rsidTr="005D6620">
        <w:trPr>
          <w:gridAfter w:val="1"/>
          <w:wAfter w:w="32" w:type="dxa"/>
          <w:trHeight w:val="191"/>
        </w:trPr>
        <w:tc>
          <w:tcPr>
            <w:tcW w:w="1458" w:type="dxa"/>
            <w:hideMark/>
          </w:tcPr>
          <w:p w14:paraId="5BA3AEAA" w14:textId="77777777" w:rsidR="00415FB2" w:rsidRPr="005D6620" w:rsidRDefault="00415FB2" w:rsidP="00415FB2">
            <w:pPr>
              <w:jc w:val="left"/>
              <w:rPr>
                <w:lang w:eastAsia="ko-KR"/>
              </w:rPr>
            </w:pPr>
            <w:r w:rsidRPr="005D6620">
              <w:rPr>
                <w:bCs/>
                <w:lang w:eastAsia="ko-KR"/>
              </w:rPr>
              <w:t>CEACAM5</w:t>
            </w:r>
          </w:p>
        </w:tc>
        <w:tc>
          <w:tcPr>
            <w:tcW w:w="3060" w:type="dxa"/>
            <w:hideMark/>
          </w:tcPr>
          <w:p w14:paraId="3170A492" w14:textId="77777777" w:rsidR="00415FB2" w:rsidRPr="005D6620" w:rsidRDefault="00415FB2" w:rsidP="00415FB2">
            <w:pPr>
              <w:jc w:val="left"/>
              <w:rPr>
                <w:lang w:eastAsia="ko-KR"/>
              </w:rPr>
            </w:pPr>
            <w:r w:rsidRPr="005D6620">
              <w:rPr>
                <w:lang w:eastAsia="ko-KR"/>
              </w:rPr>
              <w:t>carcinoembryonic antigen-related cell adhesion molecule 5 preproprotein</w:t>
            </w:r>
          </w:p>
        </w:tc>
        <w:tc>
          <w:tcPr>
            <w:tcW w:w="810" w:type="dxa"/>
            <w:hideMark/>
          </w:tcPr>
          <w:p w14:paraId="496655B2" w14:textId="77777777" w:rsidR="00415FB2" w:rsidRPr="005D6620" w:rsidRDefault="00415FB2" w:rsidP="005D6620">
            <w:pPr>
              <w:jc w:val="right"/>
              <w:rPr>
                <w:lang w:eastAsia="ko-KR"/>
              </w:rPr>
            </w:pPr>
            <w:r w:rsidRPr="005D6620">
              <w:rPr>
                <w:lang w:eastAsia="ko-KR"/>
              </w:rPr>
              <w:t>11</w:t>
            </w:r>
          </w:p>
        </w:tc>
        <w:tc>
          <w:tcPr>
            <w:tcW w:w="1170" w:type="dxa"/>
            <w:hideMark/>
          </w:tcPr>
          <w:p w14:paraId="75F273A3" w14:textId="77777777" w:rsidR="00415FB2" w:rsidRPr="005D6620" w:rsidRDefault="00415FB2" w:rsidP="005D6620">
            <w:pPr>
              <w:jc w:val="right"/>
              <w:rPr>
                <w:lang w:eastAsia="ko-KR"/>
              </w:rPr>
            </w:pPr>
            <w:r w:rsidRPr="005D6620">
              <w:rPr>
                <w:lang w:eastAsia="ko-KR"/>
              </w:rPr>
              <w:t>414.82</w:t>
            </w:r>
          </w:p>
        </w:tc>
        <w:tc>
          <w:tcPr>
            <w:tcW w:w="2174" w:type="dxa"/>
            <w:hideMark/>
          </w:tcPr>
          <w:p w14:paraId="714B3C95" w14:textId="5FC4E74C" w:rsidR="00415FB2" w:rsidRPr="005D6620" w:rsidRDefault="00415FB2" w:rsidP="00415FB2">
            <w:pPr>
              <w:jc w:val="left"/>
              <w:rPr>
                <w:lang w:eastAsia="ko-KR"/>
              </w:rPr>
            </w:pPr>
            <w:r w:rsidRPr="005D6620">
              <w:rPr>
                <w:lang w:eastAsia="ko-KR"/>
              </w:rPr>
              <w:t>WikiGO, Immunome</w:t>
            </w:r>
          </w:p>
        </w:tc>
      </w:tr>
      <w:tr w:rsidR="005D6620" w:rsidRPr="005D6620" w14:paraId="6911D40A" w14:textId="77777777" w:rsidTr="005D6620">
        <w:trPr>
          <w:gridAfter w:val="1"/>
          <w:wAfter w:w="32" w:type="dxa"/>
          <w:trHeight w:val="501"/>
        </w:trPr>
        <w:tc>
          <w:tcPr>
            <w:tcW w:w="1458" w:type="dxa"/>
            <w:hideMark/>
          </w:tcPr>
          <w:p w14:paraId="7663CA0A" w14:textId="77777777" w:rsidR="00415FB2" w:rsidRPr="005D6620" w:rsidRDefault="00415FB2" w:rsidP="00415FB2">
            <w:pPr>
              <w:jc w:val="left"/>
              <w:rPr>
                <w:lang w:eastAsia="ko-KR"/>
              </w:rPr>
            </w:pPr>
            <w:r w:rsidRPr="005D6620">
              <w:rPr>
                <w:bCs/>
                <w:lang w:eastAsia="ko-KR"/>
              </w:rPr>
              <w:t>GP2</w:t>
            </w:r>
          </w:p>
        </w:tc>
        <w:tc>
          <w:tcPr>
            <w:tcW w:w="3060" w:type="dxa"/>
            <w:hideMark/>
          </w:tcPr>
          <w:p w14:paraId="6D4ADFBC" w14:textId="77777777" w:rsidR="00415FB2" w:rsidRPr="005D6620" w:rsidRDefault="00415FB2" w:rsidP="00415FB2">
            <w:pPr>
              <w:jc w:val="left"/>
              <w:rPr>
                <w:lang w:eastAsia="ko-KR"/>
              </w:rPr>
            </w:pPr>
            <w:r w:rsidRPr="005D6620">
              <w:rPr>
                <w:lang w:eastAsia="ko-KR"/>
              </w:rPr>
              <w:t>pancreatic secretory granule membrane major glycoprotein GP2 isoform 4</w:t>
            </w:r>
          </w:p>
        </w:tc>
        <w:tc>
          <w:tcPr>
            <w:tcW w:w="810" w:type="dxa"/>
            <w:hideMark/>
          </w:tcPr>
          <w:p w14:paraId="6C76241C" w14:textId="77777777" w:rsidR="00415FB2" w:rsidRPr="005D6620" w:rsidRDefault="00415FB2" w:rsidP="005D6620">
            <w:pPr>
              <w:jc w:val="right"/>
              <w:rPr>
                <w:lang w:eastAsia="ko-KR"/>
              </w:rPr>
            </w:pPr>
            <w:r w:rsidRPr="005D6620">
              <w:rPr>
                <w:lang w:eastAsia="ko-KR"/>
              </w:rPr>
              <w:t>10</w:t>
            </w:r>
          </w:p>
        </w:tc>
        <w:tc>
          <w:tcPr>
            <w:tcW w:w="1170" w:type="dxa"/>
            <w:hideMark/>
          </w:tcPr>
          <w:p w14:paraId="0B5426E8" w14:textId="77777777" w:rsidR="00415FB2" w:rsidRPr="005D6620" w:rsidRDefault="00415FB2" w:rsidP="005D6620">
            <w:pPr>
              <w:jc w:val="right"/>
              <w:rPr>
                <w:lang w:eastAsia="ko-KR"/>
              </w:rPr>
            </w:pPr>
            <w:r w:rsidRPr="005D6620">
              <w:rPr>
                <w:lang w:eastAsia="ko-KR"/>
              </w:rPr>
              <w:t>414.06</w:t>
            </w:r>
          </w:p>
        </w:tc>
        <w:tc>
          <w:tcPr>
            <w:tcW w:w="2174" w:type="dxa"/>
            <w:hideMark/>
          </w:tcPr>
          <w:p w14:paraId="366558F1" w14:textId="75D96D0A" w:rsidR="00415FB2" w:rsidRPr="005D6620" w:rsidRDefault="00415FB2" w:rsidP="00415FB2">
            <w:pPr>
              <w:jc w:val="left"/>
              <w:rPr>
                <w:lang w:eastAsia="ko-KR"/>
              </w:rPr>
            </w:pPr>
            <w:r w:rsidRPr="005D6620">
              <w:rPr>
                <w:lang w:eastAsia="ko-KR"/>
              </w:rPr>
              <w:t>GO term, Innate DB</w:t>
            </w:r>
          </w:p>
        </w:tc>
      </w:tr>
      <w:tr w:rsidR="005D6620" w:rsidRPr="005D6620" w14:paraId="1372B0A3" w14:textId="77777777" w:rsidTr="005D6620">
        <w:trPr>
          <w:gridAfter w:val="1"/>
          <w:wAfter w:w="32" w:type="dxa"/>
          <w:trHeight w:val="501"/>
        </w:trPr>
        <w:tc>
          <w:tcPr>
            <w:tcW w:w="1458" w:type="dxa"/>
            <w:hideMark/>
          </w:tcPr>
          <w:p w14:paraId="6C007034" w14:textId="77777777" w:rsidR="00415FB2" w:rsidRPr="005D6620" w:rsidRDefault="00415FB2" w:rsidP="00415FB2">
            <w:pPr>
              <w:jc w:val="left"/>
              <w:rPr>
                <w:lang w:eastAsia="ko-KR"/>
              </w:rPr>
            </w:pPr>
            <w:r w:rsidRPr="005D6620">
              <w:rPr>
                <w:bCs/>
                <w:lang w:eastAsia="ko-KR"/>
              </w:rPr>
              <w:t>CEACAM1</w:t>
            </w:r>
          </w:p>
        </w:tc>
        <w:tc>
          <w:tcPr>
            <w:tcW w:w="3060" w:type="dxa"/>
            <w:hideMark/>
          </w:tcPr>
          <w:p w14:paraId="67DD5C4C" w14:textId="77777777" w:rsidR="00415FB2" w:rsidRPr="005D6620" w:rsidRDefault="00415FB2" w:rsidP="00415FB2">
            <w:pPr>
              <w:jc w:val="left"/>
              <w:rPr>
                <w:lang w:eastAsia="ko-KR"/>
              </w:rPr>
            </w:pPr>
            <w:r w:rsidRPr="005D6620">
              <w:rPr>
                <w:lang w:eastAsia="ko-KR"/>
              </w:rPr>
              <w:t>carcinoembryonic antigen-related cell adhesion molecule 1 isoform 2 precursor</w:t>
            </w:r>
          </w:p>
        </w:tc>
        <w:tc>
          <w:tcPr>
            <w:tcW w:w="810" w:type="dxa"/>
            <w:hideMark/>
          </w:tcPr>
          <w:p w14:paraId="322AAE8B" w14:textId="77777777" w:rsidR="00415FB2" w:rsidRPr="005D6620" w:rsidRDefault="00415FB2" w:rsidP="005D6620">
            <w:pPr>
              <w:jc w:val="right"/>
              <w:rPr>
                <w:lang w:eastAsia="ko-KR"/>
              </w:rPr>
            </w:pPr>
            <w:r w:rsidRPr="005D6620">
              <w:rPr>
                <w:lang w:eastAsia="ko-KR"/>
              </w:rPr>
              <w:t>11</w:t>
            </w:r>
          </w:p>
        </w:tc>
        <w:tc>
          <w:tcPr>
            <w:tcW w:w="1170" w:type="dxa"/>
            <w:hideMark/>
          </w:tcPr>
          <w:p w14:paraId="2A76E9A8" w14:textId="77777777" w:rsidR="00415FB2" w:rsidRPr="005D6620" w:rsidRDefault="00415FB2" w:rsidP="005D6620">
            <w:pPr>
              <w:jc w:val="right"/>
              <w:rPr>
                <w:lang w:eastAsia="ko-KR"/>
              </w:rPr>
            </w:pPr>
            <w:r w:rsidRPr="005D6620">
              <w:rPr>
                <w:lang w:eastAsia="ko-KR"/>
              </w:rPr>
              <w:t>395.66</w:t>
            </w:r>
          </w:p>
        </w:tc>
        <w:tc>
          <w:tcPr>
            <w:tcW w:w="2174" w:type="dxa"/>
            <w:hideMark/>
          </w:tcPr>
          <w:p w14:paraId="2EEE9FBC" w14:textId="76833B2C" w:rsidR="00415FB2" w:rsidRPr="005D6620" w:rsidRDefault="00415FB2" w:rsidP="00415FB2">
            <w:pPr>
              <w:jc w:val="left"/>
              <w:rPr>
                <w:lang w:eastAsia="ko-KR"/>
              </w:rPr>
            </w:pPr>
            <w:r w:rsidRPr="005D6620">
              <w:rPr>
                <w:lang w:eastAsia="ko-KR"/>
              </w:rPr>
              <w:t>WikiGO, Innate DB, Immunome</w:t>
            </w:r>
          </w:p>
        </w:tc>
      </w:tr>
      <w:tr w:rsidR="005D6620" w:rsidRPr="005D6620" w14:paraId="0122AA29" w14:textId="77777777" w:rsidTr="005D6620">
        <w:trPr>
          <w:gridAfter w:val="1"/>
          <w:wAfter w:w="32" w:type="dxa"/>
          <w:trHeight w:val="501"/>
        </w:trPr>
        <w:tc>
          <w:tcPr>
            <w:tcW w:w="1458" w:type="dxa"/>
            <w:hideMark/>
          </w:tcPr>
          <w:p w14:paraId="31EF1FAD" w14:textId="77777777" w:rsidR="00415FB2" w:rsidRPr="005D6620" w:rsidRDefault="00415FB2" w:rsidP="00415FB2">
            <w:pPr>
              <w:jc w:val="left"/>
              <w:rPr>
                <w:lang w:eastAsia="ko-KR"/>
              </w:rPr>
            </w:pPr>
            <w:r w:rsidRPr="005D6620">
              <w:rPr>
                <w:bCs/>
                <w:lang w:eastAsia="ko-KR"/>
              </w:rPr>
              <w:t>LGALS3BP</w:t>
            </w:r>
          </w:p>
        </w:tc>
        <w:tc>
          <w:tcPr>
            <w:tcW w:w="3060" w:type="dxa"/>
            <w:hideMark/>
          </w:tcPr>
          <w:p w14:paraId="3D9F0E1C" w14:textId="77777777" w:rsidR="00415FB2" w:rsidRPr="005D6620" w:rsidRDefault="00415FB2" w:rsidP="00415FB2">
            <w:pPr>
              <w:jc w:val="left"/>
              <w:rPr>
                <w:lang w:eastAsia="ko-KR"/>
              </w:rPr>
            </w:pPr>
            <w:r w:rsidRPr="005D6620">
              <w:rPr>
                <w:lang w:eastAsia="ko-KR"/>
              </w:rPr>
              <w:t>galectin-3-binding protein</w:t>
            </w:r>
          </w:p>
        </w:tc>
        <w:tc>
          <w:tcPr>
            <w:tcW w:w="810" w:type="dxa"/>
            <w:hideMark/>
          </w:tcPr>
          <w:p w14:paraId="19ED0EFB" w14:textId="77777777" w:rsidR="00415FB2" w:rsidRPr="005D6620" w:rsidRDefault="00415FB2" w:rsidP="005D6620">
            <w:pPr>
              <w:jc w:val="right"/>
              <w:rPr>
                <w:lang w:eastAsia="ko-KR"/>
              </w:rPr>
            </w:pPr>
            <w:r w:rsidRPr="005D6620">
              <w:rPr>
                <w:lang w:eastAsia="ko-KR"/>
              </w:rPr>
              <w:t>11</w:t>
            </w:r>
          </w:p>
        </w:tc>
        <w:tc>
          <w:tcPr>
            <w:tcW w:w="1170" w:type="dxa"/>
            <w:hideMark/>
          </w:tcPr>
          <w:p w14:paraId="36647F9D" w14:textId="77777777" w:rsidR="00415FB2" w:rsidRPr="005D6620" w:rsidRDefault="00415FB2" w:rsidP="005D6620">
            <w:pPr>
              <w:jc w:val="right"/>
              <w:rPr>
                <w:lang w:eastAsia="ko-KR"/>
              </w:rPr>
            </w:pPr>
            <w:r w:rsidRPr="005D6620">
              <w:rPr>
                <w:lang w:eastAsia="ko-KR"/>
              </w:rPr>
              <w:t>369.90</w:t>
            </w:r>
          </w:p>
        </w:tc>
        <w:tc>
          <w:tcPr>
            <w:tcW w:w="2174" w:type="dxa"/>
            <w:hideMark/>
          </w:tcPr>
          <w:p w14:paraId="48806800" w14:textId="4E85AC52" w:rsidR="00415FB2" w:rsidRPr="005D6620" w:rsidRDefault="00415FB2" w:rsidP="00415FB2">
            <w:pPr>
              <w:jc w:val="left"/>
              <w:rPr>
                <w:lang w:eastAsia="ko-KR"/>
              </w:rPr>
            </w:pPr>
            <w:r w:rsidRPr="005D6620">
              <w:rPr>
                <w:lang w:eastAsia="ko-KR"/>
              </w:rPr>
              <w:t>WikiGO</w:t>
            </w:r>
          </w:p>
        </w:tc>
      </w:tr>
      <w:tr w:rsidR="005D6620" w:rsidRPr="005D6620" w14:paraId="6CA67E93" w14:textId="77777777" w:rsidTr="005D6620">
        <w:trPr>
          <w:gridAfter w:val="1"/>
          <w:wAfter w:w="32" w:type="dxa"/>
          <w:trHeight w:val="191"/>
        </w:trPr>
        <w:tc>
          <w:tcPr>
            <w:tcW w:w="1458" w:type="dxa"/>
            <w:hideMark/>
          </w:tcPr>
          <w:p w14:paraId="29E6986C" w14:textId="77777777" w:rsidR="00415FB2" w:rsidRPr="005D6620" w:rsidRDefault="00415FB2" w:rsidP="00415FB2">
            <w:pPr>
              <w:jc w:val="left"/>
              <w:rPr>
                <w:lang w:eastAsia="ko-KR"/>
              </w:rPr>
            </w:pPr>
            <w:r w:rsidRPr="005D6620">
              <w:rPr>
                <w:bCs/>
                <w:lang w:eastAsia="ko-KR"/>
              </w:rPr>
              <w:t>DEFA1</w:t>
            </w:r>
          </w:p>
        </w:tc>
        <w:tc>
          <w:tcPr>
            <w:tcW w:w="3060" w:type="dxa"/>
            <w:hideMark/>
          </w:tcPr>
          <w:p w14:paraId="0E72438D" w14:textId="77777777" w:rsidR="00415FB2" w:rsidRPr="005D6620" w:rsidRDefault="00415FB2" w:rsidP="00415FB2">
            <w:pPr>
              <w:jc w:val="left"/>
              <w:rPr>
                <w:lang w:eastAsia="ko-KR"/>
              </w:rPr>
            </w:pPr>
            <w:r w:rsidRPr="005D6620">
              <w:rPr>
                <w:lang w:eastAsia="ko-KR"/>
              </w:rPr>
              <w:t>neutrophil defensin 1 preproprotein</w:t>
            </w:r>
          </w:p>
        </w:tc>
        <w:tc>
          <w:tcPr>
            <w:tcW w:w="810" w:type="dxa"/>
            <w:hideMark/>
          </w:tcPr>
          <w:p w14:paraId="50962ECF" w14:textId="77777777" w:rsidR="00415FB2" w:rsidRPr="005D6620" w:rsidRDefault="00415FB2" w:rsidP="005D6620">
            <w:pPr>
              <w:jc w:val="right"/>
              <w:rPr>
                <w:lang w:eastAsia="ko-KR"/>
              </w:rPr>
            </w:pPr>
            <w:r w:rsidRPr="005D6620">
              <w:rPr>
                <w:lang w:eastAsia="ko-KR"/>
              </w:rPr>
              <w:t>11</w:t>
            </w:r>
          </w:p>
        </w:tc>
        <w:tc>
          <w:tcPr>
            <w:tcW w:w="1170" w:type="dxa"/>
            <w:hideMark/>
          </w:tcPr>
          <w:p w14:paraId="2C8E8E55" w14:textId="77777777" w:rsidR="00415FB2" w:rsidRPr="005D6620" w:rsidRDefault="00415FB2" w:rsidP="005D6620">
            <w:pPr>
              <w:jc w:val="right"/>
              <w:rPr>
                <w:lang w:eastAsia="ko-KR"/>
              </w:rPr>
            </w:pPr>
            <w:r w:rsidRPr="005D6620">
              <w:rPr>
                <w:lang w:eastAsia="ko-KR"/>
              </w:rPr>
              <w:t>293.57</w:t>
            </w:r>
          </w:p>
        </w:tc>
        <w:tc>
          <w:tcPr>
            <w:tcW w:w="2174" w:type="dxa"/>
            <w:hideMark/>
          </w:tcPr>
          <w:p w14:paraId="73F72DD7" w14:textId="57EA665C" w:rsidR="00415FB2" w:rsidRPr="005D6620" w:rsidRDefault="00415FB2" w:rsidP="00415FB2">
            <w:pPr>
              <w:jc w:val="left"/>
              <w:rPr>
                <w:lang w:eastAsia="ko-KR"/>
              </w:rPr>
            </w:pPr>
            <w:r w:rsidRPr="005D6620">
              <w:rPr>
                <w:lang w:eastAsia="ko-KR"/>
              </w:rPr>
              <w:t>WikiGO, GO term, Innate DB, Immunome</w:t>
            </w:r>
          </w:p>
        </w:tc>
      </w:tr>
      <w:tr w:rsidR="005D6620" w:rsidRPr="005D6620" w14:paraId="2CF5DCA0" w14:textId="77777777" w:rsidTr="005D6620">
        <w:trPr>
          <w:gridAfter w:val="1"/>
          <w:wAfter w:w="32" w:type="dxa"/>
          <w:trHeight w:val="253"/>
        </w:trPr>
        <w:tc>
          <w:tcPr>
            <w:tcW w:w="1458" w:type="dxa"/>
            <w:hideMark/>
          </w:tcPr>
          <w:p w14:paraId="4A52B5C7" w14:textId="77777777" w:rsidR="00415FB2" w:rsidRPr="005D6620" w:rsidRDefault="00415FB2" w:rsidP="00415FB2">
            <w:pPr>
              <w:jc w:val="left"/>
              <w:rPr>
                <w:lang w:eastAsia="ko-KR"/>
              </w:rPr>
            </w:pPr>
            <w:r w:rsidRPr="005D6620">
              <w:rPr>
                <w:bCs/>
                <w:lang w:eastAsia="ko-KR"/>
              </w:rPr>
              <w:t>DEFA3</w:t>
            </w:r>
          </w:p>
        </w:tc>
        <w:tc>
          <w:tcPr>
            <w:tcW w:w="3060" w:type="dxa"/>
            <w:hideMark/>
          </w:tcPr>
          <w:p w14:paraId="62146E2E" w14:textId="77777777" w:rsidR="00415FB2" w:rsidRPr="005D6620" w:rsidRDefault="00415FB2" w:rsidP="00415FB2">
            <w:pPr>
              <w:jc w:val="left"/>
              <w:rPr>
                <w:lang w:eastAsia="ko-KR"/>
              </w:rPr>
            </w:pPr>
            <w:r w:rsidRPr="005D6620">
              <w:rPr>
                <w:lang w:eastAsia="ko-KR"/>
              </w:rPr>
              <w:t>neutrophil defensin 3 preproprotein</w:t>
            </w:r>
          </w:p>
        </w:tc>
        <w:tc>
          <w:tcPr>
            <w:tcW w:w="810" w:type="dxa"/>
            <w:hideMark/>
          </w:tcPr>
          <w:p w14:paraId="44D3C136" w14:textId="77777777" w:rsidR="00415FB2" w:rsidRPr="005D6620" w:rsidRDefault="00415FB2" w:rsidP="005D6620">
            <w:pPr>
              <w:jc w:val="right"/>
              <w:rPr>
                <w:lang w:eastAsia="ko-KR"/>
              </w:rPr>
            </w:pPr>
            <w:r w:rsidRPr="005D6620">
              <w:rPr>
                <w:lang w:eastAsia="ko-KR"/>
              </w:rPr>
              <w:t>11</w:t>
            </w:r>
          </w:p>
        </w:tc>
        <w:tc>
          <w:tcPr>
            <w:tcW w:w="1170" w:type="dxa"/>
            <w:hideMark/>
          </w:tcPr>
          <w:p w14:paraId="0AA8210B" w14:textId="77777777" w:rsidR="00415FB2" w:rsidRPr="005D6620" w:rsidRDefault="00415FB2" w:rsidP="005D6620">
            <w:pPr>
              <w:jc w:val="right"/>
              <w:rPr>
                <w:lang w:eastAsia="ko-KR"/>
              </w:rPr>
            </w:pPr>
            <w:r w:rsidRPr="005D6620">
              <w:rPr>
                <w:lang w:eastAsia="ko-KR"/>
              </w:rPr>
              <w:t>273.66</w:t>
            </w:r>
          </w:p>
        </w:tc>
        <w:tc>
          <w:tcPr>
            <w:tcW w:w="2174" w:type="dxa"/>
            <w:hideMark/>
          </w:tcPr>
          <w:p w14:paraId="6F08501A" w14:textId="17E656A6" w:rsidR="00415FB2" w:rsidRPr="005D6620" w:rsidRDefault="00415FB2" w:rsidP="00415FB2">
            <w:pPr>
              <w:jc w:val="left"/>
              <w:rPr>
                <w:lang w:eastAsia="ko-KR"/>
              </w:rPr>
            </w:pPr>
            <w:r w:rsidRPr="005D6620">
              <w:rPr>
                <w:lang w:eastAsia="ko-KR"/>
              </w:rPr>
              <w:t>WikiGO, GO term, Innate DB, Immunome</w:t>
            </w:r>
          </w:p>
        </w:tc>
      </w:tr>
      <w:tr w:rsidR="005D6620" w:rsidRPr="005D6620" w14:paraId="020074C7" w14:textId="77777777" w:rsidTr="005D6620">
        <w:trPr>
          <w:gridAfter w:val="1"/>
          <w:wAfter w:w="32" w:type="dxa"/>
          <w:trHeight w:val="253"/>
        </w:trPr>
        <w:tc>
          <w:tcPr>
            <w:tcW w:w="1458" w:type="dxa"/>
            <w:hideMark/>
          </w:tcPr>
          <w:p w14:paraId="6F1D9E3E" w14:textId="77777777" w:rsidR="00415FB2" w:rsidRPr="005D6620" w:rsidRDefault="00415FB2" w:rsidP="00415FB2">
            <w:pPr>
              <w:jc w:val="left"/>
              <w:rPr>
                <w:lang w:eastAsia="ko-KR"/>
              </w:rPr>
            </w:pPr>
            <w:r w:rsidRPr="005D6620">
              <w:rPr>
                <w:bCs/>
                <w:lang w:eastAsia="ko-KR"/>
              </w:rPr>
              <w:t>LTF</w:t>
            </w:r>
          </w:p>
        </w:tc>
        <w:tc>
          <w:tcPr>
            <w:tcW w:w="3060" w:type="dxa"/>
            <w:hideMark/>
          </w:tcPr>
          <w:p w14:paraId="5E4CB299" w14:textId="77777777" w:rsidR="00415FB2" w:rsidRPr="005D6620" w:rsidRDefault="00415FB2" w:rsidP="00415FB2">
            <w:pPr>
              <w:jc w:val="left"/>
              <w:rPr>
                <w:lang w:eastAsia="ko-KR"/>
              </w:rPr>
            </w:pPr>
            <w:r w:rsidRPr="005D6620">
              <w:rPr>
                <w:lang w:eastAsia="ko-KR"/>
              </w:rPr>
              <w:t>lactotransferrin isoform 1 precursor</w:t>
            </w:r>
          </w:p>
        </w:tc>
        <w:tc>
          <w:tcPr>
            <w:tcW w:w="810" w:type="dxa"/>
            <w:hideMark/>
          </w:tcPr>
          <w:p w14:paraId="3F6C7E02" w14:textId="77777777" w:rsidR="00415FB2" w:rsidRPr="005D6620" w:rsidRDefault="00415FB2" w:rsidP="005D6620">
            <w:pPr>
              <w:jc w:val="right"/>
              <w:rPr>
                <w:lang w:eastAsia="ko-KR"/>
              </w:rPr>
            </w:pPr>
            <w:r w:rsidRPr="005D6620">
              <w:rPr>
                <w:lang w:eastAsia="ko-KR"/>
              </w:rPr>
              <w:t>7</w:t>
            </w:r>
          </w:p>
        </w:tc>
        <w:tc>
          <w:tcPr>
            <w:tcW w:w="1170" w:type="dxa"/>
            <w:hideMark/>
          </w:tcPr>
          <w:p w14:paraId="402AF82E" w14:textId="77777777" w:rsidR="00415FB2" w:rsidRPr="005D6620" w:rsidRDefault="00415FB2" w:rsidP="005D6620">
            <w:pPr>
              <w:jc w:val="right"/>
              <w:rPr>
                <w:lang w:eastAsia="ko-KR"/>
              </w:rPr>
            </w:pPr>
            <w:r w:rsidRPr="005D6620">
              <w:rPr>
                <w:lang w:eastAsia="ko-KR"/>
              </w:rPr>
              <w:t>227.05</w:t>
            </w:r>
          </w:p>
        </w:tc>
        <w:tc>
          <w:tcPr>
            <w:tcW w:w="2174" w:type="dxa"/>
            <w:hideMark/>
          </w:tcPr>
          <w:p w14:paraId="4B7FD44D" w14:textId="0B3386B5" w:rsidR="00415FB2" w:rsidRPr="005D6620" w:rsidRDefault="00415FB2" w:rsidP="00415FB2">
            <w:pPr>
              <w:jc w:val="left"/>
              <w:rPr>
                <w:lang w:eastAsia="ko-KR"/>
              </w:rPr>
            </w:pPr>
            <w:r w:rsidRPr="005D6620">
              <w:rPr>
                <w:lang w:eastAsia="ko-KR"/>
              </w:rPr>
              <w:t>WikiGO, GO term, Immunome</w:t>
            </w:r>
          </w:p>
        </w:tc>
      </w:tr>
      <w:tr w:rsidR="005D6620" w:rsidRPr="005D6620" w14:paraId="02D03488" w14:textId="77777777" w:rsidTr="005D6620">
        <w:trPr>
          <w:gridAfter w:val="1"/>
          <w:wAfter w:w="32" w:type="dxa"/>
          <w:trHeight w:val="253"/>
        </w:trPr>
        <w:tc>
          <w:tcPr>
            <w:tcW w:w="1458" w:type="dxa"/>
            <w:hideMark/>
          </w:tcPr>
          <w:p w14:paraId="668CB1DC" w14:textId="77777777" w:rsidR="00415FB2" w:rsidRPr="005D6620" w:rsidRDefault="00415FB2" w:rsidP="00415FB2">
            <w:pPr>
              <w:jc w:val="left"/>
              <w:rPr>
                <w:lang w:eastAsia="ko-KR"/>
              </w:rPr>
            </w:pPr>
            <w:r w:rsidRPr="005D6620">
              <w:rPr>
                <w:bCs/>
                <w:lang w:eastAsia="ko-KR"/>
              </w:rPr>
              <w:lastRenderedPageBreak/>
              <w:t>MPO</w:t>
            </w:r>
          </w:p>
        </w:tc>
        <w:tc>
          <w:tcPr>
            <w:tcW w:w="3060" w:type="dxa"/>
            <w:hideMark/>
          </w:tcPr>
          <w:p w14:paraId="3E902E46" w14:textId="77777777" w:rsidR="00415FB2" w:rsidRPr="005D6620" w:rsidRDefault="00415FB2" w:rsidP="00415FB2">
            <w:pPr>
              <w:jc w:val="left"/>
              <w:rPr>
                <w:lang w:eastAsia="ko-KR"/>
              </w:rPr>
            </w:pPr>
            <w:r w:rsidRPr="005D6620">
              <w:rPr>
                <w:lang w:eastAsia="ko-KR"/>
              </w:rPr>
              <w:t>myeloperoxidase</w:t>
            </w:r>
          </w:p>
        </w:tc>
        <w:tc>
          <w:tcPr>
            <w:tcW w:w="810" w:type="dxa"/>
            <w:hideMark/>
          </w:tcPr>
          <w:p w14:paraId="3C4C0CBF" w14:textId="77777777" w:rsidR="00415FB2" w:rsidRPr="005D6620" w:rsidRDefault="00415FB2" w:rsidP="005D6620">
            <w:pPr>
              <w:jc w:val="right"/>
              <w:rPr>
                <w:lang w:eastAsia="ko-KR"/>
              </w:rPr>
            </w:pPr>
            <w:r w:rsidRPr="005D6620">
              <w:rPr>
                <w:lang w:eastAsia="ko-KR"/>
              </w:rPr>
              <w:t>10</w:t>
            </w:r>
          </w:p>
        </w:tc>
        <w:tc>
          <w:tcPr>
            <w:tcW w:w="1170" w:type="dxa"/>
            <w:hideMark/>
          </w:tcPr>
          <w:p w14:paraId="4C91C2A5" w14:textId="77777777" w:rsidR="00415FB2" w:rsidRPr="005D6620" w:rsidRDefault="00415FB2" w:rsidP="005D6620">
            <w:pPr>
              <w:jc w:val="right"/>
              <w:rPr>
                <w:lang w:eastAsia="ko-KR"/>
              </w:rPr>
            </w:pPr>
            <w:r w:rsidRPr="005D6620">
              <w:rPr>
                <w:lang w:eastAsia="ko-KR"/>
              </w:rPr>
              <w:t>224.96</w:t>
            </w:r>
          </w:p>
        </w:tc>
        <w:tc>
          <w:tcPr>
            <w:tcW w:w="2174" w:type="dxa"/>
            <w:hideMark/>
          </w:tcPr>
          <w:p w14:paraId="0EE503D1" w14:textId="2EF7207D" w:rsidR="00415FB2" w:rsidRPr="005D6620" w:rsidRDefault="00415FB2" w:rsidP="00415FB2">
            <w:pPr>
              <w:jc w:val="left"/>
              <w:rPr>
                <w:lang w:eastAsia="ko-KR"/>
              </w:rPr>
            </w:pPr>
            <w:r w:rsidRPr="005D6620">
              <w:rPr>
                <w:lang w:eastAsia="ko-KR"/>
              </w:rPr>
              <w:t>WikiGO, GO term, Immunome</w:t>
            </w:r>
          </w:p>
        </w:tc>
      </w:tr>
      <w:tr w:rsidR="005D6620" w:rsidRPr="005D6620" w14:paraId="60BB116F" w14:textId="77777777" w:rsidTr="005D6620">
        <w:trPr>
          <w:gridAfter w:val="1"/>
          <w:wAfter w:w="32" w:type="dxa"/>
          <w:trHeight w:val="191"/>
        </w:trPr>
        <w:tc>
          <w:tcPr>
            <w:tcW w:w="1458" w:type="dxa"/>
            <w:hideMark/>
          </w:tcPr>
          <w:p w14:paraId="087C0373" w14:textId="77777777" w:rsidR="00415FB2" w:rsidRPr="005D6620" w:rsidRDefault="00415FB2" w:rsidP="00415FB2">
            <w:pPr>
              <w:jc w:val="left"/>
              <w:rPr>
                <w:lang w:eastAsia="ko-KR"/>
              </w:rPr>
            </w:pPr>
            <w:r w:rsidRPr="005D6620">
              <w:rPr>
                <w:bCs/>
                <w:lang w:eastAsia="ko-KR"/>
              </w:rPr>
              <w:t>LYZ</w:t>
            </w:r>
          </w:p>
        </w:tc>
        <w:tc>
          <w:tcPr>
            <w:tcW w:w="3060" w:type="dxa"/>
            <w:hideMark/>
          </w:tcPr>
          <w:p w14:paraId="189D158B" w14:textId="77777777" w:rsidR="00415FB2" w:rsidRPr="005D6620" w:rsidRDefault="00415FB2" w:rsidP="00415FB2">
            <w:pPr>
              <w:jc w:val="left"/>
              <w:rPr>
                <w:lang w:eastAsia="ko-KR"/>
              </w:rPr>
            </w:pPr>
            <w:r w:rsidRPr="005D6620">
              <w:rPr>
                <w:lang w:eastAsia="ko-KR"/>
              </w:rPr>
              <w:t>lysozyme C precursor</w:t>
            </w:r>
          </w:p>
        </w:tc>
        <w:tc>
          <w:tcPr>
            <w:tcW w:w="810" w:type="dxa"/>
            <w:hideMark/>
          </w:tcPr>
          <w:p w14:paraId="5D5039E5" w14:textId="77777777" w:rsidR="00415FB2" w:rsidRPr="005D6620" w:rsidRDefault="00415FB2" w:rsidP="005D6620">
            <w:pPr>
              <w:jc w:val="right"/>
              <w:rPr>
                <w:lang w:eastAsia="ko-KR"/>
              </w:rPr>
            </w:pPr>
            <w:r w:rsidRPr="005D6620">
              <w:rPr>
                <w:lang w:eastAsia="ko-KR"/>
              </w:rPr>
              <w:t>9</w:t>
            </w:r>
          </w:p>
        </w:tc>
        <w:tc>
          <w:tcPr>
            <w:tcW w:w="1170" w:type="dxa"/>
            <w:hideMark/>
          </w:tcPr>
          <w:p w14:paraId="69C9F0ED" w14:textId="77777777" w:rsidR="00415FB2" w:rsidRPr="005D6620" w:rsidRDefault="00415FB2" w:rsidP="005D6620">
            <w:pPr>
              <w:jc w:val="right"/>
              <w:rPr>
                <w:lang w:eastAsia="ko-KR"/>
              </w:rPr>
            </w:pPr>
            <w:r w:rsidRPr="005D6620">
              <w:rPr>
                <w:lang w:eastAsia="ko-KR"/>
              </w:rPr>
              <w:t>214.56</w:t>
            </w:r>
          </w:p>
        </w:tc>
        <w:tc>
          <w:tcPr>
            <w:tcW w:w="2174" w:type="dxa"/>
            <w:hideMark/>
          </w:tcPr>
          <w:p w14:paraId="032C9775" w14:textId="57C5F063" w:rsidR="00415FB2" w:rsidRPr="005D6620" w:rsidRDefault="00415FB2" w:rsidP="00415FB2">
            <w:pPr>
              <w:jc w:val="left"/>
              <w:rPr>
                <w:lang w:eastAsia="ko-KR"/>
              </w:rPr>
            </w:pPr>
            <w:r w:rsidRPr="005D6620">
              <w:rPr>
                <w:lang w:eastAsia="ko-KR"/>
              </w:rPr>
              <w:t>WikiGO, Immunome</w:t>
            </w:r>
          </w:p>
        </w:tc>
      </w:tr>
      <w:tr w:rsidR="005D6620" w:rsidRPr="005D6620" w14:paraId="740DF19B" w14:textId="77777777" w:rsidTr="005D6620">
        <w:trPr>
          <w:gridAfter w:val="1"/>
          <w:wAfter w:w="32" w:type="dxa"/>
          <w:trHeight w:val="128"/>
        </w:trPr>
        <w:tc>
          <w:tcPr>
            <w:tcW w:w="1458" w:type="dxa"/>
            <w:hideMark/>
          </w:tcPr>
          <w:p w14:paraId="0398B66F" w14:textId="77777777" w:rsidR="00415FB2" w:rsidRPr="005D6620" w:rsidRDefault="00415FB2" w:rsidP="00415FB2">
            <w:pPr>
              <w:jc w:val="left"/>
              <w:rPr>
                <w:lang w:eastAsia="ko-KR"/>
              </w:rPr>
            </w:pPr>
            <w:r w:rsidRPr="005D6620">
              <w:rPr>
                <w:bCs/>
                <w:lang w:eastAsia="ko-KR"/>
              </w:rPr>
              <w:t>KRT1</w:t>
            </w:r>
          </w:p>
        </w:tc>
        <w:tc>
          <w:tcPr>
            <w:tcW w:w="3060" w:type="dxa"/>
            <w:hideMark/>
          </w:tcPr>
          <w:p w14:paraId="149B620C" w14:textId="77777777" w:rsidR="00415FB2" w:rsidRPr="005D6620" w:rsidRDefault="00415FB2" w:rsidP="00415FB2">
            <w:pPr>
              <w:jc w:val="left"/>
              <w:rPr>
                <w:lang w:eastAsia="ko-KR"/>
              </w:rPr>
            </w:pPr>
            <w:r w:rsidRPr="005D6620">
              <w:rPr>
                <w:lang w:eastAsia="ko-KR"/>
              </w:rPr>
              <w:t>keratin, type II cytoskeletal 1</w:t>
            </w:r>
          </w:p>
        </w:tc>
        <w:tc>
          <w:tcPr>
            <w:tcW w:w="810" w:type="dxa"/>
            <w:hideMark/>
          </w:tcPr>
          <w:p w14:paraId="280D0FCC" w14:textId="77777777" w:rsidR="00415FB2" w:rsidRPr="005D6620" w:rsidRDefault="00415FB2" w:rsidP="005D6620">
            <w:pPr>
              <w:jc w:val="right"/>
              <w:rPr>
                <w:lang w:eastAsia="ko-KR"/>
              </w:rPr>
            </w:pPr>
            <w:r w:rsidRPr="005D6620">
              <w:rPr>
                <w:lang w:eastAsia="ko-KR"/>
              </w:rPr>
              <w:t>8</w:t>
            </w:r>
          </w:p>
        </w:tc>
        <w:tc>
          <w:tcPr>
            <w:tcW w:w="1170" w:type="dxa"/>
            <w:hideMark/>
          </w:tcPr>
          <w:p w14:paraId="1823C9BF" w14:textId="77777777" w:rsidR="00415FB2" w:rsidRPr="005D6620" w:rsidRDefault="00415FB2" w:rsidP="005D6620">
            <w:pPr>
              <w:jc w:val="right"/>
              <w:rPr>
                <w:lang w:eastAsia="ko-KR"/>
              </w:rPr>
            </w:pPr>
            <w:r w:rsidRPr="005D6620">
              <w:rPr>
                <w:lang w:eastAsia="ko-KR"/>
              </w:rPr>
              <w:t>196.43</w:t>
            </w:r>
          </w:p>
        </w:tc>
        <w:tc>
          <w:tcPr>
            <w:tcW w:w="2174" w:type="dxa"/>
            <w:hideMark/>
          </w:tcPr>
          <w:p w14:paraId="2FFF668D" w14:textId="2EDE9BB7" w:rsidR="00415FB2" w:rsidRPr="005D6620" w:rsidRDefault="00415FB2" w:rsidP="00415FB2">
            <w:pPr>
              <w:jc w:val="left"/>
              <w:rPr>
                <w:lang w:eastAsia="ko-KR"/>
              </w:rPr>
            </w:pPr>
            <w:r w:rsidRPr="005D6620">
              <w:rPr>
                <w:lang w:eastAsia="ko-KR"/>
              </w:rPr>
              <w:t>WikiGO, GO term</w:t>
            </w:r>
          </w:p>
        </w:tc>
      </w:tr>
      <w:tr w:rsidR="005D6620" w:rsidRPr="005D6620" w14:paraId="6820D1D5" w14:textId="77777777" w:rsidTr="005D6620">
        <w:trPr>
          <w:gridAfter w:val="1"/>
          <w:wAfter w:w="32" w:type="dxa"/>
          <w:trHeight w:val="253"/>
        </w:trPr>
        <w:tc>
          <w:tcPr>
            <w:tcW w:w="1458" w:type="dxa"/>
            <w:hideMark/>
          </w:tcPr>
          <w:p w14:paraId="55FAC4F6" w14:textId="77777777" w:rsidR="00415FB2" w:rsidRPr="005D6620" w:rsidRDefault="00415FB2" w:rsidP="00415FB2">
            <w:pPr>
              <w:jc w:val="left"/>
              <w:rPr>
                <w:lang w:eastAsia="ko-KR"/>
              </w:rPr>
            </w:pPr>
            <w:r w:rsidRPr="005D6620">
              <w:rPr>
                <w:bCs/>
                <w:lang w:eastAsia="ko-KR"/>
              </w:rPr>
              <w:t>ALB</w:t>
            </w:r>
          </w:p>
        </w:tc>
        <w:tc>
          <w:tcPr>
            <w:tcW w:w="3060" w:type="dxa"/>
            <w:hideMark/>
          </w:tcPr>
          <w:p w14:paraId="106302BD" w14:textId="77777777" w:rsidR="00415FB2" w:rsidRPr="005D6620" w:rsidRDefault="00415FB2" w:rsidP="00415FB2">
            <w:pPr>
              <w:jc w:val="left"/>
              <w:rPr>
                <w:lang w:eastAsia="ko-KR"/>
              </w:rPr>
            </w:pPr>
            <w:r w:rsidRPr="005D6620">
              <w:rPr>
                <w:lang w:eastAsia="ko-KR"/>
              </w:rPr>
              <w:t>serum albumin preproprotein</w:t>
            </w:r>
          </w:p>
        </w:tc>
        <w:tc>
          <w:tcPr>
            <w:tcW w:w="810" w:type="dxa"/>
            <w:hideMark/>
          </w:tcPr>
          <w:p w14:paraId="416CB951" w14:textId="77777777" w:rsidR="00415FB2" w:rsidRPr="005D6620" w:rsidRDefault="00415FB2" w:rsidP="005D6620">
            <w:pPr>
              <w:jc w:val="right"/>
              <w:rPr>
                <w:lang w:eastAsia="ko-KR"/>
              </w:rPr>
            </w:pPr>
            <w:r w:rsidRPr="005D6620">
              <w:rPr>
                <w:lang w:eastAsia="ko-KR"/>
              </w:rPr>
              <w:t>8</w:t>
            </w:r>
          </w:p>
        </w:tc>
        <w:tc>
          <w:tcPr>
            <w:tcW w:w="1170" w:type="dxa"/>
            <w:hideMark/>
          </w:tcPr>
          <w:p w14:paraId="030E3C29" w14:textId="77777777" w:rsidR="00415FB2" w:rsidRPr="005D6620" w:rsidRDefault="00415FB2" w:rsidP="00415FB2">
            <w:pPr>
              <w:jc w:val="left"/>
              <w:rPr>
                <w:lang w:eastAsia="ko-KR"/>
              </w:rPr>
            </w:pPr>
            <w:r w:rsidRPr="005D6620">
              <w:rPr>
                <w:lang w:eastAsia="ko-KR"/>
              </w:rPr>
              <w:t>187.45</w:t>
            </w:r>
          </w:p>
        </w:tc>
        <w:tc>
          <w:tcPr>
            <w:tcW w:w="2174" w:type="dxa"/>
            <w:hideMark/>
          </w:tcPr>
          <w:p w14:paraId="54269B4E" w14:textId="38DD2FEF" w:rsidR="00415FB2" w:rsidRPr="005D6620" w:rsidRDefault="00415FB2" w:rsidP="00415FB2">
            <w:pPr>
              <w:jc w:val="left"/>
              <w:rPr>
                <w:lang w:eastAsia="ko-KR"/>
              </w:rPr>
            </w:pPr>
            <w:r w:rsidRPr="005D6620">
              <w:rPr>
                <w:lang w:eastAsia="ko-KR"/>
              </w:rPr>
              <w:t>WikiGO</w:t>
            </w:r>
          </w:p>
        </w:tc>
      </w:tr>
      <w:tr w:rsidR="005D6620" w:rsidRPr="005D6620" w14:paraId="6C8E7AC7" w14:textId="77777777" w:rsidTr="005D6620">
        <w:trPr>
          <w:gridAfter w:val="1"/>
          <w:wAfter w:w="32" w:type="dxa"/>
          <w:trHeight w:val="253"/>
        </w:trPr>
        <w:tc>
          <w:tcPr>
            <w:tcW w:w="1458" w:type="dxa"/>
            <w:hideMark/>
          </w:tcPr>
          <w:p w14:paraId="4E1EC8B2" w14:textId="77777777" w:rsidR="00415FB2" w:rsidRPr="005D6620" w:rsidRDefault="00415FB2" w:rsidP="00415FB2">
            <w:pPr>
              <w:jc w:val="left"/>
              <w:rPr>
                <w:lang w:eastAsia="ko-KR"/>
              </w:rPr>
            </w:pPr>
            <w:r w:rsidRPr="005D6620">
              <w:rPr>
                <w:bCs/>
                <w:lang w:eastAsia="ko-KR"/>
              </w:rPr>
              <w:t>S100A8</w:t>
            </w:r>
          </w:p>
        </w:tc>
        <w:tc>
          <w:tcPr>
            <w:tcW w:w="3060" w:type="dxa"/>
            <w:hideMark/>
          </w:tcPr>
          <w:p w14:paraId="0E063939" w14:textId="77777777" w:rsidR="00415FB2" w:rsidRPr="005D6620" w:rsidRDefault="00415FB2" w:rsidP="00415FB2">
            <w:pPr>
              <w:jc w:val="left"/>
              <w:rPr>
                <w:lang w:eastAsia="ko-KR"/>
              </w:rPr>
            </w:pPr>
            <w:r w:rsidRPr="005D6620">
              <w:rPr>
                <w:lang w:eastAsia="ko-KR"/>
              </w:rPr>
              <w:t>protein S100-A8</w:t>
            </w:r>
          </w:p>
        </w:tc>
        <w:tc>
          <w:tcPr>
            <w:tcW w:w="810" w:type="dxa"/>
            <w:hideMark/>
          </w:tcPr>
          <w:p w14:paraId="1FCDEA0B" w14:textId="77777777" w:rsidR="00415FB2" w:rsidRPr="005D6620" w:rsidRDefault="00415FB2" w:rsidP="005D6620">
            <w:pPr>
              <w:jc w:val="right"/>
              <w:rPr>
                <w:lang w:eastAsia="ko-KR"/>
              </w:rPr>
            </w:pPr>
            <w:r w:rsidRPr="005D6620">
              <w:rPr>
                <w:lang w:eastAsia="ko-KR"/>
              </w:rPr>
              <w:t>8</w:t>
            </w:r>
          </w:p>
        </w:tc>
        <w:tc>
          <w:tcPr>
            <w:tcW w:w="1170" w:type="dxa"/>
            <w:hideMark/>
          </w:tcPr>
          <w:p w14:paraId="39987386" w14:textId="77777777" w:rsidR="00415FB2" w:rsidRPr="005D6620" w:rsidRDefault="00415FB2" w:rsidP="00415FB2">
            <w:pPr>
              <w:jc w:val="left"/>
              <w:rPr>
                <w:lang w:eastAsia="ko-KR"/>
              </w:rPr>
            </w:pPr>
            <w:r w:rsidRPr="005D6620">
              <w:rPr>
                <w:lang w:eastAsia="ko-KR"/>
              </w:rPr>
              <w:t>172.26</w:t>
            </w:r>
          </w:p>
        </w:tc>
        <w:tc>
          <w:tcPr>
            <w:tcW w:w="2174" w:type="dxa"/>
            <w:hideMark/>
          </w:tcPr>
          <w:p w14:paraId="2894B91E" w14:textId="35F18580" w:rsidR="00415FB2" w:rsidRPr="005D6620" w:rsidRDefault="00415FB2" w:rsidP="00415FB2">
            <w:pPr>
              <w:jc w:val="left"/>
              <w:rPr>
                <w:lang w:eastAsia="ko-KR"/>
              </w:rPr>
            </w:pPr>
            <w:r w:rsidRPr="005D6620">
              <w:rPr>
                <w:lang w:eastAsia="ko-KR"/>
              </w:rPr>
              <w:t>WikiGO, GO term, Innate DB, Immunome</w:t>
            </w:r>
          </w:p>
        </w:tc>
      </w:tr>
      <w:tr w:rsidR="005D6620" w:rsidRPr="005D6620" w14:paraId="3B385FFF" w14:textId="77777777" w:rsidTr="005D6620">
        <w:trPr>
          <w:gridAfter w:val="1"/>
          <w:wAfter w:w="32" w:type="dxa"/>
          <w:trHeight w:val="253"/>
        </w:trPr>
        <w:tc>
          <w:tcPr>
            <w:tcW w:w="1458" w:type="dxa"/>
            <w:hideMark/>
          </w:tcPr>
          <w:p w14:paraId="31091E0D" w14:textId="77777777" w:rsidR="00415FB2" w:rsidRPr="005D6620" w:rsidRDefault="00415FB2" w:rsidP="00415FB2">
            <w:pPr>
              <w:jc w:val="left"/>
              <w:rPr>
                <w:lang w:eastAsia="ko-KR"/>
              </w:rPr>
            </w:pPr>
            <w:r w:rsidRPr="005D6620">
              <w:rPr>
                <w:bCs/>
                <w:lang w:eastAsia="ko-KR"/>
              </w:rPr>
              <w:t>CEACAM6</w:t>
            </w:r>
          </w:p>
        </w:tc>
        <w:tc>
          <w:tcPr>
            <w:tcW w:w="3060" w:type="dxa"/>
            <w:hideMark/>
          </w:tcPr>
          <w:p w14:paraId="45D2B901" w14:textId="77777777" w:rsidR="00415FB2" w:rsidRPr="005D6620" w:rsidRDefault="00415FB2" w:rsidP="00415FB2">
            <w:pPr>
              <w:jc w:val="left"/>
              <w:rPr>
                <w:lang w:eastAsia="ko-KR"/>
              </w:rPr>
            </w:pPr>
            <w:r w:rsidRPr="005D6620">
              <w:rPr>
                <w:lang w:eastAsia="ko-KR"/>
              </w:rPr>
              <w:t>carcinoembryonic antigen-related cell adhesion molecule 6 precursor</w:t>
            </w:r>
          </w:p>
        </w:tc>
        <w:tc>
          <w:tcPr>
            <w:tcW w:w="810" w:type="dxa"/>
            <w:hideMark/>
          </w:tcPr>
          <w:p w14:paraId="401044DD" w14:textId="77777777" w:rsidR="00415FB2" w:rsidRPr="005D6620" w:rsidRDefault="00415FB2" w:rsidP="005D6620">
            <w:pPr>
              <w:jc w:val="right"/>
              <w:rPr>
                <w:lang w:eastAsia="ko-KR"/>
              </w:rPr>
            </w:pPr>
            <w:r w:rsidRPr="005D6620">
              <w:rPr>
                <w:lang w:eastAsia="ko-KR"/>
              </w:rPr>
              <w:t>10</w:t>
            </w:r>
          </w:p>
        </w:tc>
        <w:tc>
          <w:tcPr>
            <w:tcW w:w="1170" w:type="dxa"/>
            <w:hideMark/>
          </w:tcPr>
          <w:p w14:paraId="4B2EA288" w14:textId="77777777" w:rsidR="00415FB2" w:rsidRPr="005D6620" w:rsidRDefault="00415FB2" w:rsidP="00415FB2">
            <w:pPr>
              <w:jc w:val="left"/>
              <w:rPr>
                <w:lang w:eastAsia="ko-KR"/>
              </w:rPr>
            </w:pPr>
            <w:r w:rsidRPr="005D6620">
              <w:rPr>
                <w:lang w:eastAsia="ko-KR"/>
              </w:rPr>
              <w:t>167.92</w:t>
            </w:r>
          </w:p>
        </w:tc>
        <w:tc>
          <w:tcPr>
            <w:tcW w:w="2174" w:type="dxa"/>
            <w:hideMark/>
          </w:tcPr>
          <w:p w14:paraId="571E29D9" w14:textId="43E79336" w:rsidR="00415FB2" w:rsidRPr="005D6620" w:rsidRDefault="00415FB2" w:rsidP="00415FB2">
            <w:pPr>
              <w:jc w:val="left"/>
              <w:rPr>
                <w:lang w:eastAsia="ko-KR"/>
              </w:rPr>
            </w:pPr>
            <w:r w:rsidRPr="005D6620">
              <w:rPr>
                <w:lang w:eastAsia="ko-KR"/>
              </w:rPr>
              <w:t>WikiGO, Immunome</w:t>
            </w:r>
          </w:p>
        </w:tc>
      </w:tr>
      <w:tr w:rsidR="005D6620" w:rsidRPr="005D6620" w14:paraId="23996EA2" w14:textId="77777777" w:rsidTr="005D6620">
        <w:trPr>
          <w:gridAfter w:val="1"/>
          <w:wAfter w:w="32" w:type="dxa"/>
          <w:trHeight w:val="439"/>
        </w:trPr>
        <w:tc>
          <w:tcPr>
            <w:tcW w:w="1458" w:type="dxa"/>
            <w:hideMark/>
          </w:tcPr>
          <w:p w14:paraId="7CC77E45" w14:textId="77777777" w:rsidR="00415FB2" w:rsidRPr="005D6620" w:rsidRDefault="00415FB2" w:rsidP="00415FB2">
            <w:pPr>
              <w:jc w:val="left"/>
              <w:rPr>
                <w:lang w:eastAsia="ko-KR"/>
              </w:rPr>
            </w:pPr>
            <w:r w:rsidRPr="005D6620">
              <w:rPr>
                <w:bCs/>
                <w:lang w:eastAsia="ko-KR"/>
              </w:rPr>
              <w:t>DPP4</w:t>
            </w:r>
          </w:p>
        </w:tc>
        <w:tc>
          <w:tcPr>
            <w:tcW w:w="3060" w:type="dxa"/>
            <w:hideMark/>
          </w:tcPr>
          <w:p w14:paraId="0C440598" w14:textId="77777777" w:rsidR="00415FB2" w:rsidRPr="005D6620" w:rsidRDefault="00415FB2" w:rsidP="00415FB2">
            <w:pPr>
              <w:jc w:val="left"/>
              <w:rPr>
                <w:lang w:eastAsia="ko-KR"/>
              </w:rPr>
            </w:pPr>
            <w:r w:rsidRPr="005D6620">
              <w:rPr>
                <w:lang w:eastAsia="ko-KR"/>
              </w:rPr>
              <w:t>dipeptidyl peptidase 4</w:t>
            </w:r>
          </w:p>
        </w:tc>
        <w:tc>
          <w:tcPr>
            <w:tcW w:w="810" w:type="dxa"/>
            <w:hideMark/>
          </w:tcPr>
          <w:p w14:paraId="28975AAF" w14:textId="77777777" w:rsidR="00415FB2" w:rsidRPr="005D6620" w:rsidRDefault="00415FB2" w:rsidP="005D6620">
            <w:pPr>
              <w:jc w:val="right"/>
              <w:rPr>
                <w:lang w:eastAsia="ko-KR"/>
              </w:rPr>
            </w:pPr>
            <w:r w:rsidRPr="005D6620">
              <w:rPr>
                <w:lang w:eastAsia="ko-KR"/>
              </w:rPr>
              <w:t>6</w:t>
            </w:r>
          </w:p>
        </w:tc>
        <w:tc>
          <w:tcPr>
            <w:tcW w:w="1170" w:type="dxa"/>
            <w:hideMark/>
          </w:tcPr>
          <w:p w14:paraId="517EA378" w14:textId="77777777" w:rsidR="00415FB2" w:rsidRPr="005D6620" w:rsidRDefault="00415FB2" w:rsidP="00415FB2">
            <w:pPr>
              <w:jc w:val="left"/>
              <w:rPr>
                <w:lang w:eastAsia="ko-KR"/>
              </w:rPr>
            </w:pPr>
            <w:r w:rsidRPr="005D6620">
              <w:rPr>
                <w:lang w:eastAsia="ko-KR"/>
              </w:rPr>
              <w:t>150.79</w:t>
            </w:r>
          </w:p>
        </w:tc>
        <w:tc>
          <w:tcPr>
            <w:tcW w:w="2174" w:type="dxa"/>
            <w:hideMark/>
          </w:tcPr>
          <w:p w14:paraId="02521FC5" w14:textId="016F227A" w:rsidR="00415FB2" w:rsidRPr="005D6620" w:rsidRDefault="00415FB2" w:rsidP="00415FB2">
            <w:pPr>
              <w:jc w:val="left"/>
              <w:rPr>
                <w:lang w:eastAsia="ko-KR"/>
              </w:rPr>
            </w:pPr>
            <w:r w:rsidRPr="005D6620">
              <w:rPr>
                <w:lang w:eastAsia="ko-KR"/>
              </w:rPr>
              <w:t>WikiGO, GO term, Immunome</w:t>
            </w:r>
          </w:p>
        </w:tc>
      </w:tr>
      <w:tr w:rsidR="005D6620" w:rsidRPr="005D6620" w14:paraId="73AFFFF3" w14:textId="77777777" w:rsidTr="005D6620">
        <w:trPr>
          <w:gridAfter w:val="1"/>
          <w:wAfter w:w="32" w:type="dxa"/>
          <w:trHeight w:val="191"/>
        </w:trPr>
        <w:tc>
          <w:tcPr>
            <w:tcW w:w="1458" w:type="dxa"/>
            <w:hideMark/>
          </w:tcPr>
          <w:p w14:paraId="5035FAD2" w14:textId="77777777" w:rsidR="00415FB2" w:rsidRPr="005D6620" w:rsidRDefault="00415FB2" w:rsidP="00415FB2">
            <w:pPr>
              <w:jc w:val="left"/>
              <w:rPr>
                <w:lang w:eastAsia="ko-KR"/>
              </w:rPr>
            </w:pPr>
            <w:r w:rsidRPr="005D6620">
              <w:rPr>
                <w:bCs/>
                <w:lang w:eastAsia="ko-KR"/>
              </w:rPr>
              <w:t>ANXA2</w:t>
            </w:r>
          </w:p>
        </w:tc>
        <w:tc>
          <w:tcPr>
            <w:tcW w:w="3060" w:type="dxa"/>
            <w:hideMark/>
          </w:tcPr>
          <w:p w14:paraId="41E41D16" w14:textId="77777777" w:rsidR="00415FB2" w:rsidRPr="005D6620" w:rsidRDefault="00415FB2" w:rsidP="00415FB2">
            <w:pPr>
              <w:jc w:val="left"/>
              <w:rPr>
                <w:lang w:eastAsia="ko-KR"/>
              </w:rPr>
            </w:pPr>
            <w:r w:rsidRPr="005D6620">
              <w:rPr>
                <w:lang w:eastAsia="ko-KR"/>
              </w:rPr>
              <w:t>annexin A2 isoform 1</w:t>
            </w:r>
          </w:p>
        </w:tc>
        <w:tc>
          <w:tcPr>
            <w:tcW w:w="810" w:type="dxa"/>
            <w:hideMark/>
          </w:tcPr>
          <w:p w14:paraId="673CA3D1" w14:textId="77777777" w:rsidR="00415FB2" w:rsidRPr="005D6620" w:rsidRDefault="00415FB2" w:rsidP="005D6620">
            <w:pPr>
              <w:jc w:val="right"/>
              <w:rPr>
                <w:lang w:eastAsia="ko-KR"/>
              </w:rPr>
            </w:pPr>
            <w:r w:rsidRPr="005D6620">
              <w:rPr>
                <w:lang w:eastAsia="ko-KR"/>
              </w:rPr>
              <w:t>9</w:t>
            </w:r>
          </w:p>
        </w:tc>
        <w:tc>
          <w:tcPr>
            <w:tcW w:w="1170" w:type="dxa"/>
            <w:hideMark/>
          </w:tcPr>
          <w:p w14:paraId="1C656610" w14:textId="77777777" w:rsidR="00415FB2" w:rsidRPr="005D6620" w:rsidRDefault="00415FB2" w:rsidP="00415FB2">
            <w:pPr>
              <w:jc w:val="left"/>
              <w:rPr>
                <w:lang w:eastAsia="ko-KR"/>
              </w:rPr>
            </w:pPr>
            <w:r w:rsidRPr="005D6620">
              <w:rPr>
                <w:lang w:eastAsia="ko-KR"/>
              </w:rPr>
              <w:t>142.79</w:t>
            </w:r>
          </w:p>
        </w:tc>
        <w:tc>
          <w:tcPr>
            <w:tcW w:w="2174" w:type="dxa"/>
            <w:hideMark/>
          </w:tcPr>
          <w:p w14:paraId="7909452E" w14:textId="164CE457" w:rsidR="00415FB2" w:rsidRPr="005D6620" w:rsidRDefault="00415FB2" w:rsidP="00415FB2">
            <w:pPr>
              <w:jc w:val="left"/>
              <w:rPr>
                <w:lang w:eastAsia="ko-KR"/>
              </w:rPr>
            </w:pPr>
            <w:r w:rsidRPr="005D6620">
              <w:rPr>
                <w:lang w:eastAsia="ko-KR"/>
              </w:rPr>
              <w:t>Innate DB</w:t>
            </w:r>
          </w:p>
        </w:tc>
      </w:tr>
      <w:tr w:rsidR="005D6620" w:rsidRPr="005D6620" w14:paraId="6645DB38" w14:textId="77777777" w:rsidTr="005D6620">
        <w:trPr>
          <w:gridAfter w:val="1"/>
          <w:wAfter w:w="32" w:type="dxa"/>
          <w:trHeight w:val="128"/>
        </w:trPr>
        <w:tc>
          <w:tcPr>
            <w:tcW w:w="1458" w:type="dxa"/>
            <w:hideMark/>
          </w:tcPr>
          <w:p w14:paraId="41FB126D" w14:textId="77777777" w:rsidR="00415FB2" w:rsidRPr="005D6620" w:rsidRDefault="00415FB2" w:rsidP="00415FB2">
            <w:pPr>
              <w:jc w:val="left"/>
              <w:rPr>
                <w:lang w:eastAsia="ko-KR"/>
              </w:rPr>
            </w:pPr>
            <w:r w:rsidRPr="005D6620">
              <w:rPr>
                <w:bCs/>
                <w:lang w:eastAsia="ko-KR"/>
              </w:rPr>
              <w:t>ANPEP</w:t>
            </w:r>
          </w:p>
        </w:tc>
        <w:tc>
          <w:tcPr>
            <w:tcW w:w="3060" w:type="dxa"/>
            <w:hideMark/>
          </w:tcPr>
          <w:p w14:paraId="57FEB0E5" w14:textId="77777777" w:rsidR="00415FB2" w:rsidRPr="005D6620" w:rsidRDefault="00415FB2" w:rsidP="00415FB2">
            <w:pPr>
              <w:jc w:val="left"/>
              <w:rPr>
                <w:lang w:eastAsia="ko-KR"/>
              </w:rPr>
            </w:pPr>
            <w:r w:rsidRPr="005D6620">
              <w:rPr>
                <w:lang w:eastAsia="ko-KR"/>
              </w:rPr>
              <w:t>aminopeptidase N precursor</w:t>
            </w:r>
          </w:p>
        </w:tc>
        <w:tc>
          <w:tcPr>
            <w:tcW w:w="810" w:type="dxa"/>
            <w:hideMark/>
          </w:tcPr>
          <w:p w14:paraId="60D51E1A" w14:textId="77777777" w:rsidR="00415FB2" w:rsidRPr="005D6620" w:rsidRDefault="00415FB2" w:rsidP="005D6620">
            <w:pPr>
              <w:jc w:val="right"/>
              <w:rPr>
                <w:lang w:eastAsia="ko-KR"/>
              </w:rPr>
            </w:pPr>
            <w:r w:rsidRPr="005D6620">
              <w:rPr>
                <w:lang w:eastAsia="ko-KR"/>
              </w:rPr>
              <w:t>10</w:t>
            </w:r>
          </w:p>
        </w:tc>
        <w:tc>
          <w:tcPr>
            <w:tcW w:w="1170" w:type="dxa"/>
            <w:hideMark/>
          </w:tcPr>
          <w:p w14:paraId="6AF0AE46" w14:textId="77777777" w:rsidR="00415FB2" w:rsidRPr="005D6620" w:rsidRDefault="00415FB2" w:rsidP="00415FB2">
            <w:pPr>
              <w:jc w:val="left"/>
              <w:rPr>
                <w:lang w:eastAsia="ko-KR"/>
              </w:rPr>
            </w:pPr>
            <w:r w:rsidRPr="005D6620">
              <w:rPr>
                <w:lang w:eastAsia="ko-KR"/>
              </w:rPr>
              <w:t>137.01</w:t>
            </w:r>
          </w:p>
        </w:tc>
        <w:tc>
          <w:tcPr>
            <w:tcW w:w="2174" w:type="dxa"/>
            <w:hideMark/>
          </w:tcPr>
          <w:p w14:paraId="2E5AA3AC" w14:textId="2B091342" w:rsidR="00415FB2" w:rsidRPr="005D6620" w:rsidRDefault="00415FB2" w:rsidP="00415FB2">
            <w:pPr>
              <w:jc w:val="left"/>
              <w:rPr>
                <w:lang w:eastAsia="ko-KR"/>
              </w:rPr>
            </w:pPr>
            <w:r w:rsidRPr="005D6620">
              <w:rPr>
                <w:lang w:eastAsia="ko-KR"/>
              </w:rPr>
              <w:t>WikiGO, Immunome</w:t>
            </w:r>
          </w:p>
        </w:tc>
      </w:tr>
      <w:tr w:rsidR="005D6620" w:rsidRPr="005D6620" w14:paraId="69F16754" w14:textId="77777777" w:rsidTr="005D6620">
        <w:trPr>
          <w:gridAfter w:val="1"/>
          <w:wAfter w:w="32" w:type="dxa"/>
          <w:trHeight w:val="191"/>
        </w:trPr>
        <w:tc>
          <w:tcPr>
            <w:tcW w:w="1458" w:type="dxa"/>
            <w:hideMark/>
          </w:tcPr>
          <w:p w14:paraId="20F7D61A" w14:textId="77777777" w:rsidR="00415FB2" w:rsidRPr="005D6620" w:rsidRDefault="00415FB2" w:rsidP="00415FB2">
            <w:pPr>
              <w:jc w:val="left"/>
              <w:rPr>
                <w:lang w:eastAsia="ko-KR"/>
              </w:rPr>
            </w:pPr>
            <w:r w:rsidRPr="005D6620">
              <w:rPr>
                <w:bCs/>
                <w:lang w:eastAsia="ko-KR"/>
              </w:rPr>
              <w:t>DEFA5</w:t>
            </w:r>
          </w:p>
        </w:tc>
        <w:tc>
          <w:tcPr>
            <w:tcW w:w="3060" w:type="dxa"/>
            <w:hideMark/>
          </w:tcPr>
          <w:p w14:paraId="5EDD665B" w14:textId="77777777" w:rsidR="00415FB2" w:rsidRPr="005D6620" w:rsidRDefault="00415FB2" w:rsidP="00415FB2">
            <w:pPr>
              <w:jc w:val="left"/>
              <w:rPr>
                <w:lang w:eastAsia="ko-KR"/>
              </w:rPr>
            </w:pPr>
            <w:r w:rsidRPr="005D6620">
              <w:rPr>
                <w:lang w:eastAsia="ko-KR"/>
              </w:rPr>
              <w:t>defensin-5 preproprotein</w:t>
            </w:r>
          </w:p>
        </w:tc>
        <w:tc>
          <w:tcPr>
            <w:tcW w:w="810" w:type="dxa"/>
            <w:hideMark/>
          </w:tcPr>
          <w:p w14:paraId="6EAC92C3" w14:textId="77777777" w:rsidR="00415FB2" w:rsidRPr="005D6620" w:rsidRDefault="00415FB2" w:rsidP="005D6620">
            <w:pPr>
              <w:jc w:val="right"/>
              <w:rPr>
                <w:lang w:eastAsia="ko-KR"/>
              </w:rPr>
            </w:pPr>
            <w:r w:rsidRPr="005D6620">
              <w:rPr>
                <w:lang w:eastAsia="ko-KR"/>
              </w:rPr>
              <w:t>5</w:t>
            </w:r>
          </w:p>
        </w:tc>
        <w:tc>
          <w:tcPr>
            <w:tcW w:w="1170" w:type="dxa"/>
            <w:hideMark/>
          </w:tcPr>
          <w:p w14:paraId="6D873DA5" w14:textId="77777777" w:rsidR="00415FB2" w:rsidRPr="005D6620" w:rsidRDefault="00415FB2" w:rsidP="00415FB2">
            <w:pPr>
              <w:jc w:val="left"/>
              <w:rPr>
                <w:lang w:eastAsia="ko-KR"/>
              </w:rPr>
            </w:pPr>
            <w:r w:rsidRPr="005D6620">
              <w:rPr>
                <w:lang w:eastAsia="ko-KR"/>
              </w:rPr>
              <w:t>108.09</w:t>
            </w:r>
          </w:p>
        </w:tc>
        <w:tc>
          <w:tcPr>
            <w:tcW w:w="2174" w:type="dxa"/>
            <w:hideMark/>
          </w:tcPr>
          <w:p w14:paraId="7854D80D" w14:textId="7CE184D0" w:rsidR="00415FB2" w:rsidRPr="005D6620" w:rsidRDefault="00415FB2" w:rsidP="00415FB2">
            <w:pPr>
              <w:jc w:val="left"/>
              <w:rPr>
                <w:lang w:eastAsia="ko-KR"/>
              </w:rPr>
            </w:pPr>
            <w:r w:rsidRPr="005D6620">
              <w:rPr>
                <w:lang w:eastAsia="ko-KR"/>
              </w:rPr>
              <w:t>WikiGO, GO term, Innate DB, Immunome</w:t>
            </w:r>
          </w:p>
        </w:tc>
      </w:tr>
      <w:tr w:rsidR="005D6620" w:rsidRPr="005D6620" w14:paraId="3DC94F2E" w14:textId="77777777" w:rsidTr="005D6620">
        <w:trPr>
          <w:trHeight w:val="253"/>
        </w:trPr>
        <w:tc>
          <w:tcPr>
            <w:tcW w:w="1458" w:type="dxa"/>
            <w:hideMark/>
          </w:tcPr>
          <w:p w14:paraId="6D15DE0D" w14:textId="77777777" w:rsidR="00415FB2" w:rsidRPr="005D6620" w:rsidRDefault="00415FB2" w:rsidP="00415FB2">
            <w:pPr>
              <w:jc w:val="left"/>
              <w:rPr>
                <w:lang w:eastAsia="ko-KR"/>
              </w:rPr>
            </w:pPr>
            <w:r w:rsidRPr="005D6620">
              <w:rPr>
                <w:bCs/>
                <w:lang w:eastAsia="ko-KR"/>
              </w:rPr>
              <w:t>CTSG</w:t>
            </w:r>
          </w:p>
        </w:tc>
        <w:tc>
          <w:tcPr>
            <w:tcW w:w="3060" w:type="dxa"/>
            <w:hideMark/>
          </w:tcPr>
          <w:p w14:paraId="7AF47F12" w14:textId="77777777" w:rsidR="00415FB2" w:rsidRPr="005D6620" w:rsidRDefault="00415FB2" w:rsidP="00415FB2">
            <w:pPr>
              <w:jc w:val="left"/>
              <w:rPr>
                <w:lang w:eastAsia="ko-KR"/>
              </w:rPr>
            </w:pPr>
            <w:r w:rsidRPr="005D6620">
              <w:rPr>
                <w:lang w:eastAsia="ko-KR"/>
              </w:rPr>
              <w:t>cathepsin G preproprotein</w:t>
            </w:r>
          </w:p>
        </w:tc>
        <w:tc>
          <w:tcPr>
            <w:tcW w:w="810" w:type="dxa"/>
            <w:hideMark/>
          </w:tcPr>
          <w:p w14:paraId="10BBDA8A" w14:textId="77777777" w:rsidR="00415FB2" w:rsidRPr="005D6620" w:rsidRDefault="00415FB2" w:rsidP="005D6620">
            <w:pPr>
              <w:jc w:val="right"/>
              <w:rPr>
                <w:lang w:eastAsia="ko-KR"/>
              </w:rPr>
            </w:pPr>
            <w:r w:rsidRPr="005D6620">
              <w:rPr>
                <w:lang w:eastAsia="ko-KR"/>
              </w:rPr>
              <w:t>8</w:t>
            </w:r>
          </w:p>
        </w:tc>
        <w:tc>
          <w:tcPr>
            <w:tcW w:w="1170" w:type="dxa"/>
            <w:hideMark/>
          </w:tcPr>
          <w:p w14:paraId="11BBA37F" w14:textId="77777777" w:rsidR="00415FB2" w:rsidRPr="005D6620" w:rsidRDefault="00415FB2" w:rsidP="00415FB2">
            <w:pPr>
              <w:jc w:val="left"/>
              <w:rPr>
                <w:lang w:eastAsia="ko-KR"/>
              </w:rPr>
            </w:pPr>
            <w:r w:rsidRPr="005D6620">
              <w:rPr>
                <w:lang w:eastAsia="ko-KR"/>
              </w:rPr>
              <w:t>101.60</w:t>
            </w:r>
          </w:p>
        </w:tc>
        <w:tc>
          <w:tcPr>
            <w:tcW w:w="2206" w:type="dxa"/>
            <w:gridSpan w:val="2"/>
            <w:hideMark/>
          </w:tcPr>
          <w:p w14:paraId="667BFDED" w14:textId="11237828" w:rsidR="00415FB2" w:rsidRPr="005D6620" w:rsidRDefault="00415FB2" w:rsidP="00415FB2">
            <w:pPr>
              <w:jc w:val="left"/>
              <w:rPr>
                <w:lang w:eastAsia="ko-KR"/>
              </w:rPr>
            </w:pPr>
            <w:r w:rsidRPr="005D6620">
              <w:rPr>
                <w:lang w:eastAsia="ko-KR"/>
              </w:rPr>
              <w:t>WikiGO, GO term, Innate DB, Immunome</w:t>
            </w:r>
          </w:p>
        </w:tc>
      </w:tr>
    </w:tbl>
    <w:p w14:paraId="5E471AE4" w14:textId="77777777" w:rsidR="00415FB2" w:rsidRDefault="00415FB2">
      <w:pPr>
        <w:jc w:val="left"/>
        <w:rPr>
          <w:lang w:eastAsia="ko-KR"/>
        </w:rPr>
      </w:pPr>
      <w:r>
        <w:rPr>
          <w:lang w:eastAsia="ko-KR"/>
        </w:rPr>
        <w:br w:type="page"/>
      </w:r>
    </w:p>
    <w:p w14:paraId="66766245" w14:textId="77777777" w:rsidR="0063508B" w:rsidRDefault="0063508B" w:rsidP="0063508B">
      <w:pPr>
        <w:spacing w:line="480" w:lineRule="auto"/>
        <w:rPr>
          <w:lang w:eastAsia="ko-KR"/>
        </w:rPr>
      </w:pPr>
      <w:r>
        <w:rPr>
          <w:lang w:eastAsia="ko-KR"/>
        </w:rPr>
        <w:lastRenderedPageBreak/>
        <w:t>They are glycoprotein and their function is not clearly known, but CEACAM5 is reported that it is located on the cell surface and stimulates intracellular signaling by binding to adhesins of Escherichia</w:t>
      </w:r>
      <w:r w:rsidRPr="009F6E5F">
        <w:rPr>
          <w:lang w:eastAsia="ko-KR"/>
        </w:rPr>
        <w:t xml:space="preserve"> coli</w:t>
      </w:r>
      <w:r>
        <w:rPr>
          <w:lang w:eastAsia="ko-KR"/>
        </w:rPr>
        <w:t xml:space="preserve"> </w:t>
      </w:r>
      <w:r>
        <w:rPr>
          <w:lang w:eastAsia="ko-KR"/>
        </w:rPr>
        <w:fldChar w:fldCharType="begin"/>
      </w:r>
      <w:r>
        <w:rPr>
          <w:lang w:eastAsia="ko-KR"/>
        </w:rPr>
        <w:instrText xml:space="preserve"> ADDIN EN.CITE &lt;EndNote&gt;&lt;Cite&gt;&lt;Author&gt;Taheri&lt;/Author&gt;&lt;Year&gt;2000&lt;/Year&gt;&lt;RecNum&gt;171&lt;/RecNum&gt;&lt;DisplayText&gt;[140]&lt;/DisplayText&gt;&lt;record&gt;&lt;rec-number&gt;171&lt;/rec-number&gt;&lt;foreign-keys&gt;&lt;key app="EN" db-id="efx2002d5f0z21etvw3x9zp7tw2axpa2eez0" timestamp="1434509735"&gt;171&lt;/key&gt;&lt;/foreign-keys&gt;&lt;ref-type name="Journal Article"&gt;17&lt;/ref-type&gt;&lt;contributors&gt;&lt;authors&gt;&lt;author&gt;Taheri, Maryam&lt;/author&gt;&lt;author&gt;Saragovi, Uri&lt;/author&gt;&lt;author&gt;Fuks, Abraham&lt;/author&gt;&lt;author&gt;Makkerh, Joe&lt;/author&gt;&lt;author&gt;Mort, John&lt;/author&gt;&lt;author&gt;Stanners, Clifford P&lt;/author&gt;&lt;/authors&gt;&lt;/contributors&gt;&lt;titles&gt;&lt;title&gt;Self recognition in the Ig superfamily Identification of precise subdomains in carcinoembryonic antigen required for intercellular adhesion&lt;/title&gt;&lt;secondary-title&gt;Journal of Biological Chemistry&lt;/secondary-title&gt;&lt;/titles&gt;&lt;periodical&gt;&lt;full-title&gt;Journal of Biological Chemistry&lt;/full-title&gt;&lt;/periodical&gt;&lt;pages&gt;26935-26943&lt;/pages&gt;&lt;volume&gt;275&lt;/volume&gt;&lt;number&gt;35&lt;/number&gt;&lt;dates&gt;&lt;year&gt;2000&lt;/year&gt;&lt;/dates&gt;&lt;isbn&gt;0021-9258&lt;/isbn&gt;&lt;urls&gt;&lt;/urls&gt;&lt;/record&gt;&lt;/Cite&gt;&lt;/EndNote&gt;</w:instrText>
      </w:r>
      <w:r>
        <w:rPr>
          <w:lang w:eastAsia="ko-KR"/>
        </w:rPr>
        <w:fldChar w:fldCharType="separate"/>
      </w:r>
      <w:r>
        <w:rPr>
          <w:noProof/>
          <w:lang w:eastAsia="ko-KR"/>
        </w:rPr>
        <w:t>[140]</w:t>
      </w:r>
      <w:r>
        <w:rPr>
          <w:lang w:eastAsia="ko-KR"/>
        </w:rPr>
        <w:fldChar w:fldCharType="end"/>
      </w:r>
      <w:r>
        <w:rPr>
          <w:lang w:eastAsia="ko-KR"/>
        </w:rPr>
        <w:t>.</w:t>
      </w:r>
    </w:p>
    <w:p w14:paraId="697BEB98" w14:textId="74D29504" w:rsidR="005326C1" w:rsidRDefault="004E420A" w:rsidP="004E420A">
      <w:pPr>
        <w:pStyle w:val="Heading3"/>
        <w:rPr>
          <w:lang w:eastAsia="ko-KR"/>
        </w:rPr>
      </w:pPr>
      <w:bookmarkStart w:id="95" w:name="_Toc296333742"/>
      <w:r>
        <w:rPr>
          <w:lang w:eastAsia="ko-KR"/>
        </w:rPr>
        <w:t>Quasi-Poisson model construction</w:t>
      </w:r>
      <w:r w:rsidR="00A31A75">
        <w:rPr>
          <w:lang w:eastAsia="ko-KR"/>
        </w:rPr>
        <w:t xml:space="preserve"> using QFAM</w:t>
      </w:r>
      <w:bookmarkEnd w:id="95"/>
    </w:p>
    <w:p w14:paraId="6E46019F" w14:textId="4EF0DB5C" w:rsidR="002752A3" w:rsidRPr="00CA0B81" w:rsidRDefault="004E420A" w:rsidP="004E420A">
      <w:pPr>
        <w:spacing w:line="480" w:lineRule="auto"/>
        <w:ind w:firstLine="720"/>
      </w:pPr>
      <w:r w:rsidRPr="00CA0B81">
        <w:t xml:space="preserve">After we confirmed variation of the fecal proteome by PCC and protein frequency, we constructed a linear regression model of the fecal proteins in order to find proteins significantly varied in 11 fecal proteomes.  Since protein spectral counts of our proteome dataset deviate from Normality (Shapiro-Wilks normality test p-value </w:t>
      </w:r>
      <w:r w:rsidR="005A015D" w:rsidRPr="00CA0B81">
        <w:t>= 2.2E-16</w:t>
      </w:r>
      <w:r w:rsidRPr="00CA0B81">
        <w:t xml:space="preserve">) and are frequency-based data, we employed Poisson distribution via Generlized Linear Model (GLM) for hypothesis tests.  Poisson distribution is usually assumed to analyze frequency-based data like spectral counts and shows better or equal performance for label-free proteomics data than other methods, such as Fisher’s exact test, G-test, student t-test </w:t>
      </w:r>
      <w:r w:rsidR="00CA0B81" w:rsidRPr="00CA0B81">
        <w:fldChar w:fldCharType="begin">
          <w:fldData xml:space="preserve">PEVuZE5vdGU+PENpdGU+PEF1dGhvcj5MaTwvQXV0aG9yPjxZZWFyPjIwMTA8L1llYXI+PFJlY051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</w:fldData>
        </w:fldChar>
      </w:r>
      <w:r w:rsidR="00CA0B81" w:rsidRPr="00CA0B81">
        <w:instrText xml:space="preserve"> ADDIN EN.CITE </w:instrText>
      </w:r>
      <w:r w:rsidR="00CA0B81" w:rsidRPr="00CA0B81">
        <w:fldChar w:fldCharType="begin">
          <w:fldData xml:space="preserve">PEVuZE5vdGU+PENpdGU+PEF1dGhvcj5MaTwvQXV0aG9yPjxZZWFyPjIwMTA8L1llYXI+PFJlY051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</w:fldData>
        </w:fldChar>
      </w:r>
      <w:r w:rsidR="00CA0B81" w:rsidRPr="00CA0B81">
        <w:instrText xml:space="preserve"> ADDIN EN.CITE.DATA </w:instrText>
      </w:r>
      <w:r w:rsidR="00CA0B81" w:rsidRPr="00CA0B81">
        <w:fldChar w:fldCharType="end"/>
      </w:r>
      <w:r w:rsidR="00CA0B81" w:rsidRPr="00CA0B81">
        <w:fldChar w:fldCharType="separate"/>
      </w:r>
      <w:r w:rsidR="00CA0B81" w:rsidRPr="00CA0B81">
        <w:rPr>
          <w:noProof/>
        </w:rPr>
        <w:t>[75,116,141]</w:t>
      </w:r>
      <w:r w:rsidR="00CA0B81" w:rsidRPr="00CA0B81">
        <w:fldChar w:fldCharType="end"/>
      </w:r>
      <w:r w:rsidRPr="00CA0B81">
        <w:t>.  However, Poisson distribution has less-flexibility to over-dispersion in terms of empirical fitting because of its assumption that its parameter λ = E(X) = Var(X).  GLM can handle non-normal response variables and Quasi maximum likelihood (QP) approach can alleviate Poisson test’s less flexibility by employing variance function based on given data</w:t>
      </w:r>
      <w:r w:rsidR="00CA0B81" w:rsidRPr="00CA0B81">
        <w:t xml:space="preserve"> </w:t>
      </w:r>
      <w:r w:rsidR="00CA0B81" w:rsidRPr="00CA0B81">
        <w:fldChar w:fldCharType="begin"/>
      </w:r>
      <w:r w:rsidR="00CA0B81" w:rsidRPr="00CA0B81">
        <w:instrText xml:space="preserve"> ADDIN EN.CITE &lt;EndNote&gt;&lt;Cite&gt;&lt;Author&gt;Li&lt;/Author&gt;&lt;Year&gt;2010&lt;/Year&gt;&lt;RecNum&gt;28&lt;/RecNum&gt;&lt;DisplayText&gt;[75]&lt;/DisplayText&gt;&lt;record&gt;&lt;rec-number&gt;28&lt;/rec-number&gt;&lt;foreign-keys&gt;&lt;key app="EN" db-id="dv5rxf0vx9xt01epsfuxx0p5292ff2dt9p0r" timestamp="1407091184"&gt;28&lt;/key&gt;&lt;/foreign-keys&gt;&lt;ref-type name="Journal Article"&gt;17&lt;/ref-type&gt;&lt;contributors&gt;&lt;authors&gt;&lt;author&gt;Li, Ming&lt;/author&gt;&lt;author&gt;Gray, William&lt;/author&gt;&lt;author&gt;Zhang, Haixia&lt;/author&gt;&lt;author&gt;Chung, Christine H&lt;/author&gt;&lt;author&gt;Billheimer, Dean&lt;/author&gt;&lt;author&gt;Yarbrough, Wendell G&lt;/author&gt;&lt;author&gt;Liebler, Daniel C&lt;/author&gt;&lt;author&gt;Shyr, Yu&lt;/author&gt;&lt;author&gt;Slebos, Robbert JC&lt;/author&gt;&lt;/authors&gt;&lt;/contributors&gt;&lt;titles&gt;&lt;title&gt;Comparative shotgun proteomics using spectral count data and quasi-likelihood modeling&lt;/title&gt;&lt;secondary-title&gt;Journal of proteome research&lt;/secondary-title&gt;&lt;/titles&gt;&lt;periodical&gt;&lt;full-title&gt;Journal of proteome research&lt;/full-title&gt;&lt;/periodical&gt;&lt;pages&gt;4295-4305&lt;/pages&gt;&lt;volume&gt;9&lt;/volume&gt;&lt;number&gt;8&lt;/number&gt;&lt;dates&gt;&lt;year&gt;2010&lt;/year&gt;&lt;/dates&gt;&lt;isbn&gt;1535-3893&lt;/isbn&gt;&lt;urls&gt;&lt;/urls&gt;&lt;/record&gt;&lt;/Cite&gt;&lt;/EndNote&gt;</w:instrText>
      </w:r>
      <w:r w:rsidR="00CA0B81" w:rsidRPr="00CA0B81">
        <w:fldChar w:fldCharType="separate"/>
      </w:r>
      <w:r w:rsidR="00CA0B81" w:rsidRPr="00CA0B81">
        <w:rPr>
          <w:noProof/>
        </w:rPr>
        <w:t>[75]</w:t>
      </w:r>
      <w:r w:rsidR="00CA0B81" w:rsidRPr="00CA0B81">
        <w:fldChar w:fldCharType="end"/>
      </w:r>
      <w:r w:rsidRPr="00CA0B81">
        <w:t>.  We used F-test to calculate p-values that were adjusted by False Discovery Rate (FDR) method to corr</w:t>
      </w:r>
      <w:r w:rsidR="002752A3" w:rsidRPr="00CA0B81">
        <w:t xml:space="preserve">ect multiple hypothesis testing </w:t>
      </w:r>
      <w:r w:rsidR="00CA0B81" w:rsidRPr="00CA0B81">
        <w:rPr>
          <w:szCs w:val="28"/>
        </w:rPr>
        <w:fldChar w:fldCharType="begin"/>
      </w:r>
      <w:r w:rsidR="00CA0B81" w:rsidRPr="00CA0B81">
        <w:rPr>
          <w:szCs w:val="28"/>
        </w:rPr>
        <w:instrText xml:space="preserve"> ADDIN EN.CITE &lt;EndNote&gt;&lt;Cite&gt;&lt;Author&gt;Benjamini&lt;/Author&gt;&lt;Year&gt;1995&lt;/Year&gt;&lt;RecNum&gt;32&lt;/RecNum&gt;&lt;DisplayText&gt;[89]&lt;/DisplayText&gt;&lt;record&gt;&lt;rec-number&gt;32&lt;/rec-number&gt;&lt;foreign-keys&gt;&lt;key app="EN" db-id="dv5rxf0vx9xt01epsfuxx0p5292ff2dt9p0r" timestamp="1407117491"&gt;32&lt;/key&gt;&lt;/foreign-keys&gt;&lt;ref-type name="Journal Article"&gt;17&lt;/ref-type&gt;&lt;contributors&gt;&lt;authors&gt;&lt;author&gt;Benjamini, Yoav&lt;/author&gt;&lt;author&gt;Hochberg, Yosef&lt;/author&gt;&lt;/authors&gt;&lt;/contributors&gt;&lt;titles&gt;&lt;title&gt;Controlling the false discovery rate: a practical and powerful approach to multiple testing&lt;/title&gt;&lt;secondary-title&gt;Journal of the Royal Statistical Society. Series B (Methodological)&lt;/secondary-title&gt;&lt;/titles&gt;&lt;periodical&gt;&lt;full-title&gt;Journal of the Royal Statistical Society. Series B (Methodological)&lt;/full-title&gt;&lt;/periodical&gt;&lt;pages&gt;289-300&lt;/pages&gt;&lt;dates&gt;&lt;year&gt;1995&lt;/year&gt;&lt;/dates&gt;&lt;isbn&gt;0035-9246&lt;/isbn&gt;&lt;urls&gt;&lt;/urls&gt;&lt;/record&gt;&lt;/Cite&gt;&lt;/EndNote&gt;</w:instrText>
      </w:r>
      <w:r w:rsidR="00CA0B81" w:rsidRPr="00CA0B81">
        <w:rPr>
          <w:szCs w:val="28"/>
        </w:rPr>
        <w:fldChar w:fldCharType="separate"/>
      </w:r>
      <w:r w:rsidR="00CA0B81" w:rsidRPr="00CA0B81">
        <w:rPr>
          <w:noProof/>
          <w:szCs w:val="28"/>
        </w:rPr>
        <w:t>[89]</w:t>
      </w:r>
      <w:r w:rsidR="00CA0B81" w:rsidRPr="00CA0B81">
        <w:rPr>
          <w:szCs w:val="28"/>
        </w:rPr>
        <w:fldChar w:fldCharType="end"/>
      </w:r>
      <w:r w:rsidR="002752A3" w:rsidRPr="00CA0B81">
        <w:t>.</w:t>
      </w:r>
    </w:p>
    <w:p w14:paraId="6904BD3E" w14:textId="40C8F171" w:rsidR="00A31A75" w:rsidRDefault="00A31A75" w:rsidP="00906D50">
      <w:pPr>
        <w:spacing w:line="480" w:lineRule="auto"/>
        <w:ind w:firstLine="720"/>
      </w:pPr>
      <w:r w:rsidRPr="00CA0B81">
        <w:t xml:space="preserve">In addition to QP model, we also calculated fold changes (FC) from all the possible pairs of 11 fecal samples and picked maximum-FC as representative FC </w:t>
      </w:r>
      <w:r w:rsidRPr="00CA0B81">
        <w:lastRenderedPageBreak/>
        <w:t xml:space="preserve">of a protein because hypotheses test and fold change filtering can give us better </w:t>
      </w:r>
      <w:r w:rsidR="00E11F98" w:rsidRPr="00CA0B81">
        <w:t>selection</w:t>
      </w:r>
      <w:r w:rsidRPr="00CA0B81">
        <w:t xml:space="preserve"> power </w:t>
      </w:r>
      <w:r w:rsidR="00CA0B81" w:rsidRPr="00CA0B81">
        <w:fldChar w:fldCharType="begin"/>
      </w:r>
      <w:r w:rsidR="00CA0B81" w:rsidRPr="00CA0B81">
        <w:instrText xml:space="preserve"> ADDIN EN.CITE &lt;EndNote&gt;&lt;Cite&gt;&lt;Author&gt;Gregori&lt;/Author&gt;&lt;Year&gt;2013&lt;/Year&gt;&lt;RecNum&gt;50&lt;/RecNum&gt;&lt;DisplayText&gt;[105]&lt;/DisplayText&gt;&lt;record&gt;&lt;rec-number&gt;50&lt;/rec-number&gt;&lt;foreign-keys&gt;&lt;key app="EN" db-id="dv5rxf0vx9xt01epsfuxx0p5292ff2dt9p0r" timestamp="1423793906"&gt;50&lt;/key&gt;&lt;/foreign-keys&gt;&lt;ref-type name="Journal Article"&gt;17&lt;/ref-type&gt;&lt;contributors&gt;&lt;authors&gt;&lt;author&gt;Gregori, Josep&lt;/author&gt;&lt;author&gt;Villarreal, Laura&lt;/author&gt;&lt;author&gt;Sánchez, Alex&lt;/author&gt;&lt;author&gt;Baselga, José&lt;/author&gt;&lt;author&gt;Villanueva, Josep&lt;/author&gt;&lt;/authors&gt;&lt;/contributors&gt;&lt;titles&gt;&lt;title&gt;An effect size filter improves the reproducibility in spectral counting-based comparative proteomics&lt;/title&gt;&lt;secondary-title&gt;Journal of Proteomics&lt;/secondary-title&gt;&lt;/titles&gt;&lt;periodical&gt;&lt;full-title&gt;Journal of Proteomics&lt;/full-title&gt;&lt;/periodical&gt;&lt;pages&gt;55-65&lt;/pages&gt;&lt;volume&gt;95&lt;/volume&gt;&lt;dates&gt;&lt;year&gt;2013&lt;/year&gt;&lt;/dates&gt;&lt;isbn&gt;1874-3919&lt;/isbn&gt;&lt;urls&gt;&lt;/urls&gt;&lt;/record&gt;&lt;/Cite&gt;&lt;/EndNote&gt;</w:instrText>
      </w:r>
      <w:r w:rsidR="00CA0B81" w:rsidRPr="00CA0B81">
        <w:fldChar w:fldCharType="separate"/>
      </w:r>
      <w:r w:rsidR="00CA0B81" w:rsidRPr="00CA0B81">
        <w:rPr>
          <w:noProof/>
        </w:rPr>
        <w:t>[105]</w:t>
      </w:r>
      <w:r w:rsidR="00CA0B81" w:rsidRPr="00CA0B81">
        <w:fldChar w:fldCharType="end"/>
      </w:r>
      <w:r w:rsidRPr="00CA0B81">
        <w:t xml:space="preserve">.  Interestingly, maximum-FC of all the 7,455 fecal proteins is over 2-fold change.  Since many of fecal proteins are sparsely identified, many of proteins have infinite FC even though these are identified in only one fecal sample at low level of SC.  Thus, we utilized another type of effect size, Cohen’s </w:t>
      </w:r>
      <w:r w:rsidRPr="00CA0B81">
        <w:rPr>
          <w:i/>
        </w:rPr>
        <w:t>f</w:t>
      </w:r>
      <w:r w:rsidRPr="00CA0B81">
        <w:t xml:space="preserve"> </w:t>
      </w:r>
      <w:r w:rsidR="00CA0B81" w:rsidRPr="00CA0B81">
        <w:fldChar w:fldCharType="begin"/>
      </w:r>
      <w:r w:rsidR="00CA0B81" w:rsidRPr="00CA0B81">
        <w:instrText xml:space="preserve"> ADDIN EN.CITE &lt;EndNote&gt;&lt;Cite&gt;&lt;Author&gt;Cohen&lt;/Author&gt;&lt;Year&gt;1992&lt;/Year&gt;&lt;RecNum&gt;147&lt;/RecNum&gt;&lt;DisplayText&gt;[124]&lt;/DisplayText&gt;&lt;record&gt;&lt;rec-number&gt;147&lt;/rec-number&gt;&lt;foreign-keys&gt;&lt;key app="EN" db-id="efx2002d5f0z21etvw3x9zp7tw2axpa2eez0" timestamp="1434509735"&gt;147&lt;/key&gt;&lt;/foreign-keys&gt;&lt;ref-type name="Journal Article"&gt;17&lt;/ref-type&gt;&lt;contributors&gt;&lt;authors&gt;&lt;author&gt;Cohen, Jacob&lt;/author&gt;&lt;/authors&gt;&lt;/contributors&gt;&lt;titles&gt;&lt;title&gt;Statistical power analysis&lt;/title&gt;&lt;secondary-title&gt;Current directions in psychological science&lt;/secondary-title&gt;&lt;/titles&gt;&lt;periodical&gt;&lt;full-title&gt;Current directions in psychological science&lt;/full-title&gt;&lt;/periodical&gt;&lt;pages&gt;98-101&lt;/pages&gt;&lt;dates&gt;&lt;year&gt;1992&lt;/year&gt;&lt;/dates&gt;&lt;isbn&gt;0963-7214&lt;/isbn&gt;&lt;urls&gt;&lt;/urls&gt;&lt;/record&gt;&lt;/Cite&gt;&lt;/EndNote&gt;</w:instrText>
      </w:r>
      <w:r w:rsidR="00CA0B81" w:rsidRPr="00CA0B81">
        <w:fldChar w:fldCharType="separate"/>
      </w:r>
      <w:r w:rsidR="00CA0B81" w:rsidRPr="00CA0B81">
        <w:rPr>
          <w:noProof/>
        </w:rPr>
        <w:t>[124]</w:t>
      </w:r>
      <w:r w:rsidR="00CA0B81" w:rsidRPr="00CA0B81">
        <w:fldChar w:fldCharType="end"/>
      </w:r>
      <w:r w:rsidRPr="00CA0B81">
        <w:t>, to figure out how much different is reliable when considering sample size, significance threshold (FDR &lt; 0.05) an</w:t>
      </w:r>
      <w:r w:rsidR="00E11F98" w:rsidRPr="00CA0B81">
        <w:t>d desired statistical power (</w:t>
      </w:r>
      <w:r w:rsidR="00207A7A" w:rsidRPr="00CA0B81">
        <w:t xml:space="preserve">power &gt; </w:t>
      </w:r>
      <w:r w:rsidR="00E11F98" w:rsidRPr="00CA0B81">
        <w:t>90%</w:t>
      </w:r>
      <w:r w:rsidRPr="00CA0B81">
        <w:t>).  Statistical power is a probability rejecting correctly null hypothesis when it is false.  The certain level of power</w:t>
      </w:r>
      <w:r w:rsidR="00CA0B81">
        <w:t xml:space="preserve"> (90%)</w:t>
      </w:r>
      <w:r w:rsidRPr="00CA0B81">
        <w:t xml:space="preserve"> is required to correctly find significant proteins</w:t>
      </w:r>
      <w:r w:rsidR="00CA0B81" w:rsidRPr="00CA0B81">
        <w:t xml:space="preserve"> </w:t>
      </w:r>
      <w:r w:rsidR="00CA0B81" w:rsidRPr="00CA0B81">
        <w:fldChar w:fldCharType="begin"/>
      </w:r>
      <w:r w:rsidR="00CA0B81" w:rsidRPr="00CA0B81">
        <w:instrText xml:space="preserve"> ADDIN EN.CITE &lt;EndNote&gt;&lt;Cite&gt;&lt;Author&gt;Halsey&lt;/Author&gt;&lt;Year&gt;2015&lt;/Year&gt;&lt;RecNum&gt;115&lt;/RecNum&gt;&lt;DisplayText&gt;[102]&lt;/DisplayText&gt;&lt;record&gt;&lt;rec-number&gt;115&lt;/rec-number&gt;&lt;foreign-keys&gt;&lt;key app="EN" db-id="efx2002d5f0z21etvw3x9zp7tw2axpa2eez0" timestamp="1434471120"&gt;115&lt;/key&gt;&lt;/foreign-keys&gt;&lt;ref-type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EndNote&gt;</w:instrText>
      </w:r>
      <w:r w:rsidR="00CA0B81" w:rsidRPr="00CA0B81">
        <w:fldChar w:fldCharType="separate"/>
      </w:r>
      <w:r w:rsidR="00CA0B81" w:rsidRPr="00CA0B81">
        <w:rPr>
          <w:noProof/>
        </w:rPr>
        <w:t>[102]</w:t>
      </w:r>
      <w:r w:rsidR="00CA0B81" w:rsidRPr="00CA0B81">
        <w:fldChar w:fldCharType="end"/>
      </w:r>
      <w:r w:rsidRPr="00CA0B81">
        <w:t xml:space="preserve">.  Cohen’s </w:t>
      </w:r>
      <w:r w:rsidRPr="00CA0B81">
        <w:rPr>
          <w:i/>
        </w:rPr>
        <w:t>f</w:t>
      </w:r>
      <w:r w:rsidRPr="00CA0B81">
        <w:t xml:space="preserve"> is designed for ANOVA’s F-te</w:t>
      </w:r>
      <w:r w:rsidR="00640C19">
        <w:t xml:space="preserve">st </w:t>
      </w:r>
      <w:r w:rsidRPr="00CA0B81">
        <w:t>and was used to keep our model to ha</w:t>
      </w:r>
      <w:r w:rsidR="00CA0B81">
        <w:t>ve enough statistical power, 90%,</w:t>
      </w:r>
      <w:r w:rsidRPr="00CA0B81">
        <w:t xml:space="preserve"> given samples size and significance level.  Minimum Cohen’s </w:t>
      </w:r>
      <w:r w:rsidRPr="001F311E">
        <w:rPr>
          <w:i/>
        </w:rPr>
        <w:t xml:space="preserve">f </w:t>
      </w:r>
      <w:r w:rsidRPr="00CA0B81">
        <w:t xml:space="preserve">for effect size filter was obtained by power analysis.  The minimum Cohen’s </w:t>
      </w:r>
      <w:r w:rsidRPr="001F311E">
        <w:rPr>
          <w:i/>
        </w:rPr>
        <w:t xml:space="preserve">f </w:t>
      </w:r>
      <w:r w:rsidRPr="00CA0B81">
        <w:t xml:space="preserve">for effect size filter is </w:t>
      </w:r>
      <w:r w:rsidR="004A0653">
        <w:rPr>
          <w:rFonts w:eastAsia="Batang"/>
          <w:lang w:eastAsia="ko-KR"/>
        </w:rPr>
        <w:t>1.3769</w:t>
      </w:r>
      <w:r w:rsidRPr="00CA0B81">
        <w:t xml:space="preserve"> for 29 samples </w:t>
      </w:r>
      <w:r w:rsidR="004A0653">
        <w:t>of 11 healthy volunteers for 90%</w:t>
      </w:r>
      <w:r w:rsidRPr="00CA0B81">
        <w:t xml:space="preserve"> power and 0.05 significance level.  By combining QP and effect size filter, of t</w:t>
      </w:r>
      <w:r w:rsidR="00F32853">
        <w:t>otal 7,455 fecal proteins, 1,610</w:t>
      </w:r>
      <w:r w:rsidRPr="00CA0B81">
        <w:t xml:space="preserve"> proteins were categorized as differentially identified fecal proteins from 11 fecal </w:t>
      </w:r>
      <w:r w:rsidR="00F32853">
        <w:t>proteomes</w:t>
      </w:r>
      <w:r w:rsidR="00516886">
        <w:t xml:space="preserve"> (Fig. 33)</w:t>
      </w:r>
      <w:r w:rsidR="00F32853">
        <w:t>.  Of significant 1,610</w:t>
      </w:r>
      <w:r w:rsidR="00A57EC6">
        <w:t xml:space="preserve"> proteins, 355</w:t>
      </w:r>
      <w:r w:rsidRPr="00CA0B81">
        <w:t xml:space="preserve"> p</w:t>
      </w:r>
      <w:r w:rsidR="00A57EC6">
        <w:t>roteins are from human and 1,255</w:t>
      </w:r>
      <w:r w:rsidRPr="00CA0B81">
        <w:t xml:space="preserve"> proteins are from microbiome.</w:t>
      </w:r>
      <w:r w:rsidR="003A72E2">
        <w:t xml:space="preserve">  </w:t>
      </w:r>
    </w:p>
    <w:p w14:paraId="204192BA" w14:textId="0A229FEF" w:rsidR="00516886" w:rsidRDefault="00906D50" w:rsidP="00906D50">
      <w:pPr>
        <w:spacing w:line="480" w:lineRule="auto"/>
        <w:ind w:firstLine="720"/>
      </w:pPr>
      <w:r>
        <w:t>More than 20% of total fecal prot</w:t>
      </w:r>
      <w:r w:rsidR="00942452">
        <w:t>eins are significantly varied at 5% false positive l</w:t>
      </w:r>
      <w:r w:rsidR="00C0742D">
        <w:t xml:space="preserve">evel and 90% statistical power.  This is not comparison between control and treatment group, but </w:t>
      </w:r>
      <w:r w:rsidR="00227BE3">
        <w:t>examining</w:t>
      </w:r>
      <w:r w:rsidR="00C0742D">
        <w:t xml:space="preserve"> </w:t>
      </w:r>
      <w:r w:rsidR="00227BE3">
        <w:t xml:space="preserve">changes </w:t>
      </w:r>
      <w:r w:rsidR="00C0742D">
        <w:t>within biological replicates of healthy normal volu</w:t>
      </w:r>
      <w:r w:rsidR="008F703E">
        <w:t xml:space="preserve">nteers.  Studies using fecal samples </w:t>
      </w:r>
      <w:r w:rsidR="002F65F4">
        <w:t>should consider</w:t>
      </w:r>
      <w:r w:rsidR="008F703E">
        <w:t xml:space="preserve"> high within-group variance.</w:t>
      </w:r>
      <w:r w:rsidR="003668AA">
        <w:t xml:space="preserve">  </w:t>
      </w:r>
    </w:p>
    <w:p w14:paraId="3B7BC4BC" w14:textId="77777777" w:rsidR="00516886" w:rsidRDefault="00516886" w:rsidP="00516886">
      <w:pPr>
        <w:keepNext/>
        <w:jc w:val="left"/>
      </w:pPr>
      <w:r>
        <w:rPr>
          <w:noProof/>
        </w:rPr>
        <w:lastRenderedPageBreak/>
        <w:drawing>
          <wp:inline distT="0" distB="0" distL="0" distR="0" wp14:anchorId="4A320BBE" wp14:editId="4DA15936">
            <wp:extent cx="5486400" cy="5422900"/>
            <wp:effectExtent l="0" t="0" r="0" b="12700"/>
            <wp:docPr id="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6400" cy="5422900"/>
                    </a:xfrm>
                    <a:prstGeom prst="rect">
                      <a:avLst/>
                    </a:prstGeom>
                    <a:noFill/>
                    <a:ln>
                      <a:noFill/>
                    </a:ln>
                  </pic:spPr>
                </pic:pic>
              </a:graphicData>
            </a:graphic>
          </wp:inline>
        </w:drawing>
      </w:r>
    </w:p>
    <w:p w14:paraId="57C20589" w14:textId="02B0BB63" w:rsidR="00516886" w:rsidRPr="00A840E9" w:rsidRDefault="00516886" w:rsidP="00516886">
      <w:pPr>
        <w:pStyle w:val="Caption"/>
        <w:jc w:val="left"/>
        <w:rPr>
          <w:b w:val="0"/>
        </w:rPr>
      </w:pPr>
      <w:bookmarkStart w:id="96" w:name="_Toc296333126"/>
      <w:r>
        <w:t xml:space="preserve">Figure </w:t>
      </w:r>
      <w:fldSimple w:instr=" SEQ Figure \* ARABIC ">
        <w:r w:rsidR="002B3E83">
          <w:rPr>
            <w:noProof/>
          </w:rPr>
          <w:t>33</w:t>
        </w:r>
      </w:fldSimple>
      <w:r w:rsidR="00A840E9">
        <w:t xml:space="preserve"> Protein scatter plot of human fecal proteome comparison.  </w:t>
      </w:r>
      <w:r w:rsidR="00A840E9">
        <w:rPr>
          <w:b w:val="0"/>
        </w:rPr>
        <w:t>Blue dots are significantly categoriz</w:t>
      </w:r>
      <w:r w:rsidR="003D1984">
        <w:rPr>
          <w:b w:val="0"/>
        </w:rPr>
        <w:t>ed proteins, while red dots are</w:t>
      </w:r>
      <w:r w:rsidR="00A840E9">
        <w:rPr>
          <w:b w:val="0"/>
        </w:rPr>
        <w:t xml:space="preserve"> </w:t>
      </w:r>
      <w:r w:rsidR="003D1984">
        <w:rPr>
          <w:b w:val="0"/>
        </w:rPr>
        <w:t xml:space="preserve">proteins that could </w:t>
      </w:r>
      <w:r w:rsidR="00A840E9">
        <w:rPr>
          <w:b w:val="0"/>
        </w:rPr>
        <w:t xml:space="preserve">not passed two thresholds, FDR &lt; 0.05 and Cohen’s </w:t>
      </w:r>
      <w:r w:rsidR="00A840E9" w:rsidRPr="00A840E9">
        <w:rPr>
          <w:b w:val="0"/>
          <w:i/>
        </w:rPr>
        <w:t>f</w:t>
      </w:r>
      <w:r w:rsidR="00A840E9">
        <w:rPr>
          <w:b w:val="0"/>
        </w:rPr>
        <w:t xml:space="preserve"> &gt; 1.3769.</w:t>
      </w:r>
      <w:bookmarkEnd w:id="96"/>
    </w:p>
    <w:p w14:paraId="6D5E5A7B" w14:textId="77777777" w:rsidR="00516886" w:rsidRDefault="00516886">
      <w:pPr>
        <w:jc w:val="left"/>
      </w:pPr>
      <w:r>
        <w:br w:type="page"/>
      </w:r>
    </w:p>
    <w:p w14:paraId="4DDBF3BE" w14:textId="77777777" w:rsidR="00516886" w:rsidRDefault="00516886" w:rsidP="00906D50">
      <w:pPr>
        <w:spacing w:line="480" w:lineRule="auto"/>
        <w:ind w:firstLine="720"/>
      </w:pPr>
    </w:p>
    <w:p w14:paraId="77E590ED" w14:textId="0EA6AFEE" w:rsidR="00906D50" w:rsidRPr="00CA0B81" w:rsidRDefault="00E01AA2" w:rsidP="00516886">
      <w:pPr>
        <w:spacing w:line="480" w:lineRule="auto"/>
      </w:pPr>
      <w:r>
        <w:t>High variance within replicates affects on comparison betwee</w:t>
      </w:r>
      <w:r w:rsidR="00DA7604">
        <w:t xml:space="preserve">n different experiment groups.  To analyze highly varied data like fecal proteomes, many biological and technical replicates are required.  </w:t>
      </w:r>
      <w:r w:rsidR="009B66C6">
        <w:t xml:space="preserve">Otherwise, </w:t>
      </w:r>
      <w:r w:rsidR="002C7B85">
        <w:t>strict threshold should be applied and reliable statistical methodology is employed.</w:t>
      </w:r>
    </w:p>
    <w:p w14:paraId="0A47EF8C" w14:textId="77777777" w:rsidR="00A31A75" w:rsidRDefault="00A31A75" w:rsidP="00A31A75">
      <w:pPr>
        <w:pStyle w:val="Heading3"/>
      </w:pPr>
      <w:bookmarkStart w:id="97" w:name="_Toc296333743"/>
      <w:r>
        <w:t>Functional analysis using QFAM</w:t>
      </w:r>
      <w:bookmarkEnd w:id="97"/>
    </w:p>
    <w:p w14:paraId="61CA12EF" w14:textId="77777777" w:rsidR="0077107C" w:rsidRDefault="0033356D" w:rsidP="009D706B">
      <w:pPr>
        <w:spacing w:line="480" w:lineRule="auto"/>
        <w:ind w:firstLine="720"/>
      </w:pPr>
      <w:r>
        <w:t xml:space="preserve">We analyzed </w:t>
      </w:r>
      <w:r w:rsidR="000A2D1D" w:rsidRPr="000A2D1D">
        <w:t xml:space="preserve">fecal proteins in terms of functional terms, such as gene ontology (GO) </w:t>
      </w:r>
      <w:r w:rsidR="000A2D1D" w:rsidRPr="000A2D1D">
        <w:fldChar w:fldCharType="begin"/>
      </w:r>
      <w:r w:rsidR="00913405">
        <w:instrText xml:space="preserve"> ADDIN EN.CITE &lt;EndNote&gt;&lt;Cite&gt;&lt;Author&gt;Ashburner&lt;/Author&gt;&lt;Year&gt;2000&lt;/Year&gt;&lt;RecNum&gt;44&lt;/RecNum&gt;&lt;DisplayText&gt;[94]&lt;/DisplayText&gt;&lt;record&gt;&lt;rec-number&gt;44&lt;/rec-number&gt;&lt;foreign-keys&gt;&lt;key app="EN" db-id="dv5rxf0vx9xt01epsfuxx0p5292ff2dt9p0r" timestamp="1421097353"&gt;44&lt;/key&gt;&lt;/foreign-keys&gt;&lt;ref-type name="Journal Article"&gt;17&lt;/ref-type&gt;&lt;contributors&gt;&lt;authors&gt;&lt;author&gt;Ashburner, Michael&lt;/author&gt;&lt;author&gt;Ball, Catherine A&lt;/author&gt;&lt;author&gt;Blake, Judith A&lt;/author&gt;&lt;author&gt;Botstein, David&lt;/author&gt;&lt;author&gt;Butler, Heather&lt;/author&gt;&lt;author&gt;Cherry, J Michael&lt;/author&gt;&lt;author&gt;Davis, Allan P&lt;/author&gt;&lt;author&gt;Dolinski, Kara&lt;/author&gt;&lt;author&gt;Dwight, Selina S&lt;/author&gt;&lt;author&gt;Eppig, Janan T&lt;/author&gt;&lt;/authors&gt;&lt;/contributors&gt;&lt;titles&gt;&lt;title&gt;Gene Ontology: tool for the unification of biology&lt;/title&gt;&lt;secondary-title&gt;Nature genetics&lt;/secondary-title&gt;&lt;/titles&gt;&lt;periodical&gt;&lt;full-title&gt;Nature genetics&lt;/full-title&gt;&lt;/periodical&gt;&lt;pages&gt;25-29&lt;/pages&gt;&lt;volume&gt;25&lt;/volume&gt;&lt;number&gt;1&lt;/number&gt;&lt;dates&gt;&lt;year&gt;2000&lt;/year&gt;&lt;/dates&gt;&lt;urls&gt;&lt;/urls&gt;&lt;/record&gt;&lt;/Cite&gt;&lt;/EndNote&gt;</w:instrText>
      </w:r>
      <w:r w:rsidR="000A2D1D" w:rsidRPr="000A2D1D">
        <w:fldChar w:fldCharType="separate"/>
      </w:r>
      <w:r w:rsidR="00913405">
        <w:rPr>
          <w:noProof/>
        </w:rPr>
        <w:t>[94]</w:t>
      </w:r>
      <w:r w:rsidR="000A2D1D" w:rsidRPr="000A2D1D">
        <w:fldChar w:fldCharType="end"/>
      </w:r>
      <w:r w:rsidR="000A2D1D" w:rsidRPr="000A2D1D">
        <w:t xml:space="preserve"> enrichment test for human proteins and cluster of ortholog groups (COG) </w:t>
      </w:r>
      <w:r w:rsidR="000A2D1D" w:rsidRPr="000A2D1D">
        <w:fldChar w:fldCharType="begin"/>
      </w:r>
      <w:r w:rsidR="00913405">
        <w:instrText xml:space="preserve"> ADDIN EN.CITE &lt;EndNote&gt;&lt;Cite&gt;&lt;Author&gt;Tatusov&lt;/Author&gt;&lt;Year&gt;2001&lt;/Year&gt;&lt;RecNum&gt;172&lt;/RecNum&gt;&lt;DisplayText&gt;[125]&lt;/DisplayText&gt;&lt;record&gt;&lt;rec-number&gt;172&lt;/rec-number&gt;&lt;foreign-keys&gt;&lt;key app="EN" db-id="efx2002d5f0z21etvw3x9zp7tw2axpa2eez0" timestamp="1434509735"&gt;172&lt;/key&gt;&lt;/foreign-keys&gt;&lt;ref-type name="Journal Article"&gt;17&lt;/ref-type&gt;&lt;contributors&gt;&lt;authors&gt;&lt;author&gt;Tatusov, Roman L&lt;/author&gt;&lt;author&gt;Natale, Darren A&lt;/author&gt;&lt;author&gt;Garkavtsev, Igor V&lt;/author&gt;&lt;author&gt;Tatusova, Tatiana A&lt;/author&gt;&lt;author&gt;Shankavaram, Uma T&lt;/author&gt;&lt;author&gt;Rao, Bachoti S&lt;/author&gt;&lt;author&gt;Kiryutin, Boris&lt;/author&gt;&lt;author&gt;Galperin, Michael Y&lt;/author&gt;&lt;author&gt;Fedorova, Natalie D&lt;/author&gt;&lt;author&gt;Koonin, Eugene V&lt;/author&gt;&lt;/authors&gt;&lt;/contributors&gt;&lt;titles&gt;&lt;title&gt;The COG database: new developments in phylogenetic classification of proteins from complete genomes&lt;/title&gt;&lt;secondary-title&gt;Nucleic acids research&lt;/secondary-title&gt;&lt;/titles&gt;&lt;periodical&gt;&lt;full-title&gt;Nucleic acids research&lt;/full-title&gt;&lt;/periodical&gt;&lt;pages&gt;22-28&lt;/pages&gt;&lt;volume&gt;29&lt;/volume&gt;&lt;number&gt;1&lt;/number&gt;&lt;dates&gt;&lt;year&gt;2001&lt;/year&gt;&lt;/dates&gt;&lt;isbn&gt;0305-1048&lt;/isbn&gt;&lt;urls&gt;&lt;/urls&gt;&lt;/record&gt;&lt;/Cite&gt;&lt;/EndNote&gt;</w:instrText>
      </w:r>
      <w:r w:rsidR="000A2D1D" w:rsidRPr="000A2D1D">
        <w:fldChar w:fldCharType="separate"/>
      </w:r>
      <w:r w:rsidR="00913405">
        <w:rPr>
          <w:noProof/>
        </w:rPr>
        <w:t>[125]</w:t>
      </w:r>
      <w:r w:rsidR="000A2D1D" w:rsidRPr="000A2D1D">
        <w:fldChar w:fldCharType="end"/>
      </w:r>
      <w:r w:rsidR="000A2D1D" w:rsidRPr="000A2D1D">
        <w:t xml:space="preserve"> analysis for microbiome proteins, so that we understand metabolic functions of identified human fecal proteins.  GO and COG terms are widely used to get to know functional features of proteomics data </w:t>
      </w:r>
      <w:r w:rsidR="000A2D1D" w:rsidRPr="000A2D1D">
        <w:fldChar w:fldCharType="begin"/>
      </w:r>
      <w:r w:rsidR="00CA0B81">
        <w:instrText xml:space="preserve"> ADDIN EN.CITE &lt;EndNote&gt;&lt;Cite&gt;&lt;Author&gt;Yin&lt;/Author&gt;&lt;Year&gt;2012&lt;/Year&gt;&lt;RecNum&gt;177&lt;/RecNum&gt;&lt;DisplayText&gt;[142,143]&lt;/DisplayText&gt;&lt;record&gt;&lt;rec-number&gt;177&lt;/rec-number&gt;&lt;foreign-keys&gt;&lt;key app="EN" db-id="efx2002d5f0z21etvw3x9zp7tw2axpa2eez0" timestamp="1434509735"&gt;177&lt;/key&gt;&lt;/foreign-keys&gt;&lt;ref-type name="Journal Article"&gt;17&lt;/ref-type&gt;&lt;contributors&gt;&lt;authors&gt;&lt;author&gt;Yin, Yalin&lt;/author&gt;&lt;author&gt;Yu, Guojun&lt;/author&gt;&lt;author&gt;Chen, Yijie&lt;/author&gt;&lt;author&gt;Jiang, Shuai&lt;/author&gt;&lt;author&gt;Wang, Man&lt;/author&gt;&lt;author&gt;Jin, Yanxia&lt;/author&gt;&lt;author&gt;Lan, Xianqing&lt;/author&gt;&lt;author&gt;Liang, Yi&lt;/author&gt;&lt;author&gt;Sun, Hui&lt;/author&gt;&lt;/authors&gt;&lt;/contributors&gt;&lt;titles&gt;&lt;title&gt;Genome-wide transcriptome and proteome analysis on different developmental stages of Cordyceps militaris&lt;/title&gt;&lt;secondary-title&gt;PloS one&lt;/secondary-title&gt;&lt;/titles&gt;&lt;periodical&gt;&lt;full-title&gt;PloS one&lt;/full-title&gt;&lt;/periodical&gt;&lt;pages&gt;e51853&lt;/pages&gt;&lt;volume&gt;7&lt;/volume&gt;&lt;number&gt;12&lt;/number&gt;&lt;dates&gt;&lt;year&gt;2012&lt;/year&gt;&lt;/dates&gt;&lt;isbn&gt;1932-6203&lt;/isbn&gt;&lt;urls&gt;&lt;/urls&gt;&lt;/record&gt;&lt;/Cite&gt;&lt;Cite&gt;&lt;Author&gt;Zeng&lt;/Author&gt;&lt;Year&gt;2013&lt;/Year&gt;&lt;RecNum&gt;178&lt;/RecNum&gt;&lt;record&gt;&lt;rec-number&gt;178&lt;/rec-number&gt;&lt;foreign-keys&gt;&lt;key app="EN" db-id="efx2002d5f0z21etvw3x9zp7tw2axpa2eez0" timestamp="1434509735"&gt;178&lt;/key&gt;&lt;/foreign-keys&gt;&lt;ref-type name="Journal Article"&gt;17&lt;/ref-type&gt;&lt;contributors&gt;&lt;authors&gt;&lt;author&gt;Zeng, Jianguo&lt;/author&gt;&lt;author&gt;Liu, Yisong&lt;/author&gt;&lt;author&gt;Liu, Wei&lt;/author&gt;&lt;author&gt;Liu, Xiubing&lt;/author&gt;&lt;author&gt;Liu, Fuqing&lt;/author&gt;&lt;author&gt;Huang, Peng&lt;/author&gt;&lt;author&gt;Zhu, Pengcheng&lt;/author&gt;&lt;author&gt;Chen, Jinjun&lt;/author&gt;&lt;author&gt;Shi, Mingming&lt;/author&gt;&lt;author&gt;Guo, Fang&lt;/author&gt;&lt;/authors&gt;&lt;/contributors&gt;&lt;titles&gt;&lt;title&gt;Integration of transcriptome, proteome and metabolism data reveals the alkaloids biosynthesis in Macleaya cordata and Macleaya microcarpa&lt;/title&gt;&lt;secondary-title&gt;PloS one&lt;/secondary-title&gt;&lt;/titles&gt;&lt;periodical&gt;&lt;full-title&gt;PloS one&lt;/full-title&gt;&lt;/periodical&gt;&lt;pages&gt;e53409&lt;/pages&gt;&lt;volume&gt;8&lt;/volume&gt;&lt;number&gt;1&lt;/number&gt;&lt;dates&gt;&lt;year&gt;2013&lt;/year&gt;&lt;/dates&gt;&lt;isbn&gt;1932-6203&lt;/isbn&gt;&lt;urls&gt;&lt;/urls&gt;&lt;/record&gt;&lt;/Cite&gt;&lt;/EndNote&gt;</w:instrText>
      </w:r>
      <w:r w:rsidR="000A2D1D" w:rsidRPr="000A2D1D">
        <w:fldChar w:fldCharType="separate"/>
      </w:r>
      <w:r w:rsidR="00CA0B81">
        <w:rPr>
          <w:noProof/>
        </w:rPr>
        <w:t>[142,143]</w:t>
      </w:r>
      <w:r w:rsidR="000A2D1D" w:rsidRPr="000A2D1D">
        <w:fldChar w:fldCharType="end"/>
      </w:r>
      <w:r w:rsidR="000A2D1D" w:rsidRPr="000A2D1D">
        <w:t xml:space="preserve">.  </w:t>
      </w:r>
    </w:p>
    <w:p w14:paraId="3B494AB7" w14:textId="20453DBB" w:rsidR="00B26D2F" w:rsidRDefault="00671E19" w:rsidP="009D706B">
      <w:pPr>
        <w:spacing w:line="480" w:lineRule="auto"/>
        <w:ind w:firstLine="720"/>
      </w:pPr>
      <w:r>
        <w:t xml:space="preserve">COG and </w:t>
      </w:r>
      <w:r w:rsidR="000A2D1D" w:rsidRPr="000A2D1D">
        <w:t xml:space="preserve">GO terms were enriched over </w:t>
      </w:r>
      <w:r w:rsidR="00250D22">
        <w:t>all the</w:t>
      </w:r>
      <w:r w:rsidR="000A2D1D" w:rsidRPr="000A2D1D">
        <w:t xml:space="preserve"> human fecal proteins by using Fisher’s exact test.  P-values of the enriched</w:t>
      </w:r>
      <w:r w:rsidR="00CB21E8">
        <w:t xml:space="preserve"> </w:t>
      </w:r>
      <w:r>
        <w:t xml:space="preserve">COG and </w:t>
      </w:r>
      <w:r w:rsidR="00CB21E8">
        <w:t>GO terms were adjusted by FDR.</w:t>
      </w:r>
      <w:r w:rsidR="00742785">
        <w:t xml:space="preserve">  Also, significance test was conducted by employing QP model and transferring SC of member proteins to </w:t>
      </w:r>
      <w:r>
        <w:t xml:space="preserve">COG and </w:t>
      </w:r>
      <w:r w:rsidR="00742785">
        <w:t xml:space="preserve">GO terms. </w:t>
      </w:r>
      <w:r w:rsidR="00CB21E8">
        <w:t xml:space="preserve"> </w:t>
      </w:r>
      <w:r w:rsidR="00742785">
        <w:t xml:space="preserve">Significantly enriched and varied </w:t>
      </w:r>
      <w:r w:rsidR="0077107C">
        <w:t xml:space="preserve">COG and </w:t>
      </w:r>
      <w:r w:rsidR="00742785">
        <w:t xml:space="preserve">GO terms have less than 0.05 p-value (Fisher’s exact test FDR &lt; 0.05 and QP FDR &lt; 0.05) and </w:t>
      </w:r>
      <w:r w:rsidR="00493E07">
        <w:t xml:space="preserve">more than 1.3769 Cohen’s </w:t>
      </w:r>
      <w:r w:rsidR="00493E07" w:rsidRPr="00493E07">
        <w:rPr>
          <w:i/>
        </w:rPr>
        <w:t>f</w:t>
      </w:r>
      <w:r w:rsidR="00493E07">
        <w:t xml:space="preserve"> (</w:t>
      </w:r>
      <w:r w:rsidR="00B26D2F">
        <w:t>statistical power &gt; 90%).</w:t>
      </w:r>
    </w:p>
    <w:p w14:paraId="09AEA504" w14:textId="1E398A94" w:rsidR="000F079C" w:rsidRDefault="00B06B81" w:rsidP="00FE7790">
      <w:pPr>
        <w:spacing w:line="480" w:lineRule="auto"/>
        <w:ind w:firstLine="720"/>
      </w:pPr>
      <w:r>
        <w:t>The</w:t>
      </w:r>
      <w:r w:rsidR="009A08F9">
        <w:t xml:space="preserve"> result of GO term analysis includes interesting GO terms.  </w:t>
      </w:r>
      <w:r w:rsidR="000A2D1D" w:rsidRPr="000A2D1D">
        <w:t xml:space="preserve">Extracellular location related GO cellular component terms, extracellular vesicular exosome (GO:0070062), extracellular vesicle (GO:1903561), extracellular membrane-bounded organelle (GO:0065010), </w:t>
      </w:r>
      <w:r w:rsidR="000F079C" w:rsidRPr="000F079C">
        <w:t xml:space="preserve">vesicle </w:t>
      </w:r>
      <w:r w:rsidR="000F079C" w:rsidRPr="000F079C">
        <w:lastRenderedPageBreak/>
        <w:t>(GO:0031982)</w:t>
      </w:r>
      <w:r w:rsidR="000F079C">
        <w:t xml:space="preserve">, </w:t>
      </w:r>
      <w:r w:rsidR="000A2D1D" w:rsidRPr="000A2D1D">
        <w:t>extracellular organelle (GO:0043230)</w:t>
      </w:r>
      <w:r>
        <w:t xml:space="preserve">, </w:t>
      </w:r>
      <w:r w:rsidRPr="00B06B81">
        <w:t xml:space="preserve">extracellular region </w:t>
      </w:r>
      <w:r>
        <w:t>(</w:t>
      </w:r>
      <w:r w:rsidRPr="00B06B81">
        <w:t>GO:0005576</w:t>
      </w:r>
      <w:r>
        <w:t>)</w:t>
      </w:r>
      <w:r w:rsidR="000A2D1D" w:rsidRPr="000A2D1D">
        <w:t xml:space="preserve"> and extracellular region part (GO:0044421), were unders</w:t>
      </w:r>
      <w:r w:rsidR="005C70E9">
        <w:t>tandably enriched (</w:t>
      </w:r>
      <w:r w:rsidR="00652665">
        <w:t xml:space="preserve">Enrichment </w:t>
      </w:r>
      <w:r w:rsidR="005C70E9">
        <w:t>FDR &lt;1.07E-55</w:t>
      </w:r>
      <w:r w:rsidR="000A2D1D" w:rsidRPr="000A2D1D">
        <w:t>) from the significant human proteins</w:t>
      </w:r>
      <w:r w:rsidR="00BB1814">
        <w:t xml:space="preserve"> (Table 17)</w:t>
      </w:r>
      <w:r w:rsidR="000A2D1D" w:rsidRPr="000A2D1D">
        <w:t xml:space="preserve">.  This shows that many of the significant human fecal proteins are secreted into extracellular regions and excreted into feces.  </w:t>
      </w:r>
    </w:p>
    <w:p w14:paraId="0AC54197" w14:textId="08C820FF" w:rsidR="000F079C" w:rsidRDefault="0063508B" w:rsidP="0063508B">
      <w:pPr>
        <w:spacing w:line="480" w:lineRule="auto"/>
        <w:ind w:firstLine="720"/>
      </w:pPr>
      <w:r w:rsidRPr="000A2D1D">
        <w:t>Besides of extracellular location GO terms, digestion (GO:0007586) and mucosal immune response (GO:0002385) were enriched</w:t>
      </w:r>
      <w:r>
        <w:t xml:space="preserve"> (Table 17)</w:t>
      </w:r>
      <w:r w:rsidRPr="000A2D1D">
        <w:t>.  Mucosal immune response GO term was enriched from RYR1, TPM4, VCL, FLII, myosin proteins an</w:t>
      </w:r>
      <w:r>
        <w:t>d actin proteins (FDR = 7.08E-05</w:t>
      </w:r>
      <w:r w:rsidRPr="000A2D1D">
        <w:t>).  In addition to mucosal immunity, immune defense-related GO te</w:t>
      </w:r>
      <w:r>
        <w:t xml:space="preserve">rms are </w:t>
      </w:r>
      <w:r w:rsidRPr="00A90E23">
        <w:rPr>
          <w:rFonts w:cs="Arial"/>
        </w:rPr>
        <w:t>enriched (FDR &lt; 0.05), such as defense response to fungus (GO:0050832), response to fungus (GO:0009620), defense response to bacterium (GO:0042742) and cell killing (GO:0001906) (Table 17).  Digestion related proteins, such as AMY2B, CTRB1, CTRB2 and CELA2A, are abundantly identified in the fecal proteomes</w:t>
      </w:r>
      <w:r w:rsidRPr="00A90E23">
        <w:rPr>
          <w:rFonts w:cs="Arial"/>
          <w:color w:val="FF0000"/>
        </w:rPr>
        <w:t xml:space="preserve"> (Table 16) </w:t>
      </w:r>
      <w:r w:rsidRPr="00A90E23">
        <w:rPr>
          <w:rFonts w:cs="Arial"/>
        </w:rPr>
        <w:t xml:space="preserve">and also included in the 355 significant protein list.  Digestion proteins are required to obtain nutrition and energy for everybody, but abundance of those proteins is very dissimilar.  For example, average spectral counts of digestion related proteins, assigned to digestion (GO:0007586), is 24.2904 in 174c while it is 289.1341 in 196N.  The fold change between 174c and 196N is more than 10.  Since cytoskeleton proteins including keratins, tubulins, actins and myosins are significantly and differentially detected in the fecal proteomes, cytoskeleton (GO:0005856), protein complex subunit organization (GO:0071822) and muscle contraction (GO:0006936) are enriched with remarkable FDR (FDR &lt; 1.91E-12) (Table 17). </w:t>
      </w:r>
      <w:r w:rsidR="000F079C">
        <w:br w:type="page"/>
      </w:r>
    </w:p>
    <w:p w14:paraId="56776C86" w14:textId="457BAB9C" w:rsidR="00BA78D9" w:rsidRPr="00BA78D9" w:rsidRDefault="00BA78D9" w:rsidP="00BA78D9">
      <w:pPr>
        <w:pStyle w:val="Caption"/>
        <w:keepNext/>
        <w:rPr>
          <w:b w:val="0"/>
        </w:rPr>
      </w:pPr>
      <w:bookmarkStart w:id="98" w:name="_Toc296333089"/>
      <w:r>
        <w:lastRenderedPageBreak/>
        <w:t xml:space="preserve">Table </w:t>
      </w:r>
      <w:fldSimple w:instr=" SEQ Table \* ARABIC ">
        <w:r w:rsidR="0093776B">
          <w:rPr>
            <w:noProof/>
          </w:rPr>
          <w:t>17</w:t>
        </w:r>
      </w:fldSimple>
      <w:r>
        <w:t xml:space="preserve"> Significantly varied GO terms in human fecal proteins. </w:t>
      </w:r>
      <w:r>
        <w:rPr>
          <w:b w:val="0"/>
        </w:rPr>
        <w:t xml:space="preserve">FDR: FDR-adjusted enrichment test and # of </w:t>
      </w:r>
      <w:r w:rsidR="00E830AD">
        <w:rPr>
          <w:b w:val="0"/>
        </w:rPr>
        <w:t>prot</w:t>
      </w:r>
      <w:r>
        <w:rPr>
          <w:b w:val="0"/>
        </w:rPr>
        <w:t>: the number of member proteins.</w:t>
      </w:r>
      <w:bookmarkEnd w:id="98"/>
    </w:p>
    <w:tbl>
      <w:tblPr>
        <w:tblW w:w="8658" w:type="dxa"/>
        <w:tblLayout w:type="fixed"/>
        <w:tblLook w:val="04A0" w:firstRow="1" w:lastRow="0" w:firstColumn="1" w:lastColumn="0" w:noHBand="0" w:noVBand="1"/>
      </w:tblPr>
      <w:tblGrid>
        <w:gridCol w:w="1188"/>
        <w:gridCol w:w="2041"/>
        <w:gridCol w:w="1199"/>
        <w:gridCol w:w="1170"/>
        <w:gridCol w:w="630"/>
        <w:gridCol w:w="1080"/>
        <w:gridCol w:w="1350"/>
      </w:tblGrid>
      <w:tr w:rsidR="00E830AD" w:rsidRPr="00E830AD" w14:paraId="33FEE02C" w14:textId="77777777" w:rsidTr="00E830AD">
        <w:trPr>
          <w:trHeight w:val="300"/>
        </w:trPr>
        <w:tc>
          <w:tcPr>
            <w:tcW w:w="1188" w:type="dxa"/>
            <w:noWrap/>
            <w:hideMark/>
          </w:tcPr>
          <w:p w14:paraId="7013D0E7" w14:textId="77777777" w:rsidR="00E830AD" w:rsidRPr="00E830AD" w:rsidRDefault="00E830AD" w:rsidP="00BA78D9">
            <w:pPr>
              <w:jc w:val="center"/>
              <w:rPr>
                <w:rFonts w:eastAsia="Times New Roman" w:cs="Arial"/>
                <w:bCs/>
                <w:color w:val="000000"/>
              </w:rPr>
            </w:pPr>
            <w:r w:rsidRPr="00E830AD">
              <w:rPr>
                <w:rFonts w:eastAsia="Times New Roman" w:cs="Arial"/>
                <w:bCs/>
                <w:color w:val="000000"/>
              </w:rPr>
              <w:t>BS ID</w:t>
            </w:r>
          </w:p>
        </w:tc>
        <w:tc>
          <w:tcPr>
            <w:tcW w:w="2041" w:type="dxa"/>
            <w:noWrap/>
            <w:hideMark/>
          </w:tcPr>
          <w:p w14:paraId="43421A6A" w14:textId="77777777" w:rsidR="00E830AD" w:rsidRPr="00E830AD" w:rsidRDefault="00E830AD" w:rsidP="00BA78D9">
            <w:pPr>
              <w:jc w:val="center"/>
              <w:rPr>
                <w:rFonts w:eastAsia="Times New Roman" w:cs="Arial"/>
                <w:bCs/>
                <w:color w:val="000000"/>
              </w:rPr>
            </w:pPr>
            <w:r w:rsidRPr="00E830AD">
              <w:rPr>
                <w:rFonts w:eastAsia="Times New Roman" w:cs="Arial"/>
                <w:bCs/>
                <w:color w:val="000000"/>
              </w:rPr>
              <w:t>Description</w:t>
            </w:r>
          </w:p>
        </w:tc>
        <w:tc>
          <w:tcPr>
            <w:tcW w:w="1199" w:type="dxa"/>
            <w:noWrap/>
            <w:hideMark/>
          </w:tcPr>
          <w:p w14:paraId="59FC2EF2" w14:textId="075ABCE4" w:rsidR="00E830AD" w:rsidRPr="00E830AD" w:rsidRDefault="00E830AD" w:rsidP="00BA78D9">
            <w:pPr>
              <w:jc w:val="center"/>
              <w:rPr>
                <w:rFonts w:eastAsia="Times New Roman" w:cs="Arial"/>
                <w:bCs/>
                <w:color w:val="000000"/>
              </w:rPr>
            </w:pPr>
            <w:r w:rsidRPr="00E830AD">
              <w:rPr>
                <w:rFonts w:eastAsia="Times New Roman" w:cs="Arial"/>
                <w:bCs/>
                <w:color w:val="000000"/>
              </w:rPr>
              <w:t>Enrich. FDR</w:t>
            </w:r>
          </w:p>
        </w:tc>
        <w:tc>
          <w:tcPr>
            <w:tcW w:w="1170" w:type="dxa"/>
            <w:noWrap/>
            <w:hideMark/>
          </w:tcPr>
          <w:p w14:paraId="3AA1DCF8" w14:textId="7813F8E2" w:rsidR="00E830AD" w:rsidRPr="00E830AD" w:rsidRDefault="00E830AD" w:rsidP="00BA78D9">
            <w:pPr>
              <w:jc w:val="center"/>
              <w:rPr>
                <w:rFonts w:eastAsia="Times New Roman" w:cs="Arial"/>
                <w:bCs/>
                <w:color w:val="000000"/>
              </w:rPr>
            </w:pPr>
            <w:r w:rsidRPr="00E830AD">
              <w:rPr>
                <w:rFonts w:eastAsia="Times New Roman" w:cs="Arial"/>
                <w:bCs/>
                <w:color w:val="000000"/>
              </w:rPr>
              <w:t>GO ID</w:t>
            </w:r>
          </w:p>
        </w:tc>
        <w:tc>
          <w:tcPr>
            <w:tcW w:w="630" w:type="dxa"/>
            <w:noWrap/>
            <w:hideMark/>
          </w:tcPr>
          <w:p w14:paraId="160D2CF7" w14:textId="1583272B" w:rsidR="00E830AD" w:rsidRPr="00E830AD" w:rsidRDefault="00E830AD" w:rsidP="00E830AD">
            <w:pPr>
              <w:jc w:val="center"/>
              <w:rPr>
                <w:rFonts w:eastAsia="Times New Roman" w:cs="Arial"/>
                <w:bCs/>
                <w:color w:val="000000"/>
              </w:rPr>
            </w:pPr>
            <w:r w:rsidRPr="00E830AD">
              <w:rPr>
                <w:rFonts w:eastAsia="Times New Roman" w:cs="Arial"/>
                <w:bCs/>
                <w:color w:val="000000"/>
              </w:rPr>
              <w:t xml:space="preserve"># of  </w:t>
            </w:r>
            <w:r>
              <w:rPr>
                <w:rFonts w:eastAsia="Times New Roman" w:cs="Arial"/>
                <w:bCs/>
                <w:color w:val="000000"/>
              </w:rPr>
              <w:t>prot</w:t>
            </w:r>
          </w:p>
        </w:tc>
        <w:tc>
          <w:tcPr>
            <w:tcW w:w="1080" w:type="dxa"/>
            <w:noWrap/>
            <w:hideMark/>
          </w:tcPr>
          <w:p w14:paraId="1282AF50" w14:textId="5B66C93F" w:rsidR="00E830AD" w:rsidRPr="00E830AD" w:rsidRDefault="00E830AD" w:rsidP="00BA78D9">
            <w:pPr>
              <w:jc w:val="center"/>
              <w:rPr>
                <w:rFonts w:eastAsia="Times New Roman" w:cs="Arial"/>
                <w:bCs/>
                <w:color w:val="000000"/>
              </w:rPr>
            </w:pPr>
            <w:r w:rsidRPr="00E830AD">
              <w:rPr>
                <w:rFonts w:eastAsia="Times New Roman" w:cs="Arial"/>
                <w:bCs/>
                <w:color w:val="000000"/>
              </w:rPr>
              <w:t xml:space="preserve">Cohen’s </w:t>
            </w:r>
            <w:r w:rsidRPr="00E830AD">
              <w:rPr>
                <w:rFonts w:eastAsia="Times New Roman" w:cs="Arial"/>
                <w:bCs/>
                <w:i/>
                <w:color w:val="000000"/>
              </w:rPr>
              <w:t>f</w:t>
            </w:r>
          </w:p>
        </w:tc>
        <w:tc>
          <w:tcPr>
            <w:tcW w:w="1350" w:type="dxa"/>
            <w:noWrap/>
            <w:hideMark/>
          </w:tcPr>
          <w:p w14:paraId="114359FE" w14:textId="77777777" w:rsidR="00E830AD" w:rsidRPr="00E830AD" w:rsidRDefault="00E830AD" w:rsidP="00BA78D9">
            <w:pPr>
              <w:jc w:val="center"/>
              <w:rPr>
                <w:rFonts w:eastAsia="Times New Roman" w:cs="Arial"/>
                <w:bCs/>
                <w:color w:val="000000"/>
              </w:rPr>
            </w:pPr>
            <w:r w:rsidRPr="00E830AD">
              <w:rPr>
                <w:rFonts w:eastAsia="Times New Roman" w:cs="Arial"/>
                <w:bCs/>
                <w:color w:val="000000"/>
              </w:rPr>
              <w:t xml:space="preserve">QP </w:t>
            </w:r>
          </w:p>
          <w:p w14:paraId="3A8C50A7" w14:textId="5FE03286" w:rsidR="00E830AD" w:rsidRPr="00E830AD" w:rsidRDefault="00E830AD" w:rsidP="00BA78D9">
            <w:pPr>
              <w:jc w:val="center"/>
              <w:rPr>
                <w:rFonts w:eastAsia="Times New Roman" w:cs="Arial"/>
                <w:bCs/>
                <w:color w:val="000000"/>
              </w:rPr>
            </w:pPr>
            <w:r w:rsidRPr="00E830AD">
              <w:rPr>
                <w:rFonts w:eastAsia="Times New Roman" w:cs="Arial"/>
                <w:bCs/>
                <w:color w:val="000000"/>
              </w:rPr>
              <w:t>FDR</w:t>
            </w:r>
          </w:p>
        </w:tc>
      </w:tr>
      <w:tr w:rsidR="00E830AD" w:rsidRPr="00E830AD" w14:paraId="51C75584" w14:textId="77777777" w:rsidTr="00E830AD">
        <w:trPr>
          <w:trHeight w:val="300"/>
        </w:trPr>
        <w:tc>
          <w:tcPr>
            <w:tcW w:w="1188" w:type="dxa"/>
            <w:noWrap/>
            <w:hideMark/>
          </w:tcPr>
          <w:p w14:paraId="53EAD917" w14:textId="5DB8C07D" w:rsidR="00E830AD" w:rsidRPr="00E830AD" w:rsidRDefault="00E830AD" w:rsidP="00BA78D9">
            <w:pPr>
              <w:jc w:val="right"/>
              <w:rPr>
                <w:rFonts w:eastAsia="Times New Roman" w:cs="Arial"/>
                <w:color w:val="000000"/>
              </w:rPr>
            </w:pPr>
            <w:r w:rsidRPr="00E830AD">
              <w:rPr>
                <w:rFonts w:eastAsia="Times New Roman" w:cs="Arial"/>
                <w:color w:val="000000"/>
              </w:rPr>
              <w:t>515001</w:t>
            </w:r>
          </w:p>
        </w:tc>
        <w:tc>
          <w:tcPr>
            <w:tcW w:w="2041" w:type="dxa"/>
            <w:noWrap/>
            <w:hideMark/>
          </w:tcPr>
          <w:p w14:paraId="739730C7" w14:textId="3A2144ED" w:rsidR="00E830AD" w:rsidRPr="00E830AD" w:rsidRDefault="00E830AD" w:rsidP="00BA78D9">
            <w:pPr>
              <w:jc w:val="left"/>
              <w:rPr>
                <w:rFonts w:eastAsia="Times New Roman" w:cs="Arial"/>
                <w:color w:val="000000"/>
              </w:rPr>
            </w:pPr>
            <w:r w:rsidRPr="00E830AD">
              <w:rPr>
                <w:rFonts w:eastAsia="Times New Roman" w:cs="Arial"/>
                <w:color w:val="000000"/>
              </w:rPr>
              <w:t>Extracellular exosome</w:t>
            </w:r>
          </w:p>
        </w:tc>
        <w:tc>
          <w:tcPr>
            <w:tcW w:w="1199" w:type="dxa"/>
            <w:noWrap/>
            <w:hideMark/>
          </w:tcPr>
          <w:p w14:paraId="0A3731F1" w14:textId="77777777" w:rsidR="00E830AD" w:rsidRPr="00E830AD" w:rsidRDefault="00E830AD" w:rsidP="00BA78D9">
            <w:pPr>
              <w:jc w:val="right"/>
              <w:rPr>
                <w:rFonts w:eastAsia="Times New Roman" w:cs="Arial"/>
                <w:color w:val="000000"/>
              </w:rPr>
            </w:pPr>
            <w:r w:rsidRPr="00E830AD">
              <w:rPr>
                <w:rFonts w:eastAsia="Times New Roman" w:cs="Arial"/>
                <w:color w:val="000000"/>
              </w:rPr>
              <w:t>3.91E-98</w:t>
            </w:r>
          </w:p>
        </w:tc>
        <w:tc>
          <w:tcPr>
            <w:tcW w:w="1170" w:type="dxa"/>
            <w:noWrap/>
            <w:hideMark/>
          </w:tcPr>
          <w:p w14:paraId="0283908B" w14:textId="36FF22EF" w:rsidR="00E830AD" w:rsidRPr="00E830AD" w:rsidRDefault="00E830AD" w:rsidP="00BA78D9">
            <w:pPr>
              <w:jc w:val="left"/>
              <w:rPr>
                <w:rFonts w:eastAsia="Times New Roman" w:cs="Arial"/>
                <w:color w:val="000000"/>
              </w:rPr>
            </w:pPr>
            <w:r w:rsidRPr="00E830AD">
              <w:rPr>
                <w:rFonts w:eastAsia="Times New Roman" w:cs="Arial"/>
                <w:color w:val="000000"/>
              </w:rPr>
              <w:t>0070062</w:t>
            </w:r>
          </w:p>
        </w:tc>
        <w:tc>
          <w:tcPr>
            <w:tcW w:w="630" w:type="dxa"/>
            <w:noWrap/>
            <w:hideMark/>
          </w:tcPr>
          <w:p w14:paraId="7B8D570D" w14:textId="77777777" w:rsidR="00E830AD" w:rsidRPr="00E830AD" w:rsidRDefault="00E830AD" w:rsidP="00BA78D9">
            <w:pPr>
              <w:jc w:val="right"/>
              <w:rPr>
                <w:rFonts w:eastAsia="Times New Roman" w:cs="Arial"/>
                <w:color w:val="000000"/>
              </w:rPr>
            </w:pPr>
            <w:r w:rsidRPr="00E830AD">
              <w:rPr>
                <w:rFonts w:eastAsia="Times New Roman" w:cs="Arial"/>
                <w:color w:val="000000"/>
              </w:rPr>
              <w:t>691</w:t>
            </w:r>
          </w:p>
        </w:tc>
        <w:tc>
          <w:tcPr>
            <w:tcW w:w="1080" w:type="dxa"/>
            <w:noWrap/>
            <w:hideMark/>
          </w:tcPr>
          <w:p w14:paraId="78517C3B" w14:textId="77777777" w:rsidR="00E830AD" w:rsidRPr="00E830AD" w:rsidRDefault="00E830AD" w:rsidP="00BA78D9">
            <w:pPr>
              <w:jc w:val="right"/>
              <w:rPr>
                <w:rFonts w:eastAsia="Times New Roman" w:cs="Arial"/>
                <w:color w:val="000000"/>
              </w:rPr>
            </w:pPr>
            <w:r w:rsidRPr="00E830AD">
              <w:rPr>
                <w:rFonts w:eastAsia="Times New Roman" w:cs="Arial"/>
                <w:color w:val="000000"/>
              </w:rPr>
              <w:t>4.4624</w:t>
            </w:r>
          </w:p>
        </w:tc>
        <w:tc>
          <w:tcPr>
            <w:tcW w:w="1350" w:type="dxa"/>
            <w:noWrap/>
            <w:hideMark/>
          </w:tcPr>
          <w:p w14:paraId="6917D15A" w14:textId="77777777" w:rsidR="00E830AD" w:rsidRPr="00E830AD" w:rsidRDefault="00E830AD" w:rsidP="00BA78D9">
            <w:pPr>
              <w:jc w:val="right"/>
              <w:rPr>
                <w:rFonts w:eastAsia="Times New Roman" w:cs="Arial"/>
                <w:color w:val="000000"/>
              </w:rPr>
            </w:pPr>
            <w:r w:rsidRPr="00E830AD">
              <w:rPr>
                <w:rFonts w:eastAsia="Times New Roman" w:cs="Arial"/>
                <w:color w:val="000000"/>
              </w:rPr>
              <w:t>3.29E-10</w:t>
            </w:r>
          </w:p>
        </w:tc>
      </w:tr>
      <w:tr w:rsidR="00E830AD" w:rsidRPr="00E830AD" w14:paraId="077CC290" w14:textId="77777777" w:rsidTr="00E830AD">
        <w:trPr>
          <w:trHeight w:val="300"/>
        </w:trPr>
        <w:tc>
          <w:tcPr>
            <w:tcW w:w="1188" w:type="dxa"/>
            <w:noWrap/>
            <w:hideMark/>
          </w:tcPr>
          <w:p w14:paraId="67289167" w14:textId="77777777" w:rsidR="00E830AD" w:rsidRPr="00E830AD" w:rsidRDefault="00E830AD" w:rsidP="00BA78D9">
            <w:pPr>
              <w:jc w:val="right"/>
              <w:rPr>
                <w:rFonts w:eastAsia="Times New Roman" w:cs="Arial"/>
                <w:color w:val="000000"/>
              </w:rPr>
            </w:pPr>
            <w:r w:rsidRPr="00E830AD">
              <w:rPr>
                <w:rFonts w:eastAsia="Times New Roman" w:cs="Arial"/>
                <w:color w:val="000000"/>
              </w:rPr>
              <w:t>514941</w:t>
            </w:r>
          </w:p>
        </w:tc>
        <w:tc>
          <w:tcPr>
            <w:tcW w:w="2041" w:type="dxa"/>
            <w:noWrap/>
            <w:hideMark/>
          </w:tcPr>
          <w:p w14:paraId="1A5EFE34" w14:textId="17170A8E" w:rsidR="00E830AD" w:rsidRPr="00E830AD" w:rsidRDefault="00E830AD" w:rsidP="00BA78D9">
            <w:pPr>
              <w:jc w:val="left"/>
              <w:rPr>
                <w:rFonts w:eastAsia="Times New Roman" w:cs="Arial"/>
                <w:color w:val="000000"/>
              </w:rPr>
            </w:pPr>
            <w:r w:rsidRPr="00E830AD">
              <w:rPr>
                <w:rFonts w:eastAsia="Times New Roman" w:cs="Arial"/>
                <w:color w:val="000000"/>
              </w:rPr>
              <w:t>Extracellular membrane-bounded organelle</w:t>
            </w:r>
          </w:p>
        </w:tc>
        <w:tc>
          <w:tcPr>
            <w:tcW w:w="1199" w:type="dxa"/>
            <w:noWrap/>
            <w:hideMark/>
          </w:tcPr>
          <w:p w14:paraId="494AC5F1" w14:textId="77777777" w:rsidR="00E830AD" w:rsidRPr="00E830AD" w:rsidRDefault="00E830AD" w:rsidP="00BA78D9">
            <w:pPr>
              <w:jc w:val="right"/>
              <w:rPr>
                <w:rFonts w:eastAsia="Times New Roman" w:cs="Arial"/>
                <w:color w:val="000000"/>
              </w:rPr>
            </w:pPr>
            <w:r w:rsidRPr="00E830AD">
              <w:rPr>
                <w:rFonts w:eastAsia="Times New Roman" w:cs="Arial"/>
                <w:color w:val="000000"/>
              </w:rPr>
              <w:t>3.91E-98</w:t>
            </w:r>
          </w:p>
        </w:tc>
        <w:tc>
          <w:tcPr>
            <w:tcW w:w="1170" w:type="dxa"/>
            <w:noWrap/>
            <w:hideMark/>
          </w:tcPr>
          <w:p w14:paraId="5498791A" w14:textId="74EC0602" w:rsidR="00E830AD" w:rsidRPr="00E830AD" w:rsidRDefault="00E830AD" w:rsidP="00BA78D9">
            <w:pPr>
              <w:jc w:val="left"/>
              <w:rPr>
                <w:rFonts w:eastAsia="Times New Roman" w:cs="Arial"/>
                <w:color w:val="000000"/>
              </w:rPr>
            </w:pPr>
            <w:r w:rsidRPr="00E830AD">
              <w:rPr>
                <w:rFonts w:eastAsia="Times New Roman" w:cs="Arial"/>
                <w:color w:val="000000"/>
              </w:rPr>
              <w:t>0065010</w:t>
            </w:r>
          </w:p>
        </w:tc>
        <w:tc>
          <w:tcPr>
            <w:tcW w:w="630" w:type="dxa"/>
            <w:noWrap/>
            <w:hideMark/>
          </w:tcPr>
          <w:p w14:paraId="34C915B2" w14:textId="77777777" w:rsidR="00E830AD" w:rsidRPr="00E830AD" w:rsidRDefault="00E830AD" w:rsidP="00BA78D9">
            <w:pPr>
              <w:jc w:val="right"/>
              <w:rPr>
                <w:rFonts w:eastAsia="Times New Roman" w:cs="Arial"/>
                <w:color w:val="000000"/>
              </w:rPr>
            </w:pPr>
            <w:r w:rsidRPr="00E830AD">
              <w:rPr>
                <w:rFonts w:eastAsia="Times New Roman" w:cs="Arial"/>
                <w:color w:val="000000"/>
              </w:rPr>
              <w:t>691</w:t>
            </w:r>
          </w:p>
        </w:tc>
        <w:tc>
          <w:tcPr>
            <w:tcW w:w="1080" w:type="dxa"/>
            <w:noWrap/>
            <w:hideMark/>
          </w:tcPr>
          <w:p w14:paraId="21521C44" w14:textId="77777777" w:rsidR="00E830AD" w:rsidRPr="00E830AD" w:rsidRDefault="00E830AD" w:rsidP="00BA78D9">
            <w:pPr>
              <w:jc w:val="right"/>
              <w:rPr>
                <w:rFonts w:eastAsia="Times New Roman" w:cs="Arial"/>
                <w:color w:val="000000"/>
              </w:rPr>
            </w:pPr>
            <w:r w:rsidRPr="00E830AD">
              <w:rPr>
                <w:rFonts w:eastAsia="Times New Roman" w:cs="Arial"/>
                <w:color w:val="000000"/>
              </w:rPr>
              <w:t>4.4624</w:t>
            </w:r>
          </w:p>
        </w:tc>
        <w:tc>
          <w:tcPr>
            <w:tcW w:w="1350" w:type="dxa"/>
            <w:noWrap/>
            <w:hideMark/>
          </w:tcPr>
          <w:p w14:paraId="661324EF" w14:textId="77777777" w:rsidR="00E830AD" w:rsidRPr="00E830AD" w:rsidRDefault="00E830AD" w:rsidP="00BA78D9">
            <w:pPr>
              <w:jc w:val="right"/>
              <w:rPr>
                <w:rFonts w:eastAsia="Times New Roman" w:cs="Arial"/>
                <w:color w:val="000000"/>
              </w:rPr>
            </w:pPr>
            <w:r w:rsidRPr="00E830AD">
              <w:rPr>
                <w:rFonts w:eastAsia="Times New Roman" w:cs="Arial"/>
                <w:color w:val="000000"/>
              </w:rPr>
              <w:t>3.29E-10</w:t>
            </w:r>
          </w:p>
        </w:tc>
      </w:tr>
      <w:tr w:rsidR="00E830AD" w:rsidRPr="00E830AD" w14:paraId="3AAFE668" w14:textId="77777777" w:rsidTr="00E830AD">
        <w:trPr>
          <w:trHeight w:val="300"/>
        </w:trPr>
        <w:tc>
          <w:tcPr>
            <w:tcW w:w="1188" w:type="dxa"/>
            <w:noWrap/>
            <w:hideMark/>
          </w:tcPr>
          <w:p w14:paraId="5840CAB4" w14:textId="77777777" w:rsidR="00E830AD" w:rsidRPr="00E830AD" w:rsidRDefault="00E830AD" w:rsidP="00BA78D9">
            <w:pPr>
              <w:jc w:val="right"/>
              <w:rPr>
                <w:rFonts w:eastAsia="Times New Roman" w:cs="Arial"/>
                <w:color w:val="000000"/>
              </w:rPr>
            </w:pPr>
            <w:r w:rsidRPr="00E830AD">
              <w:rPr>
                <w:rFonts w:eastAsia="Times New Roman" w:cs="Arial"/>
                <w:color w:val="000000"/>
              </w:rPr>
              <w:t>1129387</w:t>
            </w:r>
          </w:p>
        </w:tc>
        <w:tc>
          <w:tcPr>
            <w:tcW w:w="2041" w:type="dxa"/>
            <w:noWrap/>
            <w:hideMark/>
          </w:tcPr>
          <w:p w14:paraId="48AD44AA" w14:textId="1C24F4D9" w:rsidR="00E830AD" w:rsidRPr="00E830AD" w:rsidRDefault="00E830AD" w:rsidP="00BA78D9">
            <w:pPr>
              <w:jc w:val="left"/>
              <w:rPr>
                <w:rFonts w:eastAsia="Times New Roman" w:cs="Arial"/>
                <w:color w:val="000000"/>
              </w:rPr>
            </w:pPr>
            <w:r w:rsidRPr="00E830AD">
              <w:rPr>
                <w:rFonts w:eastAsia="Times New Roman" w:cs="Arial"/>
                <w:color w:val="000000"/>
              </w:rPr>
              <w:t>Extracellular vesicle</w:t>
            </w:r>
          </w:p>
        </w:tc>
        <w:tc>
          <w:tcPr>
            <w:tcW w:w="1199" w:type="dxa"/>
            <w:noWrap/>
            <w:hideMark/>
          </w:tcPr>
          <w:p w14:paraId="3A300F77" w14:textId="77777777" w:rsidR="00E830AD" w:rsidRPr="00E830AD" w:rsidRDefault="00E830AD" w:rsidP="00BA78D9">
            <w:pPr>
              <w:jc w:val="right"/>
              <w:rPr>
                <w:rFonts w:eastAsia="Times New Roman" w:cs="Arial"/>
                <w:color w:val="000000"/>
              </w:rPr>
            </w:pPr>
            <w:r w:rsidRPr="00E830AD">
              <w:rPr>
                <w:rFonts w:eastAsia="Times New Roman" w:cs="Arial"/>
                <w:color w:val="000000"/>
              </w:rPr>
              <w:t>1.17E-97</w:t>
            </w:r>
          </w:p>
        </w:tc>
        <w:tc>
          <w:tcPr>
            <w:tcW w:w="1170" w:type="dxa"/>
            <w:noWrap/>
            <w:hideMark/>
          </w:tcPr>
          <w:p w14:paraId="60CE1CAC" w14:textId="705F2A61" w:rsidR="00E830AD" w:rsidRPr="00E830AD" w:rsidRDefault="00E830AD" w:rsidP="00BA78D9">
            <w:pPr>
              <w:jc w:val="left"/>
              <w:rPr>
                <w:rFonts w:eastAsia="Times New Roman" w:cs="Arial"/>
                <w:color w:val="000000"/>
              </w:rPr>
            </w:pPr>
            <w:r w:rsidRPr="00E830AD">
              <w:rPr>
                <w:rFonts w:eastAsia="Times New Roman" w:cs="Arial"/>
                <w:color w:val="000000"/>
              </w:rPr>
              <w:t>1903561</w:t>
            </w:r>
          </w:p>
        </w:tc>
        <w:tc>
          <w:tcPr>
            <w:tcW w:w="630" w:type="dxa"/>
            <w:noWrap/>
            <w:hideMark/>
          </w:tcPr>
          <w:p w14:paraId="4874CEE1" w14:textId="77777777" w:rsidR="00E830AD" w:rsidRPr="00E830AD" w:rsidRDefault="00E830AD" w:rsidP="00BA78D9">
            <w:pPr>
              <w:jc w:val="right"/>
              <w:rPr>
                <w:rFonts w:eastAsia="Times New Roman" w:cs="Arial"/>
                <w:color w:val="000000"/>
              </w:rPr>
            </w:pPr>
            <w:r w:rsidRPr="00E830AD">
              <w:rPr>
                <w:rFonts w:eastAsia="Times New Roman" w:cs="Arial"/>
                <w:color w:val="000000"/>
              </w:rPr>
              <w:t>691</w:t>
            </w:r>
          </w:p>
        </w:tc>
        <w:tc>
          <w:tcPr>
            <w:tcW w:w="1080" w:type="dxa"/>
            <w:noWrap/>
            <w:hideMark/>
          </w:tcPr>
          <w:p w14:paraId="4431675A" w14:textId="77777777" w:rsidR="00E830AD" w:rsidRPr="00E830AD" w:rsidRDefault="00E830AD" w:rsidP="00BA78D9">
            <w:pPr>
              <w:jc w:val="right"/>
              <w:rPr>
                <w:rFonts w:eastAsia="Times New Roman" w:cs="Arial"/>
                <w:color w:val="000000"/>
              </w:rPr>
            </w:pPr>
            <w:r w:rsidRPr="00E830AD">
              <w:rPr>
                <w:rFonts w:eastAsia="Times New Roman" w:cs="Arial"/>
                <w:color w:val="000000"/>
              </w:rPr>
              <w:t>4.4624</w:t>
            </w:r>
          </w:p>
        </w:tc>
        <w:tc>
          <w:tcPr>
            <w:tcW w:w="1350" w:type="dxa"/>
            <w:noWrap/>
            <w:hideMark/>
          </w:tcPr>
          <w:p w14:paraId="3656CAD4" w14:textId="77777777" w:rsidR="00E830AD" w:rsidRPr="00E830AD" w:rsidRDefault="00E830AD" w:rsidP="00BA78D9">
            <w:pPr>
              <w:jc w:val="right"/>
              <w:rPr>
                <w:rFonts w:eastAsia="Times New Roman" w:cs="Arial"/>
                <w:color w:val="000000"/>
              </w:rPr>
            </w:pPr>
            <w:r w:rsidRPr="00E830AD">
              <w:rPr>
                <w:rFonts w:eastAsia="Times New Roman" w:cs="Arial"/>
                <w:color w:val="000000"/>
              </w:rPr>
              <w:t>3.29E-10</w:t>
            </w:r>
          </w:p>
        </w:tc>
      </w:tr>
      <w:tr w:rsidR="00E830AD" w:rsidRPr="00E830AD" w14:paraId="5524D3F0" w14:textId="77777777" w:rsidTr="00E830AD">
        <w:trPr>
          <w:trHeight w:val="300"/>
        </w:trPr>
        <w:tc>
          <w:tcPr>
            <w:tcW w:w="1188" w:type="dxa"/>
            <w:noWrap/>
            <w:hideMark/>
          </w:tcPr>
          <w:p w14:paraId="0926F0E3" w14:textId="77777777" w:rsidR="00E830AD" w:rsidRPr="00E830AD" w:rsidRDefault="00E830AD" w:rsidP="00BA78D9">
            <w:pPr>
              <w:jc w:val="right"/>
              <w:rPr>
                <w:rFonts w:eastAsia="Times New Roman" w:cs="Arial"/>
                <w:color w:val="000000"/>
              </w:rPr>
            </w:pPr>
            <w:r w:rsidRPr="00E830AD">
              <w:rPr>
                <w:rFonts w:eastAsia="Times New Roman" w:cs="Arial"/>
                <w:color w:val="000000"/>
              </w:rPr>
              <w:t>506297</w:t>
            </w:r>
          </w:p>
        </w:tc>
        <w:tc>
          <w:tcPr>
            <w:tcW w:w="2041" w:type="dxa"/>
            <w:noWrap/>
            <w:hideMark/>
          </w:tcPr>
          <w:p w14:paraId="35F3E46B" w14:textId="1FD4FF2A" w:rsidR="00E830AD" w:rsidRPr="00E830AD" w:rsidRDefault="00E830AD" w:rsidP="00BA78D9">
            <w:pPr>
              <w:jc w:val="left"/>
              <w:rPr>
                <w:rFonts w:eastAsia="Times New Roman" w:cs="Arial"/>
                <w:color w:val="000000"/>
              </w:rPr>
            </w:pPr>
            <w:r w:rsidRPr="00E830AD">
              <w:rPr>
                <w:rFonts w:eastAsia="Times New Roman" w:cs="Arial"/>
                <w:color w:val="000000"/>
              </w:rPr>
              <w:t>Extracellular organelle</w:t>
            </w:r>
          </w:p>
        </w:tc>
        <w:tc>
          <w:tcPr>
            <w:tcW w:w="1199" w:type="dxa"/>
            <w:noWrap/>
            <w:hideMark/>
          </w:tcPr>
          <w:p w14:paraId="688EC04C" w14:textId="77777777" w:rsidR="00E830AD" w:rsidRPr="00E830AD" w:rsidRDefault="00E830AD" w:rsidP="00BA78D9">
            <w:pPr>
              <w:jc w:val="right"/>
              <w:rPr>
                <w:rFonts w:eastAsia="Times New Roman" w:cs="Arial"/>
                <w:color w:val="000000"/>
              </w:rPr>
            </w:pPr>
            <w:r w:rsidRPr="00E830AD">
              <w:rPr>
                <w:rFonts w:eastAsia="Times New Roman" w:cs="Arial"/>
                <w:color w:val="000000"/>
              </w:rPr>
              <w:t>1.17E-97</w:t>
            </w:r>
          </w:p>
        </w:tc>
        <w:tc>
          <w:tcPr>
            <w:tcW w:w="1170" w:type="dxa"/>
            <w:noWrap/>
            <w:hideMark/>
          </w:tcPr>
          <w:p w14:paraId="4774253C" w14:textId="0DE9C693" w:rsidR="00E830AD" w:rsidRPr="00E830AD" w:rsidRDefault="00E830AD" w:rsidP="00BA78D9">
            <w:pPr>
              <w:jc w:val="left"/>
              <w:rPr>
                <w:rFonts w:eastAsia="Times New Roman" w:cs="Arial"/>
                <w:color w:val="000000"/>
              </w:rPr>
            </w:pPr>
            <w:r w:rsidRPr="00E830AD">
              <w:rPr>
                <w:rFonts w:eastAsia="Times New Roman" w:cs="Arial"/>
                <w:color w:val="000000"/>
              </w:rPr>
              <w:t>0043230</w:t>
            </w:r>
          </w:p>
        </w:tc>
        <w:tc>
          <w:tcPr>
            <w:tcW w:w="630" w:type="dxa"/>
            <w:noWrap/>
            <w:hideMark/>
          </w:tcPr>
          <w:p w14:paraId="25DF171C" w14:textId="77777777" w:rsidR="00E830AD" w:rsidRPr="00E830AD" w:rsidRDefault="00E830AD" w:rsidP="00BA78D9">
            <w:pPr>
              <w:jc w:val="right"/>
              <w:rPr>
                <w:rFonts w:eastAsia="Times New Roman" w:cs="Arial"/>
                <w:color w:val="000000"/>
              </w:rPr>
            </w:pPr>
            <w:r w:rsidRPr="00E830AD">
              <w:rPr>
                <w:rFonts w:eastAsia="Times New Roman" w:cs="Arial"/>
                <w:color w:val="000000"/>
              </w:rPr>
              <w:t>691</w:t>
            </w:r>
          </w:p>
        </w:tc>
        <w:tc>
          <w:tcPr>
            <w:tcW w:w="1080" w:type="dxa"/>
            <w:noWrap/>
            <w:hideMark/>
          </w:tcPr>
          <w:p w14:paraId="7A866283" w14:textId="77777777" w:rsidR="00E830AD" w:rsidRPr="00E830AD" w:rsidRDefault="00E830AD" w:rsidP="00BA78D9">
            <w:pPr>
              <w:jc w:val="right"/>
              <w:rPr>
                <w:rFonts w:eastAsia="Times New Roman" w:cs="Arial"/>
                <w:color w:val="000000"/>
              </w:rPr>
            </w:pPr>
            <w:r w:rsidRPr="00E830AD">
              <w:rPr>
                <w:rFonts w:eastAsia="Times New Roman" w:cs="Arial"/>
                <w:color w:val="000000"/>
              </w:rPr>
              <w:t>4.4624</w:t>
            </w:r>
          </w:p>
        </w:tc>
        <w:tc>
          <w:tcPr>
            <w:tcW w:w="1350" w:type="dxa"/>
            <w:noWrap/>
            <w:hideMark/>
          </w:tcPr>
          <w:p w14:paraId="107E3786" w14:textId="77777777" w:rsidR="00E830AD" w:rsidRPr="00E830AD" w:rsidRDefault="00E830AD" w:rsidP="00BA78D9">
            <w:pPr>
              <w:jc w:val="right"/>
              <w:rPr>
                <w:rFonts w:eastAsia="Times New Roman" w:cs="Arial"/>
                <w:color w:val="000000"/>
              </w:rPr>
            </w:pPr>
            <w:r w:rsidRPr="00E830AD">
              <w:rPr>
                <w:rFonts w:eastAsia="Times New Roman" w:cs="Arial"/>
                <w:color w:val="000000"/>
              </w:rPr>
              <w:t>3.29E-10</w:t>
            </w:r>
          </w:p>
        </w:tc>
      </w:tr>
      <w:tr w:rsidR="00E830AD" w:rsidRPr="00E830AD" w14:paraId="113C33AC" w14:textId="77777777" w:rsidTr="00E830AD">
        <w:trPr>
          <w:trHeight w:val="300"/>
        </w:trPr>
        <w:tc>
          <w:tcPr>
            <w:tcW w:w="1188" w:type="dxa"/>
            <w:noWrap/>
            <w:hideMark/>
          </w:tcPr>
          <w:p w14:paraId="00E38A3D" w14:textId="77777777" w:rsidR="00E830AD" w:rsidRPr="00E830AD" w:rsidRDefault="00E830AD" w:rsidP="00BA78D9">
            <w:pPr>
              <w:jc w:val="right"/>
              <w:rPr>
                <w:rFonts w:eastAsia="Times New Roman" w:cs="Arial"/>
                <w:color w:val="000000"/>
              </w:rPr>
            </w:pPr>
            <w:r w:rsidRPr="00E830AD">
              <w:rPr>
                <w:rFonts w:eastAsia="Times New Roman" w:cs="Arial"/>
                <w:color w:val="000000"/>
              </w:rPr>
              <w:t>501226</w:t>
            </w:r>
          </w:p>
        </w:tc>
        <w:tc>
          <w:tcPr>
            <w:tcW w:w="2041" w:type="dxa"/>
            <w:noWrap/>
            <w:hideMark/>
          </w:tcPr>
          <w:p w14:paraId="343AF6CA" w14:textId="4464A266" w:rsidR="00E830AD" w:rsidRPr="00E830AD" w:rsidRDefault="00E830AD" w:rsidP="00BA78D9">
            <w:pPr>
              <w:jc w:val="left"/>
              <w:rPr>
                <w:rFonts w:eastAsia="Times New Roman" w:cs="Arial"/>
                <w:color w:val="000000"/>
              </w:rPr>
            </w:pPr>
            <w:r w:rsidRPr="00E830AD">
              <w:rPr>
                <w:rFonts w:eastAsia="Times New Roman" w:cs="Arial"/>
                <w:color w:val="000000"/>
              </w:rPr>
              <w:t>Membrane-bounded vesicle</w:t>
            </w:r>
          </w:p>
        </w:tc>
        <w:tc>
          <w:tcPr>
            <w:tcW w:w="1199" w:type="dxa"/>
            <w:noWrap/>
            <w:hideMark/>
          </w:tcPr>
          <w:p w14:paraId="551A78CD" w14:textId="77777777" w:rsidR="00E830AD" w:rsidRPr="00E830AD" w:rsidRDefault="00E830AD" w:rsidP="00BA78D9">
            <w:pPr>
              <w:jc w:val="right"/>
              <w:rPr>
                <w:rFonts w:eastAsia="Times New Roman" w:cs="Arial"/>
                <w:color w:val="000000"/>
              </w:rPr>
            </w:pPr>
            <w:r w:rsidRPr="00E830AD">
              <w:rPr>
                <w:rFonts w:eastAsia="Times New Roman" w:cs="Arial"/>
                <w:color w:val="000000"/>
              </w:rPr>
              <w:t>2.12E-87</w:t>
            </w:r>
          </w:p>
        </w:tc>
        <w:tc>
          <w:tcPr>
            <w:tcW w:w="1170" w:type="dxa"/>
            <w:noWrap/>
            <w:hideMark/>
          </w:tcPr>
          <w:p w14:paraId="73993882" w14:textId="42FDF369" w:rsidR="00E830AD" w:rsidRPr="00E830AD" w:rsidRDefault="00E830AD" w:rsidP="00BA78D9">
            <w:pPr>
              <w:jc w:val="left"/>
              <w:rPr>
                <w:rFonts w:eastAsia="Times New Roman" w:cs="Arial"/>
                <w:color w:val="000000"/>
              </w:rPr>
            </w:pPr>
            <w:r w:rsidRPr="00E830AD">
              <w:rPr>
                <w:rFonts w:eastAsia="Times New Roman" w:cs="Arial"/>
                <w:color w:val="000000"/>
              </w:rPr>
              <w:t>0031988</w:t>
            </w:r>
          </w:p>
        </w:tc>
        <w:tc>
          <w:tcPr>
            <w:tcW w:w="630" w:type="dxa"/>
            <w:noWrap/>
            <w:hideMark/>
          </w:tcPr>
          <w:p w14:paraId="7024A80D" w14:textId="77777777" w:rsidR="00E830AD" w:rsidRPr="00E830AD" w:rsidRDefault="00E830AD" w:rsidP="00BA78D9">
            <w:pPr>
              <w:jc w:val="right"/>
              <w:rPr>
                <w:rFonts w:eastAsia="Times New Roman" w:cs="Arial"/>
                <w:color w:val="000000"/>
              </w:rPr>
            </w:pPr>
            <w:r w:rsidRPr="00E830AD">
              <w:rPr>
                <w:rFonts w:eastAsia="Times New Roman" w:cs="Arial"/>
                <w:color w:val="000000"/>
              </w:rPr>
              <w:t>765</w:t>
            </w:r>
          </w:p>
        </w:tc>
        <w:tc>
          <w:tcPr>
            <w:tcW w:w="1080" w:type="dxa"/>
            <w:noWrap/>
            <w:hideMark/>
          </w:tcPr>
          <w:p w14:paraId="494FE246" w14:textId="77777777" w:rsidR="00E830AD" w:rsidRPr="00E830AD" w:rsidRDefault="00E830AD" w:rsidP="00BA78D9">
            <w:pPr>
              <w:jc w:val="right"/>
              <w:rPr>
                <w:rFonts w:eastAsia="Times New Roman" w:cs="Arial"/>
                <w:color w:val="000000"/>
              </w:rPr>
            </w:pPr>
            <w:r w:rsidRPr="00E830AD">
              <w:rPr>
                <w:rFonts w:eastAsia="Times New Roman" w:cs="Arial"/>
                <w:color w:val="000000"/>
              </w:rPr>
              <w:t>4.7401</w:t>
            </w:r>
          </w:p>
        </w:tc>
        <w:tc>
          <w:tcPr>
            <w:tcW w:w="1350" w:type="dxa"/>
            <w:noWrap/>
            <w:hideMark/>
          </w:tcPr>
          <w:p w14:paraId="18A87278" w14:textId="77777777" w:rsidR="00E830AD" w:rsidRPr="00E830AD" w:rsidRDefault="00E830AD" w:rsidP="00BA78D9">
            <w:pPr>
              <w:jc w:val="right"/>
              <w:rPr>
                <w:rFonts w:eastAsia="Times New Roman" w:cs="Arial"/>
                <w:color w:val="000000"/>
              </w:rPr>
            </w:pPr>
            <w:r w:rsidRPr="00E830AD">
              <w:rPr>
                <w:rFonts w:eastAsia="Times New Roman" w:cs="Arial"/>
                <w:color w:val="000000"/>
              </w:rPr>
              <w:t>1.66E-10</w:t>
            </w:r>
          </w:p>
        </w:tc>
      </w:tr>
      <w:tr w:rsidR="00E830AD" w:rsidRPr="00E830AD" w14:paraId="55FE8954" w14:textId="77777777" w:rsidTr="00E830AD">
        <w:trPr>
          <w:trHeight w:val="300"/>
        </w:trPr>
        <w:tc>
          <w:tcPr>
            <w:tcW w:w="1188" w:type="dxa"/>
            <w:noWrap/>
            <w:hideMark/>
          </w:tcPr>
          <w:p w14:paraId="4D970B4D" w14:textId="77777777" w:rsidR="00E830AD" w:rsidRPr="00E830AD" w:rsidRDefault="00E830AD" w:rsidP="00BA78D9">
            <w:pPr>
              <w:jc w:val="right"/>
              <w:rPr>
                <w:rFonts w:eastAsia="Times New Roman" w:cs="Arial"/>
                <w:color w:val="000000"/>
              </w:rPr>
            </w:pPr>
            <w:r w:rsidRPr="00E830AD">
              <w:rPr>
                <w:rFonts w:eastAsia="Times New Roman" w:cs="Arial"/>
                <w:color w:val="000000"/>
              </w:rPr>
              <w:t>501220</w:t>
            </w:r>
          </w:p>
        </w:tc>
        <w:tc>
          <w:tcPr>
            <w:tcW w:w="2041" w:type="dxa"/>
            <w:noWrap/>
            <w:hideMark/>
          </w:tcPr>
          <w:p w14:paraId="36995D31" w14:textId="7BA3CACB" w:rsidR="00E830AD" w:rsidRPr="00E830AD" w:rsidRDefault="00E830AD" w:rsidP="00BA78D9">
            <w:pPr>
              <w:jc w:val="left"/>
              <w:rPr>
                <w:rFonts w:eastAsia="Times New Roman" w:cs="Arial"/>
                <w:color w:val="000000"/>
              </w:rPr>
            </w:pPr>
            <w:r w:rsidRPr="00E830AD">
              <w:rPr>
                <w:rFonts w:eastAsia="Times New Roman" w:cs="Arial"/>
                <w:color w:val="000000"/>
              </w:rPr>
              <w:t>Vesicle</w:t>
            </w:r>
          </w:p>
        </w:tc>
        <w:tc>
          <w:tcPr>
            <w:tcW w:w="1199" w:type="dxa"/>
            <w:noWrap/>
            <w:hideMark/>
          </w:tcPr>
          <w:p w14:paraId="349900EF" w14:textId="77777777" w:rsidR="00E830AD" w:rsidRPr="00E830AD" w:rsidRDefault="00E830AD" w:rsidP="00BA78D9">
            <w:pPr>
              <w:jc w:val="right"/>
              <w:rPr>
                <w:rFonts w:eastAsia="Times New Roman" w:cs="Arial"/>
                <w:color w:val="000000"/>
              </w:rPr>
            </w:pPr>
            <w:r w:rsidRPr="00E830AD">
              <w:rPr>
                <w:rFonts w:eastAsia="Times New Roman" w:cs="Arial"/>
                <w:color w:val="000000"/>
              </w:rPr>
              <w:t>7.12E-84</w:t>
            </w:r>
          </w:p>
        </w:tc>
        <w:tc>
          <w:tcPr>
            <w:tcW w:w="1170" w:type="dxa"/>
            <w:noWrap/>
            <w:hideMark/>
          </w:tcPr>
          <w:p w14:paraId="6CC5AC62" w14:textId="0B30720F" w:rsidR="00E830AD" w:rsidRPr="00E830AD" w:rsidRDefault="00E830AD" w:rsidP="00BA78D9">
            <w:pPr>
              <w:jc w:val="left"/>
              <w:rPr>
                <w:rFonts w:eastAsia="Times New Roman" w:cs="Arial"/>
                <w:color w:val="000000"/>
              </w:rPr>
            </w:pPr>
            <w:r w:rsidRPr="00E830AD">
              <w:rPr>
                <w:rFonts w:eastAsia="Times New Roman" w:cs="Arial"/>
                <w:color w:val="000000"/>
              </w:rPr>
              <w:t>0031982</w:t>
            </w:r>
          </w:p>
        </w:tc>
        <w:tc>
          <w:tcPr>
            <w:tcW w:w="630" w:type="dxa"/>
            <w:noWrap/>
            <w:hideMark/>
          </w:tcPr>
          <w:p w14:paraId="3B3091E9" w14:textId="77777777" w:rsidR="00E830AD" w:rsidRPr="00E830AD" w:rsidRDefault="00E830AD" w:rsidP="00BA78D9">
            <w:pPr>
              <w:jc w:val="right"/>
              <w:rPr>
                <w:rFonts w:eastAsia="Times New Roman" w:cs="Arial"/>
                <w:color w:val="000000"/>
              </w:rPr>
            </w:pPr>
            <w:r w:rsidRPr="00E830AD">
              <w:rPr>
                <w:rFonts w:eastAsia="Times New Roman" w:cs="Arial"/>
                <w:color w:val="000000"/>
              </w:rPr>
              <w:t>770</w:t>
            </w:r>
          </w:p>
        </w:tc>
        <w:tc>
          <w:tcPr>
            <w:tcW w:w="1080" w:type="dxa"/>
            <w:noWrap/>
            <w:hideMark/>
          </w:tcPr>
          <w:p w14:paraId="515A7587" w14:textId="77777777" w:rsidR="00E830AD" w:rsidRPr="00E830AD" w:rsidRDefault="00E830AD" w:rsidP="00BA78D9">
            <w:pPr>
              <w:jc w:val="right"/>
              <w:rPr>
                <w:rFonts w:eastAsia="Times New Roman" w:cs="Arial"/>
                <w:color w:val="000000"/>
              </w:rPr>
            </w:pPr>
            <w:r w:rsidRPr="00E830AD">
              <w:rPr>
                <w:rFonts w:eastAsia="Times New Roman" w:cs="Arial"/>
                <w:color w:val="000000"/>
              </w:rPr>
              <w:t>4.7451</w:t>
            </w:r>
          </w:p>
        </w:tc>
        <w:tc>
          <w:tcPr>
            <w:tcW w:w="1350" w:type="dxa"/>
            <w:noWrap/>
            <w:hideMark/>
          </w:tcPr>
          <w:p w14:paraId="165BACBD" w14:textId="77777777" w:rsidR="00E830AD" w:rsidRPr="00E830AD" w:rsidRDefault="00E830AD" w:rsidP="00BA78D9">
            <w:pPr>
              <w:jc w:val="right"/>
              <w:rPr>
                <w:rFonts w:eastAsia="Times New Roman" w:cs="Arial"/>
                <w:color w:val="000000"/>
              </w:rPr>
            </w:pPr>
            <w:r w:rsidRPr="00E830AD">
              <w:rPr>
                <w:rFonts w:eastAsia="Times New Roman" w:cs="Arial"/>
                <w:color w:val="000000"/>
              </w:rPr>
              <w:t>1.61E-10</w:t>
            </w:r>
          </w:p>
        </w:tc>
      </w:tr>
      <w:tr w:rsidR="00E830AD" w:rsidRPr="00E830AD" w14:paraId="3E772CC6" w14:textId="77777777" w:rsidTr="00E830AD">
        <w:trPr>
          <w:trHeight w:val="300"/>
        </w:trPr>
        <w:tc>
          <w:tcPr>
            <w:tcW w:w="1188" w:type="dxa"/>
            <w:noWrap/>
            <w:hideMark/>
          </w:tcPr>
          <w:p w14:paraId="20E73DF9" w14:textId="77777777" w:rsidR="00E830AD" w:rsidRPr="00E830AD" w:rsidRDefault="00E830AD" w:rsidP="00BA78D9">
            <w:pPr>
              <w:jc w:val="right"/>
              <w:rPr>
                <w:rFonts w:eastAsia="Times New Roman" w:cs="Arial"/>
                <w:color w:val="000000"/>
              </w:rPr>
            </w:pPr>
            <w:r w:rsidRPr="00E830AD">
              <w:rPr>
                <w:rFonts w:eastAsia="Times New Roman" w:cs="Arial"/>
                <w:color w:val="000000"/>
              </w:rPr>
              <w:t>507370</w:t>
            </w:r>
          </w:p>
        </w:tc>
        <w:tc>
          <w:tcPr>
            <w:tcW w:w="2041" w:type="dxa"/>
            <w:noWrap/>
            <w:hideMark/>
          </w:tcPr>
          <w:p w14:paraId="624146DB" w14:textId="22AE685A" w:rsidR="00E830AD" w:rsidRPr="00E830AD" w:rsidRDefault="00E830AD" w:rsidP="00BA78D9">
            <w:pPr>
              <w:jc w:val="left"/>
              <w:rPr>
                <w:rFonts w:eastAsia="Times New Roman" w:cs="Arial"/>
                <w:color w:val="000000"/>
              </w:rPr>
            </w:pPr>
            <w:r w:rsidRPr="00E830AD">
              <w:rPr>
                <w:rFonts w:eastAsia="Times New Roman" w:cs="Arial"/>
                <w:color w:val="000000"/>
              </w:rPr>
              <w:t>Extracellular region part</w:t>
            </w:r>
          </w:p>
        </w:tc>
        <w:tc>
          <w:tcPr>
            <w:tcW w:w="1199" w:type="dxa"/>
            <w:noWrap/>
            <w:hideMark/>
          </w:tcPr>
          <w:p w14:paraId="7D4831BF" w14:textId="77777777" w:rsidR="00E830AD" w:rsidRPr="00E830AD" w:rsidRDefault="00E830AD" w:rsidP="00BA78D9">
            <w:pPr>
              <w:jc w:val="right"/>
              <w:rPr>
                <w:rFonts w:eastAsia="Times New Roman" w:cs="Arial"/>
                <w:color w:val="000000"/>
              </w:rPr>
            </w:pPr>
            <w:r w:rsidRPr="00E830AD">
              <w:rPr>
                <w:rFonts w:eastAsia="Times New Roman" w:cs="Arial"/>
                <w:color w:val="000000"/>
              </w:rPr>
              <w:t>2.02E-76</w:t>
            </w:r>
          </w:p>
        </w:tc>
        <w:tc>
          <w:tcPr>
            <w:tcW w:w="1170" w:type="dxa"/>
            <w:noWrap/>
            <w:hideMark/>
          </w:tcPr>
          <w:p w14:paraId="55A965B2" w14:textId="5B97A38B" w:rsidR="00E830AD" w:rsidRPr="00E830AD" w:rsidRDefault="00E830AD" w:rsidP="00BA78D9">
            <w:pPr>
              <w:jc w:val="left"/>
              <w:rPr>
                <w:rFonts w:eastAsia="Times New Roman" w:cs="Arial"/>
                <w:color w:val="000000"/>
              </w:rPr>
            </w:pPr>
            <w:r w:rsidRPr="00E830AD">
              <w:rPr>
                <w:rFonts w:eastAsia="Times New Roman" w:cs="Arial"/>
                <w:color w:val="000000"/>
              </w:rPr>
              <w:t>0044421</w:t>
            </w:r>
          </w:p>
        </w:tc>
        <w:tc>
          <w:tcPr>
            <w:tcW w:w="630" w:type="dxa"/>
            <w:noWrap/>
            <w:hideMark/>
          </w:tcPr>
          <w:p w14:paraId="03641C5E" w14:textId="77777777" w:rsidR="00E830AD" w:rsidRPr="00E830AD" w:rsidRDefault="00E830AD" w:rsidP="00BA78D9">
            <w:pPr>
              <w:jc w:val="right"/>
              <w:rPr>
                <w:rFonts w:eastAsia="Times New Roman" w:cs="Arial"/>
                <w:color w:val="000000"/>
              </w:rPr>
            </w:pPr>
            <w:r w:rsidRPr="00E830AD">
              <w:rPr>
                <w:rFonts w:eastAsia="Times New Roman" w:cs="Arial"/>
                <w:color w:val="000000"/>
              </w:rPr>
              <w:t>771</w:t>
            </w:r>
          </w:p>
        </w:tc>
        <w:tc>
          <w:tcPr>
            <w:tcW w:w="1080" w:type="dxa"/>
            <w:noWrap/>
            <w:hideMark/>
          </w:tcPr>
          <w:p w14:paraId="32A0E9C9" w14:textId="77777777" w:rsidR="00E830AD" w:rsidRPr="00E830AD" w:rsidRDefault="00E830AD" w:rsidP="00BA78D9">
            <w:pPr>
              <w:jc w:val="right"/>
              <w:rPr>
                <w:rFonts w:eastAsia="Times New Roman" w:cs="Arial"/>
                <w:color w:val="000000"/>
              </w:rPr>
            </w:pPr>
            <w:r w:rsidRPr="00E830AD">
              <w:rPr>
                <w:rFonts w:eastAsia="Times New Roman" w:cs="Arial"/>
                <w:color w:val="000000"/>
              </w:rPr>
              <w:t>5.0905</w:t>
            </w:r>
          </w:p>
        </w:tc>
        <w:tc>
          <w:tcPr>
            <w:tcW w:w="1350" w:type="dxa"/>
            <w:noWrap/>
            <w:hideMark/>
          </w:tcPr>
          <w:p w14:paraId="6235A13B" w14:textId="77777777" w:rsidR="00E830AD" w:rsidRPr="00E830AD" w:rsidRDefault="00E830AD" w:rsidP="00BA78D9">
            <w:pPr>
              <w:jc w:val="right"/>
              <w:rPr>
                <w:rFonts w:eastAsia="Times New Roman" w:cs="Arial"/>
                <w:color w:val="000000"/>
              </w:rPr>
            </w:pPr>
            <w:r w:rsidRPr="00E830AD">
              <w:rPr>
                <w:rFonts w:eastAsia="Times New Roman" w:cs="Arial"/>
                <w:color w:val="000000"/>
              </w:rPr>
              <w:t>3.40E-11</w:t>
            </w:r>
          </w:p>
        </w:tc>
      </w:tr>
      <w:tr w:rsidR="00E830AD" w:rsidRPr="00E830AD" w14:paraId="67344380" w14:textId="77777777" w:rsidTr="00E830AD">
        <w:trPr>
          <w:trHeight w:val="300"/>
        </w:trPr>
        <w:tc>
          <w:tcPr>
            <w:tcW w:w="1188" w:type="dxa"/>
            <w:noWrap/>
            <w:hideMark/>
          </w:tcPr>
          <w:p w14:paraId="7CFD87AF" w14:textId="77777777" w:rsidR="00E830AD" w:rsidRPr="00E830AD" w:rsidRDefault="00E830AD" w:rsidP="00BA78D9">
            <w:pPr>
              <w:jc w:val="right"/>
              <w:rPr>
                <w:rFonts w:eastAsia="Times New Roman" w:cs="Arial"/>
                <w:color w:val="000000"/>
              </w:rPr>
            </w:pPr>
            <w:r w:rsidRPr="00E830AD">
              <w:rPr>
                <w:rFonts w:eastAsia="Times New Roman" w:cs="Arial"/>
                <w:color w:val="000000"/>
              </w:rPr>
              <w:t>489955</w:t>
            </w:r>
          </w:p>
        </w:tc>
        <w:tc>
          <w:tcPr>
            <w:tcW w:w="2041" w:type="dxa"/>
            <w:noWrap/>
            <w:hideMark/>
          </w:tcPr>
          <w:p w14:paraId="254B4A06" w14:textId="7020371B" w:rsidR="00E830AD" w:rsidRPr="00E830AD" w:rsidRDefault="00E830AD" w:rsidP="00BA78D9">
            <w:pPr>
              <w:jc w:val="left"/>
              <w:rPr>
                <w:rFonts w:eastAsia="Times New Roman" w:cs="Arial"/>
                <w:color w:val="000000"/>
              </w:rPr>
            </w:pPr>
            <w:r w:rsidRPr="00E830AD">
              <w:rPr>
                <w:rFonts w:eastAsia="Times New Roman" w:cs="Arial"/>
                <w:color w:val="000000"/>
              </w:rPr>
              <w:t>Extracellular region</w:t>
            </w:r>
          </w:p>
        </w:tc>
        <w:tc>
          <w:tcPr>
            <w:tcW w:w="1199" w:type="dxa"/>
            <w:noWrap/>
            <w:hideMark/>
          </w:tcPr>
          <w:p w14:paraId="54638EFC" w14:textId="77777777" w:rsidR="00E830AD" w:rsidRPr="00E830AD" w:rsidRDefault="00E830AD" w:rsidP="00BA78D9">
            <w:pPr>
              <w:jc w:val="right"/>
              <w:rPr>
                <w:rFonts w:eastAsia="Times New Roman" w:cs="Arial"/>
                <w:color w:val="000000"/>
              </w:rPr>
            </w:pPr>
            <w:r w:rsidRPr="00E830AD">
              <w:rPr>
                <w:rFonts w:eastAsia="Times New Roman" w:cs="Arial"/>
                <w:color w:val="000000"/>
              </w:rPr>
              <w:t>3.67E-55</w:t>
            </w:r>
          </w:p>
        </w:tc>
        <w:tc>
          <w:tcPr>
            <w:tcW w:w="1170" w:type="dxa"/>
            <w:noWrap/>
            <w:hideMark/>
          </w:tcPr>
          <w:p w14:paraId="0A714C57" w14:textId="62B25455" w:rsidR="00E830AD" w:rsidRPr="00E830AD" w:rsidRDefault="00E830AD" w:rsidP="00BA78D9">
            <w:pPr>
              <w:jc w:val="left"/>
              <w:rPr>
                <w:rFonts w:eastAsia="Times New Roman" w:cs="Arial"/>
                <w:color w:val="000000"/>
              </w:rPr>
            </w:pPr>
            <w:r w:rsidRPr="00E830AD">
              <w:rPr>
                <w:rFonts w:eastAsia="Times New Roman" w:cs="Arial"/>
                <w:color w:val="000000"/>
              </w:rPr>
              <w:t>0005576</w:t>
            </w:r>
          </w:p>
        </w:tc>
        <w:tc>
          <w:tcPr>
            <w:tcW w:w="630" w:type="dxa"/>
            <w:noWrap/>
            <w:hideMark/>
          </w:tcPr>
          <w:p w14:paraId="531ABA32" w14:textId="77777777" w:rsidR="00E830AD" w:rsidRPr="00E830AD" w:rsidRDefault="00E830AD" w:rsidP="00BA78D9">
            <w:pPr>
              <w:jc w:val="right"/>
              <w:rPr>
                <w:rFonts w:eastAsia="Times New Roman" w:cs="Arial"/>
                <w:color w:val="000000"/>
              </w:rPr>
            </w:pPr>
            <w:r w:rsidRPr="00E830AD">
              <w:rPr>
                <w:rFonts w:eastAsia="Times New Roman" w:cs="Arial"/>
                <w:color w:val="000000"/>
              </w:rPr>
              <w:t>804</w:t>
            </w:r>
          </w:p>
        </w:tc>
        <w:tc>
          <w:tcPr>
            <w:tcW w:w="1080" w:type="dxa"/>
            <w:noWrap/>
            <w:hideMark/>
          </w:tcPr>
          <w:p w14:paraId="4365E80E" w14:textId="77777777" w:rsidR="00E830AD" w:rsidRPr="00E830AD" w:rsidRDefault="00E830AD" w:rsidP="00BA78D9">
            <w:pPr>
              <w:jc w:val="right"/>
              <w:rPr>
                <w:rFonts w:eastAsia="Times New Roman" w:cs="Arial"/>
                <w:color w:val="000000"/>
              </w:rPr>
            </w:pPr>
            <w:r w:rsidRPr="00E830AD">
              <w:rPr>
                <w:rFonts w:eastAsia="Times New Roman" w:cs="Arial"/>
                <w:color w:val="000000"/>
              </w:rPr>
              <w:t>5.2393</w:t>
            </w:r>
          </w:p>
        </w:tc>
        <w:tc>
          <w:tcPr>
            <w:tcW w:w="1350" w:type="dxa"/>
            <w:noWrap/>
            <w:hideMark/>
          </w:tcPr>
          <w:p w14:paraId="37843D66" w14:textId="77777777" w:rsidR="00E830AD" w:rsidRPr="00E830AD" w:rsidRDefault="00E830AD" w:rsidP="00BA78D9">
            <w:pPr>
              <w:jc w:val="right"/>
              <w:rPr>
                <w:rFonts w:eastAsia="Times New Roman" w:cs="Arial"/>
                <w:color w:val="000000"/>
              </w:rPr>
            </w:pPr>
            <w:r w:rsidRPr="00E830AD">
              <w:rPr>
                <w:rFonts w:eastAsia="Times New Roman" w:cs="Arial"/>
                <w:color w:val="000000"/>
              </w:rPr>
              <w:t>1.67E-11</w:t>
            </w:r>
          </w:p>
        </w:tc>
      </w:tr>
      <w:tr w:rsidR="00E830AD" w:rsidRPr="00E830AD" w14:paraId="21BD86A7" w14:textId="77777777" w:rsidTr="00E830AD">
        <w:trPr>
          <w:trHeight w:val="300"/>
        </w:trPr>
        <w:tc>
          <w:tcPr>
            <w:tcW w:w="1188" w:type="dxa"/>
            <w:noWrap/>
            <w:hideMark/>
          </w:tcPr>
          <w:p w14:paraId="5B0E7059" w14:textId="77777777" w:rsidR="00E830AD" w:rsidRPr="00E830AD" w:rsidRDefault="00E830AD" w:rsidP="00BA78D9">
            <w:pPr>
              <w:jc w:val="right"/>
              <w:rPr>
                <w:rFonts w:eastAsia="Times New Roman" w:cs="Arial"/>
                <w:color w:val="000000"/>
              </w:rPr>
            </w:pPr>
            <w:r w:rsidRPr="00E830AD">
              <w:rPr>
                <w:rFonts w:eastAsia="Times New Roman" w:cs="Arial"/>
                <w:color w:val="000000"/>
              </w:rPr>
              <w:t>492328</w:t>
            </w:r>
          </w:p>
        </w:tc>
        <w:tc>
          <w:tcPr>
            <w:tcW w:w="2041" w:type="dxa"/>
            <w:noWrap/>
            <w:hideMark/>
          </w:tcPr>
          <w:p w14:paraId="53F8E0EB" w14:textId="39CA5591" w:rsidR="00E830AD" w:rsidRPr="00E830AD" w:rsidRDefault="00E830AD" w:rsidP="00BA78D9">
            <w:pPr>
              <w:jc w:val="left"/>
              <w:rPr>
                <w:rFonts w:eastAsia="Times New Roman" w:cs="Arial"/>
                <w:color w:val="000000"/>
              </w:rPr>
            </w:pPr>
            <w:r w:rsidRPr="00E830AD">
              <w:rPr>
                <w:rFonts w:eastAsia="Times New Roman" w:cs="Arial"/>
                <w:color w:val="000000"/>
              </w:rPr>
              <w:t>Digestion</w:t>
            </w:r>
          </w:p>
        </w:tc>
        <w:tc>
          <w:tcPr>
            <w:tcW w:w="1199" w:type="dxa"/>
            <w:noWrap/>
            <w:hideMark/>
          </w:tcPr>
          <w:p w14:paraId="0DD9885E" w14:textId="77777777" w:rsidR="00E830AD" w:rsidRPr="00E830AD" w:rsidRDefault="00E830AD" w:rsidP="00BA78D9">
            <w:pPr>
              <w:jc w:val="right"/>
              <w:rPr>
                <w:rFonts w:eastAsia="Times New Roman" w:cs="Arial"/>
                <w:color w:val="000000"/>
              </w:rPr>
            </w:pPr>
            <w:r w:rsidRPr="00E830AD">
              <w:rPr>
                <w:rFonts w:eastAsia="Times New Roman" w:cs="Arial"/>
                <w:color w:val="000000"/>
              </w:rPr>
              <w:t>7.80E-07</w:t>
            </w:r>
          </w:p>
        </w:tc>
        <w:tc>
          <w:tcPr>
            <w:tcW w:w="1170" w:type="dxa"/>
            <w:noWrap/>
            <w:hideMark/>
          </w:tcPr>
          <w:p w14:paraId="6D512E53" w14:textId="40AF070E" w:rsidR="00E830AD" w:rsidRPr="00E830AD" w:rsidRDefault="00E830AD" w:rsidP="00BA78D9">
            <w:pPr>
              <w:jc w:val="left"/>
              <w:rPr>
                <w:rFonts w:eastAsia="Times New Roman" w:cs="Arial"/>
                <w:color w:val="000000"/>
              </w:rPr>
            </w:pPr>
            <w:r w:rsidRPr="00E830AD">
              <w:rPr>
                <w:rFonts w:eastAsia="Times New Roman" w:cs="Arial"/>
                <w:color w:val="000000"/>
              </w:rPr>
              <w:t>0007586</w:t>
            </w:r>
          </w:p>
        </w:tc>
        <w:tc>
          <w:tcPr>
            <w:tcW w:w="630" w:type="dxa"/>
            <w:noWrap/>
            <w:hideMark/>
          </w:tcPr>
          <w:p w14:paraId="4E7D7075" w14:textId="77777777" w:rsidR="00E830AD" w:rsidRPr="00E830AD" w:rsidRDefault="00E830AD" w:rsidP="00BA78D9">
            <w:pPr>
              <w:jc w:val="right"/>
              <w:rPr>
                <w:rFonts w:eastAsia="Times New Roman" w:cs="Arial"/>
                <w:color w:val="000000"/>
              </w:rPr>
            </w:pPr>
            <w:r w:rsidRPr="00E830AD">
              <w:rPr>
                <w:rFonts w:eastAsia="Times New Roman" w:cs="Arial"/>
                <w:color w:val="000000"/>
              </w:rPr>
              <w:t>39</w:t>
            </w:r>
          </w:p>
        </w:tc>
        <w:tc>
          <w:tcPr>
            <w:tcW w:w="1080" w:type="dxa"/>
            <w:noWrap/>
            <w:hideMark/>
          </w:tcPr>
          <w:p w14:paraId="3D502A8C" w14:textId="77777777" w:rsidR="00E830AD" w:rsidRPr="00E830AD" w:rsidRDefault="00E830AD" w:rsidP="00BA78D9">
            <w:pPr>
              <w:jc w:val="right"/>
              <w:rPr>
                <w:rFonts w:eastAsia="Times New Roman" w:cs="Arial"/>
                <w:color w:val="000000"/>
              </w:rPr>
            </w:pPr>
            <w:r w:rsidRPr="00E830AD">
              <w:rPr>
                <w:rFonts w:eastAsia="Times New Roman" w:cs="Arial"/>
                <w:color w:val="000000"/>
              </w:rPr>
              <w:t>3.8928</w:t>
            </w:r>
          </w:p>
        </w:tc>
        <w:tc>
          <w:tcPr>
            <w:tcW w:w="1350" w:type="dxa"/>
            <w:noWrap/>
            <w:hideMark/>
          </w:tcPr>
          <w:p w14:paraId="477D01DE" w14:textId="77777777" w:rsidR="00E830AD" w:rsidRPr="00E830AD" w:rsidRDefault="00E830AD" w:rsidP="00BA78D9">
            <w:pPr>
              <w:jc w:val="right"/>
              <w:rPr>
                <w:rFonts w:eastAsia="Times New Roman" w:cs="Arial"/>
                <w:color w:val="000000"/>
              </w:rPr>
            </w:pPr>
            <w:r w:rsidRPr="00E830AD">
              <w:rPr>
                <w:rFonts w:eastAsia="Times New Roman" w:cs="Arial"/>
                <w:color w:val="000000"/>
              </w:rPr>
              <w:t>3.28E-11</w:t>
            </w:r>
          </w:p>
        </w:tc>
      </w:tr>
      <w:tr w:rsidR="00E830AD" w:rsidRPr="00E830AD" w14:paraId="75D908A6" w14:textId="77777777" w:rsidTr="00E830AD">
        <w:trPr>
          <w:trHeight w:val="300"/>
        </w:trPr>
        <w:tc>
          <w:tcPr>
            <w:tcW w:w="1188" w:type="dxa"/>
            <w:noWrap/>
            <w:hideMark/>
          </w:tcPr>
          <w:p w14:paraId="7EE388CF" w14:textId="77777777" w:rsidR="00E830AD" w:rsidRPr="00E830AD" w:rsidRDefault="00E830AD" w:rsidP="00BA78D9">
            <w:pPr>
              <w:jc w:val="right"/>
              <w:rPr>
                <w:rFonts w:eastAsia="Times New Roman" w:cs="Arial"/>
                <w:color w:val="000000"/>
              </w:rPr>
            </w:pPr>
            <w:r w:rsidRPr="00E830AD">
              <w:rPr>
                <w:rFonts w:eastAsia="Times New Roman" w:cs="Arial"/>
                <w:color w:val="000000"/>
              </w:rPr>
              <w:t>488258</w:t>
            </w:r>
          </w:p>
        </w:tc>
        <w:tc>
          <w:tcPr>
            <w:tcW w:w="2041" w:type="dxa"/>
            <w:noWrap/>
            <w:hideMark/>
          </w:tcPr>
          <w:p w14:paraId="7A046CB9" w14:textId="4465B934" w:rsidR="00E830AD" w:rsidRPr="00E830AD" w:rsidRDefault="00E830AD" w:rsidP="00BA78D9">
            <w:pPr>
              <w:jc w:val="left"/>
              <w:rPr>
                <w:rFonts w:eastAsia="Times New Roman" w:cs="Arial"/>
                <w:color w:val="000000"/>
              </w:rPr>
            </w:pPr>
            <w:r w:rsidRPr="00E830AD">
              <w:rPr>
                <w:rFonts w:eastAsia="Times New Roman" w:cs="Arial"/>
                <w:color w:val="000000"/>
              </w:rPr>
              <w:t>Mucosal immune response</w:t>
            </w:r>
          </w:p>
        </w:tc>
        <w:tc>
          <w:tcPr>
            <w:tcW w:w="1199" w:type="dxa"/>
            <w:noWrap/>
            <w:hideMark/>
          </w:tcPr>
          <w:p w14:paraId="16CBFB68" w14:textId="77777777" w:rsidR="00E830AD" w:rsidRPr="00E830AD" w:rsidRDefault="00E830AD" w:rsidP="00BA78D9">
            <w:pPr>
              <w:jc w:val="right"/>
              <w:rPr>
                <w:rFonts w:eastAsia="Times New Roman" w:cs="Arial"/>
                <w:color w:val="000000"/>
              </w:rPr>
            </w:pPr>
            <w:r w:rsidRPr="00E830AD">
              <w:rPr>
                <w:rFonts w:eastAsia="Times New Roman" w:cs="Arial"/>
                <w:color w:val="000000"/>
              </w:rPr>
              <w:t>7.08E-05</w:t>
            </w:r>
          </w:p>
        </w:tc>
        <w:tc>
          <w:tcPr>
            <w:tcW w:w="1170" w:type="dxa"/>
            <w:noWrap/>
            <w:hideMark/>
          </w:tcPr>
          <w:p w14:paraId="2A78848C" w14:textId="3BA77D61" w:rsidR="00E830AD" w:rsidRPr="00E830AD" w:rsidRDefault="00E830AD" w:rsidP="00BA78D9">
            <w:pPr>
              <w:jc w:val="left"/>
              <w:rPr>
                <w:rFonts w:eastAsia="Times New Roman" w:cs="Arial"/>
                <w:color w:val="000000"/>
              </w:rPr>
            </w:pPr>
            <w:r w:rsidRPr="00E830AD">
              <w:rPr>
                <w:rFonts w:eastAsia="Times New Roman" w:cs="Arial"/>
                <w:color w:val="000000"/>
              </w:rPr>
              <w:t>0002385</w:t>
            </w:r>
          </w:p>
        </w:tc>
        <w:tc>
          <w:tcPr>
            <w:tcW w:w="630" w:type="dxa"/>
            <w:noWrap/>
            <w:hideMark/>
          </w:tcPr>
          <w:p w14:paraId="478D88C3" w14:textId="77777777" w:rsidR="00E830AD" w:rsidRPr="00E830AD" w:rsidRDefault="00E830AD" w:rsidP="00BA78D9">
            <w:pPr>
              <w:jc w:val="right"/>
              <w:rPr>
                <w:rFonts w:eastAsia="Times New Roman" w:cs="Arial"/>
                <w:color w:val="000000"/>
              </w:rPr>
            </w:pPr>
            <w:r w:rsidRPr="00E830AD">
              <w:rPr>
                <w:rFonts w:eastAsia="Times New Roman" w:cs="Arial"/>
                <w:color w:val="000000"/>
              </w:rPr>
              <w:t>17</w:t>
            </w:r>
          </w:p>
        </w:tc>
        <w:tc>
          <w:tcPr>
            <w:tcW w:w="1080" w:type="dxa"/>
            <w:noWrap/>
            <w:hideMark/>
          </w:tcPr>
          <w:p w14:paraId="1BC48638" w14:textId="77777777" w:rsidR="00E830AD" w:rsidRPr="00E830AD" w:rsidRDefault="00E830AD" w:rsidP="00BA78D9">
            <w:pPr>
              <w:jc w:val="right"/>
              <w:rPr>
                <w:rFonts w:eastAsia="Times New Roman" w:cs="Arial"/>
                <w:color w:val="000000"/>
              </w:rPr>
            </w:pPr>
            <w:r w:rsidRPr="00E830AD">
              <w:rPr>
                <w:rFonts w:eastAsia="Times New Roman" w:cs="Arial"/>
                <w:color w:val="000000"/>
              </w:rPr>
              <w:t>2.0228</w:t>
            </w:r>
          </w:p>
        </w:tc>
        <w:tc>
          <w:tcPr>
            <w:tcW w:w="1350" w:type="dxa"/>
            <w:noWrap/>
            <w:hideMark/>
          </w:tcPr>
          <w:p w14:paraId="5D5DE2F7" w14:textId="77777777" w:rsidR="00E830AD" w:rsidRPr="00E830AD" w:rsidRDefault="00E830AD" w:rsidP="00BA78D9">
            <w:pPr>
              <w:jc w:val="right"/>
              <w:rPr>
                <w:rFonts w:eastAsia="Times New Roman" w:cs="Arial"/>
                <w:color w:val="000000"/>
              </w:rPr>
            </w:pPr>
            <w:r w:rsidRPr="00E830AD">
              <w:rPr>
                <w:rFonts w:eastAsia="Times New Roman" w:cs="Arial"/>
                <w:color w:val="000000"/>
              </w:rPr>
              <w:t>1.94E-05</w:t>
            </w:r>
          </w:p>
        </w:tc>
      </w:tr>
      <w:tr w:rsidR="00E830AD" w:rsidRPr="00E830AD" w14:paraId="6B5634B9" w14:textId="77777777" w:rsidTr="00E830AD">
        <w:trPr>
          <w:trHeight w:val="300"/>
        </w:trPr>
        <w:tc>
          <w:tcPr>
            <w:tcW w:w="1188" w:type="dxa"/>
            <w:noWrap/>
            <w:hideMark/>
          </w:tcPr>
          <w:p w14:paraId="222DD03A" w14:textId="77777777" w:rsidR="00E830AD" w:rsidRPr="00E830AD" w:rsidRDefault="00E830AD" w:rsidP="00BA78D9">
            <w:pPr>
              <w:jc w:val="right"/>
              <w:rPr>
                <w:rFonts w:eastAsia="Times New Roman" w:cs="Arial"/>
                <w:color w:val="000000"/>
              </w:rPr>
            </w:pPr>
            <w:r w:rsidRPr="00E830AD">
              <w:rPr>
                <w:rFonts w:eastAsia="Times New Roman" w:cs="Arial"/>
                <w:color w:val="000000"/>
              </w:rPr>
              <w:t>489316</w:t>
            </w:r>
          </w:p>
        </w:tc>
        <w:tc>
          <w:tcPr>
            <w:tcW w:w="2041" w:type="dxa"/>
            <w:noWrap/>
            <w:hideMark/>
          </w:tcPr>
          <w:p w14:paraId="529A07BA" w14:textId="55571968" w:rsidR="00E830AD" w:rsidRPr="00E830AD" w:rsidRDefault="00E830AD" w:rsidP="00BA78D9">
            <w:pPr>
              <w:jc w:val="left"/>
              <w:rPr>
                <w:rFonts w:eastAsia="Times New Roman" w:cs="Arial"/>
                <w:color w:val="000000"/>
              </w:rPr>
            </w:pPr>
            <w:r w:rsidRPr="00E830AD">
              <w:rPr>
                <w:rFonts w:eastAsia="Times New Roman" w:cs="Arial"/>
                <w:color w:val="000000"/>
              </w:rPr>
              <w:t>Defense response to fungus</w:t>
            </w:r>
          </w:p>
        </w:tc>
        <w:tc>
          <w:tcPr>
            <w:tcW w:w="1199" w:type="dxa"/>
            <w:noWrap/>
            <w:hideMark/>
          </w:tcPr>
          <w:p w14:paraId="7A274F6C" w14:textId="77777777" w:rsidR="00E830AD" w:rsidRPr="00E830AD" w:rsidRDefault="00E830AD" w:rsidP="00BA78D9">
            <w:pPr>
              <w:jc w:val="right"/>
              <w:rPr>
                <w:rFonts w:eastAsia="Times New Roman" w:cs="Arial"/>
                <w:color w:val="000000"/>
              </w:rPr>
            </w:pPr>
            <w:r w:rsidRPr="00E830AD">
              <w:rPr>
                <w:rFonts w:eastAsia="Times New Roman" w:cs="Arial"/>
                <w:color w:val="000000"/>
              </w:rPr>
              <w:t>1.18E-03</w:t>
            </w:r>
          </w:p>
        </w:tc>
        <w:tc>
          <w:tcPr>
            <w:tcW w:w="1170" w:type="dxa"/>
            <w:noWrap/>
            <w:hideMark/>
          </w:tcPr>
          <w:p w14:paraId="511ECECE" w14:textId="44D5E9A5" w:rsidR="00E830AD" w:rsidRPr="00E830AD" w:rsidRDefault="00E830AD" w:rsidP="00BA78D9">
            <w:pPr>
              <w:jc w:val="left"/>
              <w:rPr>
                <w:rFonts w:eastAsia="Times New Roman" w:cs="Arial"/>
                <w:color w:val="000000"/>
              </w:rPr>
            </w:pPr>
            <w:r w:rsidRPr="00E830AD">
              <w:rPr>
                <w:rFonts w:eastAsia="Times New Roman" w:cs="Arial"/>
                <w:color w:val="000000"/>
              </w:rPr>
              <w:t>0050832</w:t>
            </w:r>
          </w:p>
        </w:tc>
        <w:tc>
          <w:tcPr>
            <w:tcW w:w="630" w:type="dxa"/>
            <w:noWrap/>
            <w:hideMark/>
          </w:tcPr>
          <w:p w14:paraId="19C38755" w14:textId="77777777" w:rsidR="00E830AD" w:rsidRPr="00E830AD" w:rsidRDefault="00E830AD" w:rsidP="00BA78D9">
            <w:pPr>
              <w:jc w:val="right"/>
              <w:rPr>
                <w:rFonts w:eastAsia="Times New Roman" w:cs="Arial"/>
                <w:color w:val="000000"/>
              </w:rPr>
            </w:pPr>
            <w:r w:rsidRPr="00E830AD">
              <w:rPr>
                <w:rFonts w:eastAsia="Times New Roman" w:cs="Arial"/>
                <w:color w:val="000000"/>
              </w:rPr>
              <w:t>13</w:t>
            </w:r>
          </w:p>
        </w:tc>
        <w:tc>
          <w:tcPr>
            <w:tcW w:w="1080" w:type="dxa"/>
            <w:noWrap/>
            <w:hideMark/>
          </w:tcPr>
          <w:p w14:paraId="7D2B7C8D" w14:textId="77777777" w:rsidR="00E830AD" w:rsidRPr="00E830AD" w:rsidRDefault="00E830AD" w:rsidP="00BA78D9">
            <w:pPr>
              <w:jc w:val="right"/>
              <w:rPr>
                <w:rFonts w:eastAsia="Times New Roman" w:cs="Arial"/>
                <w:color w:val="000000"/>
              </w:rPr>
            </w:pPr>
            <w:r w:rsidRPr="00E830AD">
              <w:rPr>
                <w:rFonts w:eastAsia="Times New Roman" w:cs="Arial"/>
                <w:color w:val="000000"/>
              </w:rPr>
              <w:t>4.1696</w:t>
            </w:r>
          </w:p>
        </w:tc>
        <w:tc>
          <w:tcPr>
            <w:tcW w:w="1350" w:type="dxa"/>
            <w:noWrap/>
            <w:hideMark/>
          </w:tcPr>
          <w:p w14:paraId="085621AA" w14:textId="77777777" w:rsidR="00E830AD" w:rsidRPr="00E830AD" w:rsidRDefault="00E830AD" w:rsidP="00BA78D9">
            <w:pPr>
              <w:jc w:val="right"/>
              <w:rPr>
                <w:rFonts w:eastAsia="Times New Roman" w:cs="Arial"/>
                <w:color w:val="000000"/>
              </w:rPr>
            </w:pPr>
            <w:r w:rsidRPr="00E830AD">
              <w:rPr>
                <w:rFonts w:eastAsia="Times New Roman" w:cs="Arial"/>
                <w:color w:val="000000"/>
              </w:rPr>
              <w:t>1.17E-08</w:t>
            </w:r>
          </w:p>
        </w:tc>
      </w:tr>
      <w:tr w:rsidR="00E830AD" w:rsidRPr="00E830AD" w14:paraId="4C2BC060" w14:textId="77777777" w:rsidTr="00E830AD">
        <w:trPr>
          <w:trHeight w:val="300"/>
        </w:trPr>
        <w:tc>
          <w:tcPr>
            <w:tcW w:w="1188" w:type="dxa"/>
            <w:noWrap/>
            <w:hideMark/>
          </w:tcPr>
          <w:p w14:paraId="65317F5C" w14:textId="77777777" w:rsidR="00E830AD" w:rsidRPr="00E830AD" w:rsidRDefault="00E830AD" w:rsidP="00BA78D9">
            <w:pPr>
              <w:jc w:val="right"/>
              <w:rPr>
                <w:rFonts w:eastAsia="Times New Roman" w:cs="Arial"/>
                <w:color w:val="000000"/>
              </w:rPr>
            </w:pPr>
            <w:r w:rsidRPr="00E830AD">
              <w:rPr>
                <w:rFonts w:eastAsia="Times New Roman" w:cs="Arial"/>
                <w:color w:val="000000"/>
              </w:rPr>
              <w:t>493740</w:t>
            </w:r>
          </w:p>
        </w:tc>
        <w:tc>
          <w:tcPr>
            <w:tcW w:w="2041" w:type="dxa"/>
            <w:noWrap/>
            <w:hideMark/>
          </w:tcPr>
          <w:p w14:paraId="36EFEAD4" w14:textId="265F902E" w:rsidR="00E830AD" w:rsidRPr="00E830AD" w:rsidRDefault="00E830AD" w:rsidP="00BA78D9">
            <w:pPr>
              <w:jc w:val="left"/>
              <w:rPr>
                <w:rFonts w:eastAsia="Times New Roman" w:cs="Arial"/>
                <w:color w:val="000000"/>
              </w:rPr>
            </w:pPr>
            <w:r w:rsidRPr="00E830AD">
              <w:rPr>
                <w:rFonts w:eastAsia="Times New Roman" w:cs="Arial"/>
                <w:color w:val="000000"/>
              </w:rPr>
              <w:t>Response to fungus</w:t>
            </w:r>
          </w:p>
        </w:tc>
        <w:tc>
          <w:tcPr>
            <w:tcW w:w="1199" w:type="dxa"/>
            <w:noWrap/>
            <w:hideMark/>
          </w:tcPr>
          <w:p w14:paraId="2D108AE7" w14:textId="77777777" w:rsidR="00E830AD" w:rsidRPr="00E830AD" w:rsidRDefault="00E830AD" w:rsidP="00BA78D9">
            <w:pPr>
              <w:jc w:val="right"/>
              <w:rPr>
                <w:rFonts w:eastAsia="Times New Roman" w:cs="Arial"/>
                <w:color w:val="000000"/>
              </w:rPr>
            </w:pPr>
            <w:r w:rsidRPr="00E830AD">
              <w:rPr>
                <w:rFonts w:eastAsia="Times New Roman" w:cs="Arial"/>
                <w:color w:val="000000"/>
              </w:rPr>
              <w:t>8.80E-03</w:t>
            </w:r>
          </w:p>
        </w:tc>
        <w:tc>
          <w:tcPr>
            <w:tcW w:w="1170" w:type="dxa"/>
            <w:noWrap/>
            <w:hideMark/>
          </w:tcPr>
          <w:p w14:paraId="6EAD891F" w14:textId="1FEEB62B" w:rsidR="00E830AD" w:rsidRPr="00E830AD" w:rsidRDefault="00E830AD" w:rsidP="00BA78D9">
            <w:pPr>
              <w:jc w:val="left"/>
              <w:rPr>
                <w:rFonts w:eastAsia="Times New Roman" w:cs="Arial"/>
                <w:color w:val="000000"/>
              </w:rPr>
            </w:pPr>
            <w:r w:rsidRPr="00E830AD">
              <w:rPr>
                <w:rFonts w:eastAsia="Times New Roman" w:cs="Arial"/>
                <w:color w:val="000000"/>
              </w:rPr>
              <w:t>0009620</w:t>
            </w:r>
          </w:p>
        </w:tc>
        <w:tc>
          <w:tcPr>
            <w:tcW w:w="630" w:type="dxa"/>
            <w:noWrap/>
            <w:hideMark/>
          </w:tcPr>
          <w:p w14:paraId="4754AC78" w14:textId="77777777" w:rsidR="00E830AD" w:rsidRPr="00E830AD" w:rsidRDefault="00E830AD" w:rsidP="00BA78D9">
            <w:pPr>
              <w:jc w:val="right"/>
              <w:rPr>
                <w:rFonts w:eastAsia="Times New Roman" w:cs="Arial"/>
                <w:color w:val="000000"/>
              </w:rPr>
            </w:pPr>
            <w:r w:rsidRPr="00E830AD">
              <w:rPr>
                <w:rFonts w:eastAsia="Times New Roman" w:cs="Arial"/>
                <w:color w:val="000000"/>
              </w:rPr>
              <w:t>14</w:t>
            </w:r>
          </w:p>
        </w:tc>
        <w:tc>
          <w:tcPr>
            <w:tcW w:w="1080" w:type="dxa"/>
            <w:noWrap/>
            <w:hideMark/>
          </w:tcPr>
          <w:p w14:paraId="16693F61" w14:textId="77777777" w:rsidR="00E830AD" w:rsidRPr="00E830AD" w:rsidRDefault="00E830AD" w:rsidP="00BA78D9">
            <w:pPr>
              <w:jc w:val="right"/>
              <w:rPr>
                <w:rFonts w:eastAsia="Times New Roman" w:cs="Arial"/>
                <w:color w:val="000000"/>
              </w:rPr>
            </w:pPr>
            <w:r w:rsidRPr="00E830AD">
              <w:rPr>
                <w:rFonts w:eastAsia="Times New Roman" w:cs="Arial"/>
                <w:color w:val="000000"/>
              </w:rPr>
              <w:t>4.1802</w:t>
            </w:r>
          </w:p>
        </w:tc>
        <w:tc>
          <w:tcPr>
            <w:tcW w:w="1350" w:type="dxa"/>
            <w:noWrap/>
            <w:hideMark/>
          </w:tcPr>
          <w:p w14:paraId="5EB12029" w14:textId="77777777" w:rsidR="00E830AD" w:rsidRPr="00E830AD" w:rsidRDefault="00E830AD" w:rsidP="00BA78D9">
            <w:pPr>
              <w:jc w:val="right"/>
              <w:rPr>
                <w:rFonts w:eastAsia="Times New Roman" w:cs="Arial"/>
                <w:color w:val="000000"/>
              </w:rPr>
            </w:pPr>
            <w:r w:rsidRPr="00E830AD">
              <w:rPr>
                <w:rFonts w:eastAsia="Times New Roman" w:cs="Arial"/>
                <w:color w:val="000000"/>
              </w:rPr>
              <w:t>1.03E-08</w:t>
            </w:r>
          </w:p>
        </w:tc>
      </w:tr>
      <w:tr w:rsidR="00E830AD" w:rsidRPr="00E830AD" w14:paraId="654017EE" w14:textId="77777777" w:rsidTr="00E830AD">
        <w:trPr>
          <w:trHeight w:val="300"/>
        </w:trPr>
        <w:tc>
          <w:tcPr>
            <w:tcW w:w="1188" w:type="dxa"/>
            <w:noWrap/>
            <w:hideMark/>
          </w:tcPr>
          <w:p w14:paraId="458009E7" w14:textId="77777777" w:rsidR="00E830AD" w:rsidRPr="00E830AD" w:rsidRDefault="00E830AD" w:rsidP="00BA78D9">
            <w:pPr>
              <w:jc w:val="right"/>
              <w:rPr>
                <w:rFonts w:eastAsia="Times New Roman" w:cs="Arial"/>
                <w:color w:val="000000"/>
              </w:rPr>
            </w:pPr>
            <w:r w:rsidRPr="00E830AD">
              <w:rPr>
                <w:rFonts w:eastAsia="Times New Roman" w:cs="Arial"/>
                <w:color w:val="000000"/>
              </w:rPr>
              <w:t>489314</w:t>
            </w:r>
          </w:p>
        </w:tc>
        <w:tc>
          <w:tcPr>
            <w:tcW w:w="2041" w:type="dxa"/>
            <w:noWrap/>
            <w:hideMark/>
          </w:tcPr>
          <w:p w14:paraId="5C08B364" w14:textId="7C3EFB62" w:rsidR="00E830AD" w:rsidRPr="00E830AD" w:rsidRDefault="00E830AD" w:rsidP="00BA78D9">
            <w:pPr>
              <w:jc w:val="left"/>
              <w:rPr>
                <w:rFonts w:eastAsia="Times New Roman" w:cs="Arial"/>
                <w:color w:val="000000"/>
              </w:rPr>
            </w:pPr>
            <w:r w:rsidRPr="00E830AD">
              <w:rPr>
                <w:rFonts w:eastAsia="Times New Roman" w:cs="Arial"/>
                <w:color w:val="000000"/>
              </w:rPr>
              <w:t>Defense response to bacterium</w:t>
            </w:r>
          </w:p>
        </w:tc>
        <w:tc>
          <w:tcPr>
            <w:tcW w:w="1199" w:type="dxa"/>
            <w:noWrap/>
            <w:hideMark/>
          </w:tcPr>
          <w:p w14:paraId="54D6E050" w14:textId="77777777" w:rsidR="00E830AD" w:rsidRPr="00E830AD" w:rsidRDefault="00E830AD" w:rsidP="00BA78D9">
            <w:pPr>
              <w:jc w:val="right"/>
              <w:rPr>
                <w:rFonts w:eastAsia="Times New Roman" w:cs="Arial"/>
                <w:color w:val="000000"/>
              </w:rPr>
            </w:pPr>
            <w:r w:rsidRPr="00E830AD">
              <w:rPr>
                <w:rFonts w:eastAsia="Times New Roman" w:cs="Arial"/>
                <w:color w:val="000000"/>
              </w:rPr>
              <w:t>3.15E-02</w:t>
            </w:r>
          </w:p>
        </w:tc>
        <w:tc>
          <w:tcPr>
            <w:tcW w:w="1170" w:type="dxa"/>
            <w:noWrap/>
            <w:hideMark/>
          </w:tcPr>
          <w:p w14:paraId="526846DC" w14:textId="2A1AC0C9" w:rsidR="00E830AD" w:rsidRPr="00E830AD" w:rsidRDefault="00E830AD" w:rsidP="00BA78D9">
            <w:pPr>
              <w:jc w:val="left"/>
              <w:rPr>
                <w:rFonts w:eastAsia="Times New Roman" w:cs="Arial"/>
                <w:color w:val="000000"/>
              </w:rPr>
            </w:pPr>
            <w:r w:rsidRPr="00E830AD">
              <w:rPr>
                <w:rFonts w:eastAsia="Times New Roman" w:cs="Arial"/>
                <w:color w:val="000000"/>
              </w:rPr>
              <w:t>0042742</w:t>
            </w:r>
          </w:p>
        </w:tc>
        <w:tc>
          <w:tcPr>
            <w:tcW w:w="630" w:type="dxa"/>
            <w:noWrap/>
            <w:hideMark/>
          </w:tcPr>
          <w:p w14:paraId="341F4DF5" w14:textId="77777777" w:rsidR="00E830AD" w:rsidRPr="00E830AD" w:rsidRDefault="00E830AD" w:rsidP="00BA78D9">
            <w:pPr>
              <w:jc w:val="right"/>
              <w:rPr>
                <w:rFonts w:eastAsia="Times New Roman" w:cs="Arial"/>
                <w:color w:val="000000"/>
              </w:rPr>
            </w:pPr>
            <w:r w:rsidRPr="00E830AD">
              <w:rPr>
                <w:rFonts w:eastAsia="Times New Roman" w:cs="Arial"/>
                <w:color w:val="000000"/>
              </w:rPr>
              <w:t>38</w:t>
            </w:r>
          </w:p>
        </w:tc>
        <w:tc>
          <w:tcPr>
            <w:tcW w:w="1080" w:type="dxa"/>
            <w:noWrap/>
            <w:hideMark/>
          </w:tcPr>
          <w:p w14:paraId="2FFE814D" w14:textId="77777777" w:rsidR="00E830AD" w:rsidRPr="00E830AD" w:rsidRDefault="00E830AD" w:rsidP="00BA78D9">
            <w:pPr>
              <w:jc w:val="right"/>
              <w:rPr>
                <w:rFonts w:eastAsia="Times New Roman" w:cs="Arial"/>
                <w:color w:val="000000"/>
              </w:rPr>
            </w:pPr>
            <w:r w:rsidRPr="00E830AD">
              <w:rPr>
                <w:rFonts w:eastAsia="Times New Roman" w:cs="Arial"/>
                <w:color w:val="000000"/>
              </w:rPr>
              <w:t>3.4573</w:t>
            </w:r>
          </w:p>
        </w:tc>
        <w:tc>
          <w:tcPr>
            <w:tcW w:w="1350" w:type="dxa"/>
            <w:noWrap/>
            <w:hideMark/>
          </w:tcPr>
          <w:p w14:paraId="51B343E2" w14:textId="77777777" w:rsidR="00E830AD" w:rsidRPr="00E830AD" w:rsidRDefault="00E830AD" w:rsidP="00BA78D9">
            <w:pPr>
              <w:jc w:val="right"/>
              <w:rPr>
                <w:rFonts w:eastAsia="Times New Roman" w:cs="Arial"/>
                <w:color w:val="000000"/>
              </w:rPr>
            </w:pPr>
            <w:r w:rsidRPr="00E830AD">
              <w:rPr>
                <w:rFonts w:eastAsia="Times New Roman" w:cs="Arial"/>
                <w:color w:val="000000"/>
              </w:rPr>
              <w:t>4.33E-09</w:t>
            </w:r>
          </w:p>
        </w:tc>
      </w:tr>
      <w:tr w:rsidR="00E830AD" w:rsidRPr="00E830AD" w14:paraId="66ADFB4A" w14:textId="77777777" w:rsidTr="00E830AD">
        <w:trPr>
          <w:trHeight w:val="300"/>
        </w:trPr>
        <w:tc>
          <w:tcPr>
            <w:tcW w:w="1188" w:type="dxa"/>
            <w:noWrap/>
            <w:hideMark/>
          </w:tcPr>
          <w:p w14:paraId="66E2F5B4" w14:textId="77777777" w:rsidR="00E830AD" w:rsidRPr="00E830AD" w:rsidRDefault="00E830AD" w:rsidP="00BA78D9">
            <w:pPr>
              <w:jc w:val="right"/>
              <w:rPr>
                <w:rFonts w:eastAsia="Times New Roman" w:cs="Arial"/>
                <w:color w:val="000000"/>
              </w:rPr>
            </w:pPr>
            <w:r w:rsidRPr="00E830AD">
              <w:rPr>
                <w:rFonts w:eastAsia="Times New Roman" w:cs="Arial"/>
                <w:color w:val="000000"/>
              </w:rPr>
              <w:t>487798</w:t>
            </w:r>
          </w:p>
        </w:tc>
        <w:tc>
          <w:tcPr>
            <w:tcW w:w="2041" w:type="dxa"/>
            <w:noWrap/>
            <w:hideMark/>
          </w:tcPr>
          <w:p w14:paraId="2BF8D7FA" w14:textId="63F8DF82" w:rsidR="00E830AD" w:rsidRPr="00E830AD" w:rsidRDefault="00E830AD" w:rsidP="00BA78D9">
            <w:pPr>
              <w:jc w:val="left"/>
              <w:rPr>
                <w:rFonts w:eastAsia="Times New Roman" w:cs="Arial"/>
                <w:color w:val="000000"/>
              </w:rPr>
            </w:pPr>
            <w:r w:rsidRPr="00E830AD">
              <w:rPr>
                <w:rFonts w:eastAsia="Times New Roman" w:cs="Arial"/>
                <w:color w:val="000000"/>
              </w:rPr>
              <w:t>Cell killing</w:t>
            </w:r>
          </w:p>
        </w:tc>
        <w:tc>
          <w:tcPr>
            <w:tcW w:w="1199" w:type="dxa"/>
            <w:noWrap/>
            <w:hideMark/>
          </w:tcPr>
          <w:p w14:paraId="048266A5" w14:textId="77777777" w:rsidR="00E830AD" w:rsidRPr="00E830AD" w:rsidRDefault="00E830AD" w:rsidP="00BA78D9">
            <w:pPr>
              <w:jc w:val="right"/>
              <w:rPr>
                <w:rFonts w:eastAsia="Times New Roman" w:cs="Arial"/>
                <w:color w:val="000000"/>
              </w:rPr>
            </w:pPr>
            <w:r w:rsidRPr="00E830AD">
              <w:rPr>
                <w:rFonts w:eastAsia="Times New Roman" w:cs="Arial"/>
                <w:color w:val="000000"/>
              </w:rPr>
              <w:t>3.39E-02</w:t>
            </w:r>
          </w:p>
        </w:tc>
        <w:tc>
          <w:tcPr>
            <w:tcW w:w="1170" w:type="dxa"/>
            <w:noWrap/>
            <w:hideMark/>
          </w:tcPr>
          <w:p w14:paraId="19A86CBC" w14:textId="4B1651F8" w:rsidR="00E830AD" w:rsidRPr="00E830AD" w:rsidRDefault="00E830AD" w:rsidP="00BA78D9">
            <w:pPr>
              <w:jc w:val="left"/>
              <w:rPr>
                <w:rFonts w:eastAsia="Times New Roman" w:cs="Arial"/>
                <w:color w:val="000000"/>
              </w:rPr>
            </w:pPr>
            <w:r w:rsidRPr="00E830AD">
              <w:rPr>
                <w:rFonts w:eastAsia="Times New Roman" w:cs="Arial"/>
                <w:color w:val="000000"/>
              </w:rPr>
              <w:t>0001906</w:t>
            </w:r>
          </w:p>
        </w:tc>
        <w:tc>
          <w:tcPr>
            <w:tcW w:w="630" w:type="dxa"/>
            <w:noWrap/>
            <w:hideMark/>
          </w:tcPr>
          <w:p w14:paraId="1C276051" w14:textId="77777777" w:rsidR="00E830AD" w:rsidRPr="00E830AD" w:rsidRDefault="00E830AD" w:rsidP="00BA78D9">
            <w:pPr>
              <w:jc w:val="right"/>
              <w:rPr>
                <w:rFonts w:eastAsia="Times New Roman" w:cs="Arial"/>
                <w:color w:val="000000"/>
              </w:rPr>
            </w:pPr>
            <w:r w:rsidRPr="00E830AD">
              <w:rPr>
                <w:rFonts w:eastAsia="Times New Roman" w:cs="Arial"/>
                <w:color w:val="000000"/>
              </w:rPr>
              <w:t>15</w:t>
            </w:r>
          </w:p>
        </w:tc>
        <w:tc>
          <w:tcPr>
            <w:tcW w:w="1080" w:type="dxa"/>
            <w:noWrap/>
            <w:hideMark/>
          </w:tcPr>
          <w:p w14:paraId="2DA6D506" w14:textId="77777777" w:rsidR="00E830AD" w:rsidRPr="00E830AD" w:rsidRDefault="00E830AD" w:rsidP="00BA78D9">
            <w:pPr>
              <w:jc w:val="right"/>
              <w:rPr>
                <w:rFonts w:eastAsia="Times New Roman" w:cs="Arial"/>
                <w:color w:val="000000"/>
              </w:rPr>
            </w:pPr>
            <w:r w:rsidRPr="00E830AD">
              <w:rPr>
                <w:rFonts w:eastAsia="Times New Roman" w:cs="Arial"/>
                <w:color w:val="000000"/>
              </w:rPr>
              <w:t>4.5767</w:t>
            </w:r>
          </w:p>
        </w:tc>
        <w:tc>
          <w:tcPr>
            <w:tcW w:w="1350" w:type="dxa"/>
            <w:noWrap/>
            <w:hideMark/>
          </w:tcPr>
          <w:p w14:paraId="74471999" w14:textId="77777777" w:rsidR="00E830AD" w:rsidRPr="00E830AD" w:rsidRDefault="00E830AD" w:rsidP="00BA78D9">
            <w:pPr>
              <w:jc w:val="right"/>
              <w:rPr>
                <w:rFonts w:eastAsia="Times New Roman" w:cs="Arial"/>
                <w:color w:val="000000"/>
              </w:rPr>
            </w:pPr>
            <w:r w:rsidRPr="00E830AD">
              <w:rPr>
                <w:rFonts w:eastAsia="Times New Roman" w:cs="Arial"/>
                <w:color w:val="000000"/>
              </w:rPr>
              <w:t>2.52E-11</w:t>
            </w:r>
          </w:p>
        </w:tc>
      </w:tr>
      <w:tr w:rsidR="00E830AD" w:rsidRPr="00E830AD" w14:paraId="32ED5F48" w14:textId="77777777" w:rsidTr="00E830AD">
        <w:trPr>
          <w:trHeight w:val="300"/>
        </w:trPr>
        <w:tc>
          <w:tcPr>
            <w:tcW w:w="1188" w:type="dxa"/>
            <w:noWrap/>
            <w:hideMark/>
          </w:tcPr>
          <w:p w14:paraId="3B8E37B3" w14:textId="77777777" w:rsidR="00E830AD" w:rsidRPr="00E830AD" w:rsidRDefault="00E830AD" w:rsidP="00BA78D9">
            <w:pPr>
              <w:jc w:val="right"/>
              <w:rPr>
                <w:rFonts w:eastAsia="Times New Roman" w:cs="Arial"/>
                <w:color w:val="000000"/>
              </w:rPr>
            </w:pPr>
            <w:r w:rsidRPr="00E830AD">
              <w:rPr>
                <w:rFonts w:eastAsia="Times New Roman" w:cs="Arial"/>
                <w:color w:val="000000"/>
              </w:rPr>
              <w:t>490871</w:t>
            </w:r>
          </w:p>
        </w:tc>
        <w:tc>
          <w:tcPr>
            <w:tcW w:w="2041" w:type="dxa"/>
            <w:noWrap/>
            <w:hideMark/>
          </w:tcPr>
          <w:p w14:paraId="59FBA47E" w14:textId="5F2B6DB3" w:rsidR="00E830AD" w:rsidRPr="00E830AD" w:rsidRDefault="00E830AD" w:rsidP="00BA78D9">
            <w:pPr>
              <w:jc w:val="left"/>
              <w:rPr>
                <w:rFonts w:eastAsia="Times New Roman" w:cs="Arial"/>
                <w:color w:val="000000"/>
              </w:rPr>
            </w:pPr>
            <w:r w:rsidRPr="00E830AD">
              <w:rPr>
                <w:rFonts w:eastAsia="Times New Roman" w:cs="Arial"/>
                <w:color w:val="000000"/>
              </w:rPr>
              <w:t>Cytoskeleton</w:t>
            </w:r>
          </w:p>
        </w:tc>
        <w:tc>
          <w:tcPr>
            <w:tcW w:w="1199" w:type="dxa"/>
            <w:noWrap/>
            <w:hideMark/>
          </w:tcPr>
          <w:p w14:paraId="25E26724" w14:textId="77777777" w:rsidR="00E830AD" w:rsidRPr="00E830AD" w:rsidRDefault="00E830AD" w:rsidP="00BA78D9">
            <w:pPr>
              <w:jc w:val="right"/>
              <w:rPr>
                <w:rFonts w:eastAsia="Times New Roman" w:cs="Arial"/>
                <w:color w:val="000000"/>
              </w:rPr>
            </w:pPr>
            <w:r w:rsidRPr="00E830AD">
              <w:rPr>
                <w:rFonts w:eastAsia="Times New Roman" w:cs="Arial"/>
                <w:color w:val="000000"/>
              </w:rPr>
              <w:t>2.14E-40</w:t>
            </w:r>
          </w:p>
        </w:tc>
        <w:tc>
          <w:tcPr>
            <w:tcW w:w="1170" w:type="dxa"/>
            <w:noWrap/>
            <w:hideMark/>
          </w:tcPr>
          <w:p w14:paraId="799BA318" w14:textId="6B089445" w:rsidR="00E830AD" w:rsidRPr="00E830AD" w:rsidRDefault="00E830AD" w:rsidP="00BA78D9">
            <w:pPr>
              <w:jc w:val="left"/>
              <w:rPr>
                <w:rFonts w:eastAsia="Times New Roman" w:cs="Arial"/>
                <w:color w:val="000000"/>
              </w:rPr>
            </w:pPr>
            <w:r w:rsidRPr="00E830AD">
              <w:rPr>
                <w:rFonts w:eastAsia="Times New Roman" w:cs="Arial"/>
                <w:color w:val="000000"/>
              </w:rPr>
              <w:t>0005856</w:t>
            </w:r>
          </w:p>
        </w:tc>
        <w:tc>
          <w:tcPr>
            <w:tcW w:w="630" w:type="dxa"/>
            <w:noWrap/>
            <w:hideMark/>
          </w:tcPr>
          <w:p w14:paraId="67CCD168" w14:textId="77777777" w:rsidR="00E830AD" w:rsidRPr="00E830AD" w:rsidRDefault="00E830AD" w:rsidP="00BA78D9">
            <w:pPr>
              <w:jc w:val="right"/>
              <w:rPr>
                <w:rFonts w:eastAsia="Times New Roman" w:cs="Arial"/>
                <w:color w:val="000000"/>
              </w:rPr>
            </w:pPr>
            <w:r w:rsidRPr="00E830AD">
              <w:rPr>
                <w:rFonts w:eastAsia="Times New Roman" w:cs="Arial"/>
                <w:color w:val="000000"/>
              </w:rPr>
              <w:t>418</w:t>
            </w:r>
          </w:p>
        </w:tc>
        <w:tc>
          <w:tcPr>
            <w:tcW w:w="1080" w:type="dxa"/>
            <w:noWrap/>
            <w:hideMark/>
          </w:tcPr>
          <w:p w14:paraId="378A829C" w14:textId="77777777" w:rsidR="00E830AD" w:rsidRPr="00E830AD" w:rsidRDefault="00E830AD" w:rsidP="00BA78D9">
            <w:pPr>
              <w:jc w:val="right"/>
              <w:rPr>
                <w:rFonts w:eastAsia="Times New Roman" w:cs="Arial"/>
                <w:color w:val="000000"/>
              </w:rPr>
            </w:pPr>
            <w:r w:rsidRPr="00E830AD">
              <w:rPr>
                <w:rFonts w:eastAsia="Times New Roman" w:cs="Arial"/>
                <w:color w:val="000000"/>
              </w:rPr>
              <w:t>4.2486</w:t>
            </w:r>
          </w:p>
        </w:tc>
        <w:tc>
          <w:tcPr>
            <w:tcW w:w="1350" w:type="dxa"/>
            <w:noWrap/>
            <w:hideMark/>
          </w:tcPr>
          <w:p w14:paraId="57C16FDD" w14:textId="77777777" w:rsidR="00E830AD" w:rsidRPr="00E830AD" w:rsidRDefault="00E830AD" w:rsidP="00BA78D9">
            <w:pPr>
              <w:jc w:val="right"/>
              <w:rPr>
                <w:rFonts w:eastAsia="Times New Roman" w:cs="Arial"/>
                <w:color w:val="000000"/>
              </w:rPr>
            </w:pPr>
            <w:r w:rsidRPr="00E830AD">
              <w:rPr>
                <w:rFonts w:eastAsia="Times New Roman" w:cs="Arial"/>
                <w:color w:val="000000"/>
              </w:rPr>
              <w:t>1.08E-09</w:t>
            </w:r>
          </w:p>
        </w:tc>
      </w:tr>
      <w:tr w:rsidR="00E830AD" w:rsidRPr="00E830AD" w14:paraId="50ECDF2F" w14:textId="77777777" w:rsidTr="00E830AD">
        <w:trPr>
          <w:trHeight w:val="300"/>
        </w:trPr>
        <w:tc>
          <w:tcPr>
            <w:tcW w:w="1188" w:type="dxa"/>
            <w:noWrap/>
            <w:hideMark/>
          </w:tcPr>
          <w:p w14:paraId="576D1982" w14:textId="77777777" w:rsidR="00E830AD" w:rsidRPr="00E830AD" w:rsidRDefault="00E830AD" w:rsidP="00BA78D9">
            <w:pPr>
              <w:jc w:val="right"/>
              <w:rPr>
                <w:rFonts w:eastAsia="Times New Roman" w:cs="Arial"/>
                <w:color w:val="000000"/>
              </w:rPr>
            </w:pPr>
            <w:r w:rsidRPr="00E830AD">
              <w:rPr>
                <w:rFonts w:eastAsia="Times New Roman" w:cs="Arial"/>
                <w:color w:val="000000"/>
              </w:rPr>
              <w:t>516744</w:t>
            </w:r>
          </w:p>
        </w:tc>
        <w:tc>
          <w:tcPr>
            <w:tcW w:w="2041" w:type="dxa"/>
            <w:noWrap/>
            <w:hideMark/>
          </w:tcPr>
          <w:p w14:paraId="0F786D97" w14:textId="78F5F8B4" w:rsidR="00E830AD" w:rsidRPr="00E830AD" w:rsidRDefault="00E830AD" w:rsidP="00BA78D9">
            <w:pPr>
              <w:jc w:val="left"/>
              <w:rPr>
                <w:rFonts w:eastAsia="Times New Roman" w:cs="Arial"/>
                <w:color w:val="000000"/>
              </w:rPr>
            </w:pPr>
            <w:r w:rsidRPr="00E830AD">
              <w:rPr>
                <w:rFonts w:eastAsia="Times New Roman" w:cs="Arial"/>
                <w:color w:val="000000"/>
              </w:rPr>
              <w:t>Protein complex subunit organization</w:t>
            </w:r>
          </w:p>
        </w:tc>
        <w:tc>
          <w:tcPr>
            <w:tcW w:w="1199" w:type="dxa"/>
            <w:noWrap/>
            <w:hideMark/>
          </w:tcPr>
          <w:p w14:paraId="1A10F9C6" w14:textId="77777777" w:rsidR="00E830AD" w:rsidRPr="00E830AD" w:rsidRDefault="00E830AD" w:rsidP="00BA78D9">
            <w:pPr>
              <w:jc w:val="right"/>
              <w:rPr>
                <w:rFonts w:eastAsia="Times New Roman" w:cs="Arial"/>
                <w:color w:val="000000"/>
              </w:rPr>
            </w:pPr>
            <w:r w:rsidRPr="00E830AD">
              <w:rPr>
                <w:rFonts w:eastAsia="Times New Roman" w:cs="Arial"/>
                <w:color w:val="000000"/>
              </w:rPr>
              <w:t>8.08E-42</w:t>
            </w:r>
          </w:p>
        </w:tc>
        <w:tc>
          <w:tcPr>
            <w:tcW w:w="1170" w:type="dxa"/>
            <w:noWrap/>
            <w:hideMark/>
          </w:tcPr>
          <w:p w14:paraId="184AD216" w14:textId="0D081DC1" w:rsidR="00E830AD" w:rsidRPr="00E830AD" w:rsidRDefault="00E830AD" w:rsidP="00BA78D9">
            <w:pPr>
              <w:jc w:val="left"/>
              <w:rPr>
                <w:rFonts w:eastAsia="Times New Roman" w:cs="Arial"/>
                <w:color w:val="000000"/>
              </w:rPr>
            </w:pPr>
            <w:r w:rsidRPr="00E830AD">
              <w:rPr>
                <w:rFonts w:eastAsia="Times New Roman" w:cs="Arial"/>
                <w:color w:val="000000"/>
              </w:rPr>
              <w:t>0071822</w:t>
            </w:r>
          </w:p>
        </w:tc>
        <w:tc>
          <w:tcPr>
            <w:tcW w:w="630" w:type="dxa"/>
            <w:noWrap/>
            <w:hideMark/>
          </w:tcPr>
          <w:p w14:paraId="4E7747EB" w14:textId="77777777" w:rsidR="00E830AD" w:rsidRPr="00E830AD" w:rsidRDefault="00E830AD" w:rsidP="00BA78D9">
            <w:pPr>
              <w:jc w:val="right"/>
              <w:rPr>
                <w:rFonts w:eastAsia="Times New Roman" w:cs="Arial"/>
                <w:color w:val="000000"/>
              </w:rPr>
            </w:pPr>
            <w:r w:rsidRPr="00E830AD">
              <w:rPr>
                <w:rFonts w:eastAsia="Times New Roman" w:cs="Arial"/>
                <w:color w:val="000000"/>
              </w:rPr>
              <w:t>356</w:t>
            </w:r>
          </w:p>
        </w:tc>
        <w:tc>
          <w:tcPr>
            <w:tcW w:w="1080" w:type="dxa"/>
            <w:noWrap/>
            <w:hideMark/>
          </w:tcPr>
          <w:p w14:paraId="510EEB58" w14:textId="77777777" w:rsidR="00E830AD" w:rsidRPr="00E830AD" w:rsidRDefault="00E830AD" w:rsidP="00BA78D9">
            <w:pPr>
              <w:jc w:val="right"/>
              <w:rPr>
                <w:rFonts w:eastAsia="Times New Roman" w:cs="Arial"/>
                <w:color w:val="000000"/>
              </w:rPr>
            </w:pPr>
            <w:r w:rsidRPr="00E830AD">
              <w:rPr>
                <w:rFonts w:eastAsia="Times New Roman" w:cs="Arial"/>
                <w:color w:val="000000"/>
              </w:rPr>
              <w:t>1.6116</w:t>
            </w:r>
          </w:p>
        </w:tc>
        <w:tc>
          <w:tcPr>
            <w:tcW w:w="1350" w:type="dxa"/>
            <w:noWrap/>
            <w:hideMark/>
          </w:tcPr>
          <w:p w14:paraId="44677B2A" w14:textId="77777777" w:rsidR="00E830AD" w:rsidRPr="00E830AD" w:rsidRDefault="00E830AD" w:rsidP="00BA78D9">
            <w:pPr>
              <w:jc w:val="right"/>
              <w:rPr>
                <w:rFonts w:eastAsia="Times New Roman" w:cs="Arial"/>
                <w:color w:val="000000"/>
              </w:rPr>
            </w:pPr>
            <w:r w:rsidRPr="00E830AD">
              <w:rPr>
                <w:rFonts w:eastAsia="Times New Roman" w:cs="Arial"/>
                <w:color w:val="000000"/>
              </w:rPr>
              <w:t>1.44E-04</w:t>
            </w:r>
          </w:p>
        </w:tc>
      </w:tr>
      <w:tr w:rsidR="00E830AD" w:rsidRPr="00E830AD" w14:paraId="4B95F33E" w14:textId="77777777" w:rsidTr="00E830AD">
        <w:trPr>
          <w:trHeight w:val="300"/>
        </w:trPr>
        <w:tc>
          <w:tcPr>
            <w:tcW w:w="1188" w:type="dxa"/>
            <w:noWrap/>
            <w:hideMark/>
          </w:tcPr>
          <w:p w14:paraId="2A3B019E" w14:textId="77777777" w:rsidR="00E830AD" w:rsidRPr="00E830AD" w:rsidRDefault="00E830AD" w:rsidP="00BA78D9">
            <w:pPr>
              <w:jc w:val="right"/>
              <w:rPr>
                <w:rFonts w:eastAsia="Times New Roman" w:cs="Arial"/>
                <w:color w:val="000000"/>
              </w:rPr>
            </w:pPr>
            <w:r w:rsidRPr="00E830AD">
              <w:rPr>
                <w:rFonts w:eastAsia="Times New Roman" w:cs="Arial"/>
                <w:color w:val="000000"/>
              </w:rPr>
              <w:t>489296</w:t>
            </w:r>
          </w:p>
        </w:tc>
        <w:tc>
          <w:tcPr>
            <w:tcW w:w="2041" w:type="dxa"/>
            <w:noWrap/>
            <w:hideMark/>
          </w:tcPr>
          <w:p w14:paraId="34B9C152" w14:textId="7FF96FFF" w:rsidR="00E830AD" w:rsidRPr="00E830AD" w:rsidRDefault="00E830AD" w:rsidP="00BA78D9">
            <w:pPr>
              <w:jc w:val="left"/>
              <w:rPr>
                <w:rFonts w:eastAsia="Times New Roman" w:cs="Arial"/>
                <w:color w:val="000000"/>
              </w:rPr>
            </w:pPr>
            <w:r w:rsidRPr="00E830AD">
              <w:rPr>
                <w:rFonts w:eastAsia="Times New Roman" w:cs="Arial"/>
                <w:color w:val="000000"/>
              </w:rPr>
              <w:t>Muscle contraction</w:t>
            </w:r>
          </w:p>
        </w:tc>
        <w:tc>
          <w:tcPr>
            <w:tcW w:w="1199" w:type="dxa"/>
            <w:noWrap/>
            <w:hideMark/>
          </w:tcPr>
          <w:p w14:paraId="553A4619" w14:textId="77777777" w:rsidR="00E830AD" w:rsidRPr="00E830AD" w:rsidRDefault="00E830AD" w:rsidP="00BA78D9">
            <w:pPr>
              <w:jc w:val="right"/>
              <w:rPr>
                <w:rFonts w:eastAsia="Times New Roman" w:cs="Arial"/>
                <w:color w:val="000000"/>
              </w:rPr>
            </w:pPr>
            <w:r w:rsidRPr="00E830AD">
              <w:rPr>
                <w:rFonts w:eastAsia="Times New Roman" w:cs="Arial"/>
                <w:color w:val="000000"/>
              </w:rPr>
              <w:t>1.91E-12</w:t>
            </w:r>
          </w:p>
        </w:tc>
        <w:tc>
          <w:tcPr>
            <w:tcW w:w="1170" w:type="dxa"/>
            <w:noWrap/>
            <w:hideMark/>
          </w:tcPr>
          <w:p w14:paraId="37A008B8" w14:textId="12DDA2E9" w:rsidR="00E830AD" w:rsidRPr="00E830AD" w:rsidRDefault="00E830AD" w:rsidP="00BA78D9">
            <w:pPr>
              <w:jc w:val="left"/>
              <w:rPr>
                <w:rFonts w:eastAsia="Times New Roman" w:cs="Arial"/>
                <w:color w:val="000000"/>
              </w:rPr>
            </w:pPr>
            <w:r w:rsidRPr="00E830AD">
              <w:rPr>
                <w:rFonts w:eastAsia="Times New Roman" w:cs="Arial"/>
                <w:color w:val="000000"/>
              </w:rPr>
              <w:t>0006936</w:t>
            </w:r>
          </w:p>
        </w:tc>
        <w:tc>
          <w:tcPr>
            <w:tcW w:w="630" w:type="dxa"/>
            <w:noWrap/>
            <w:hideMark/>
          </w:tcPr>
          <w:p w14:paraId="4444258C" w14:textId="77777777" w:rsidR="00E830AD" w:rsidRPr="00E830AD" w:rsidRDefault="00E830AD" w:rsidP="00BA78D9">
            <w:pPr>
              <w:jc w:val="right"/>
              <w:rPr>
                <w:rFonts w:eastAsia="Times New Roman" w:cs="Arial"/>
                <w:color w:val="000000"/>
              </w:rPr>
            </w:pPr>
            <w:r w:rsidRPr="00E830AD">
              <w:rPr>
                <w:rFonts w:eastAsia="Times New Roman" w:cs="Arial"/>
                <w:color w:val="000000"/>
              </w:rPr>
              <w:t>70</w:t>
            </w:r>
          </w:p>
        </w:tc>
        <w:tc>
          <w:tcPr>
            <w:tcW w:w="1080" w:type="dxa"/>
            <w:noWrap/>
            <w:hideMark/>
          </w:tcPr>
          <w:p w14:paraId="05614314" w14:textId="77777777" w:rsidR="00E830AD" w:rsidRPr="00E830AD" w:rsidRDefault="00E830AD" w:rsidP="00BA78D9">
            <w:pPr>
              <w:jc w:val="right"/>
              <w:rPr>
                <w:rFonts w:eastAsia="Times New Roman" w:cs="Arial"/>
                <w:color w:val="000000"/>
              </w:rPr>
            </w:pPr>
            <w:r w:rsidRPr="00E830AD">
              <w:rPr>
                <w:rFonts w:eastAsia="Times New Roman" w:cs="Arial"/>
                <w:color w:val="000000"/>
              </w:rPr>
              <w:t>3.4826</w:t>
            </w:r>
          </w:p>
        </w:tc>
        <w:tc>
          <w:tcPr>
            <w:tcW w:w="1350" w:type="dxa"/>
            <w:noWrap/>
            <w:hideMark/>
          </w:tcPr>
          <w:p w14:paraId="7F571A39" w14:textId="77777777" w:rsidR="00E830AD" w:rsidRPr="00E830AD" w:rsidRDefault="00E830AD" w:rsidP="00BA78D9">
            <w:pPr>
              <w:jc w:val="right"/>
              <w:rPr>
                <w:rFonts w:eastAsia="Times New Roman" w:cs="Arial"/>
                <w:color w:val="000000"/>
              </w:rPr>
            </w:pPr>
            <w:r w:rsidRPr="00E830AD">
              <w:rPr>
                <w:rFonts w:eastAsia="Times New Roman" w:cs="Arial"/>
                <w:color w:val="000000"/>
              </w:rPr>
              <w:t>2.61E-08</w:t>
            </w:r>
          </w:p>
        </w:tc>
      </w:tr>
      <w:tr w:rsidR="00E830AD" w:rsidRPr="00E830AD" w14:paraId="08A20800" w14:textId="77777777" w:rsidTr="00E830AD">
        <w:trPr>
          <w:trHeight w:val="300"/>
        </w:trPr>
        <w:tc>
          <w:tcPr>
            <w:tcW w:w="1188" w:type="dxa"/>
            <w:noWrap/>
          </w:tcPr>
          <w:p w14:paraId="3B793880" w14:textId="60AC27A8" w:rsidR="00E830AD" w:rsidRPr="00E830AD" w:rsidRDefault="00E830AD" w:rsidP="00BA78D9">
            <w:pPr>
              <w:jc w:val="right"/>
              <w:rPr>
                <w:rFonts w:eastAsia="Times New Roman" w:cs="Arial"/>
                <w:color w:val="000000"/>
              </w:rPr>
            </w:pPr>
            <w:r w:rsidRPr="00E830AD">
              <w:rPr>
                <w:rFonts w:cs="Arial"/>
                <w:color w:val="000000"/>
              </w:rPr>
              <w:t>489491</w:t>
            </w:r>
          </w:p>
        </w:tc>
        <w:tc>
          <w:tcPr>
            <w:tcW w:w="2041" w:type="dxa"/>
            <w:noWrap/>
          </w:tcPr>
          <w:p w14:paraId="34794D62" w14:textId="64077A38" w:rsidR="00E830AD" w:rsidRPr="00E830AD" w:rsidRDefault="00E830AD" w:rsidP="00BA78D9">
            <w:pPr>
              <w:jc w:val="left"/>
              <w:rPr>
                <w:rFonts w:eastAsia="Times New Roman" w:cs="Arial"/>
                <w:color w:val="000000"/>
              </w:rPr>
            </w:pPr>
            <w:r w:rsidRPr="00E830AD">
              <w:rPr>
                <w:rFonts w:eastAsia="Times New Roman" w:cs="Arial"/>
                <w:color w:val="000000"/>
              </w:rPr>
              <w:t>alcohol dehydrogenase (NAD) activity</w:t>
            </w:r>
          </w:p>
        </w:tc>
        <w:tc>
          <w:tcPr>
            <w:tcW w:w="1199" w:type="dxa"/>
            <w:noWrap/>
          </w:tcPr>
          <w:p w14:paraId="2C9A7C00" w14:textId="0D0E621A" w:rsidR="00E830AD" w:rsidRPr="00E830AD" w:rsidRDefault="00E830AD" w:rsidP="00BA78D9">
            <w:pPr>
              <w:jc w:val="right"/>
              <w:rPr>
                <w:rFonts w:eastAsia="Times New Roman" w:cs="Arial"/>
                <w:color w:val="000000"/>
              </w:rPr>
            </w:pPr>
            <w:r w:rsidRPr="00E830AD">
              <w:rPr>
                <w:rFonts w:eastAsia="Times New Roman" w:cs="Arial"/>
                <w:color w:val="000000"/>
              </w:rPr>
              <w:t>4.42E-02</w:t>
            </w:r>
          </w:p>
        </w:tc>
        <w:tc>
          <w:tcPr>
            <w:tcW w:w="1170" w:type="dxa"/>
            <w:noWrap/>
          </w:tcPr>
          <w:p w14:paraId="3D93C5D8" w14:textId="28E45265" w:rsidR="00E830AD" w:rsidRPr="00E830AD" w:rsidRDefault="00E830AD" w:rsidP="00BA78D9">
            <w:pPr>
              <w:jc w:val="left"/>
              <w:rPr>
                <w:rFonts w:eastAsia="Times New Roman" w:cs="Arial"/>
                <w:color w:val="000000"/>
              </w:rPr>
            </w:pPr>
            <w:r w:rsidRPr="00E830AD">
              <w:rPr>
                <w:rFonts w:cs="Arial"/>
                <w:color w:val="000000"/>
              </w:rPr>
              <w:t>0004022</w:t>
            </w:r>
          </w:p>
        </w:tc>
        <w:tc>
          <w:tcPr>
            <w:tcW w:w="630" w:type="dxa"/>
            <w:noWrap/>
          </w:tcPr>
          <w:p w14:paraId="1E9A1E5F" w14:textId="13053C9B" w:rsidR="00E830AD" w:rsidRPr="00E830AD" w:rsidRDefault="00E830AD" w:rsidP="00BA78D9">
            <w:pPr>
              <w:jc w:val="right"/>
              <w:rPr>
                <w:rFonts w:eastAsia="Times New Roman" w:cs="Arial"/>
                <w:color w:val="000000"/>
              </w:rPr>
            </w:pPr>
            <w:r>
              <w:rPr>
                <w:rFonts w:eastAsia="Times New Roman" w:cs="Arial"/>
                <w:color w:val="000000"/>
              </w:rPr>
              <w:t>5</w:t>
            </w:r>
          </w:p>
        </w:tc>
        <w:tc>
          <w:tcPr>
            <w:tcW w:w="1080" w:type="dxa"/>
            <w:noWrap/>
          </w:tcPr>
          <w:p w14:paraId="198BEA39" w14:textId="4AF2D189" w:rsidR="00E830AD" w:rsidRPr="00E830AD" w:rsidRDefault="00E830AD" w:rsidP="00BA78D9">
            <w:pPr>
              <w:jc w:val="right"/>
              <w:rPr>
                <w:rFonts w:eastAsia="Times New Roman" w:cs="Arial"/>
                <w:color w:val="000000"/>
              </w:rPr>
            </w:pPr>
            <w:r>
              <w:rPr>
                <w:rFonts w:eastAsia="Times New Roman" w:cs="Arial"/>
                <w:color w:val="000000"/>
              </w:rPr>
              <w:t>2.4551</w:t>
            </w:r>
          </w:p>
        </w:tc>
        <w:tc>
          <w:tcPr>
            <w:tcW w:w="1350" w:type="dxa"/>
            <w:noWrap/>
          </w:tcPr>
          <w:p w14:paraId="27A539AA" w14:textId="605D5CB2" w:rsidR="00E830AD" w:rsidRPr="00E830AD" w:rsidRDefault="00E830AD" w:rsidP="00BA78D9">
            <w:pPr>
              <w:jc w:val="right"/>
              <w:rPr>
                <w:rFonts w:eastAsia="Times New Roman" w:cs="Arial"/>
                <w:color w:val="000000"/>
              </w:rPr>
            </w:pPr>
            <w:r>
              <w:rPr>
                <w:rFonts w:eastAsia="Times New Roman" w:cs="Arial"/>
                <w:color w:val="000000"/>
              </w:rPr>
              <w:t>1.16E-11</w:t>
            </w:r>
          </w:p>
        </w:tc>
      </w:tr>
    </w:tbl>
    <w:p w14:paraId="30C7D7F5" w14:textId="00A69C40" w:rsidR="000A2D1D" w:rsidRPr="00A90E23" w:rsidRDefault="0063508B" w:rsidP="0063508B">
      <w:pPr>
        <w:spacing w:line="480" w:lineRule="auto"/>
        <w:rPr>
          <w:rFonts w:cs="Arial"/>
        </w:rPr>
      </w:pPr>
      <w:r w:rsidRPr="00A90E23">
        <w:rPr>
          <w:rFonts w:cs="Arial"/>
        </w:rPr>
        <w:lastRenderedPageBreak/>
        <w:t>We guess that these cytoskeletal proteins are excreted from the dead intestinal cells and immune response cells, and their amount is different from person to person.  Interestingly, alcohol dehydrogenase (GO:</w:t>
      </w:r>
      <w:r w:rsidRPr="00A90E23">
        <w:rPr>
          <w:rFonts w:cs="Arial"/>
          <w:color w:val="000000"/>
        </w:rPr>
        <w:t xml:space="preserve"> 0004022) </w:t>
      </w:r>
      <w:r w:rsidRPr="00A90E23">
        <w:rPr>
          <w:rFonts w:cs="Arial"/>
        </w:rPr>
        <w:t xml:space="preserve">is also differentially detected over healthy volunteers (Table 17).  Its QP model FDR (1.16E-11) and Cohen’s f (2.4551) shows how it is variously expressed from person to person.  </w:t>
      </w:r>
    </w:p>
    <w:p w14:paraId="03ED14AE" w14:textId="79C18ED1" w:rsidR="00AC565C" w:rsidRDefault="006D0C13" w:rsidP="0063508B">
      <w:pPr>
        <w:spacing w:line="480" w:lineRule="auto"/>
        <w:ind w:firstLine="720"/>
        <w:rPr>
          <w:rFonts w:cs="Arial"/>
          <w:color w:val="000000"/>
        </w:rPr>
      </w:pPr>
      <w:r w:rsidRPr="00A90E23">
        <w:rPr>
          <w:rFonts w:cs="Arial"/>
        </w:rPr>
        <w:t xml:space="preserve">Functional features of microbial proteins were analyzed by employing </w:t>
      </w:r>
      <w:r w:rsidR="000A2D1D" w:rsidRPr="00A90E23">
        <w:rPr>
          <w:rFonts w:cs="Arial"/>
        </w:rPr>
        <w:t>COG terms</w:t>
      </w:r>
      <w:r w:rsidRPr="00A90E23">
        <w:rPr>
          <w:rFonts w:cs="Arial"/>
        </w:rPr>
        <w:t>.  We tested COG terms by enrichment test using Fisher’s exact test and</w:t>
      </w:r>
      <w:r w:rsidR="000B642A" w:rsidRPr="00A90E23">
        <w:rPr>
          <w:rFonts w:cs="Arial"/>
        </w:rPr>
        <w:t xml:space="preserve"> quantitative</w:t>
      </w:r>
      <w:r w:rsidRPr="00A90E23">
        <w:rPr>
          <w:rFonts w:cs="Arial"/>
        </w:rPr>
        <w:t xml:space="preserve"> QP model </w:t>
      </w:r>
      <w:r w:rsidR="000353BF" w:rsidRPr="00A90E23">
        <w:rPr>
          <w:rFonts w:cs="Arial"/>
        </w:rPr>
        <w:t>with</w:t>
      </w:r>
      <w:r w:rsidRPr="00A90E23">
        <w:rPr>
          <w:rFonts w:cs="Arial"/>
        </w:rPr>
        <w:t xml:space="preserve"> confer</w:t>
      </w:r>
      <w:r w:rsidR="000353BF" w:rsidRPr="00A90E23">
        <w:rPr>
          <w:rFonts w:cs="Arial"/>
        </w:rPr>
        <w:t>red SC from</w:t>
      </w:r>
      <w:r w:rsidRPr="00A90E23">
        <w:rPr>
          <w:rFonts w:cs="Arial"/>
        </w:rPr>
        <w:t xml:space="preserve"> member protein</w:t>
      </w:r>
      <w:r w:rsidR="009B3927" w:rsidRPr="00A90E23">
        <w:rPr>
          <w:rFonts w:cs="Arial"/>
        </w:rPr>
        <w:t xml:space="preserve"> to COG terms.  </w:t>
      </w:r>
      <w:r w:rsidRPr="00A90E23">
        <w:rPr>
          <w:rFonts w:cs="Arial"/>
        </w:rPr>
        <w:t xml:space="preserve"> </w:t>
      </w:r>
      <w:r w:rsidR="00E00CD3" w:rsidRPr="00A90E23">
        <w:rPr>
          <w:rFonts w:cs="Arial"/>
        </w:rPr>
        <w:t>Lots of ribosome related COG terms</w:t>
      </w:r>
      <w:r w:rsidR="007F0EBB" w:rsidRPr="00A90E23">
        <w:rPr>
          <w:rFonts w:cs="Arial"/>
        </w:rPr>
        <w:t xml:space="preserve"> were frequently found in the COG analysis result</w:t>
      </w:r>
      <w:r w:rsidR="00E00CD3" w:rsidRPr="00A90E23">
        <w:rPr>
          <w:rFonts w:cs="Arial"/>
        </w:rPr>
        <w:t xml:space="preserve">, such as ribosomal protein </w:t>
      </w:r>
      <w:r w:rsidR="005616DF" w:rsidRPr="00A90E23">
        <w:rPr>
          <w:rFonts w:cs="Arial"/>
        </w:rPr>
        <w:t>L1 (</w:t>
      </w:r>
      <w:r w:rsidR="005616DF" w:rsidRPr="00A90E23">
        <w:rPr>
          <w:rFonts w:cs="Arial"/>
          <w:color w:val="000000"/>
        </w:rPr>
        <w:t>COG00081</w:t>
      </w:r>
      <w:r w:rsidR="005616DF" w:rsidRPr="00A90E23">
        <w:rPr>
          <w:rFonts w:cs="Arial"/>
        </w:rPr>
        <w:t xml:space="preserve">), </w:t>
      </w:r>
      <w:r w:rsidR="00D94C4A" w:rsidRPr="00A90E23">
        <w:rPr>
          <w:rFonts w:cs="Arial"/>
        </w:rPr>
        <w:t>S2 (</w:t>
      </w:r>
      <w:r w:rsidR="00D94C4A" w:rsidRPr="00A90E23">
        <w:rPr>
          <w:rFonts w:cs="Arial"/>
          <w:color w:val="000000"/>
        </w:rPr>
        <w:t>COG00052</w:t>
      </w:r>
      <w:r w:rsidR="00D94C4A" w:rsidRPr="00A90E23">
        <w:rPr>
          <w:rFonts w:cs="Arial"/>
        </w:rPr>
        <w:t xml:space="preserve">), </w:t>
      </w:r>
      <w:r w:rsidR="00E00CD3" w:rsidRPr="00A90E23">
        <w:rPr>
          <w:rFonts w:cs="Arial"/>
        </w:rPr>
        <w:t>S10</w:t>
      </w:r>
      <w:r w:rsidR="00D94C4A" w:rsidRPr="00A90E23">
        <w:rPr>
          <w:rFonts w:cs="Arial"/>
        </w:rPr>
        <w:t xml:space="preserve"> (COG0051), S11 (</w:t>
      </w:r>
      <w:r w:rsidR="00D94C4A" w:rsidRPr="00A90E23">
        <w:rPr>
          <w:rFonts w:cs="Arial"/>
          <w:color w:val="000000"/>
        </w:rPr>
        <w:t>COG00100)</w:t>
      </w:r>
      <w:r w:rsidR="00D94C4A" w:rsidRPr="00A90E23">
        <w:rPr>
          <w:rFonts w:cs="Arial"/>
        </w:rPr>
        <w:t>,</w:t>
      </w:r>
      <w:r w:rsidR="00E00CD3" w:rsidRPr="00A90E23">
        <w:rPr>
          <w:rFonts w:cs="Arial"/>
        </w:rPr>
        <w:t xml:space="preserve"> L11 (COG0080)</w:t>
      </w:r>
      <w:r w:rsidR="00D94C4A" w:rsidRPr="00A90E23">
        <w:rPr>
          <w:rFonts w:cs="Arial"/>
        </w:rPr>
        <w:t>, S12 (COG00048) and S19 (</w:t>
      </w:r>
      <w:r w:rsidR="00D94C4A" w:rsidRPr="00A90E23">
        <w:rPr>
          <w:rFonts w:cs="Arial"/>
          <w:color w:val="000000"/>
        </w:rPr>
        <w:t>COG00185)</w:t>
      </w:r>
      <w:r w:rsidR="007F0EBB" w:rsidRPr="00A90E23">
        <w:rPr>
          <w:rFonts w:cs="Arial"/>
          <w:color w:val="000000"/>
        </w:rPr>
        <w:t xml:space="preserve"> </w:t>
      </w:r>
      <w:r w:rsidR="001D2105" w:rsidRPr="00A90E23">
        <w:rPr>
          <w:rFonts w:cs="Arial"/>
          <w:color w:val="000000"/>
        </w:rPr>
        <w:t>at</w:t>
      </w:r>
      <w:r w:rsidR="005616DF" w:rsidRPr="00A90E23">
        <w:rPr>
          <w:rFonts w:cs="Arial"/>
          <w:color w:val="000000"/>
        </w:rPr>
        <w:t xml:space="preserve"> enrichment FDR &lt; 2.95E-09</w:t>
      </w:r>
      <w:r w:rsidR="005355DF" w:rsidRPr="00A90E23">
        <w:rPr>
          <w:rFonts w:cs="Arial"/>
          <w:color w:val="000000"/>
        </w:rPr>
        <w:t xml:space="preserve"> and</w:t>
      </w:r>
      <w:r w:rsidR="001D2105" w:rsidRPr="00A90E23">
        <w:rPr>
          <w:rFonts w:cs="Arial"/>
          <w:color w:val="000000"/>
        </w:rPr>
        <w:t xml:space="preserve"> </w:t>
      </w:r>
      <w:r w:rsidR="005355DF" w:rsidRPr="00A90E23">
        <w:rPr>
          <w:rFonts w:cs="Arial"/>
          <w:color w:val="000000"/>
        </w:rPr>
        <w:t xml:space="preserve">QP FDR &lt; 0.0007 </w:t>
      </w:r>
      <w:r w:rsidR="007F0EBB" w:rsidRPr="00A90E23">
        <w:rPr>
          <w:rFonts w:cs="Arial"/>
          <w:color w:val="000000"/>
        </w:rPr>
        <w:t>(Table 18)</w:t>
      </w:r>
      <w:r w:rsidR="00B04A5A" w:rsidRPr="00A90E23">
        <w:rPr>
          <w:rFonts w:cs="Arial"/>
        </w:rPr>
        <w:t xml:space="preserve">.  Since </w:t>
      </w:r>
      <w:r w:rsidR="00E00CD3" w:rsidRPr="00A90E23">
        <w:rPr>
          <w:rFonts w:cs="Arial"/>
        </w:rPr>
        <w:t>ribosome is the most abundant protein in microorganism cells</w:t>
      </w:r>
      <w:r w:rsidR="00B04A5A" w:rsidRPr="00A90E23">
        <w:rPr>
          <w:rFonts w:cs="Arial"/>
        </w:rPr>
        <w:t xml:space="preserve">, </w:t>
      </w:r>
      <w:r w:rsidR="00BB2693" w:rsidRPr="00A90E23">
        <w:rPr>
          <w:rFonts w:cs="Arial"/>
        </w:rPr>
        <w:t>many</w:t>
      </w:r>
      <w:r w:rsidR="00B04A5A" w:rsidRPr="00A90E23">
        <w:rPr>
          <w:rFonts w:cs="Arial"/>
        </w:rPr>
        <w:t xml:space="preserve"> ribosome-related COGs were </w:t>
      </w:r>
      <w:r w:rsidR="00BB2693" w:rsidRPr="00A90E23">
        <w:rPr>
          <w:rFonts w:cs="Arial"/>
        </w:rPr>
        <w:t>detected in the COG analysis</w:t>
      </w:r>
      <w:r w:rsidR="00E00CD3" w:rsidRPr="00A90E23">
        <w:rPr>
          <w:rFonts w:cs="Arial"/>
        </w:rPr>
        <w:t>.</w:t>
      </w:r>
      <w:r w:rsidR="007F0EBB" w:rsidRPr="00A90E23">
        <w:rPr>
          <w:rFonts w:cs="Arial"/>
        </w:rPr>
        <w:t xml:space="preserve"> </w:t>
      </w:r>
      <w:r w:rsidR="00377B5E" w:rsidRPr="00A90E23">
        <w:rPr>
          <w:rFonts w:cs="Arial"/>
        </w:rPr>
        <w:t>E</w:t>
      </w:r>
      <w:r w:rsidR="00B70EE6" w:rsidRPr="00A90E23">
        <w:rPr>
          <w:rFonts w:cs="Arial"/>
        </w:rPr>
        <w:t>nergy-required</w:t>
      </w:r>
      <w:r w:rsidR="00C50406" w:rsidRPr="00A90E23">
        <w:rPr>
          <w:rFonts w:cs="Arial"/>
        </w:rPr>
        <w:t xml:space="preserve"> (ATP or GTP)</w:t>
      </w:r>
      <w:r w:rsidR="00B70EE6" w:rsidRPr="00A90E23">
        <w:rPr>
          <w:rFonts w:cs="Arial"/>
        </w:rPr>
        <w:t xml:space="preserve"> enzyme</w:t>
      </w:r>
      <w:r w:rsidR="00377B5E" w:rsidRPr="00A90E23">
        <w:rPr>
          <w:rFonts w:cs="Arial"/>
        </w:rPr>
        <w:t xml:space="preserve"> activity</w:t>
      </w:r>
      <w:r w:rsidR="00B70EE6" w:rsidRPr="00A90E23">
        <w:rPr>
          <w:rFonts w:cs="Arial"/>
        </w:rPr>
        <w:t xml:space="preserve"> </w:t>
      </w:r>
      <w:r w:rsidR="000526C5" w:rsidRPr="00A90E23">
        <w:rPr>
          <w:rFonts w:cs="Arial"/>
        </w:rPr>
        <w:t xml:space="preserve">COG terms were also frequently enriched besides ribosomes (Table 18).  </w:t>
      </w:r>
      <w:r w:rsidR="001331AD" w:rsidRPr="00A90E23">
        <w:rPr>
          <w:rFonts w:cs="Arial"/>
          <w:color w:val="000000"/>
        </w:rPr>
        <w:t>ATPases with chaperone activity; ATP-binding subunit (COG00542), F0F1-type ATP synthase; beta subunit (COG00055), ATP-dependent Zn proteases (COG00465), Preprotein translocase subunit SecA (ATPase; RNA helicase) (COG00653), GTPases - translation elongation factors (COG00050) and Translation elongation factors (GTPases) (COG00480)</w:t>
      </w:r>
      <w:r w:rsidR="005355DF" w:rsidRPr="00A90E23">
        <w:rPr>
          <w:rFonts w:cs="Arial"/>
          <w:color w:val="000000"/>
        </w:rPr>
        <w:t xml:space="preserve"> were enriched at enrichment FDR &lt; 1.99E-10</w:t>
      </w:r>
      <w:r w:rsidR="001331AD" w:rsidRPr="00A90E23">
        <w:rPr>
          <w:rFonts w:cs="Arial"/>
          <w:color w:val="000000"/>
        </w:rPr>
        <w:t xml:space="preserve"> </w:t>
      </w:r>
      <w:r w:rsidR="005355DF" w:rsidRPr="00A90E23">
        <w:rPr>
          <w:rFonts w:cs="Arial"/>
          <w:color w:val="000000"/>
        </w:rPr>
        <w:t xml:space="preserve">and </w:t>
      </w:r>
      <w:r w:rsidR="00C77E51" w:rsidRPr="00A90E23">
        <w:rPr>
          <w:rFonts w:cs="Arial"/>
          <w:color w:val="000000"/>
        </w:rPr>
        <w:t xml:space="preserve">QP FDR &lt; 0.0003. </w:t>
      </w:r>
    </w:p>
    <w:p w14:paraId="4D191FC4" w14:textId="77777777" w:rsidR="00AC565C" w:rsidRDefault="00AC565C">
      <w:pPr>
        <w:jc w:val="left"/>
        <w:rPr>
          <w:rFonts w:cs="Arial"/>
          <w:color w:val="000000"/>
        </w:rPr>
      </w:pPr>
      <w:r>
        <w:rPr>
          <w:rFonts w:cs="Arial"/>
          <w:color w:val="000000"/>
        </w:rPr>
        <w:br w:type="page"/>
      </w:r>
    </w:p>
    <w:p w14:paraId="627AE6A9" w14:textId="09D8DFEC" w:rsidR="00EE6B37" w:rsidRPr="00EE6B37" w:rsidRDefault="00EE6B37" w:rsidP="00EE6B37">
      <w:pPr>
        <w:pStyle w:val="Caption"/>
        <w:keepNext/>
        <w:rPr>
          <w:b w:val="0"/>
          <w:lang w:eastAsia="ko-KR"/>
        </w:rPr>
      </w:pPr>
      <w:bookmarkStart w:id="99" w:name="_Toc296333090"/>
      <w:r>
        <w:lastRenderedPageBreak/>
        <w:t xml:space="preserve">Table </w:t>
      </w:r>
      <w:fldSimple w:instr=" SEQ Table \* ARABIC ">
        <w:r w:rsidR="0093776B">
          <w:rPr>
            <w:noProof/>
          </w:rPr>
          <w:t>18</w:t>
        </w:r>
      </w:fldSimple>
      <w:r>
        <w:rPr>
          <w:lang w:eastAsia="ko-KR"/>
        </w:rPr>
        <w:t xml:space="preserve"> Significant COG terms in microbial fecal proteins.  </w:t>
      </w:r>
      <w:r w:rsidR="00473687">
        <w:rPr>
          <w:b w:val="0"/>
        </w:rPr>
        <w:t>FDR: FDR-adjusted enrichment test and # of prots: the number of member proteins.</w:t>
      </w:r>
      <w:bookmarkEnd w:id="99"/>
    </w:p>
    <w:tbl>
      <w:tblPr>
        <w:tblW w:w="8748" w:type="dxa"/>
        <w:tblLayout w:type="fixed"/>
        <w:tblLook w:val="04A0" w:firstRow="1" w:lastRow="0" w:firstColumn="1" w:lastColumn="0" w:noHBand="0" w:noVBand="1"/>
      </w:tblPr>
      <w:tblGrid>
        <w:gridCol w:w="1548"/>
        <w:gridCol w:w="2880"/>
        <w:gridCol w:w="1260"/>
        <w:gridCol w:w="810"/>
        <w:gridCol w:w="990"/>
        <w:gridCol w:w="1260"/>
      </w:tblGrid>
      <w:tr w:rsidR="00EE6B37" w:rsidRPr="00EE6B37" w14:paraId="1B9A5D0D" w14:textId="77777777" w:rsidTr="00EE6B37">
        <w:trPr>
          <w:trHeight w:val="300"/>
        </w:trPr>
        <w:tc>
          <w:tcPr>
            <w:tcW w:w="1548" w:type="dxa"/>
            <w:noWrap/>
            <w:hideMark/>
          </w:tcPr>
          <w:p w14:paraId="12C032EE" w14:textId="77777777" w:rsidR="00AC565C" w:rsidRPr="00EE6B37" w:rsidRDefault="00AC565C" w:rsidP="00EE6B37">
            <w:pPr>
              <w:jc w:val="center"/>
              <w:rPr>
                <w:rFonts w:eastAsia="Times New Roman" w:cs="Arial"/>
                <w:color w:val="000000"/>
              </w:rPr>
            </w:pPr>
            <w:r w:rsidRPr="00EE6B37">
              <w:rPr>
                <w:rFonts w:eastAsia="Times New Roman" w:cs="Arial"/>
                <w:color w:val="000000"/>
              </w:rPr>
              <w:t>COG ID</w:t>
            </w:r>
          </w:p>
        </w:tc>
        <w:tc>
          <w:tcPr>
            <w:tcW w:w="2880" w:type="dxa"/>
            <w:noWrap/>
            <w:hideMark/>
          </w:tcPr>
          <w:p w14:paraId="726E7DF8" w14:textId="77777777" w:rsidR="00AC565C" w:rsidRPr="00EE6B37" w:rsidRDefault="00AC565C" w:rsidP="00EE6B37">
            <w:pPr>
              <w:jc w:val="center"/>
              <w:rPr>
                <w:rFonts w:eastAsia="Times New Roman" w:cs="Arial"/>
                <w:color w:val="000000"/>
              </w:rPr>
            </w:pPr>
            <w:r w:rsidRPr="00EE6B37">
              <w:rPr>
                <w:rFonts w:eastAsia="Times New Roman" w:cs="Arial"/>
                <w:color w:val="000000"/>
              </w:rPr>
              <w:t>Description</w:t>
            </w:r>
          </w:p>
        </w:tc>
        <w:tc>
          <w:tcPr>
            <w:tcW w:w="1260" w:type="dxa"/>
            <w:noWrap/>
            <w:hideMark/>
          </w:tcPr>
          <w:p w14:paraId="13E38510" w14:textId="4502A43D" w:rsidR="00AC565C" w:rsidRPr="00EE6B37" w:rsidRDefault="00AC565C" w:rsidP="00EE6B37">
            <w:pPr>
              <w:jc w:val="center"/>
              <w:rPr>
                <w:rFonts w:eastAsia="Times New Roman" w:cs="Arial"/>
                <w:color w:val="000000"/>
              </w:rPr>
            </w:pPr>
            <w:r w:rsidRPr="00EE6B37">
              <w:rPr>
                <w:rFonts w:eastAsia="Times New Roman" w:cs="Arial"/>
                <w:color w:val="000000"/>
              </w:rPr>
              <w:t>Enrich. FDR</w:t>
            </w:r>
          </w:p>
        </w:tc>
        <w:tc>
          <w:tcPr>
            <w:tcW w:w="810" w:type="dxa"/>
            <w:noWrap/>
            <w:hideMark/>
          </w:tcPr>
          <w:p w14:paraId="00B69832" w14:textId="71E36575" w:rsidR="00AC565C" w:rsidRPr="00EE6B37" w:rsidRDefault="00AC565C" w:rsidP="00EE6B37">
            <w:pPr>
              <w:jc w:val="center"/>
              <w:rPr>
                <w:rFonts w:eastAsia="Times New Roman" w:cs="Arial"/>
                <w:color w:val="000000"/>
              </w:rPr>
            </w:pPr>
            <w:r w:rsidRPr="00EE6B37">
              <w:rPr>
                <w:rFonts w:eastAsia="Times New Roman" w:cs="Arial"/>
                <w:color w:val="000000"/>
              </w:rPr>
              <w:t># of prots</w:t>
            </w:r>
          </w:p>
        </w:tc>
        <w:tc>
          <w:tcPr>
            <w:tcW w:w="990" w:type="dxa"/>
            <w:noWrap/>
            <w:hideMark/>
          </w:tcPr>
          <w:p w14:paraId="77F95F72" w14:textId="027ABA4F" w:rsidR="00AC565C" w:rsidRPr="00EE6B37" w:rsidRDefault="00AC565C" w:rsidP="00EE6B37">
            <w:pPr>
              <w:jc w:val="center"/>
              <w:rPr>
                <w:rFonts w:eastAsia="Times New Roman" w:cs="Arial"/>
                <w:color w:val="000000"/>
              </w:rPr>
            </w:pPr>
            <w:r w:rsidRPr="00EE6B37">
              <w:rPr>
                <w:rFonts w:eastAsia="Times New Roman" w:cs="Arial"/>
                <w:color w:val="000000"/>
              </w:rPr>
              <w:t xml:space="preserve">Cohen’s </w:t>
            </w:r>
            <w:r w:rsidRPr="00EE6B37">
              <w:rPr>
                <w:rFonts w:eastAsia="Times New Roman" w:cs="Arial"/>
                <w:i/>
                <w:color w:val="000000"/>
              </w:rPr>
              <w:t>f</w:t>
            </w:r>
          </w:p>
        </w:tc>
        <w:tc>
          <w:tcPr>
            <w:tcW w:w="1260" w:type="dxa"/>
            <w:noWrap/>
            <w:hideMark/>
          </w:tcPr>
          <w:p w14:paraId="34CF9BD7" w14:textId="6916D3D1" w:rsidR="00AC565C" w:rsidRPr="00EE6B37" w:rsidRDefault="00AC565C" w:rsidP="00EE6B37">
            <w:pPr>
              <w:jc w:val="center"/>
              <w:rPr>
                <w:rFonts w:eastAsia="Times New Roman" w:cs="Arial"/>
                <w:color w:val="000000"/>
              </w:rPr>
            </w:pPr>
            <w:r w:rsidRPr="00EE6B37">
              <w:rPr>
                <w:rFonts w:eastAsia="Times New Roman" w:cs="Arial"/>
                <w:color w:val="000000"/>
              </w:rPr>
              <w:t>QP FDR</w:t>
            </w:r>
          </w:p>
        </w:tc>
      </w:tr>
      <w:tr w:rsidR="00EE6B37" w:rsidRPr="00EE6B37" w14:paraId="1B341F02" w14:textId="77777777" w:rsidTr="00EE6B37">
        <w:trPr>
          <w:trHeight w:val="300"/>
        </w:trPr>
        <w:tc>
          <w:tcPr>
            <w:tcW w:w="1548" w:type="dxa"/>
            <w:noWrap/>
            <w:hideMark/>
          </w:tcPr>
          <w:p w14:paraId="0BF07C50" w14:textId="1BB6CEB3" w:rsidR="00AC565C" w:rsidRPr="00EE6B37" w:rsidRDefault="00AC565C" w:rsidP="00AC565C">
            <w:pPr>
              <w:jc w:val="left"/>
              <w:rPr>
                <w:rFonts w:eastAsia="Times New Roman" w:cs="Arial"/>
                <w:color w:val="000000"/>
              </w:rPr>
            </w:pPr>
            <w:r w:rsidRPr="00EE6B37">
              <w:rPr>
                <w:rFonts w:eastAsia="Times New Roman" w:cs="Arial"/>
                <w:color w:val="000000"/>
              </w:rPr>
              <w:t>COG00542</w:t>
            </w:r>
          </w:p>
        </w:tc>
        <w:tc>
          <w:tcPr>
            <w:tcW w:w="2880" w:type="dxa"/>
            <w:noWrap/>
            <w:hideMark/>
          </w:tcPr>
          <w:p w14:paraId="23DDD292" w14:textId="77777777" w:rsidR="00AC565C" w:rsidRPr="00EE6B37" w:rsidRDefault="00AC565C" w:rsidP="00AC565C">
            <w:pPr>
              <w:jc w:val="left"/>
              <w:rPr>
                <w:rFonts w:eastAsia="Times New Roman" w:cs="Arial"/>
                <w:color w:val="000000"/>
              </w:rPr>
            </w:pPr>
            <w:r w:rsidRPr="00EE6B37">
              <w:rPr>
                <w:rFonts w:eastAsia="Times New Roman" w:cs="Arial"/>
                <w:color w:val="000000"/>
              </w:rPr>
              <w:t>ATPases with chaperone activity; ATP-binding subunit</w:t>
            </w:r>
          </w:p>
        </w:tc>
        <w:tc>
          <w:tcPr>
            <w:tcW w:w="1260" w:type="dxa"/>
            <w:noWrap/>
            <w:hideMark/>
          </w:tcPr>
          <w:p w14:paraId="0FE3E5C9" w14:textId="77777777" w:rsidR="00AC565C" w:rsidRPr="00EE6B37" w:rsidRDefault="00AC565C" w:rsidP="00AC565C">
            <w:pPr>
              <w:jc w:val="right"/>
              <w:rPr>
                <w:rFonts w:eastAsia="Times New Roman" w:cs="Arial"/>
                <w:color w:val="000000"/>
              </w:rPr>
            </w:pPr>
            <w:r w:rsidRPr="00EE6B37">
              <w:rPr>
                <w:rFonts w:eastAsia="Times New Roman" w:cs="Arial"/>
                <w:color w:val="000000"/>
              </w:rPr>
              <w:t>2.33E-13</w:t>
            </w:r>
          </w:p>
        </w:tc>
        <w:tc>
          <w:tcPr>
            <w:tcW w:w="810" w:type="dxa"/>
            <w:noWrap/>
            <w:hideMark/>
          </w:tcPr>
          <w:p w14:paraId="6C2FD5E8" w14:textId="77777777" w:rsidR="00AC565C" w:rsidRPr="00EE6B37" w:rsidRDefault="00AC565C" w:rsidP="00AC565C">
            <w:pPr>
              <w:jc w:val="right"/>
              <w:rPr>
                <w:rFonts w:eastAsia="Times New Roman" w:cs="Arial"/>
                <w:color w:val="000000"/>
              </w:rPr>
            </w:pPr>
            <w:r w:rsidRPr="00EE6B37">
              <w:rPr>
                <w:rFonts w:eastAsia="Times New Roman" w:cs="Arial"/>
                <w:color w:val="000000"/>
              </w:rPr>
              <w:t>36</w:t>
            </w:r>
          </w:p>
        </w:tc>
        <w:tc>
          <w:tcPr>
            <w:tcW w:w="990" w:type="dxa"/>
            <w:noWrap/>
            <w:hideMark/>
          </w:tcPr>
          <w:p w14:paraId="022E17DA" w14:textId="5452C377" w:rsidR="00AC565C" w:rsidRPr="00EE6B37" w:rsidRDefault="00AC565C" w:rsidP="00AC565C">
            <w:pPr>
              <w:jc w:val="right"/>
              <w:rPr>
                <w:rFonts w:eastAsia="Times New Roman" w:cs="Arial"/>
                <w:color w:val="000000"/>
              </w:rPr>
            </w:pPr>
            <w:r w:rsidRPr="00EE6B37">
              <w:rPr>
                <w:rFonts w:eastAsia="Times New Roman" w:cs="Arial"/>
                <w:color w:val="000000"/>
              </w:rPr>
              <w:t>3.1885</w:t>
            </w:r>
          </w:p>
        </w:tc>
        <w:tc>
          <w:tcPr>
            <w:tcW w:w="1260" w:type="dxa"/>
            <w:noWrap/>
            <w:hideMark/>
          </w:tcPr>
          <w:p w14:paraId="3D55AF55" w14:textId="77777777" w:rsidR="00AC565C" w:rsidRPr="00EE6B37" w:rsidRDefault="00AC565C" w:rsidP="00AC565C">
            <w:pPr>
              <w:jc w:val="right"/>
              <w:rPr>
                <w:rFonts w:eastAsia="Times New Roman" w:cs="Arial"/>
                <w:color w:val="000000"/>
              </w:rPr>
            </w:pPr>
            <w:r w:rsidRPr="00EE6B37">
              <w:rPr>
                <w:rFonts w:eastAsia="Times New Roman" w:cs="Arial"/>
                <w:color w:val="000000"/>
              </w:rPr>
              <w:t>4.27E-07</w:t>
            </w:r>
          </w:p>
        </w:tc>
      </w:tr>
      <w:tr w:rsidR="00EE6B37" w:rsidRPr="00EE6B37" w14:paraId="3DEF2351" w14:textId="77777777" w:rsidTr="00EE6B37">
        <w:trPr>
          <w:trHeight w:val="300"/>
        </w:trPr>
        <w:tc>
          <w:tcPr>
            <w:tcW w:w="1548" w:type="dxa"/>
            <w:noWrap/>
            <w:hideMark/>
          </w:tcPr>
          <w:p w14:paraId="39965303" w14:textId="77777777" w:rsidR="00AC565C" w:rsidRPr="00EE6B37" w:rsidRDefault="00AC565C" w:rsidP="00AC565C">
            <w:pPr>
              <w:jc w:val="left"/>
              <w:rPr>
                <w:rFonts w:eastAsia="Times New Roman" w:cs="Arial"/>
                <w:color w:val="000000"/>
              </w:rPr>
            </w:pPr>
            <w:r w:rsidRPr="00EE6B37">
              <w:rPr>
                <w:rFonts w:eastAsia="Times New Roman" w:cs="Arial"/>
                <w:color w:val="000000"/>
              </w:rPr>
              <w:t>COG00480</w:t>
            </w:r>
          </w:p>
        </w:tc>
        <w:tc>
          <w:tcPr>
            <w:tcW w:w="2880" w:type="dxa"/>
            <w:noWrap/>
            <w:hideMark/>
          </w:tcPr>
          <w:p w14:paraId="56FB7846" w14:textId="77777777" w:rsidR="00AC565C" w:rsidRPr="00EE6B37" w:rsidRDefault="00AC565C" w:rsidP="00AC565C">
            <w:pPr>
              <w:jc w:val="left"/>
              <w:rPr>
                <w:rFonts w:eastAsia="Times New Roman" w:cs="Arial"/>
                <w:color w:val="000000"/>
              </w:rPr>
            </w:pPr>
            <w:r w:rsidRPr="00EE6B37">
              <w:rPr>
                <w:rFonts w:eastAsia="Times New Roman" w:cs="Arial"/>
                <w:color w:val="000000"/>
              </w:rPr>
              <w:t>Translation elongation factors (GTPases)</w:t>
            </w:r>
          </w:p>
        </w:tc>
        <w:tc>
          <w:tcPr>
            <w:tcW w:w="1260" w:type="dxa"/>
            <w:noWrap/>
            <w:hideMark/>
          </w:tcPr>
          <w:p w14:paraId="0841FBA3" w14:textId="77777777" w:rsidR="00AC565C" w:rsidRPr="00EE6B37" w:rsidRDefault="00AC565C" w:rsidP="00AC565C">
            <w:pPr>
              <w:jc w:val="right"/>
              <w:rPr>
                <w:rFonts w:eastAsia="Times New Roman" w:cs="Arial"/>
                <w:color w:val="000000"/>
              </w:rPr>
            </w:pPr>
            <w:r w:rsidRPr="00EE6B37">
              <w:rPr>
                <w:rFonts w:eastAsia="Times New Roman" w:cs="Arial"/>
                <w:color w:val="000000"/>
              </w:rPr>
              <w:t>5.32E-12</w:t>
            </w:r>
          </w:p>
        </w:tc>
        <w:tc>
          <w:tcPr>
            <w:tcW w:w="810" w:type="dxa"/>
            <w:noWrap/>
            <w:hideMark/>
          </w:tcPr>
          <w:p w14:paraId="701C9B02" w14:textId="77777777" w:rsidR="00AC565C" w:rsidRPr="00EE6B37" w:rsidRDefault="00AC565C" w:rsidP="00AC565C">
            <w:pPr>
              <w:jc w:val="right"/>
              <w:rPr>
                <w:rFonts w:eastAsia="Times New Roman" w:cs="Arial"/>
                <w:color w:val="000000"/>
              </w:rPr>
            </w:pPr>
            <w:r w:rsidRPr="00EE6B37">
              <w:rPr>
                <w:rFonts w:eastAsia="Times New Roman" w:cs="Arial"/>
                <w:color w:val="000000"/>
              </w:rPr>
              <w:t>32</w:t>
            </w:r>
          </w:p>
        </w:tc>
        <w:tc>
          <w:tcPr>
            <w:tcW w:w="990" w:type="dxa"/>
            <w:noWrap/>
            <w:hideMark/>
          </w:tcPr>
          <w:p w14:paraId="14738168" w14:textId="52432E21" w:rsidR="00AC565C" w:rsidRPr="00EE6B37" w:rsidRDefault="00AC565C" w:rsidP="00AC565C">
            <w:pPr>
              <w:jc w:val="right"/>
              <w:rPr>
                <w:rFonts w:eastAsia="Times New Roman" w:cs="Arial"/>
                <w:color w:val="000000"/>
                <w:lang w:eastAsia="ko-KR"/>
              </w:rPr>
            </w:pPr>
            <w:r w:rsidRPr="00EE6B37">
              <w:rPr>
                <w:rFonts w:eastAsia="Times New Roman" w:cs="Arial"/>
                <w:color w:val="000000"/>
              </w:rPr>
              <w:t>2.550</w:t>
            </w:r>
            <w:r w:rsidRPr="00EE6B37">
              <w:rPr>
                <w:rFonts w:eastAsia="Times New Roman" w:cs="Arial"/>
                <w:color w:val="000000"/>
                <w:lang w:eastAsia="ko-KR"/>
              </w:rPr>
              <w:t>6</w:t>
            </w:r>
          </w:p>
        </w:tc>
        <w:tc>
          <w:tcPr>
            <w:tcW w:w="1260" w:type="dxa"/>
            <w:noWrap/>
            <w:hideMark/>
          </w:tcPr>
          <w:p w14:paraId="2E3838FE" w14:textId="77777777" w:rsidR="00AC565C" w:rsidRPr="00EE6B37" w:rsidRDefault="00AC565C" w:rsidP="00AC565C">
            <w:pPr>
              <w:jc w:val="right"/>
              <w:rPr>
                <w:rFonts w:eastAsia="Times New Roman" w:cs="Arial"/>
                <w:color w:val="000000"/>
              </w:rPr>
            </w:pPr>
            <w:r w:rsidRPr="00EE6B37">
              <w:rPr>
                <w:rFonts w:eastAsia="Times New Roman" w:cs="Arial"/>
                <w:color w:val="000000"/>
              </w:rPr>
              <w:t>9.50E-07</w:t>
            </w:r>
          </w:p>
        </w:tc>
      </w:tr>
      <w:tr w:rsidR="00EE6B37" w:rsidRPr="00EE6B37" w14:paraId="29DF98FF" w14:textId="77777777" w:rsidTr="00EE6B37">
        <w:trPr>
          <w:trHeight w:val="300"/>
        </w:trPr>
        <w:tc>
          <w:tcPr>
            <w:tcW w:w="1548" w:type="dxa"/>
            <w:noWrap/>
            <w:hideMark/>
          </w:tcPr>
          <w:p w14:paraId="1A2AB95D" w14:textId="77777777" w:rsidR="00AC565C" w:rsidRPr="00EE6B37" w:rsidRDefault="00AC565C" w:rsidP="00AC565C">
            <w:pPr>
              <w:jc w:val="left"/>
              <w:rPr>
                <w:rFonts w:eastAsia="Times New Roman" w:cs="Arial"/>
                <w:color w:val="000000"/>
              </w:rPr>
            </w:pPr>
            <w:r w:rsidRPr="00EE6B37">
              <w:rPr>
                <w:rFonts w:eastAsia="Times New Roman" w:cs="Arial"/>
                <w:color w:val="000000"/>
              </w:rPr>
              <w:t>COG00050</w:t>
            </w:r>
          </w:p>
        </w:tc>
        <w:tc>
          <w:tcPr>
            <w:tcW w:w="2880" w:type="dxa"/>
            <w:noWrap/>
            <w:hideMark/>
          </w:tcPr>
          <w:p w14:paraId="7415DD94" w14:textId="77777777" w:rsidR="00AC565C" w:rsidRPr="00EE6B37" w:rsidRDefault="00AC565C" w:rsidP="00AC565C">
            <w:pPr>
              <w:jc w:val="left"/>
              <w:rPr>
                <w:rFonts w:eastAsia="Times New Roman" w:cs="Arial"/>
                <w:color w:val="000000"/>
              </w:rPr>
            </w:pPr>
            <w:r w:rsidRPr="00EE6B37">
              <w:rPr>
                <w:rFonts w:eastAsia="Times New Roman" w:cs="Arial"/>
                <w:color w:val="000000"/>
              </w:rPr>
              <w:t>GTPases - translation elongation factors</w:t>
            </w:r>
          </w:p>
        </w:tc>
        <w:tc>
          <w:tcPr>
            <w:tcW w:w="1260" w:type="dxa"/>
            <w:noWrap/>
            <w:hideMark/>
          </w:tcPr>
          <w:p w14:paraId="05E26AD5" w14:textId="77777777" w:rsidR="00AC565C" w:rsidRPr="00EE6B37" w:rsidRDefault="00AC565C" w:rsidP="00AC565C">
            <w:pPr>
              <w:jc w:val="right"/>
              <w:rPr>
                <w:rFonts w:eastAsia="Times New Roman" w:cs="Arial"/>
                <w:color w:val="000000"/>
              </w:rPr>
            </w:pPr>
            <w:r w:rsidRPr="00EE6B37">
              <w:rPr>
                <w:rFonts w:eastAsia="Times New Roman" w:cs="Arial"/>
                <w:color w:val="000000"/>
              </w:rPr>
              <w:t>5.32E-12</w:t>
            </w:r>
          </w:p>
        </w:tc>
        <w:tc>
          <w:tcPr>
            <w:tcW w:w="810" w:type="dxa"/>
            <w:noWrap/>
            <w:hideMark/>
          </w:tcPr>
          <w:p w14:paraId="78F4EB2C" w14:textId="77777777" w:rsidR="00AC565C" w:rsidRPr="00EE6B37" w:rsidRDefault="00AC565C" w:rsidP="00AC565C">
            <w:pPr>
              <w:jc w:val="right"/>
              <w:rPr>
                <w:rFonts w:eastAsia="Times New Roman" w:cs="Arial"/>
                <w:color w:val="000000"/>
              </w:rPr>
            </w:pPr>
            <w:r w:rsidRPr="00EE6B37">
              <w:rPr>
                <w:rFonts w:eastAsia="Times New Roman" w:cs="Arial"/>
                <w:color w:val="000000"/>
              </w:rPr>
              <w:t>26</w:t>
            </w:r>
          </w:p>
        </w:tc>
        <w:tc>
          <w:tcPr>
            <w:tcW w:w="990" w:type="dxa"/>
            <w:noWrap/>
            <w:hideMark/>
          </w:tcPr>
          <w:p w14:paraId="66EEF77C" w14:textId="16945287" w:rsidR="00AC565C" w:rsidRPr="00EE6B37" w:rsidRDefault="00AC565C" w:rsidP="00AC565C">
            <w:pPr>
              <w:jc w:val="right"/>
              <w:rPr>
                <w:rFonts w:eastAsia="Times New Roman" w:cs="Arial"/>
                <w:color w:val="000000"/>
                <w:lang w:eastAsia="ko-KR"/>
              </w:rPr>
            </w:pPr>
            <w:r w:rsidRPr="00EE6B37">
              <w:rPr>
                <w:rFonts w:eastAsia="Times New Roman" w:cs="Arial"/>
                <w:color w:val="000000"/>
              </w:rPr>
              <w:t>1.526</w:t>
            </w:r>
            <w:r w:rsidRPr="00EE6B37">
              <w:rPr>
                <w:rFonts w:eastAsia="Times New Roman" w:cs="Arial"/>
                <w:color w:val="000000"/>
                <w:lang w:eastAsia="ko-KR"/>
              </w:rPr>
              <w:t>4</w:t>
            </w:r>
          </w:p>
        </w:tc>
        <w:tc>
          <w:tcPr>
            <w:tcW w:w="1260" w:type="dxa"/>
            <w:noWrap/>
            <w:hideMark/>
          </w:tcPr>
          <w:p w14:paraId="78993DAA" w14:textId="77777777" w:rsidR="00AC565C" w:rsidRPr="00EE6B37" w:rsidRDefault="00AC565C" w:rsidP="00AC565C">
            <w:pPr>
              <w:jc w:val="right"/>
              <w:rPr>
                <w:rFonts w:eastAsia="Times New Roman" w:cs="Arial"/>
                <w:color w:val="000000"/>
              </w:rPr>
            </w:pPr>
            <w:r w:rsidRPr="00EE6B37">
              <w:rPr>
                <w:rFonts w:eastAsia="Times New Roman" w:cs="Arial"/>
                <w:color w:val="000000"/>
              </w:rPr>
              <w:t>8.32E-05</w:t>
            </w:r>
          </w:p>
        </w:tc>
      </w:tr>
      <w:tr w:rsidR="00EE6B37" w:rsidRPr="00EE6B37" w14:paraId="47740E27" w14:textId="77777777" w:rsidTr="00EE6B37">
        <w:trPr>
          <w:trHeight w:val="300"/>
        </w:trPr>
        <w:tc>
          <w:tcPr>
            <w:tcW w:w="1548" w:type="dxa"/>
            <w:noWrap/>
            <w:hideMark/>
          </w:tcPr>
          <w:p w14:paraId="01FD3A65" w14:textId="77777777" w:rsidR="00AC565C" w:rsidRPr="00EE6B37" w:rsidRDefault="00AC565C" w:rsidP="00AC565C">
            <w:pPr>
              <w:jc w:val="left"/>
              <w:rPr>
                <w:rFonts w:eastAsia="Times New Roman" w:cs="Arial"/>
                <w:color w:val="000000"/>
              </w:rPr>
            </w:pPr>
            <w:r w:rsidRPr="00EE6B37">
              <w:rPr>
                <w:rFonts w:eastAsia="Times New Roman" w:cs="Arial"/>
                <w:color w:val="000000"/>
              </w:rPr>
              <w:t>COG00055</w:t>
            </w:r>
          </w:p>
        </w:tc>
        <w:tc>
          <w:tcPr>
            <w:tcW w:w="2880" w:type="dxa"/>
            <w:noWrap/>
            <w:hideMark/>
          </w:tcPr>
          <w:p w14:paraId="6AB5DA4E" w14:textId="77777777" w:rsidR="00AC565C" w:rsidRPr="00EE6B37" w:rsidRDefault="00AC565C" w:rsidP="00AC565C">
            <w:pPr>
              <w:jc w:val="left"/>
              <w:rPr>
                <w:rFonts w:eastAsia="Times New Roman" w:cs="Arial"/>
                <w:color w:val="000000"/>
              </w:rPr>
            </w:pPr>
            <w:r w:rsidRPr="00EE6B37">
              <w:rPr>
                <w:rFonts w:eastAsia="Times New Roman" w:cs="Arial"/>
                <w:color w:val="000000"/>
              </w:rPr>
              <w:t>F0F1-type ATP synthase; beta subunit</w:t>
            </w:r>
          </w:p>
        </w:tc>
        <w:tc>
          <w:tcPr>
            <w:tcW w:w="1260" w:type="dxa"/>
            <w:noWrap/>
            <w:hideMark/>
          </w:tcPr>
          <w:p w14:paraId="5D84C338" w14:textId="77777777" w:rsidR="00AC565C" w:rsidRPr="00EE6B37" w:rsidRDefault="00AC565C" w:rsidP="00AC565C">
            <w:pPr>
              <w:jc w:val="right"/>
              <w:rPr>
                <w:rFonts w:eastAsia="Times New Roman" w:cs="Arial"/>
                <w:color w:val="000000"/>
              </w:rPr>
            </w:pPr>
            <w:r w:rsidRPr="00EE6B37">
              <w:rPr>
                <w:rFonts w:eastAsia="Times New Roman" w:cs="Arial"/>
                <w:color w:val="000000"/>
              </w:rPr>
              <w:t>1.42E-11</w:t>
            </w:r>
          </w:p>
        </w:tc>
        <w:tc>
          <w:tcPr>
            <w:tcW w:w="810" w:type="dxa"/>
            <w:noWrap/>
            <w:hideMark/>
          </w:tcPr>
          <w:p w14:paraId="09D9DF3B" w14:textId="77777777" w:rsidR="00AC565C" w:rsidRPr="00EE6B37" w:rsidRDefault="00AC565C" w:rsidP="00AC565C">
            <w:pPr>
              <w:jc w:val="right"/>
              <w:rPr>
                <w:rFonts w:eastAsia="Times New Roman" w:cs="Arial"/>
                <w:color w:val="000000"/>
              </w:rPr>
            </w:pPr>
            <w:r w:rsidRPr="00EE6B37">
              <w:rPr>
                <w:rFonts w:eastAsia="Times New Roman" w:cs="Arial"/>
                <w:color w:val="000000"/>
              </w:rPr>
              <w:t>24</w:t>
            </w:r>
          </w:p>
        </w:tc>
        <w:tc>
          <w:tcPr>
            <w:tcW w:w="990" w:type="dxa"/>
            <w:noWrap/>
            <w:hideMark/>
          </w:tcPr>
          <w:p w14:paraId="06557FFA" w14:textId="532EB96B" w:rsidR="00AC565C" w:rsidRPr="00EE6B37" w:rsidRDefault="00AC565C" w:rsidP="00AC565C">
            <w:pPr>
              <w:jc w:val="right"/>
              <w:rPr>
                <w:rFonts w:eastAsia="Times New Roman" w:cs="Arial"/>
                <w:color w:val="000000"/>
              </w:rPr>
            </w:pPr>
            <w:r w:rsidRPr="00EE6B37">
              <w:rPr>
                <w:rFonts w:eastAsia="Times New Roman" w:cs="Arial"/>
                <w:color w:val="000000"/>
              </w:rPr>
              <w:t>2.7013</w:t>
            </w:r>
          </w:p>
        </w:tc>
        <w:tc>
          <w:tcPr>
            <w:tcW w:w="1260" w:type="dxa"/>
            <w:noWrap/>
            <w:hideMark/>
          </w:tcPr>
          <w:p w14:paraId="191B4D60" w14:textId="77777777" w:rsidR="00AC565C" w:rsidRPr="00EE6B37" w:rsidRDefault="00AC565C" w:rsidP="00AC565C">
            <w:pPr>
              <w:jc w:val="right"/>
              <w:rPr>
                <w:rFonts w:eastAsia="Times New Roman" w:cs="Arial"/>
                <w:color w:val="000000"/>
              </w:rPr>
            </w:pPr>
            <w:r w:rsidRPr="00EE6B37">
              <w:rPr>
                <w:rFonts w:eastAsia="Times New Roman" w:cs="Arial"/>
                <w:color w:val="000000"/>
              </w:rPr>
              <w:t>1.14E-06</w:t>
            </w:r>
          </w:p>
        </w:tc>
      </w:tr>
      <w:tr w:rsidR="00EE6B37" w:rsidRPr="00EE6B37" w14:paraId="01781658" w14:textId="77777777" w:rsidTr="00EE6B37">
        <w:trPr>
          <w:trHeight w:val="300"/>
        </w:trPr>
        <w:tc>
          <w:tcPr>
            <w:tcW w:w="1548" w:type="dxa"/>
            <w:noWrap/>
            <w:hideMark/>
          </w:tcPr>
          <w:p w14:paraId="4A4FC370" w14:textId="77777777" w:rsidR="00AC565C" w:rsidRPr="00EE6B37" w:rsidRDefault="00AC565C" w:rsidP="00AC565C">
            <w:pPr>
              <w:jc w:val="left"/>
              <w:rPr>
                <w:rFonts w:eastAsia="Times New Roman" w:cs="Arial"/>
                <w:color w:val="000000"/>
              </w:rPr>
            </w:pPr>
            <w:r w:rsidRPr="00EE6B37">
              <w:rPr>
                <w:rFonts w:eastAsia="Times New Roman" w:cs="Arial"/>
                <w:color w:val="000000"/>
              </w:rPr>
              <w:t>COG00465</w:t>
            </w:r>
          </w:p>
        </w:tc>
        <w:tc>
          <w:tcPr>
            <w:tcW w:w="2880" w:type="dxa"/>
            <w:noWrap/>
            <w:hideMark/>
          </w:tcPr>
          <w:p w14:paraId="71096E49" w14:textId="77777777" w:rsidR="00AC565C" w:rsidRPr="00EE6B37" w:rsidRDefault="00AC565C" w:rsidP="00AC565C">
            <w:pPr>
              <w:jc w:val="left"/>
              <w:rPr>
                <w:rFonts w:eastAsia="Times New Roman" w:cs="Arial"/>
                <w:color w:val="000000"/>
              </w:rPr>
            </w:pPr>
            <w:r w:rsidRPr="00EE6B37">
              <w:rPr>
                <w:rFonts w:eastAsia="Times New Roman" w:cs="Arial"/>
                <w:color w:val="000000"/>
              </w:rPr>
              <w:t>ATP-dependent Zn proteases</w:t>
            </w:r>
          </w:p>
        </w:tc>
        <w:tc>
          <w:tcPr>
            <w:tcW w:w="1260" w:type="dxa"/>
            <w:noWrap/>
            <w:hideMark/>
          </w:tcPr>
          <w:p w14:paraId="11D8D51E" w14:textId="77777777" w:rsidR="00AC565C" w:rsidRPr="00EE6B37" w:rsidRDefault="00AC565C" w:rsidP="00AC565C">
            <w:pPr>
              <w:jc w:val="right"/>
              <w:rPr>
                <w:rFonts w:eastAsia="Times New Roman" w:cs="Arial"/>
                <w:color w:val="000000"/>
              </w:rPr>
            </w:pPr>
            <w:r w:rsidRPr="00EE6B37">
              <w:rPr>
                <w:rFonts w:eastAsia="Times New Roman" w:cs="Arial"/>
                <w:color w:val="000000"/>
              </w:rPr>
              <w:t>8.86E-11</w:t>
            </w:r>
          </w:p>
        </w:tc>
        <w:tc>
          <w:tcPr>
            <w:tcW w:w="810" w:type="dxa"/>
            <w:noWrap/>
            <w:hideMark/>
          </w:tcPr>
          <w:p w14:paraId="01DC14D3" w14:textId="77777777" w:rsidR="00AC565C" w:rsidRPr="00EE6B37" w:rsidRDefault="00AC565C" w:rsidP="00AC565C">
            <w:pPr>
              <w:jc w:val="right"/>
              <w:rPr>
                <w:rFonts w:eastAsia="Times New Roman" w:cs="Arial"/>
                <w:color w:val="000000"/>
              </w:rPr>
            </w:pPr>
            <w:r w:rsidRPr="00EE6B37">
              <w:rPr>
                <w:rFonts w:eastAsia="Times New Roman" w:cs="Arial"/>
                <w:color w:val="000000"/>
              </w:rPr>
              <w:t>27</w:t>
            </w:r>
          </w:p>
        </w:tc>
        <w:tc>
          <w:tcPr>
            <w:tcW w:w="990" w:type="dxa"/>
            <w:noWrap/>
            <w:hideMark/>
          </w:tcPr>
          <w:p w14:paraId="7317A58F" w14:textId="428C1670" w:rsidR="00AC565C" w:rsidRPr="00EE6B37" w:rsidRDefault="00AC565C" w:rsidP="00AC565C">
            <w:pPr>
              <w:jc w:val="right"/>
              <w:rPr>
                <w:rFonts w:eastAsia="Times New Roman" w:cs="Arial"/>
                <w:color w:val="000000"/>
              </w:rPr>
            </w:pPr>
            <w:r w:rsidRPr="00EE6B37">
              <w:rPr>
                <w:rFonts w:eastAsia="Times New Roman" w:cs="Arial"/>
                <w:color w:val="000000"/>
              </w:rPr>
              <w:t>3.3691</w:t>
            </w:r>
          </w:p>
        </w:tc>
        <w:tc>
          <w:tcPr>
            <w:tcW w:w="1260" w:type="dxa"/>
            <w:noWrap/>
            <w:hideMark/>
          </w:tcPr>
          <w:p w14:paraId="6D376705" w14:textId="77777777" w:rsidR="00AC565C" w:rsidRPr="00EE6B37" w:rsidRDefault="00AC565C" w:rsidP="00AC565C">
            <w:pPr>
              <w:jc w:val="right"/>
              <w:rPr>
                <w:rFonts w:eastAsia="Times New Roman" w:cs="Arial"/>
                <w:color w:val="000000"/>
              </w:rPr>
            </w:pPr>
            <w:r w:rsidRPr="00EE6B37">
              <w:rPr>
                <w:rFonts w:eastAsia="Times New Roman" w:cs="Arial"/>
                <w:color w:val="000000"/>
              </w:rPr>
              <w:t>5.58E-08</w:t>
            </w:r>
          </w:p>
        </w:tc>
      </w:tr>
      <w:tr w:rsidR="00EE6B37" w:rsidRPr="00EE6B37" w14:paraId="57976522" w14:textId="77777777" w:rsidTr="00EE6B37">
        <w:trPr>
          <w:trHeight w:val="300"/>
        </w:trPr>
        <w:tc>
          <w:tcPr>
            <w:tcW w:w="1548" w:type="dxa"/>
            <w:noWrap/>
            <w:hideMark/>
          </w:tcPr>
          <w:p w14:paraId="76FDD441" w14:textId="77777777" w:rsidR="00AC565C" w:rsidRPr="00EE6B37" w:rsidRDefault="00AC565C" w:rsidP="00AC565C">
            <w:pPr>
              <w:jc w:val="left"/>
              <w:rPr>
                <w:rFonts w:eastAsia="Times New Roman" w:cs="Arial"/>
                <w:color w:val="000000"/>
              </w:rPr>
            </w:pPr>
            <w:r w:rsidRPr="00EE6B37">
              <w:rPr>
                <w:rFonts w:eastAsia="Times New Roman" w:cs="Arial"/>
                <w:color w:val="000000"/>
              </w:rPr>
              <w:t>COG00100</w:t>
            </w:r>
          </w:p>
        </w:tc>
        <w:tc>
          <w:tcPr>
            <w:tcW w:w="2880" w:type="dxa"/>
            <w:noWrap/>
            <w:hideMark/>
          </w:tcPr>
          <w:p w14:paraId="02C4BADA"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S11</w:t>
            </w:r>
          </w:p>
        </w:tc>
        <w:tc>
          <w:tcPr>
            <w:tcW w:w="1260" w:type="dxa"/>
            <w:noWrap/>
            <w:hideMark/>
          </w:tcPr>
          <w:p w14:paraId="5040F82A" w14:textId="77777777" w:rsidR="00AC565C" w:rsidRPr="00EE6B37" w:rsidRDefault="00AC565C" w:rsidP="00AC565C">
            <w:pPr>
              <w:jc w:val="right"/>
              <w:rPr>
                <w:rFonts w:eastAsia="Times New Roman" w:cs="Arial"/>
                <w:color w:val="000000"/>
              </w:rPr>
            </w:pPr>
            <w:r w:rsidRPr="00EE6B37">
              <w:rPr>
                <w:rFonts w:eastAsia="Times New Roman" w:cs="Arial"/>
                <w:color w:val="000000"/>
              </w:rPr>
              <w:t>1.99E-10</w:t>
            </w:r>
          </w:p>
        </w:tc>
        <w:tc>
          <w:tcPr>
            <w:tcW w:w="810" w:type="dxa"/>
            <w:noWrap/>
            <w:hideMark/>
          </w:tcPr>
          <w:p w14:paraId="4A55F3FD" w14:textId="77777777" w:rsidR="00AC565C" w:rsidRPr="00EE6B37" w:rsidRDefault="00AC565C" w:rsidP="00AC565C">
            <w:pPr>
              <w:jc w:val="right"/>
              <w:rPr>
                <w:rFonts w:eastAsia="Times New Roman" w:cs="Arial"/>
                <w:color w:val="000000"/>
              </w:rPr>
            </w:pPr>
            <w:r w:rsidRPr="00EE6B37">
              <w:rPr>
                <w:rFonts w:eastAsia="Times New Roman" w:cs="Arial"/>
                <w:color w:val="000000"/>
              </w:rPr>
              <w:t>21</w:t>
            </w:r>
          </w:p>
        </w:tc>
        <w:tc>
          <w:tcPr>
            <w:tcW w:w="990" w:type="dxa"/>
            <w:noWrap/>
            <w:hideMark/>
          </w:tcPr>
          <w:p w14:paraId="5E7E1B88" w14:textId="134594FE" w:rsidR="00AC565C" w:rsidRPr="00EE6B37" w:rsidRDefault="00AC565C" w:rsidP="00AC565C">
            <w:pPr>
              <w:jc w:val="right"/>
              <w:rPr>
                <w:rFonts w:eastAsia="Times New Roman" w:cs="Arial"/>
                <w:color w:val="000000"/>
              </w:rPr>
            </w:pPr>
            <w:r w:rsidRPr="00EE6B37">
              <w:rPr>
                <w:rFonts w:eastAsia="Times New Roman" w:cs="Arial"/>
                <w:color w:val="000000"/>
              </w:rPr>
              <w:t>2.0664</w:t>
            </w:r>
          </w:p>
        </w:tc>
        <w:tc>
          <w:tcPr>
            <w:tcW w:w="1260" w:type="dxa"/>
            <w:noWrap/>
            <w:hideMark/>
          </w:tcPr>
          <w:p w14:paraId="26F31C74" w14:textId="77777777" w:rsidR="00AC565C" w:rsidRPr="00EE6B37" w:rsidRDefault="00AC565C" w:rsidP="00AC565C">
            <w:pPr>
              <w:jc w:val="right"/>
              <w:rPr>
                <w:rFonts w:eastAsia="Times New Roman" w:cs="Arial"/>
                <w:color w:val="000000"/>
              </w:rPr>
            </w:pPr>
            <w:r w:rsidRPr="00EE6B37">
              <w:rPr>
                <w:rFonts w:eastAsia="Times New Roman" w:cs="Arial"/>
                <w:color w:val="000000"/>
              </w:rPr>
              <w:t>4.58E-06</w:t>
            </w:r>
          </w:p>
        </w:tc>
      </w:tr>
      <w:tr w:rsidR="00EE6B37" w:rsidRPr="00EE6B37" w14:paraId="2AB3FBE5" w14:textId="77777777" w:rsidTr="00EE6B37">
        <w:trPr>
          <w:trHeight w:val="300"/>
        </w:trPr>
        <w:tc>
          <w:tcPr>
            <w:tcW w:w="1548" w:type="dxa"/>
            <w:noWrap/>
            <w:hideMark/>
          </w:tcPr>
          <w:p w14:paraId="660F9EC5" w14:textId="77777777" w:rsidR="00AC565C" w:rsidRPr="00EE6B37" w:rsidRDefault="00AC565C" w:rsidP="00AC565C">
            <w:pPr>
              <w:jc w:val="left"/>
              <w:rPr>
                <w:rFonts w:eastAsia="Times New Roman" w:cs="Arial"/>
                <w:color w:val="000000"/>
              </w:rPr>
            </w:pPr>
            <w:r w:rsidRPr="00EE6B37">
              <w:rPr>
                <w:rFonts w:eastAsia="Times New Roman" w:cs="Arial"/>
                <w:color w:val="000000"/>
              </w:rPr>
              <w:t>COG00048</w:t>
            </w:r>
          </w:p>
        </w:tc>
        <w:tc>
          <w:tcPr>
            <w:tcW w:w="2880" w:type="dxa"/>
            <w:noWrap/>
            <w:hideMark/>
          </w:tcPr>
          <w:p w14:paraId="004AC81B"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S12</w:t>
            </w:r>
          </w:p>
        </w:tc>
        <w:tc>
          <w:tcPr>
            <w:tcW w:w="1260" w:type="dxa"/>
            <w:noWrap/>
            <w:hideMark/>
          </w:tcPr>
          <w:p w14:paraId="4FEB73CC" w14:textId="77777777" w:rsidR="00AC565C" w:rsidRPr="00EE6B37" w:rsidRDefault="00AC565C" w:rsidP="00AC565C">
            <w:pPr>
              <w:jc w:val="right"/>
              <w:rPr>
                <w:rFonts w:eastAsia="Times New Roman" w:cs="Arial"/>
                <w:color w:val="000000"/>
              </w:rPr>
            </w:pPr>
            <w:r w:rsidRPr="00EE6B37">
              <w:rPr>
                <w:rFonts w:eastAsia="Times New Roman" w:cs="Arial"/>
                <w:color w:val="000000"/>
              </w:rPr>
              <w:t>1.99E-10</w:t>
            </w:r>
          </w:p>
        </w:tc>
        <w:tc>
          <w:tcPr>
            <w:tcW w:w="810" w:type="dxa"/>
            <w:noWrap/>
            <w:hideMark/>
          </w:tcPr>
          <w:p w14:paraId="4D4FAC51" w14:textId="77777777" w:rsidR="00AC565C" w:rsidRPr="00EE6B37" w:rsidRDefault="00AC565C" w:rsidP="00AC565C">
            <w:pPr>
              <w:jc w:val="right"/>
              <w:rPr>
                <w:rFonts w:eastAsia="Times New Roman" w:cs="Arial"/>
                <w:color w:val="000000"/>
              </w:rPr>
            </w:pPr>
            <w:r w:rsidRPr="00EE6B37">
              <w:rPr>
                <w:rFonts w:eastAsia="Times New Roman" w:cs="Arial"/>
                <w:color w:val="000000"/>
              </w:rPr>
              <w:t>21</w:t>
            </w:r>
          </w:p>
        </w:tc>
        <w:tc>
          <w:tcPr>
            <w:tcW w:w="990" w:type="dxa"/>
            <w:noWrap/>
            <w:hideMark/>
          </w:tcPr>
          <w:p w14:paraId="04928110" w14:textId="70608EB5" w:rsidR="00AC565C" w:rsidRPr="00EE6B37" w:rsidRDefault="00AC565C" w:rsidP="00AC565C">
            <w:pPr>
              <w:jc w:val="right"/>
              <w:rPr>
                <w:rFonts w:eastAsia="Times New Roman" w:cs="Arial"/>
                <w:color w:val="000000"/>
                <w:lang w:eastAsia="ko-KR"/>
              </w:rPr>
            </w:pPr>
            <w:r w:rsidRPr="00EE6B37">
              <w:rPr>
                <w:rFonts w:eastAsia="Times New Roman" w:cs="Arial"/>
                <w:color w:val="000000"/>
              </w:rPr>
              <w:t>1.668</w:t>
            </w:r>
            <w:r w:rsidRPr="00EE6B37">
              <w:rPr>
                <w:rFonts w:eastAsia="Times New Roman" w:cs="Arial"/>
                <w:color w:val="000000"/>
                <w:lang w:eastAsia="ko-KR"/>
              </w:rPr>
              <w:t>2</w:t>
            </w:r>
          </w:p>
        </w:tc>
        <w:tc>
          <w:tcPr>
            <w:tcW w:w="1260" w:type="dxa"/>
            <w:noWrap/>
            <w:hideMark/>
          </w:tcPr>
          <w:p w14:paraId="036DE9EE" w14:textId="77777777" w:rsidR="00AC565C" w:rsidRPr="00EE6B37" w:rsidRDefault="00AC565C" w:rsidP="00AC565C">
            <w:pPr>
              <w:jc w:val="right"/>
              <w:rPr>
                <w:rFonts w:eastAsia="Times New Roman" w:cs="Arial"/>
                <w:color w:val="000000"/>
              </w:rPr>
            </w:pPr>
            <w:r w:rsidRPr="00EE6B37">
              <w:rPr>
                <w:rFonts w:eastAsia="Times New Roman" w:cs="Arial"/>
                <w:color w:val="000000"/>
              </w:rPr>
              <w:t>0.000127452</w:t>
            </w:r>
          </w:p>
        </w:tc>
      </w:tr>
      <w:tr w:rsidR="00EE6B37" w:rsidRPr="00EE6B37" w14:paraId="4F119C3C" w14:textId="77777777" w:rsidTr="00EE6B37">
        <w:trPr>
          <w:trHeight w:val="300"/>
        </w:trPr>
        <w:tc>
          <w:tcPr>
            <w:tcW w:w="1548" w:type="dxa"/>
            <w:noWrap/>
            <w:hideMark/>
          </w:tcPr>
          <w:p w14:paraId="55D34F04" w14:textId="77777777" w:rsidR="00AC565C" w:rsidRPr="00EE6B37" w:rsidRDefault="00AC565C" w:rsidP="00AC565C">
            <w:pPr>
              <w:jc w:val="left"/>
              <w:rPr>
                <w:rFonts w:eastAsia="Times New Roman" w:cs="Arial"/>
                <w:color w:val="000000"/>
              </w:rPr>
            </w:pPr>
            <w:r w:rsidRPr="00EE6B37">
              <w:rPr>
                <w:rFonts w:eastAsia="Times New Roman" w:cs="Arial"/>
                <w:color w:val="000000"/>
              </w:rPr>
              <w:t>COG00086</w:t>
            </w:r>
          </w:p>
        </w:tc>
        <w:tc>
          <w:tcPr>
            <w:tcW w:w="2880" w:type="dxa"/>
            <w:noWrap/>
            <w:hideMark/>
          </w:tcPr>
          <w:p w14:paraId="268B2997" w14:textId="77777777" w:rsidR="00AC565C" w:rsidRPr="00EE6B37" w:rsidRDefault="00AC565C" w:rsidP="00AC565C">
            <w:pPr>
              <w:jc w:val="left"/>
              <w:rPr>
                <w:rFonts w:eastAsia="Times New Roman" w:cs="Arial"/>
                <w:color w:val="000000"/>
              </w:rPr>
            </w:pPr>
            <w:r w:rsidRPr="00EE6B37">
              <w:rPr>
                <w:rFonts w:eastAsia="Times New Roman" w:cs="Arial"/>
                <w:color w:val="000000"/>
              </w:rPr>
              <w:t>DNA-directed RNA polymerase; beta' subunit/160 kD subunit</w:t>
            </w:r>
          </w:p>
        </w:tc>
        <w:tc>
          <w:tcPr>
            <w:tcW w:w="1260" w:type="dxa"/>
            <w:noWrap/>
            <w:hideMark/>
          </w:tcPr>
          <w:p w14:paraId="43C7573A" w14:textId="77777777" w:rsidR="00AC565C" w:rsidRPr="00EE6B37" w:rsidRDefault="00AC565C" w:rsidP="00AC565C">
            <w:pPr>
              <w:jc w:val="right"/>
              <w:rPr>
                <w:rFonts w:eastAsia="Times New Roman" w:cs="Arial"/>
                <w:color w:val="000000"/>
              </w:rPr>
            </w:pPr>
            <w:r w:rsidRPr="00EE6B37">
              <w:rPr>
                <w:rFonts w:eastAsia="Times New Roman" w:cs="Arial"/>
                <w:color w:val="000000"/>
              </w:rPr>
              <w:t>1.99E-10</w:t>
            </w:r>
          </w:p>
        </w:tc>
        <w:tc>
          <w:tcPr>
            <w:tcW w:w="810" w:type="dxa"/>
            <w:noWrap/>
            <w:hideMark/>
          </w:tcPr>
          <w:p w14:paraId="71BE5BFC" w14:textId="77777777" w:rsidR="00AC565C" w:rsidRPr="00EE6B37" w:rsidRDefault="00AC565C" w:rsidP="00AC565C">
            <w:pPr>
              <w:jc w:val="right"/>
              <w:rPr>
                <w:rFonts w:eastAsia="Times New Roman" w:cs="Arial"/>
                <w:color w:val="000000"/>
              </w:rPr>
            </w:pPr>
            <w:r w:rsidRPr="00EE6B37">
              <w:rPr>
                <w:rFonts w:eastAsia="Times New Roman" w:cs="Arial"/>
                <w:color w:val="000000"/>
              </w:rPr>
              <w:t>22</w:t>
            </w:r>
          </w:p>
        </w:tc>
        <w:tc>
          <w:tcPr>
            <w:tcW w:w="990" w:type="dxa"/>
            <w:noWrap/>
            <w:hideMark/>
          </w:tcPr>
          <w:p w14:paraId="2EDBC32A" w14:textId="5F63FF08" w:rsidR="00AC565C" w:rsidRPr="00EE6B37" w:rsidRDefault="00AC565C" w:rsidP="00AC565C">
            <w:pPr>
              <w:jc w:val="right"/>
              <w:rPr>
                <w:rFonts w:eastAsia="Times New Roman" w:cs="Arial"/>
                <w:color w:val="000000"/>
                <w:lang w:eastAsia="ko-KR"/>
              </w:rPr>
            </w:pPr>
            <w:r w:rsidRPr="00EE6B37">
              <w:rPr>
                <w:rFonts w:eastAsia="Times New Roman" w:cs="Arial"/>
                <w:color w:val="000000"/>
              </w:rPr>
              <w:t>1.565</w:t>
            </w:r>
            <w:r w:rsidRPr="00EE6B37">
              <w:rPr>
                <w:rFonts w:eastAsia="Times New Roman" w:cs="Arial"/>
                <w:color w:val="000000"/>
                <w:lang w:eastAsia="ko-KR"/>
              </w:rPr>
              <w:t>4</w:t>
            </w:r>
          </w:p>
        </w:tc>
        <w:tc>
          <w:tcPr>
            <w:tcW w:w="1260" w:type="dxa"/>
            <w:noWrap/>
            <w:hideMark/>
          </w:tcPr>
          <w:p w14:paraId="3FDAFC66" w14:textId="77777777" w:rsidR="00AC565C" w:rsidRPr="00EE6B37" w:rsidRDefault="00AC565C" w:rsidP="00AC565C">
            <w:pPr>
              <w:jc w:val="right"/>
              <w:rPr>
                <w:rFonts w:eastAsia="Times New Roman" w:cs="Arial"/>
                <w:color w:val="000000"/>
              </w:rPr>
            </w:pPr>
            <w:r w:rsidRPr="00EE6B37">
              <w:rPr>
                <w:rFonts w:eastAsia="Times New Roman" w:cs="Arial"/>
                <w:color w:val="000000"/>
              </w:rPr>
              <w:t>0.000129515</w:t>
            </w:r>
          </w:p>
        </w:tc>
      </w:tr>
      <w:tr w:rsidR="00EE6B37" w:rsidRPr="00EE6B37" w14:paraId="69FC76C8" w14:textId="77777777" w:rsidTr="00EE6B37">
        <w:trPr>
          <w:trHeight w:val="300"/>
        </w:trPr>
        <w:tc>
          <w:tcPr>
            <w:tcW w:w="1548" w:type="dxa"/>
            <w:noWrap/>
            <w:hideMark/>
          </w:tcPr>
          <w:p w14:paraId="71A39910" w14:textId="77777777" w:rsidR="00AC565C" w:rsidRPr="00EE6B37" w:rsidRDefault="00AC565C" w:rsidP="00AC565C">
            <w:pPr>
              <w:jc w:val="left"/>
              <w:rPr>
                <w:rFonts w:eastAsia="Times New Roman" w:cs="Arial"/>
                <w:color w:val="000000"/>
              </w:rPr>
            </w:pPr>
            <w:r w:rsidRPr="00EE6B37">
              <w:rPr>
                <w:rFonts w:eastAsia="Times New Roman" w:cs="Arial"/>
                <w:color w:val="000000"/>
              </w:rPr>
              <w:t>COG00653</w:t>
            </w:r>
          </w:p>
        </w:tc>
        <w:tc>
          <w:tcPr>
            <w:tcW w:w="2880" w:type="dxa"/>
            <w:noWrap/>
            <w:hideMark/>
          </w:tcPr>
          <w:p w14:paraId="2C33F0E7" w14:textId="77777777" w:rsidR="00AC565C" w:rsidRPr="00EE6B37" w:rsidRDefault="00AC565C" w:rsidP="00AC565C">
            <w:pPr>
              <w:jc w:val="left"/>
              <w:rPr>
                <w:rFonts w:eastAsia="Times New Roman" w:cs="Arial"/>
                <w:color w:val="000000"/>
              </w:rPr>
            </w:pPr>
            <w:r w:rsidRPr="00EE6B37">
              <w:rPr>
                <w:rFonts w:eastAsia="Times New Roman" w:cs="Arial"/>
                <w:color w:val="000000"/>
              </w:rPr>
              <w:t>Preprotein translocase subunit SecA (ATPase; RNA helicase)</w:t>
            </w:r>
          </w:p>
        </w:tc>
        <w:tc>
          <w:tcPr>
            <w:tcW w:w="1260" w:type="dxa"/>
            <w:noWrap/>
            <w:hideMark/>
          </w:tcPr>
          <w:p w14:paraId="5FAD8B95" w14:textId="77777777" w:rsidR="00AC565C" w:rsidRPr="00EE6B37" w:rsidRDefault="00AC565C" w:rsidP="00AC565C">
            <w:pPr>
              <w:jc w:val="right"/>
              <w:rPr>
                <w:rFonts w:eastAsia="Times New Roman" w:cs="Arial"/>
                <w:color w:val="000000"/>
              </w:rPr>
            </w:pPr>
            <w:r w:rsidRPr="00EE6B37">
              <w:rPr>
                <w:rFonts w:eastAsia="Times New Roman" w:cs="Arial"/>
                <w:color w:val="000000"/>
              </w:rPr>
              <w:t>1.99E-10</w:t>
            </w:r>
          </w:p>
        </w:tc>
        <w:tc>
          <w:tcPr>
            <w:tcW w:w="810" w:type="dxa"/>
            <w:noWrap/>
            <w:hideMark/>
          </w:tcPr>
          <w:p w14:paraId="2659F74F" w14:textId="77777777" w:rsidR="00AC565C" w:rsidRPr="00EE6B37" w:rsidRDefault="00AC565C" w:rsidP="00AC565C">
            <w:pPr>
              <w:jc w:val="right"/>
              <w:rPr>
                <w:rFonts w:eastAsia="Times New Roman" w:cs="Arial"/>
                <w:color w:val="000000"/>
              </w:rPr>
            </w:pPr>
            <w:r w:rsidRPr="00EE6B37">
              <w:rPr>
                <w:rFonts w:eastAsia="Times New Roman" w:cs="Arial"/>
                <w:color w:val="000000"/>
              </w:rPr>
              <w:t>23</w:t>
            </w:r>
          </w:p>
        </w:tc>
        <w:tc>
          <w:tcPr>
            <w:tcW w:w="990" w:type="dxa"/>
            <w:noWrap/>
            <w:hideMark/>
          </w:tcPr>
          <w:p w14:paraId="64714626" w14:textId="014787BE" w:rsidR="00AC565C" w:rsidRPr="00EE6B37" w:rsidRDefault="00AC565C" w:rsidP="00AC565C">
            <w:pPr>
              <w:jc w:val="right"/>
              <w:rPr>
                <w:rFonts w:eastAsia="Times New Roman" w:cs="Arial"/>
                <w:color w:val="000000"/>
                <w:lang w:eastAsia="ko-KR"/>
              </w:rPr>
            </w:pPr>
            <w:r w:rsidRPr="00EE6B37">
              <w:rPr>
                <w:rFonts w:eastAsia="Times New Roman" w:cs="Arial"/>
                <w:color w:val="000000"/>
              </w:rPr>
              <w:t>1.493</w:t>
            </w:r>
            <w:r w:rsidRPr="00EE6B37">
              <w:rPr>
                <w:rFonts w:eastAsia="Times New Roman" w:cs="Arial"/>
                <w:color w:val="000000"/>
                <w:lang w:eastAsia="ko-KR"/>
              </w:rPr>
              <w:t>6</w:t>
            </w:r>
          </w:p>
        </w:tc>
        <w:tc>
          <w:tcPr>
            <w:tcW w:w="1260" w:type="dxa"/>
            <w:noWrap/>
            <w:hideMark/>
          </w:tcPr>
          <w:p w14:paraId="689CFF56" w14:textId="77777777" w:rsidR="00AC565C" w:rsidRPr="00EE6B37" w:rsidRDefault="00AC565C" w:rsidP="00AC565C">
            <w:pPr>
              <w:jc w:val="right"/>
              <w:rPr>
                <w:rFonts w:eastAsia="Times New Roman" w:cs="Arial"/>
                <w:color w:val="000000"/>
              </w:rPr>
            </w:pPr>
            <w:r w:rsidRPr="00EE6B37">
              <w:rPr>
                <w:rFonts w:eastAsia="Times New Roman" w:cs="Arial"/>
                <w:color w:val="000000"/>
              </w:rPr>
              <w:t>0.000254607</w:t>
            </w:r>
          </w:p>
        </w:tc>
      </w:tr>
      <w:tr w:rsidR="00EE6B37" w:rsidRPr="00EE6B37" w14:paraId="55B6BDBE" w14:textId="77777777" w:rsidTr="00EE6B37">
        <w:trPr>
          <w:trHeight w:val="300"/>
        </w:trPr>
        <w:tc>
          <w:tcPr>
            <w:tcW w:w="1548" w:type="dxa"/>
            <w:noWrap/>
            <w:hideMark/>
          </w:tcPr>
          <w:p w14:paraId="1565D01E" w14:textId="77777777" w:rsidR="00AC565C" w:rsidRPr="00EE6B37" w:rsidRDefault="00AC565C" w:rsidP="00AC565C">
            <w:pPr>
              <w:jc w:val="left"/>
              <w:rPr>
                <w:rFonts w:eastAsia="Times New Roman" w:cs="Arial"/>
                <w:color w:val="000000"/>
              </w:rPr>
            </w:pPr>
            <w:r w:rsidRPr="00EE6B37">
              <w:rPr>
                <w:rFonts w:eastAsia="Times New Roman" w:cs="Arial"/>
                <w:color w:val="000000"/>
              </w:rPr>
              <w:t>COG00459</w:t>
            </w:r>
          </w:p>
        </w:tc>
        <w:tc>
          <w:tcPr>
            <w:tcW w:w="2880" w:type="dxa"/>
            <w:noWrap/>
            <w:hideMark/>
          </w:tcPr>
          <w:p w14:paraId="7DEDD33B" w14:textId="77777777" w:rsidR="00AC565C" w:rsidRPr="00EE6B37" w:rsidRDefault="00AC565C" w:rsidP="00AC565C">
            <w:pPr>
              <w:jc w:val="left"/>
              <w:rPr>
                <w:rFonts w:eastAsia="Times New Roman" w:cs="Arial"/>
                <w:color w:val="000000"/>
              </w:rPr>
            </w:pPr>
            <w:r w:rsidRPr="00EE6B37">
              <w:rPr>
                <w:rFonts w:eastAsia="Times New Roman" w:cs="Arial"/>
                <w:color w:val="000000"/>
              </w:rPr>
              <w:t>Chaperonin GroEL (HSP60 family)</w:t>
            </w:r>
          </w:p>
        </w:tc>
        <w:tc>
          <w:tcPr>
            <w:tcW w:w="1260" w:type="dxa"/>
            <w:noWrap/>
            <w:hideMark/>
          </w:tcPr>
          <w:p w14:paraId="27CD7173" w14:textId="77777777" w:rsidR="00AC565C" w:rsidRPr="00EE6B37" w:rsidRDefault="00AC565C" w:rsidP="00AC565C">
            <w:pPr>
              <w:jc w:val="right"/>
              <w:rPr>
                <w:rFonts w:eastAsia="Times New Roman" w:cs="Arial"/>
                <w:color w:val="000000"/>
              </w:rPr>
            </w:pPr>
            <w:r w:rsidRPr="00EE6B37">
              <w:rPr>
                <w:rFonts w:eastAsia="Times New Roman" w:cs="Arial"/>
                <w:color w:val="000000"/>
              </w:rPr>
              <w:t>2.75E-10</w:t>
            </w:r>
          </w:p>
        </w:tc>
        <w:tc>
          <w:tcPr>
            <w:tcW w:w="810" w:type="dxa"/>
            <w:noWrap/>
            <w:hideMark/>
          </w:tcPr>
          <w:p w14:paraId="26E264F8" w14:textId="77777777" w:rsidR="00AC565C" w:rsidRPr="00EE6B37" w:rsidRDefault="00AC565C" w:rsidP="00AC565C">
            <w:pPr>
              <w:jc w:val="right"/>
              <w:rPr>
                <w:rFonts w:eastAsia="Times New Roman" w:cs="Arial"/>
                <w:color w:val="000000"/>
              </w:rPr>
            </w:pPr>
            <w:r w:rsidRPr="00EE6B37">
              <w:rPr>
                <w:rFonts w:eastAsia="Times New Roman" w:cs="Arial"/>
                <w:color w:val="000000"/>
              </w:rPr>
              <w:t>22</w:t>
            </w:r>
          </w:p>
        </w:tc>
        <w:tc>
          <w:tcPr>
            <w:tcW w:w="990" w:type="dxa"/>
            <w:noWrap/>
            <w:hideMark/>
          </w:tcPr>
          <w:p w14:paraId="564852FD" w14:textId="302F22E5" w:rsidR="00AC565C" w:rsidRPr="00EE6B37" w:rsidRDefault="00AC565C" w:rsidP="00AC565C">
            <w:pPr>
              <w:jc w:val="right"/>
              <w:rPr>
                <w:rFonts w:eastAsia="Times New Roman" w:cs="Arial"/>
                <w:color w:val="000000"/>
              </w:rPr>
            </w:pPr>
            <w:r w:rsidRPr="00EE6B37">
              <w:rPr>
                <w:rFonts w:eastAsia="Times New Roman" w:cs="Arial"/>
                <w:color w:val="000000"/>
              </w:rPr>
              <w:t>2.9585</w:t>
            </w:r>
          </w:p>
        </w:tc>
        <w:tc>
          <w:tcPr>
            <w:tcW w:w="1260" w:type="dxa"/>
            <w:noWrap/>
            <w:hideMark/>
          </w:tcPr>
          <w:p w14:paraId="2FA48608" w14:textId="77777777" w:rsidR="00AC565C" w:rsidRPr="00EE6B37" w:rsidRDefault="00AC565C" w:rsidP="00AC565C">
            <w:pPr>
              <w:jc w:val="right"/>
              <w:rPr>
                <w:rFonts w:eastAsia="Times New Roman" w:cs="Arial"/>
                <w:color w:val="000000"/>
              </w:rPr>
            </w:pPr>
            <w:r w:rsidRPr="00EE6B37">
              <w:rPr>
                <w:rFonts w:eastAsia="Times New Roman" w:cs="Arial"/>
                <w:color w:val="000000"/>
              </w:rPr>
              <w:t>7.46E-08</w:t>
            </w:r>
          </w:p>
        </w:tc>
      </w:tr>
      <w:tr w:rsidR="00EE6B37" w:rsidRPr="00EE6B37" w14:paraId="5F724675" w14:textId="77777777" w:rsidTr="00EE6B37">
        <w:trPr>
          <w:trHeight w:val="300"/>
        </w:trPr>
        <w:tc>
          <w:tcPr>
            <w:tcW w:w="1548" w:type="dxa"/>
            <w:noWrap/>
            <w:hideMark/>
          </w:tcPr>
          <w:p w14:paraId="5E99FDE2" w14:textId="77777777" w:rsidR="00AC565C" w:rsidRPr="00EE6B37" w:rsidRDefault="00AC565C" w:rsidP="00AC565C">
            <w:pPr>
              <w:jc w:val="left"/>
              <w:rPr>
                <w:rFonts w:eastAsia="Times New Roman" w:cs="Arial"/>
                <w:color w:val="000000"/>
              </w:rPr>
            </w:pPr>
            <w:r w:rsidRPr="00EE6B37">
              <w:rPr>
                <w:rFonts w:eastAsia="Times New Roman" w:cs="Arial"/>
                <w:color w:val="000000"/>
              </w:rPr>
              <w:t>COG00085</w:t>
            </w:r>
          </w:p>
        </w:tc>
        <w:tc>
          <w:tcPr>
            <w:tcW w:w="2880" w:type="dxa"/>
            <w:noWrap/>
            <w:hideMark/>
          </w:tcPr>
          <w:p w14:paraId="54ADBB77" w14:textId="77777777" w:rsidR="00AC565C" w:rsidRPr="00EE6B37" w:rsidRDefault="00AC565C" w:rsidP="00AC565C">
            <w:pPr>
              <w:jc w:val="left"/>
              <w:rPr>
                <w:rFonts w:eastAsia="Times New Roman" w:cs="Arial"/>
                <w:color w:val="000000"/>
              </w:rPr>
            </w:pPr>
            <w:r w:rsidRPr="00EE6B37">
              <w:rPr>
                <w:rFonts w:eastAsia="Times New Roman" w:cs="Arial"/>
                <w:color w:val="000000"/>
              </w:rPr>
              <w:t>DNA-directed RNA polymerase; beta subunit/140 kD subunit</w:t>
            </w:r>
          </w:p>
        </w:tc>
        <w:tc>
          <w:tcPr>
            <w:tcW w:w="1260" w:type="dxa"/>
            <w:noWrap/>
            <w:hideMark/>
          </w:tcPr>
          <w:p w14:paraId="27FDA171" w14:textId="77777777" w:rsidR="00AC565C" w:rsidRPr="00EE6B37" w:rsidRDefault="00AC565C" w:rsidP="00AC565C">
            <w:pPr>
              <w:jc w:val="right"/>
              <w:rPr>
                <w:rFonts w:eastAsia="Times New Roman" w:cs="Arial"/>
                <w:color w:val="000000"/>
              </w:rPr>
            </w:pPr>
            <w:r w:rsidRPr="00EE6B37">
              <w:rPr>
                <w:rFonts w:eastAsia="Times New Roman" w:cs="Arial"/>
                <w:color w:val="000000"/>
              </w:rPr>
              <w:t>2.75E-10</w:t>
            </w:r>
          </w:p>
        </w:tc>
        <w:tc>
          <w:tcPr>
            <w:tcW w:w="810" w:type="dxa"/>
            <w:noWrap/>
            <w:hideMark/>
          </w:tcPr>
          <w:p w14:paraId="25779017" w14:textId="77777777" w:rsidR="00AC565C" w:rsidRPr="00EE6B37" w:rsidRDefault="00AC565C" w:rsidP="00AC565C">
            <w:pPr>
              <w:jc w:val="right"/>
              <w:rPr>
                <w:rFonts w:eastAsia="Times New Roman" w:cs="Arial"/>
                <w:color w:val="000000"/>
              </w:rPr>
            </w:pPr>
            <w:r w:rsidRPr="00EE6B37">
              <w:rPr>
                <w:rFonts w:eastAsia="Times New Roman" w:cs="Arial"/>
                <w:color w:val="000000"/>
              </w:rPr>
              <w:t>22</w:t>
            </w:r>
          </w:p>
        </w:tc>
        <w:tc>
          <w:tcPr>
            <w:tcW w:w="990" w:type="dxa"/>
            <w:noWrap/>
            <w:hideMark/>
          </w:tcPr>
          <w:p w14:paraId="76DF7B13" w14:textId="79BCEBF1" w:rsidR="00AC565C" w:rsidRPr="00EE6B37" w:rsidRDefault="00AC565C" w:rsidP="00AC565C">
            <w:pPr>
              <w:jc w:val="right"/>
              <w:rPr>
                <w:rFonts w:eastAsia="Times New Roman" w:cs="Arial"/>
                <w:color w:val="000000"/>
                <w:lang w:eastAsia="ko-KR"/>
              </w:rPr>
            </w:pPr>
            <w:r w:rsidRPr="00EE6B37">
              <w:rPr>
                <w:rFonts w:eastAsia="Times New Roman" w:cs="Arial"/>
                <w:color w:val="000000"/>
              </w:rPr>
              <w:t>1.914</w:t>
            </w:r>
            <w:r w:rsidRPr="00EE6B37">
              <w:rPr>
                <w:rFonts w:eastAsia="Times New Roman" w:cs="Arial"/>
                <w:color w:val="000000"/>
                <w:lang w:eastAsia="ko-KR"/>
              </w:rPr>
              <w:t>3</w:t>
            </w:r>
          </w:p>
        </w:tc>
        <w:tc>
          <w:tcPr>
            <w:tcW w:w="1260" w:type="dxa"/>
            <w:noWrap/>
            <w:hideMark/>
          </w:tcPr>
          <w:p w14:paraId="768174FF" w14:textId="77777777" w:rsidR="00AC565C" w:rsidRPr="00EE6B37" w:rsidRDefault="00AC565C" w:rsidP="00AC565C">
            <w:pPr>
              <w:jc w:val="right"/>
              <w:rPr>
                <w:rFonts w:eastAsia="Times New Roman" w:cs="Arial"/>
                <w:color w:val="000000"/>
              </w:rPr>
            </w:pPr>
            <w:r w:rsidRPr="00EE6B37">
              <w:rPr>
                <w:rFonts w:eastAsia="Times New Roman" w:cs="Arial"/>
                <w:color w:val="000000"/>
              </w:rPr>
              <w:t>4.63E-06</w:t>
            </w:r>
          </w:p>
        </w:tc>
      </w:tr>
      <w:tr w:rsidR="00EE6B37" w:rsidRPr="00EE6B37" w14:paraId="5DCCBA0B" w14:textId="77777777" w:rsidTr="00EE6B37">
        <w:trPr>
          <w:trHeight w:val="300"/>
        </w:trPr>
        <w:tc>
          <w:tcPr>
            <w:tcW w:w="1548" w:type="dxa"/>
            <w:noWrap/>
            <w:hideMark/>
          </w:tcPr>
          <w:p w14:paraId="3E05DF08" w14:textId="77777777" w:rsidR="00AC565C" w:rsidRPr="00EE6B37" w:rsidRDefault="00AC565C" w:rsidP="00AC565C">
            <w:pPr>
              <w:jc w:val="left"/>
              <w:rPr>
                <w:rFonts w:eastAsia="Times New Roman" w:cs="Arial"/>
                <w:color w:val="000000"/>
              </w:rPr>
            </w:pPr>
            <w:r w:rsidRPr="00EE6B37">
              <w:rPr>
                <w:rFonts w:eastAsia="Times New Roman" w:cs="Arial"/>
                <w:color w:val="000000"/>
              </w:rPr>
              <w:t>COG01592</w:t>
            </w:r>
          </w:p>
        </w:tc>
        <w:tc>
          <w:tcPr>
            <w:tcW w:w="2880" w:type="dxa"/>
            <w:noWrap/>
            <w:hideMark/>
          </w:tcPr>
          <w:p w14:paraId="0249F84C" w14:textId="77777777" w:rsidR="00AC565C" w:rsidRPr="00EE6B37" w:rsidRDefault="00AC565C" w:rsidP="00AC565C">
            <w:pPr>
              <w:jc w:val="left"/>
              <w:rPr>
                <w:rFonts w:eastAsia="Times New Roman" w:cs="Arial"/>
                <w:color w:val="000000"/>
              </w:rPr>
            </w:pPr>
            <w:r w:rsidRPr="00EE6B37">
              <w:rPr>
                <w:rFonts w:eastAsia="Times New Roman" w:cs="Arial"/>
                <w:color w:val="000000"/>
              </w:rPr>
              <w:t>Rubrerythrin</w:t>
            </w:r>
          </w:p>
        </w:tc>
        <w:tc>
          <w:tcPr>
            <w:tcW w:w="1260" w:type="dxa"/>
            <w:noWrap/>
            <w:hideMark/>
          </w:tcPr>
          <w:p w14:paraId="6AC72C89" w14:textId="77777777" w:rsidR="00AC565C" w:rsidRPr="00EE6B37" w:rsidRDefault="00AC565C" w:rsidP="00AC565C">
            <w:pPr>
              <w:jc w:val="right"/>
              <w:rPr>
                <w:rFonts w:eastAsia="Times New Roman" w:cs="Arial"/>
                <w:color w:val="000000"/>
              </w:rPr>
            </w:pPr>
            <w:r w:rsidRPr="00EE6B37">
              <w:rPr>
                <w:rFonts w:eastAsia="Times New Roman" w:cs="Arial"/>
                <w:color w:val="000000"/>
              </w:rPr>
              <w:t>7.43E-10</w:t>
            </w:r>
          </w:p>
        </w:tc>
        <w:tc>
          <w:tcPr>
            <w:tcW w:w="810" w:type="dxa"/>
            <w:noWrap/>
            <w:hideMark/>
          </w:tcPr>
          <w:p w14:paraId="240BC9F2" w14:textId="77777777" w:rsidR="00AC565C" w:rsidRPr="00EE6B37" w:rsidRDefault="00AC565C" w:rsidP="00AC565C">
            <w:pPr>
              <w:jc w:val="right"/>
              <w:rPr>
                <w:rFonts w:eastAsia="Times New Roman" w:cs="Arial"/>
                <w:color w:val="000000"/>
              </w:rPr>
            </w:pPr>
            <w:r w:rsidRPr="00EE6B37">
              <w:rPr>
                <w:rFonts w:eastAsia="Times New Roman" w:cs="Arial"/>
                <w:color w:val="000000"/>
              </w:rPr>
              <w:t>21</w:t>
            </w:r>
          </w:p>
        </w:tc>
        <w:tc>
          <w:tcPr>
            <w:tcW w:w="990" w:type="dxa"/>
            <w:noWrap/>
            <w:hideMark/>
          </w:tcPr>
          <w:p w14:paraId="734F0860" w14:textId="26A6420E" w:rsidR="00AC565C" w:rsidRPr="00EE6B37" w:rsidRDefault="00AC565C" w:rsidP="00AC565C">
            <w:pPr>
              <w:jc w:val="right"/>
              <w:rPr>
                <w:rFonts w:eastAsia="Times New Roman" w:cs="Arial"/>
                <w:color w:val="000000"/>
                <w:lang w:eastAsia="ko-KR"/>
              </w:rPr>
            </w:pPr>
            <w:r w:rsidRPr="00EE6B37">
              <w:rPr>
                <w:rFonts w:eastAsia="Times New Roman" w:cs="Arial"/>
                <w:color w:val="000000"/>
              </w:rPr>
              <w:t>2.277</w:t>
            </w:r>
            <w:r w:rsidRPr="00EE6B37">
              <w:rPr>
                <w:rFonts w:eastAsia="Times New Roman" w:cs="Arial"/>
                <w:color w:val="000000"/>
                <w:lang w:eastAsia="ko-KR"/>
              </w:rPr>
              <w:t>3</w:t>
            </w:r>
          </w:p>
        </w:tc>
        <w:tc>
          <w:tcPr>
            <w:tcW w:w="1260" w:type="dxa"/>
            <w:noWrap/>
            <w:hideMark/>
          </w:tcPr>
          <w:p w14:paraId="3A01454F" w14:textId="77777777" w:rsidR="00AC565C" w:rsidRPr="00EE6B37" w:rsidRDefault="00AC565C" w:rsidP="00AC565C">
            <w:pPr>
              <w:jc w:val="right"/>
              <w:rPr>
                <w:rFonts w:eastAsia="Times New Roman" w:cs="Arial"/>
                <w:color w:val="000000"/>
              </w:rPr>
            </w:pPr>
            <w:r w:rsidRPr="00EE6B37">
              <w:rPr>
                <w:rFonts w:eastAsia="Times New Roman" w:cs="Arial"/>
                <w:color w:val="000000"/>
              </w:rPr>
              <w:t>1.10E-06</w:t>
            </w:r>
          </w:p>
        </w:tc>
      </w:tr>
      <w:tr w:rsidR="00EE6B37" w:rsidRPr="00EE6B37" w14:paraId="29CD286F" w14:textId="77777777" w:rsidTr="00EE6B37">
        <w:trPr>
          <w:trHeight w:val="300"/>
        </w:trPr>
        <w:tc>
          <w:tcPr>
            <w:tcW w:w="1548" w:type="dxa"/>
            <w:noWrap/>
            <w:hideMark/>
          </w:tcPr>
          <w:p w14:paraId="120A29BE" w14:textId="77777777" w:rsidR="00AC565C" w:rsidRPr="00EE6B37" w:rsidRDefault="00AC565C" w:rsidP="00AC565C">
            <w:pPr>
              <w:jc w:val="left"/>
              <w:rPr>
                <w:rFonts w:eastAsia="Times New Roman" w:cs="Arial"/>
                <w:color w:val="000000"/>
              </w:rPr>
            </w:pPr>
            <w:r w:rsidRPr="00EE6B37">
              <w:rPr>
                <w:rFonts w:eastAsia="Times New Roman" w:cs="Arial"/>
                <w:color w:val="000000"/>
              </w:rPr>
              <w:t>COG00057</w:t>
            </w:r>
          </w:p>
        </w:tc>
        <w:tc>
          <w:tcPr>
            <w:tcW w:w="2880" w:type="dxa"/>
            <w:noWrap/>
            <w:hideMark/>
          </w:tcPr>
          <w:p w14:paraId="2AF00729" w14:textId="77777777" w:rsidR="00AC565C" w:rsidRPr="00EE6B37" w:rsidRDefault="00AC565C" w:rsidP="00AC565C">
            <w:pPr>
              <w:jc w:val="left"/>
              <w:rPr>
                <w:rFonts w:eastAsia="Times New Roman" w:cs="Arial"/>
                <w:color w:val="000000"/>
              </w:rPr>
            </w:pPr>
            <w:r w:rsidRPr="00EE6B37">
              <w:rPr>
                <w:rFonts w:eastAsia="Times New Roman" w:cs="Arial"/>
                <w:color w:val="000000"/>
              </w:rPr>
              <w:t>Glyceraldehyde-3-phosphate dehydrogenase/erythrose-4-phosphate dehydrogenase</w:t>
            </w:r>
          </w:p>
        </w:tc>
        <w:tc>
          <w:tcPr>
            <w:tcW w:w="1260" w:type="dxa"/>
            <w:noWrap/>
            <w:hideMark/>
          </w:tcPr>
          <w:p w14:paraId="554F7F05" w14:textId="77777777" w:rsidR="00AC565C" w:rsidRPr="00EE6B37" w:rsidRDefault="00AC565C" w:rsidP="00AC565C">
            <w:pPr>
              <w:jc w:val="right"/>
              <w:rPr>
                <w:rFonts w:eastAsia="Times New Roman" w:cs="Arial"/>
                <w:color w:val="000000"/>
              </w:rPr>
            </w:pPr>
            <w:r w:rsidRPr="00EE6B37">
              <w:rPr>
                <w:rFonts w:eastAsia="Times New Roman" w:cs="Arial"/>
                <w:color w:val="000000"/>
              </w:rPr>
              <w:t>7.43E-10</w:t>
            </w:r>
          </w:p>
        </w:tc>
        <w:tc>
          <w:tcPr>
            <w:tcW w:w="810" w:type="dxa"/>
            <w:noWrap/>
            <w:hideMark/>
          </w:tcPr>
          <w:p w14:paraId="5FE6571E" w14:textId="77777777" w:rsidR="00AC565C" w:rsidRPr="00EE6B37" w:rsidRDefault="00AC565C" w:rsidP="00AC565C">
            <w:pPr>
              <w:jc w:val="right"/>
              <w:rPr>
                <w:rFonts w:eastAsia="Times New Roman" w:cs="Arial"/>
                <w:color w:val="000000"/>
              </w:rPr>
            </w:pPr>
            <w:r w:rsidRPr="00EE6B37">
              <w:rPr>
                <w:rFonts w:eastAsia="Times New Roman" w:cs="Arial"/>
                <w:color w:val="000000"/>
              </w:rPr>
              <w:t>23</w:t>
            </w:r>
          </w:p>
        </w:tc>
        <w:tc>
          <w:tcPr>
            <w:tcW w:w="990" w:type="dxa"/>
            <w:noWrap/>
            <w:hideMark/>
          </w:tcPr>
          <w:p w14:paraId="22A8FF47" w14:textId="7A97CB3E" w:rsidR="00AC565C" w:rsidRPr="00EE6B37" w:rsidRDefault="00AC565C" w:rsidP="00AC565C">
            <w:pPr>
              <w:jc w:val="right"/>
              <w:rPr>
                <w:rFonts w:eastAsia="Times New Roman" w:cs="Arial"/>
                <w:color w:val="000000"/>
                <w:lang w:eastAsia="ko-KR"/>
              </w:rPr>
            </w:pPr>
            <w:r w:rsidRPr="00EE6B37">
              <w:rPr>
                <w:rFonts w:eastAsia="Times New Roman" w:cs="Arial"/>
                <w:color w:val="000000"/>
              </w:rPr>
              <w:t>1.977</w:t>
            </w:r>
            <w:r w:rsidRPr="00EE6B37">
              <w:rPr>
                <w:rFonts w:eastAsia="Times New Roman" w:cs="Arial"/>
                <w:color w:val="000000"/>
                <w:lang w:eastAsia="ko-KR"/>
              </w:rPr>
              <w:t>0</w:t>
            </w:r>
          </w:p>
        </w:tc>
        <w:tc>
          <w:tcPr>
            <w:tcW w:w="1260" w:type="dxa"/>
            <w:noWrap/>
            <w:hideMark/>
          </w:tcPr>
          <w:p w14:paraId="4856176A" w14:textId="77777777" w:rsidR="00AC565C" w:rsidRPr="00EE6B37" w:rsidRDefault="00AC565C" w:rsidP="00AC565C">
            <w:pPr>
              <w:jc w:val="right"/>
              <w:rPr>
                <w:rFonts w:eastAsia="Times New Roman" w:cs="Arial"/>
                <w:color w:val="000000"/>
              </w:rPr>
            </w:pPr>
            <w:r w:rsidRPr="00EE6B37">
              <w:rPr>
                <w:rFonts w:eastAsia="Times New Roman" w:cs="Arial"/>
                <w:color w:val="000000"/>
              </w:rPr>
              <w:t>1.11E-05</w:t>
            </w:r>
          </w:p>
        </w:tc>
      </w:tr>
      <w:tr w:rsidR="00EE6B37" w:rsidRPr="00EE6B37" w14:paraId="5B67354D" w14:textId="77777777" w:rsidTr="00EE6B37">
        <w:trPr>
          <w:trHeight w:val="300"/>
        </w:trPr>
        <w:tc>
          <w:tcPr>
            <w:tcW w:w="1548" w:type="dxa"/>
            <w:noWrap/>
            <w:hideMark/>
          </w:tcPr>
          <w:p w14:paraId="3E94E585" w14:textId="77777777" w:rsidR="00AC565C" w:rsidRPr="00EE6B37" w:rsidRDefault="00AC565C" w:rsidP="00AC565C">
            <w:pPr>
              <w:jc w:val="left"/>
              <w:rPr>
                <w:rFonts w:eastAsia="Times New Roman" w:cs="Arial"/>
                <w:color w:val="000000"/>
              </w:rPr>
            </w:pPr>
            <w:r w:rsidRPr="00EE6B37">
              <w:rPr>
                <w:rFonts w:eastAsia="Times New Roman" w:cs="Arial"/>
                <w:color w:val="000000"/>
              </w:rPr>
              <w:t>COG01629</w:t>
            </w:r>
          </w:p>
        </w:tc>
        <w:tc>
          <w:tcPr>
            <w:tcW w:w="2880" w:type="dxa"/>
            <w:noWrap/>
            <w:hideMark/>
          </w:tcPr>
          <w:p w14:paraId="7135E5D2" w14:textId="77777777" w:rsidR="00AC565C" w:rsidRPr="00EE6B37" w:rsidRDefault="00AC565C" w:rsidP="00AC565C">
            <w:pPr>
              <w:jc w:val="left"/>
              <w:rPr>
                <w:rFonts w:eastAsia="Times New Roman" w:cs="Arial"/>
                <w:color w:val="000000"/>
              </w:rPr>
            </w:pPr>
            <w:r w:rsidRPr="00EE6B37">
              <w:rPr>
                <w:rFonts w:eastAsia="Times New Roman" w:cs="Arial"/>
                <w:color w:val="000000"/>
              </w:rPr>
              <w:t>Outer membrane receptor proteins; mostly Fe transport</w:t>
            </w:r>
          </w:p>
        </w:tc>
        <w:tc>
          <w:tcPr>
            <w:tcW w:w="1260" w:type="dxa"/>
            <w:noWrap/>
            <w:hideMark/>
          </w:tcPr>
          <w:p w14:paraId="3BBEA692" w14:textId="77777777" w:rsidR="00AC565C" w:rsidRPr="00EE6B37" w:rsidRDefault="00AC565C" w:rsidP="00AC565C">
            <w:pPr>
              <w:jc w:val="right"/>
              <w:rPr>
                <w:rFonts w:eastAsia="Times New Roman" w:cs="Arial"/>
                <w:color w:val="000000"/>
              </w:rPr>
            </w:pPr>
            <w:r w:rsidRPr="00EE6B37">
              <w:rPr>
                <w:rFonts w:eastAsia="Times New Roman" w:cs="Arial"/>
                <w:color w:val="000000"/>
              </w:rPr>
              <w:t>7.43E-10</w:t>
            </w:r>
          </w:p>
        </w:tc>
        <w:tc>
          <w:tcPr>
            <w:tcW w:w="810" w:type="dxa"/>
            <w:noWrap/>
            <w:hideMark/>
          </w:tcPr>
          <w:p w14:paraId="1FF18512" w14:textId="77777777" w:rsidR="00AC565C" w:rsidRPr="00EE6B37" w:rsidRDefault="00AC565C" w:rsidP="00AC565C">
            <w:pPr>
              <w:jc w:val="right"/>
              <w:rPr>
                <w:rFonts w:eastAsia="Times New Roman" w:cs="Arial"/>
                <w:color w:val="000000"/>
              </w:rPr>
            </w:pPr>
            <w:r w:rsidRPr="00EE6B37">
              <w:rPr>
                <w:rFonts w:eastAsia="Times New Roman" w:cs="Arial"/>
                <w:color w:val="000000"/>
              </w:rPr>
              <w:t>45</w:t>
            </w:r>
          </w:p>
        </w:tc>
        <w:tc>
          <w:tcPr>
            <w:tcW w:w="990" w:type="dxa"/>
            <w:noWrap/>
            <w:hideMark/>
          </w:tcPr>
          <w:p w14:paraId="0F8AC328" w14:textId="2C5D0F7F" w:rsidR="00AC565C" w:rsidRPr="00EE6B37" w:rsidRDefault="00AC565C" w:rsidP="00AC565C">
            <w:pPr>
              <w:jc w:val="right"/>
              <w:rPr>
                <w:rFonts w:eastAsia="Times New Roman" w:cs="Arial"/>
                <w:color w:val="000000"/>
              </w:rPr>
            </w:pPr>
            <w:r w:rsidRPr="00EE6B37">
              <w:rPr>
                <w:rFonts w:eastAsia="Times New Roman" w:cs="Arial"/>
                <w:color w:val="000000"/>
              </w:rPr>
              <w:t>2.0563</w:t>
            </w:r>
          </w:p>
        </w:tc>
        <w:tc>
          <w:tcPr>
            <w:tcW w:w="1260" w:type="dxa"/>
            <w:noWrap/>
            <w:hideMark/>
          </w:tcPr>
          <w:p w14:paraId="596D912C" w14:textId="77777777" w:rsidR="00AC565C" w:rsidRPr="00EE6B37" w:rsidRDefault="00AC565C" w:rsidP="00AC565C">
            <w:pPr>
              <w:jc w:val="right"/>
              <w:rPr>
                <w:rFonts w:eastAsia="Times New Roman" w:cs="Arial"/>
                <w:color w:val="000000"/>
              </w:rPr>
            </w:pPr>
            <w:r w:rsidRPr="00EE6B37">
              <w:rPr>
                <w:rFonts w:eastAsia="Times New Roman" w:cs="Arial"/>
                <w:color w:val="000000"/>
              </w:rPr>
              <w:t>2.90E-05</w:t>
            </w:r>
          </w:p>
        </w:tc>
      </w:tr>
      <w:tr w:rsidR="00EE6B37" w:rsidRPr="00EE6B37" w14:paraId="3D1F7A79" w14:textId="77777777" w:rsidTr="00EE6B37">
        <w:trPr>
          <w:trHeight w:val="300"/>
        </w:trPr>
        <w:tc>
          <w:tcPr>
            <w:tcW w:w="1548" w:type="dxa"/>
            <w:noWrap/>
            <w:hideMark/>
          </w:tcPr>
          <w:p w14:paraId="2174AF87" w14:textId="77777777" w:rsidR="00AC565C" w:rsidRPr="00EE6B37" w:rsidRDefault="00AC565C" w:rsidP="00AC565C">
            <w:pPr>
              <w:jc w:val="left"/>
              <w:rPr>
                <w:rFonts w:eastAsia="Times New Roman" w:cs="Arial"/>
                <w:color w:val="000000"/>
              </w:rPr>
            </w:pPr>
            <w:r w:rsidRPr="00EE6B37">
              <w:rPr>
                <w:rFonts w:eastAsia="Times New Roman" w:cs="Arial"/>
                <w:color w:val="000000"/>
              </w:rPr>
              <w:t>COG00052</w:t>
            </w:r>
          </w:p>
        </w:tc>
        <w:tc>
          <w:tcPr>
            <w:tcW w:w="2880" w:type="dxa"/>
            <w:noWrap/>
            <w:hideMark/>
          </w:tcPr>
          <w:p w14:paraId="147E9EBE"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S2</w:t>
            </w:r>
          </w:p>
        </w:tc>
        <w:tc>
          <w:tcPr>
            <w:tcW w:w="1260" w:type="dxa"/>
            <w:noWrap/>
            <w:hideMark/>
          </w:tcPr>
          <w:p w14:paraId="589CAA8D" w14:textId="77777777" w:rsidR="00AC565C" w:rsidRPr="00EE6B37" w:rsidRDefault="00AC565C" w:rsidP="00AC565C">
            <w:pPr>
              <w:jc w:val="right"/>
              <w:rPr>
                <w:rFonts w:eastAsia="Times New Roman" w:cs="Arial"/>
                <w:color w:val="000000"/>
              </w:rPr>
            </w:pPr>
            <w:r w:rsidRPr="00EE6B37">
              <w:rPr>
                <w:rFonts w:eastAsia="Times New Roman" w:cs="Arial"/>
                <w:color w:val="000000"/>
              </w:rPr>
              <w:t>7.43E-10</w:t>
            </w:r>
          </w:p>
        </w:tc>
        <w:tc>
          <w:tcPr>
            <w:tcW w:w="810" w:type="dxa"/>
            <w:noWrap/>
            <w:hideMark/>
          </w:tcPr>
          <w:p w14:paraId="14B6DA48" w14:textId="77777777" w:rsidR="00AC565C" w:rsidRPr="00EE6B37" w:rsidRDefault="00AC565C" w:rsidP="00AC565C">
            <w:pPr>
              <w:jc w:val="right"/>
              <w:rPr>
                <w:rFonts w:eastAsia="Times New Roman" w:cs="Arial"/>
                <w:color w:val="000000"/>
              </w:rPr>
            </w:pPr>
            <w:r w:rsidRPr="00EE6B37">
              <w:rPr>
                <w:rFonts w:eastAsia="Times New Roman" w:cs="Arial"/>
                <w:color w:val="000000"/>
              </w:rPr>
              <w:t>20</w:t>
            </w:r>
          </w:p>
        </w:tc>
        <w:tc>
          <w:tcPr>
            <w:tcW w:w="990" w:type="dxa"/>
            <w:noWrap/>
            <w:hideMark/>
          </w:tcPr>
          <w:p w14:paraId="45E0A930" w14:textId="49D3DCF6" w:rsidR="00AC565C" w:rsidRPr="00EE6B37" w:rsidRDefault="00AC565C" w:rsidP="00AC565C">
            <w:pPr>
              <w:jc w:val="right"/>
              <w:rPr>
                <w:rFonts w:eastAsia="Times New Roman" w:cs="Arial"/>
                <w:color w:val="000000"/>
                <w:lang w:eastAsia="ko-KR"/>
              </w:rPr>
            </w:pPr>
            <w:r w:rsidRPr="00EE6B37">
              <w:rPr>
                <w:rFonts w:eastAsia="Times New Roman" w:cs="Arial"/>
                <w:color w:val="000000"/>
              </w:rPr>
              <w:t>1.5196</w:t>
            </w:r>
          </w:p>
        </w:tc>
        <w:tc>
          <w:tcPr>
            <w:tcW w:w="1260" w:type="dxa"/>
            <w:noWrap/>
            <w:hideMark/>
          </w:tcPr>
          <w:p w14:paraId="56C776A5" w14:textId="77777777" w:rsidR="00AC565C" w:rsidRPr="00EE6B37" w:rsidRDefault="00AC565C" w:rsidP="00AC565C">
            <w:pPr>
              <w:jc w:val="right"/>
              <w:rPr>
                <w:rFonts w:eastAsia="Times New Roman" w:cs="Arial"/>
                <w:color w:val="000000"/>
              </w:rPr>
            </w:pPr>
            <w:r w:rsidRPr="00EE6B37">
              <w:rPr>
                <w:rFonts w:eastAsia="Times New Roman" w:cs="Arial"/>
                <w:color w:val="000000"/>
              </w:rPr>
              <w:t>7.50E-05</w:t>
            </w:r>
          </w:p>
        </w:tc>
      </w:tr>
      <w:tr w:rsidR="00EE6B37" w:rsidRPr="00EE6B37" w14:paraId="7FD876BB" w14:textId="77777777" w:rsidTr="00EE6B37">
        <w:trPr>
          <w:trHeight w:val="300"/>
        </w:trPr>
        <w:tc>
          <w:tcPr>
            <w:tcW w:w="1548" w:type="dxa"/>
            <w:noWrap/>
            <w:hideMark/>
          </w:tcPr>
          <w:p w14:paraId="7BAA4853" w14:textId="77777777" w:rsidR="00AC565C" w:rsidRPr="00EE6B37" w:rsidRDefault="00AC565C" w:rsidP="00AC565C">
            <w:pPr>
              <w:jc w:val="left"/>
              <w:rPr>
                <w:rFonts w:eastAsia="Times New Roman" w:cs="Arial"/>
                <w:color w:val="000000"/>
              </w:rPr>
            </w:pPr>
            <w:r w:rsidRPr="00EE6B37">
              <w:rPr>
                <w:rFonts w:eastAsia="Times New Roman" w:cs="Arial"/>
                <w:color w:val="000000"/>
              </w:rPr>
              <w:t>COG00185</w:t>
            </w:r>
          </w:p>
        </w:tc>
        <w:tc>
          <w:tcPr>
            <w:tcW w:w="2880" w:type="dxa"/>
            <w:noWrap/>
            <w:hideMark/>
          </w:tcPr>
          <w:p w14:paraId="4EA58639"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S19</w:t>
            </w:r>
          </w:p>
        </w:tc>
        <w:tc>
          <w:tcPr>
            <w:tcW w:w="1260" w:type="dxa"/>
            <w:noWrap/>
            <w:hideMark/>
          </w:tcPr>
          <w:p w14:paraId="3F1B0C1A" w14:textId="77777777" w:rsidR="00AC565C" w:rsidRPr="00EE6B37" w:rsidRDefault="00AC565C" w:rsidP="00AC565C">
            <w:pPr>
              <w:jc w:val="right"/>
              <w:rPr>
                <w:rFonts w:eastAsia="Times New Roman" w:cs="Arial"/>
                <w:color w:val="000000"/>
              </w:rPr>
            </w:pPr>
            <w:r w:rsidRPr="00EE6B37">
              <w:rPr>
                <w:rFonts w:eastAsia="Times New Roman" w:cs="Arial"/>
                <w:color w:val="000000"/>
              </w:rPr>
              <w:t>7.43E-10</w:t>
            </w:r>
          </w:p>
        </w:tc>
        <w:tc>
          <w:tcPr>
            <w:tcW w:w="810" w:type="dxa"/>
            <w:noWrap/>
            <w:hideMark/>
          </w:tcPr>
          <w:p w14:paraId="6593E632" w14:textId="77777777" w:rsidR="00AC565C" w:rsidRPr="00EE6B37" w:rsidRDefault="00AC565C" w:rsidP="00AC565C">
            <w:pPr>
              <w:jc w:val="right"/>
              <w:rPr>
                <w:rFonts w:eastAsia="Times New Roman" w:cs="Arial"/>
                <w:color w:val="000000"/>
              </w:rPr>
            </w:pPr>
            <w:r w:rsidRPr="00EE6B37">
              <w:rPr>
                <w:rFonts w:eastAsia="Times New Roman" w:cs="Arial"/>
                <w:color w:val="000000"/>
              </w:rPr>
              <w:t>20</w:t>
            </w:r>
          </w:p>
        </w:tc>
        <w:tc>
          <w:tcPr>
            <w:tcW w:w="990" w:type="dxa"/>
            <w:noWrap/>
            <w:hideMark/>
          </w:tcPr>
          <w:p w14:paraId="75F306E5" w14:textId="105DF0D6" w:rsidR="00AC565C" w:rsidRPr="00EE6B37" w:rsidRDefault="00AC565C" w:rsidP="00AC565C">
            <w:pPr>
              <w:jc w:val="right"/>
              <w:rPr>
                <w:rFonts w:eastAsia="Times New Roman" w:cs="Arial"/>
                <w:color w:val="000000"/>
                <w:lang w:eastAsia="ko-KR"/>
              </w:rPr>
            </w:pPr>
            <w:r w:rsidRPr="00EE6B37">
              <w:rPr>
                <w:rFonts w:eastAsia="Times New Roman" w:cs="Arial"/>
                <w:color w:val="000000"/>
              </w:rPr>
              <w:t>1.630</w:t>
            </w:r>
            <w:r w:rsidRPr="00EE6B37">
              <w:rPr>
                <w:rFonts w:eastAsia="Times New Roman" w:cs="Arial"/>
                <w:color w:val="000000"/>
                <w:lang w:eastAsia="ko-KR"/>
              </w:rPr>
              <w:t>9</w:t>
            </w:r>
          </w:p>
        </w:tc>
        <w:tc>
          <w:tcPr>
            <w:tcW w:w="1260" w:type="dxa"/>
            <w:noWrap/>
            <w:hideMark/>
          </w:tcPr>
          <w:p w14:paraId="075C6D44" w14:textId="77777777" w:rsidR="00AC565C" w:rsidRPr="00EE6B37" w:rsidRDefault="00AC565C" w:rsidP="00AC565C">
            <w:pPr>
              <w:jc w:val="right"/>
              <w:rPr>
                <w:rFonts w:eastAsia="Times New Roman" w:cs="Arial"/>
                <w:color w:val="000000"/>
              </w:rPr>
            </w:pPr>
            <w:r w:rsidRPr="00EE6B37">
              <w:rPr>
                <w:rFonts w:eastAsia="Times New Roman" w:cs="Arial"/>
                <w:color w:val="000000"/>
              </w:rPr>
              <w:t>0.000638967</w:t>
            </w:r>
          </w:p>
        </w:tc>
      </w:tr>
      <w:tr w:rsidR="00EE6B37" w:rsidRPr="00EE6B37" w14:paraId="66991BBD" w14:textId="77777777" w:rsidTr="00EE6B37">
        <w:trPr>
          <w:trHeight w:val="300"/>
        </w:trPr>
        <w:tc>
          <w:tcPr>
            <w:tcW w:w="1548" w:type="dxa"/>
            <w:noWrap/>
            <w:hideMark/>
          </w:tcPr>
          <w:p w14:paraId="2E4FEA82" w14:textId="77777777" w:rsidR="00AC565C" w:rsidRPr="00EE6B37" w:rsidRDefault="00AC565C" w:rsidP="00AC565C">
            <w:pPr>
              <w:jc w:val="left"/>
              <w:rPr>
                <w:rFonts w:eastAsia="Times New Roman" w:cs="Arial"/>
                <w:color w:val="000000"/>
              </w:rPr>
            </w:pPr>
            <w:r w:rsidRPr="00EE6B37">
              <w:rPr>
                <w:rFonts w:eastAsia="Times New Roman" w:cs="Arial"/>
                <w:color w:val="000000"/>
              </w:rPr>
              <w:t>COG00443</w:t>
            </w:r>
          </w:p>
        </w:tc>
        <w:tc>
          <w:tcPr>
            <w:tcW w:w="2880" w:type="dxa"/>
            <w:noWrap/>
            <w:hideMark/>
          </w:tcPr>
          <w:p w14:paraId="4AE43965" w14:textId="77777777" w:rsidR="00AC565C" w:rsidRPr="00EE6B37" w:rsidRDefault="00AC565C" w:rsidP="00AC565C">
            <w:pPr>
              <w:jc w:val="left"/>
              <w:rPr>
                <w:rFonts w:eastAsia="Times New Roman" w:cs="Arial"/>
                <w:color w:val="000000"/>
              </w:rPr>
            </w:pPr>
            <w:r w:rsidRPr="00EE6B37">
              <w:rPr>
                <w:rFonts w:eastAsia="Times New Roman" w:cs="Arial"/>
                <w:color w:val="000000"/>
              </w:rPr>
              <w:t>Molecular chaperone</w:t>
            </w:r>
          </w:p>
        </w:tc>
        <w:tc>
          <w:tcPr>
            <w:tcW w:w="1260" w:type="dxa"/>
            <w:noWrap/>
            <w:hideMark/>
          </w:tcPr>
          <w:p w14:paraId="307AAC10" w14:textId="77777777" w:rsidR="00AC565C" w:rsidRPr="00EE6B37" w:rsidRDefault="00AC565C" w:rsidP="00AC565C">
            <w:pPr>
              <w:jc w:val="right"/>
              <w:rPr>
                <w:rFonts w:eastAsia="Times New Roman" w:cs="Arial"/>
                <w:color w:val="000000"/>
              </w:rPr>
            </w:pPr>
            <w:r w:rsidRPr="00EE6B37">
              <w:rPr>
                <w:rFonts w:eastAsia="Times New Roman" w:cs="Arial"/>
                <w:color w:val="000000"/>
              </w:rPr>
              <w:t>8.88E-10</w:t>
            </w:r>
          </w:p>
        </w:tc>
        <w:tc>
          <w:tcPr>
            <w:tcW w:w="810" w:type="dxa"/>
            <w:noWrap/>
            <w:hideMark/>
          </w:tcPr>
          <w:p w14:paraId="259F26A3" w14:textId="77777777" w:rsidR="00AC565C" w:rsidRPr="00EE6B37" w:rsidRDefault="00AC565C" w:rsidP="00AC565C">
            <w:pPr>
              <w:jc w:val="right"/>
              <w:rPr>
                <w:rFonts w:eastAsia="Times New Roman" w:cs="Arial"/>
                <w:color w:val="000000"/>
              </w:rPr>
            </w:pPr>
            <w:r w:rsidRPr="00EE6B37">
              <w:rPr>
                <w:rFonts w:eastAsia="Times New Roman" w:cs="Arial"/>
                <w:color w:val="000000"/>
              </w:rPr>
              <w:t>25</w:t>
            </w:r>
          </w:p>
        </w:tc>
        <w:tc>
          <w:tcPr>
            <w:tcW w:w="990" w:type="dxa"/>
            <w:noWrap/>
            <w:hideMark/>
          </w:tcPr>
          <w:p w14:paraId="659A1474" w14:textId="68C1F06B" w:rsidR="00AC565C" w:rsidRPr="00EE6B37" w:rsidRDefault="00AC565C" w:rsidP="00AC565C">
            <w:pPr>
              <w:jc w:val="right"/>
              <w:rPr>
                <w:rFonts w:eastAsia="Times New Roman" w:cs="Arial"/>
                <w:color w:val="000000"/>
                <w:lang w:eastAsia="ko-KR"/>
              </w:rPr>
            </w:pPr>
            <w:r w:rsidRPr="00EE6B37">
              <w:rPr>
                <w:rFonts w:eastAsia="Times New Roman" w:cs="Arial"/>
                <w:color w:val="000000"/>
              </w:rPr>
              <w:t>2.686</w:t>
            </w:r>
            <w:r w:rsidRPr="00EE6B37">
              <w:rPr>
                <w:rFonts w:eastAsia="Times New Roman" w:cs="Arial"/>
                <w:color w:val="000000"/>
                <w:lang w:eastAsia="ko-KR"/>
              </w:rPr>
              <w:t>4</w:t>
            </w:r>
          </w:p>
        </w:tc>
        <w:tc>
          <w:tcPr>
            <w:tcW w:w="1260" w:type="dxa"/>
            <w:noWrap/>
            <w:hideMark/>
          </w:tcPr>
          <w:p w14:paraId="630F8CCA" w14:textId="77777777" w:rsidR="00AC565C" w:rsidRPr="00EE6B37" w:rsidRDefault="00AC565C" w:rsidP="00AC565C">
            <w:pPr>
              <w:jc w:val="right"/>
              <w:rPr>
                <w:rFonts w:eastAsia="Times New Roman" w:cs="Arial"/>
                <w:color w:val="000000"/>
              </w:rPr>
            </w:pPr>
            <w:r w:rsidRPr="00EE6B37">
              <w:rPr>
                <w:rFonts w:eastAsia="Times New Roman" w:cs="Arial"/>
                <w:color w:val="000000"/>
              </w:rPr>
              <w:t>7.01E-07</w:t>
            </w:r>
          </w:p>
        </w:tc>
      </w:tr>
      <w:tr w:rsidR="00EE6B37" w:rsidRPr="00EE6B37" w14:paraId="13876F88" w14:textId="77777777" w:rsidTr="00EE6B37">
        <w:trPr>
          <w:trHeight w:val="300"/>
        </w:trPr>
        <w:tc>
          <w:tcPr>
            <w:tcW w:w="1548" w:type="dxa"/>
            <w:noWrap/>
            <w:hideMark/>
          </w:tcPr>
          <w:p w14:paraId="1ACA1341" w14:textId="77777777" w:rsidR="00AC565C" w:rsidRPr="00EE6B37" w:rsidRDefault="00AC565C" w:rsidP="00AC565C">
            <w:pPr>
              <w:jc w:val="left"/>
              <w:rPr>
                <w:rFonts w:eastAsia="Times New Roman" w:cs="Arial"/>
                <w:color w:val="000000"/>
              </w:rPr>
            </w:pPr>
            <w:r w:rsidRPr="00EE6B37">
              <w:rPr>
                <w:rFonts w:eastAsia="Times New Roman" w:cs="Arial"/>
                <w:color w:val="000000"/>
              </w:rPr>
              <w:lastRenderedPageBreak/>
              <w:t>COG00080</w:t>
            </w:r>
          </w:p>
        </w:tc>
        <w:tc>
          <w:tcPr>
            <w:tcW w:w="2880" w:type="dxa"/>
            <w:noWrap/>
            <w:hideMark/>
          </w:tcPr>
          <w:p w14:paraId="5551662D"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L11</w:t>
            </w:r>
          </w:p>
        </w:tc>
        <w:tc>
          <w:tcPr>
            <w:tcW w:w="1260" w:type="dxa"/>
            <w:noWrap/>
            <w:hideMark/>
          </w:tcPr>
          <w:p w14:paraId="2EC9A3B7" w14:textId="77777777" w:rsidR="00AC565C" w:rsidRPr="00EE6B37" w:rsidRDefault="00AC565C" w:rsidP="00AC565C">
            <w:pPr>
              <w:jc w:val="right"/>
              <w:rPr>
                <w:rFonts w:eastAsia="Times New Roman" w:cs="Arial"/>
                <w:color w:val="000000"/>
              </w:rPr>
            </w:pPr>
            <w:r w:rsidRPr="00EE6B37">
              <w:rPr>
                <w:rFonts w:eastAsia="Times New Roman" w:cs="Arial"/>
                <w:color w:val="000000"/>
              </w:rPr>
              <w:t>1.12E-09</w:t>
            </w:r>
          </w:p>
        </w:tc>
        <w:tc>
          <w:tcPr>
            <w:tcW w:w="810" w:type="dxa"/>
            <w:noWrap/>
            <w:hideMark/>
          </w:tcPr>
          <w:p w14:paraId="2895D22C" w14:textId="77777777" w:rsidR="00AC565C" w:rsidRPr="00EE6B37" w:rsidRDefault="00AC565C" w:rsidP="00AC565C">
            <w:pPr>
              <w:jc w:val="right"/>
              <w:rPr>
                <w:rFonts w:eastAsia="Times New Roman" w:cs="Arial"/>
                <w:color w:val="000000"/>
              </w:rPr>
            </w:pPr>
            <w:r w:rsidRPr="00EE6B37">
              <w:rPr>
                <w:rFonts w:eastAsia="Times New Roman" w:cs="Arial"/>
                <w:color w:val="000000"/>
              </w:rPr>
              <w:t>20</w:t>
            </w:r>
          </w:p>
        </w:tc>
        <w:tc>
          <w:tcPr>
            <w:tcW w:w="990" w:type="dxa"/>
            <w:noWrap/>
            <w:hideMark/>
          </w:tcPr>
          <w:p w14:paraId="16ACA3D9" w14:textId="5B880A17" w:rsidR="00AC565C" w:rsidRPr="00EE6B37" w:rsidRDefault="00AC565C" w:rsidP="00AC565C">
            <w:pPr>
              <w:jc w:val="right"/>
              <w:rPr>
                <w:rFonts w:eastAsia="Times New Roman" w:cs="Arial"/>
                <w:color w:val="000000"/>
                <w:lang w:eastAsia="ko-KR"/>
              </w:rPr>
            </w:pPr>
            <w:r w:rsidRPr="00EE6B37">
              <w:rPr>
                <w:rFonts w:eastAsia="Times New Roman" w:cs="Arial"/>
                <w:color w:val="000000"/>
              </w:rPr>
              <w:t>2.07</w:t>
            </w:r>
            <w:r w:rsidRPr="00EE6B37">
              <w:rPr>
                <w:rFonts w:eastAsia="Times New Roman" w:cs="Arial"/>
                <w:color w:val="000000"/>
                <w:lang w:eastAsia="ko-KR"/>
              </w:rPr>
              <w:t>50</w:t>
            </w:r>
          </w:p>
        </w:tc>
        <w:tc>
          <w:tcPr>
            <w:tcW w:w="1260" w:type="dxa"/>
            <w:noWrap/>
            <w:hideMark/>
          </w:tcPr>
          <w:p w14:paraId="781688B5" w14:textId="77777777" w:rsidR="00AC565C" w:rsidRPr="00EE6B37" w:rsidRDefault="00AC565C" w:rsidP="00AC565C">
            <w:pPr>
              <w:jc w:val="right"/>
              <w:rPr>
                <w:rFonts w:eastAsia="Times New Roman" w:cs="Arial"/>
                <w:color w:val="000000"/>
              </w:rPr>
            </w:pPr>
            <w:r w:rsidRPr="00EE6B37">
              <w:rPr>
                <w:rFonts w:eastAsia="Times New Roman" w:cs="Arial"/>
                <w:color w:val="000000"/>
              </w:rPr>
              <w:t>3.51E-06</w:t>
            </w:r>
          </w:p>
        </w:tc>
      </w:tr>
      <w:tr w:rsidR="00EE6B37" w:rsidRPr="00EE6B37" w14:paraId="44EE0856" w14:textId="77777777" w:rsidTr="00EE6B37">
        <w:trPr>
          <w:trHeight w:val="300"/>
        </w:trPr>
        <w:tc>
          <w:tcPr>
            <w:tcW w:w="1548" w:type="dxa"/>
            <w:noWrap/>
            <w:hideMark/>
          </w:tcPr>
          <w:p w14:paraId="4DCE7DE9" w14:textId="77777777" w:rsidR="00AC565C" w:rsidRPr="00EE6B37" w:rsidRDefault="00AC565C" w:rsidP="00AC565C">
            <w:pPr>
              <w:jc w:val="left"/>
              <w:rPr>
                <w:rFonts w:eastAsia="Times New Roman" w:cs="Arial"/>
                <w:color w:val="000000"/>
              </w:rPr>
            </w:pPr>
            <w:r w:rsidRPr="00EE6B37">
              <w:rPr>
                <w:rFonts w:eastAsia="Times New Roman" w:cs="Arial"/>
                <w:color w:val="000000"/>
              </w:rPr>
              <w:t>COG00051</w:t>
            </w:r>
          </w:p>
        </w:tc>
        <w:tc>
          <w:tcPr>
            <w:tcW w:w="2880" w:type="dxa"/>
            <w:noWrap/>
            <w:hideMark/>
          </w:tcPr>
          <w:p w14:paraId="05C134C1" w14:textId="77777777" w:rsidR="00AC565C" w:rsidRPr="00EE6B37" w:rsidRDefault="00AC565C" w:rsidP="00AC565C">
            <w:pPr>
              <w:jc w:val="left"/>
              <w:rPr>
                <w:rFonts w:eastAsia="Times New Roman" w:cs="Arial"/>
                <w:color w:val="000000"/>
              </w:rPr>
            </w:pPr>
            <w:r w:rsidRPr="00EE6B37">
              <w:rPr>
                <w:rFonts w:eastAsia="Times New Roman" w:cs="Arial"/>
                <w:color w:val="000000"/>
              </w:rPr>
              <w:t>Ribosomal protein S10</w:t>
            </w:r>
          </w:p>
        </w:tc>
        <w:tc>
          <w:tcPr>
            <w:tcW w:w="1260" w:type="dxa"/>
            <w:noWrap/>
            <w:hideMark/>
          </w:tcPr>
          <w:p w14:paraId="6011932C" w14:textId="77777777" w:rsidR="00AC565C" w:rsidRPr="00EE6B37" w:rsidRDefault="00AC565C" w:rsidP="00AC565C">
            <w:pPr>
              <w:jc w:val="right"/>
              <w:rPr>
                <w:rFonts w:eastAsia="Times New Roman" w:cs="Arial"/>
                <w:color w:val="000000"/>
              </w:rPr>
            </w:pPr>
            <w:r w:rsidRPr="00EE6B37">
              <w:rPr>
                <w:rFonts w:eastAsia="Times New Roman" w:cs="Arial"/>
                <w:color w:val="000000"/>
              </w:rPr>
              <w:t>1.12E-09</w:t>
            </w:r>
          </w:p>
        </w:tc>
        <w:tc>
          <w:tcPr>
            <w:tcW w:w="810" w:type="dxa"/>
            <w:noWrap/>
            <w:hideMark/>
          </w:tcPr>
          <w:p w14:paraId="6B9A62B0" w14:textId="77777777" w:rsidR="00AC565C" w:rsidRPr="00EE6B37" w:rsidRDefault="00AC565C" w:rsidP="00AC565C">
            <w:pPr>
              <w:jc w:val="right"/>
              <w:rPr>
                <w:rFonts w:eastAsia="Times New Roman" w:cs="Arial"/>
                <w:color w:val="000000"/>
              </w:rPr>
            </w:pPr>
            <w:r w:rsidRPr="00EE6B37">
              <w:rPr>
                <w:rFonts w:eastAsia="Times New Roman" w:cs="Arial"/>
                <w:color w:val="000000"/>
              </w:rPr>
              <w:t>20</w:t>
            </w:r>
          </w:p>
        </w:tc>
        <w:tc>
          <w:tcPr>
            <w:tcW w:w="990" w:type="dxa"/>
            <w:noWrap/>
            <w:hideMark/>
          </w:tcPr>
          <w:p w14:paraId="1CC8EFBA" w14:textId="7F6ECF1D" w:rsidR="00AC565C" w:rsidRPr="00EE6B37" w:rsidRDefault="00AC565C" w:rsidP="00AC565C">
            <w:pPr>
              <w:jc w:val="right"/>
              <w:rPr>
                <w:rFonts w:eastAsia="Times New Roman" w:cs="Arial"/>
                <w:color w:val="000000"/>
                <w:lang w:eastAsia="ko-KR"/>
              </w:rPr>
            </w:pPr>
            <w:r w:rsidRPr="00EE6B37">
              <w:rPr>
                <w:rFonts w:eastAsia="Times New Roman" w:cs="Arial"/>
                <w:color w:val="000000"/>
              </w:rPr>
              <w:t>1.723</w:t>
            </w:r>
            <w:r w:rsidRPr="00EE6B37">
              <w:rPr>
                <w:rFonts w:eastAsia="Times New Roman" w:cs="Arial"/>
                <w:color w:val="000000"/>
                <w:lang w:eastAsia="ko-KR"/>
              </w:rPr>
              <w:t>7</w:t>
            </w:r>
          </w:p>
        </w:tc>
        <w:tc>
          <w:tcPr>
            <w:tcW w:w="1260" w:type="dxa"/>
            <w:noWrap/>
            <w:hideMark/>
          </w:tcPr>
          <w:p w14:paraId="63A17AB9" w14:textId="77777777" w:rsidR="00AC565C" w:rsidRPr="00EE6B37" w:rsidRDefault="00AC565C" w:rsidP="00AC565C">
            <w:pPr>
              <w:jc w:val="right"/>
              <w:rPr>
                <w:rFonts w:eastAsia="Times New Roman" w:cs="Arial"/>
                <w:color w:val="000000"/>
              </w:rPr>
            </w:pPr>
            <w:r w:rsidRPr="00EE6B37">
              <w:rPr>
                <w:rFonts w:eastAsia="Times New Roman" w:cs="Arial"/>
                <w:color w:val="000000"/>
              </w:rPr>
              <w:t>4.86E-05</w:t>
            </w:r>
          </w:p>
        </w:tc>
      </w:tr>
      <w:tr w:rsidR="00EE6B37" w:rsidRPr="00EE6B37" w14:paraId="6F995C27" w14:textId="77777777" w:rsidTr="00EE6B37">
        <w:trPr>
          <w:trHeight w:val="300"/>
        </w:trPr>
        <w:tc>
          <w:tcPr>
            <w:tcW w:w="1548" w:type="dxa"/>
            <w:noWrap/>
            <w:hideMark/>
          </w:tcPr>
          <w:p w14:paraId="7AC2B21E" w14:textId="77777777" w:rsidR="00AC565C" w:rsidRPr="00EE6B37" w:rsidRDefault="00AC565C" w:rsidP="00AC565C">
            <w:pPr>
              <w:jc w:val="left"/>
              <w:rPr>
                <w:rFonts w:eastAsia="Times New Roman" w:cs="Arial"/>
                <w:color w:val="000000"/>
              </w:rPr>
            </w:pPr>
            <w:r w:rsidRPr="00EE6B37">
              <w:rPr>
                <w:rFonts w:eastAsia="Times New Roman" w:cs="Arial"/>
                <w:color w:val="000000"/>
              </w:rPr>
              <w:t>COG01454</w:t>
            </w:r>
          </w:p>
        </w:tc>
        <w:tc>
          <w:tcPr>
            <w:tcW w:w="2880" w:type="dxa"/>
            <w:noWrap/>
            <w:hideMark/>
          </w:tcPr>
          <w:p w14:paraId="1A3811CD" w14:textId="77777777" w:rsidR="00AC565C" w:rsidRPr="00EE6B37" w:rsidRDefault="00AC565C" w:rsidP="00AC565C">
            <w:pPr>
              <w:jc w:val="left"/>
              <w:rPr>
                <w:rFonts w:eastAsia="Times New Roman" w:cs="Arial"/>
                <w:color w:val="000000"/>
              </w:rPr>
            </w:pPr>
            <w:r w:rsidRPr="00EE6B37">
              <w:rPr>
                <w:rFonts w:eastAsia="Times New Roman" w:cs="Arial"/>
                <w:color w:val="000000"/>
              </w:rPr>
              <w:t>Alcohol dehydrogenase; class IV</w:t>
            </w:r>
          </w:p>
        </w:tc>
        <w:tc>
          <w:tcPr>
            <w:tcW w:w="1260" w:type="dxa"/>
            <w:noWrap/>
            <w:hideMark/>
          </w:tcPr>
          <w:p w14:paraId="740FA456" w14:textId="77777777" w:rsidR="00AC565C" w:rsidRPr="00EE6B37" w:rsidRDefault="00AC565C" w:rsidP="00AC565C">
            <w:pPr>
              <w:jc w:val="right"/>
              <w:rPr>
                <w:rFonts w:eastAsia="Times New Roman" w:cs="Arial"/>
                <w:color w:val="000000"/>
              </w:rPr>
            </w:pPr>
            <w:r w:rsidRPr="00EE6B37">
              <w:rPr>
                <w:rFonts w:eastAsia="Times New Roman" w:cs="Arial"/>
                <w:color w:val="000000"/>
              </w:rPr>
              <w:t>9.98E-06</w:t>
            </w:r>
          </w:p>
        </w:tc>
        <w:tc>
          <w:tcPr>
            <w:tcW w:w="810" w:type="dxa"/>
            <w:noWrap/>
            <w:hideMark/>
          </w:tcPr>
          <w:p w14:paraId="501AEA32" w14:textId="77777777" w:rsidR="00AC565C" w:rsidRPr="00EE6B37" w:rsidRDefault="00AC565C" w:rsidP="00AC565C">
            <w:pPr>
              <w:jc w:val="right"/>
              <w:rPr>
                <w:rFonts w:eastAsia="Times New Roman" w:cs="Arial"/>
                <w:color w:val="000000"/>
              </w:rPr>
            </w:pPr>
            <w:r w:rsidRPr="00EE6B37">
              <w:rPr>
                <w:rFonts w:eastAsia="Times New Roman" w:cs="Arial"/>
                <w:color w:val="000000"/>
              </w:rPr>
              <w:t>21</w:t>
            </w:r>
          </w:p>
        </w:tc>
        <w:tc>
          <w:tcPr>
            <w:tcW w:w="990" w:type="dxa"/>
            <w:noWrap/>
            <w:hideMark/>
          </w:tcPr>
          <w:p w14:paraId="33976EE9" w14:textId="32B48217" w:rsidR="00AC565C" w:rsidRPr="00EE6B37" w:rsidRDefault="00AC565C" w:rsidP="00AC565C">
            <w:pPr>
              <w:jc w:val="right"/>
              <w:rPr>
                <w:rFonts w:eastAsia="Times New Roman" w:cs="Arial"/>
                <w:color w:val="000000"/>
                <w:lang w:eastAsia="ko-KR"/>
              </w:rPr>
            </w:pPr>
            <w:r w:rsidRPr="00EE6B37">
              <w:rPr>
                <w:rFonts w:eastAsia="Times New Roman" w:cs="Arial"/>
                <w:color w:val="000000"/>
              </w:rPr>
              <w:t>1.932</w:t>
            </w:r>
            <w:r w:rsidRPr="00EE6B37">
              <w:rPr>
                <w:rFonts w:eastAsia="Times New Roman" w:cs="Arial"/>
                <w:color w:val="000000"/>
                <w:lang w:eastAsia="ko-KR"/>
              </w:rPr>
              <w:t>9</w:t>
            </w:r>
          </w:p>
        </w:tc>
        <w:tc>
          <w:tcPr>
            <w:tcW w:w="1260" w:type="dxa"/>
            <w:noWrap/>
            <w:hideMark/>
          </w:tcPr>
          <w:p w14:paraId="5386A5F4" w14:textId="77777777" w:rsidR="00AC565C" w:rsidRPr="00EE6B37" w:rsidRDefault="00AC565C" w:rsidP="00AC565C">
            <w:pPr>
              <w:jc w:val="right"/>
              <w:rPr>
                <w:rFonts w:eastAsia="Times New Roman" w:cs="Arial"/>
                <w:color w:val="000000"/>
              </w:rPr>
            </w:pPr>
            <w:r w:rsidRPr="00EE6B37">
              <w:rPr>
                <w:rFonts w:eastAsia="Times New Roman" w:cs="Arial"/>
                <w:color w:val="000000"/>
              </w:rPr>
              <w:t>7.50E-05</w:t>
            </w:r>
          </w:p>
        </w:tc>
      </w:tr>
    </w:tbl>
    <w:p w14:paraId="105DFE20" w14:textId="5B9680CA" w:rsidR="007A7AA3" w:rsidRDefault="007A7AA3" w:rsidP="00AC565C">
      <w:pPr>
        <w:spacing w:line="480" w:lineRule="auto"/>
        <w:rPr>
          <w:rFonts w:cs="Arial"/>
          <w:color w:val="000000"/>
        </w:rPr>
      </w:pPr>
    </w:p>
    <w:p w14:paraId="37D7B627" w14:textId="77777777" w:rsidR="007A7AA3" w:rsidRDefault="007A7AA3">
      <w:pPr>
        <w:jc w:val="left"/>
        <w:rPr>
          <w:rFonts w:cs="Arial"/>
          <w:color w:val="000000"/>
        </w:rPr>
      </w:pPr>
      <w:r>
        <w:rPr>
          <w:rFonts w:cs="Arial"/>
          <w:color w:val="000000"/>
        </w:rPr>
        <w:br w:type="page"/>
      </w:r>
    </w:p>
    <w:p w14:paraId="5BD9AD68" w14:textId="77777777" w:rsidR="007A7AA3" w:rsidRDefault="007A7AA3" w:rsidP="007A7AA3">
      <w:pPr>
        <w:spacing w:line="480" w:lineRule="auto"/>
        <w:rPr>
          <w:rFonts w:cs="Arial"/>
          <w:color w:val="000000"/>
        </w:rPr>
      </w:pPr>
      <w:r w:rsidRPr="00A90E23">
        <w:rPr>
          <w:rFonts w:cs="Arial"/>
          <w:color w:val="000000"/>
        </w:rPr>
        <w:lastRenderedPageBreak/>
        <w:t>Interestingly, alcohol dehydrogenate COG term (COG01454</w:t>
      </w:r>
      <w:r>
        <w:rPr>
          <w:rFonts w:cs="Arial"/>
          <w:color w:val="000000"/>
        </w:rPr>
        <w:t>) was significantly enriched like GO analysis of human proteins at enrichment FDR = 9.98E-06 and QP FDR = 7.50E-05.</w:t>
      </w:r>
    </w:p>
    <w:p w14:paraId="48DE550F" w14:textId="021C2AD4" w:rsidR="007A7AA3" w:rsidRDefault="007A7AA3" w:rsidP="001F325D">
      <w:pPr>
        <w:spacing w:line="480" w:lineRule="auto"/>
        <w:ind w:firstLine="720"/>
        <w:rPr>
          <w:rFonts w:cs="Arial"/>
          <w:color w:val="000000"/>
        </w:rPr>
      </w:pPr>
      <w:r>
        <w:rPr>
          <w:rFonts w:cs="Arial"/>
          <w:color w:val="000000"/>
        </w:rPr>
        <w:t xml:space="preserve">COG’s broad functional terms were analyzed likewise to GO and COG terms (Table 19).  We applied same thresholds (enrichment FDR &lt; 0.05, QP, FDR &lt; 0.05 and Cohen’s f &lt; 1.3769).  </w:t>
      </w:r>
      <w:r w:rsidR="008B7557">
        <w:rPr>
          <w:rFonts w:cs="Arial"/>
          <w:color w:val="000000"/>
        </w:rPr>
        <w:t xml:space="preserve">As is confirmed by COG term analysis, translation, ribosomal structure and biogenesis </w:t>
      </w:r>
      <w:r w:rsidR="00837C52">
        <w:rPr>
          <w:rFonts w:cs="Arial"/>
          <w:color w:val="000000"/>
        </w:rPr>
        <w:t xml:space="preserve">(J) </w:t>
      </w:r>
      <w:r w:rsidR="008B7557">
        <w:rPr>
          <w:rFonts w:cs="Arial"/>
          <w:color w:val="000000"/>
        </w:rPr>
        <w:t>were significantly and differentially enriched (enrichment FDR: 7.00E-258 and QP FDR = 1.48E-10)</w:t>
      </w:r>
      <w:r w:rsidR="00DC7A46">
        <w:rPr>
          <w:rFonts w:cs="Arial"/>
          <w:color w:val="000000"/>
        </w:rPr>
        <w:t xml:space="preserve"> (Fig. 34) (Table 19)</w:t>
      </w:r>
      <w:r w:rsidR="008B7557">
        <w:rPr>
          <w:rFonts w:cs="Arial"/>
          <w:color w:val="000000"/>
        </w:rPr>
        <w:t xml:space="preserve">.  </w:t>
      </w:r>
      <w:r w:rsidR="00837C52">
        <w:rPr>
          <w:rFonts w:cs="Arial"/>
          <w:color w:val="000000"/>
        </w:rPr>
        <w:t>Also, energy production and conversion (C)</w:t>
      </w:r>
      <w:r w:rsidR="00BA13E9">
        <w:rPr>
          <w:rFonts w:cs="Arial"/>
          <w:color w:val="000000"/>
        </w:rPr>
        <w:t>,</w:t>
      </w:r>
      <w:r w:rsidR="00837C52">
        <w:rPr>
          <w:rFonts w:cs="Arial"/>
          <w:color w:val="000000"/>
        </w:rPr>
        <w:t xml:space="preserve"> carbohydrate transport and metabolism (G)</w:t>
      </w:r>
      <w:r w:rsidR="001F325D">
        <w:rPr>
          <w:rFonts w:cs="Arial"/>
          <w:color w:val="000000"/>
        </w:rPr>
        <w:t>, inorganic ion transport and metabolism (P),</w:t>
      </w:r>
      <w:r w:rsidR="00BA13E9">
        <w:rPr>
          <w:rFonts w:cs="Arial"/>
          <w:color w:val="000000"/>
        </w:rPr>
        <w:t xml:space="preserve"> and amino acid transport and metabolism (E)</w:t>
      </w:r>
      <w:r w:rsidR="00837C52">
        <w:rPr>
          <w:rFonts w:cs="Arial"/>
          <w:color w:val="000000"/>
        </w:rPr>
        <w:t xml:space="preserve"> were </w:t>
      </w:r>
      <w:r w:rsidR="0096400E">
        <w:rPr>
          <w:rFonts w:cs="Arial"/>
          <w:color w:val="000000"/>
        </w:rPr>
        <w:t>d</w:t>
      </w:r>
      <w:r w:rsidR="00BA13E9">
        <w:rPr>
          <w:rFonts w:cs="Arial"/>
          <w:color w:val="000000"/>
        </w:rPr>
        <w:t>etected</w:t>
      </w:r>
      <w:r w:rsidR="00387964">
        <w:rPr>
          <w:rFonts w:cs="Arial"/>
          <w:color w:val="000000"/>
        </w:rPr>
        <w:t xml:space="preserve"> </w:t>
      </w:r>
      <w:r w:rsidR="00DC7A46">
        <w:rPr>
          <w:rFonts w:cs="Arial"/>
          <w:color w:val="000000"/>
        </w:rPr>
        <w:t>(Fig. 34) (Table 19)</w:t>
      </w:r>
      <w:r w:rsidR="0096400E">
        <w:rPr>
          <w:rFonts w:cs="Arial"/>
          <w:color w:val="000000"/>
        </w:rPr>
        <w:t xml:space="preserve">.  </w:t>
      </w:r>
      <w:r w:rsidR="001F325D">
        <w:rPr>
          <w:rFonts w:cs="Arial"/>
          <w:color w:val="000000"/>
        </w:rPr>
        <w:t xml:space="preserve">These are partially related to digestion and energy generation.  These COG functions may be varied in different microbiome.  </w:t>
      </w:r>
      <w:r w:rsidR="007C447C">
        <w:rPr>
          <w:rFonts w:cs="Arial"/>
          <w:color w:val="000000"/>
        </w:rPr>
        <w:t xml:space="preserve">Interestingly, </w:t>
      </w:r>
      <w:r w:rsidR="008222F4">
        <w:rPr>
          <w:rFonts w:cs="Arial"/>
          <w:color w:val="000000"/>
        </w:rPr>
        <w:t xml:space="preserve">cell motility and </w:t>
      </w:r>
      <w:r w:rsidR="007C447C">
        <w:rPr>
          <w:rFonts w:cs="Arial"/>
          <w:color w:val="000000"/>
        </w:rPr>
        <w:t xml:space="preserve">defense mechanisms (V) </w:t>
      </w:r>
      <w:r w:rsidR="008222F4">
        <w:rPr>
          <w:rFonts w:cs="Arial"/>
          <w:color w:val="000000"/>
        </w:rPr>
        <w:t>were</w:t>
      </w:r>
      <w:r w:rsidR="007C447C">
        <w:rPr>
          <w:rFonts w:cs="Arial"/>
          <w:color w:val="000000"/>
        </w:rPr>
        <w:t xml:space="preserve"> </w:t>
      </w:r>
      <w:r w:rsidR="008222F4">
        <w:rPr>
          <w:rFonts w:cs="Arial"/>
          <w:color w:val="000000"/>
        </w:rPr>
        <w:t>found in the COG broad functional analysis result (enrichment FDR = 1.19E-07 and QP FDR = 2.95E-05)</w:t>
      </w:r>
      <w:r w:rsidR="00293F4D">
        <w:rPr>
          <w:rFonts w:cs="Arial"/>
          <w:color w:val="000000"/>
        </w:rPr>
        <w:t xml:space="preserve"> (Fig. 34) (Table 19)</w:t>
      </w:r>
      <w:r w:rsidR="008222F4">
        <w:rPr>
          <w:rFonts w:cs="Arial"/>
          <w:color w:val="000000"/>
        </w:rPr>
        <w:t xml:space="preserve">.  </w:t>
      </w:r>
      <w:r w:rsidR="00B750F7">
        <w:rPr>
          <w:rFonts w:cs="Arial"/>
          <w:color w:val="000000"/>
        </w:rPr>
        <w:t xml:space="preserve">Microbiome is speculated that they </w:t>
      </w:r>
      <w:r w:rsidR="001F325D">
        <w:rPr>
          <w:rFonts w:cs="Arial"/>
          <w:color w:val="000000"/>
        </w:rPr>
        <w:t xml:space="preserve">may </w:t>
      </w:r>
      <w:r w:rsidR="00B750F7">
        <w:rPr>
          <w:rFonts w:cs="Arial"/>
          <w:color w:val="000000"/>
        </w:rPr>
        <w:t>move to find nutrients and defend thems</w:t>
      </w:r>
      <w:r w:rsidR="002C370F">
        <w:rPr>
          <w:rFonts w:cs="Arial"/>
          <w:color w:val="000000"/>
        </w:rPr>
        <w:t xml:space="preserve">elves from host immune system.  These functions also were dissimilar in different </w:t>
      </w:r>
      <w:r w:rsidR="00EC5D52">
        <w:rPr>
          <w:rFonts w:cs="Arial"/>
          <w:color w:val="000000"/>
        </w:rPr>
        <w:t>people, which mean</w:t>
      </w:r>
      <w:r w:rsidR="002C370F">
        <w:rPr>
          <w:rFonts w:cs="Arial"/>
          <w:color w:val="000000"/>
        </w:rPr>
        <w:t xml:space="preserve"> that microbiome may be facing in different environment (human gut).</w:t>
      </w:r>
    </w:p>
    <w:p w14:paraId="1E6D20F8" w14:textId="77777777" w:rsidR="00610D72" w:rsidRDefault="00610D72" w:rsidP="00AC565C">
      <w:pPr>
        <w:spacing w:line="480" w:lineRule="auto"/>
        <w:rPr>
          <w:rFonts w:cs="Arial"/>
          <w:color w:val="000000"/>
        </w:rPr>
      </w:pPr>
    </w:p>
    <w:p w14:paraId="1F869078" w14:textId="77777777" w:rsidR="00473687" w:rsidRDefault="000A2D1D">
      <w:pPr>
        <w:jc w:val="left"/>
      </w:pPr>
      <w:r>
        <w:br w:type="page"/>
      </w:r>
    </w:p>
    <w:p w14:paraId="413A7207" w14:textId="5F3B1597" w:rsidR="00473687" w:rsidRPr="00473687" w:rsidRDefault="00473687" w:rsidP="00473687">
      <w:pPr>
        <w:pStyle w:val="Caption"/>
        <w:keepNext/>
        <w:rPr>
          <w:b w:val="0"/>
          <w:lang w:eastAsia="ko-KR"/>
        </w:rPr>
      </w:pPr>
      <w:bookmarkStart w:id="100" w:name="_Toc296333091"/>
      <w:r>
        <w:lastRenderedPageBreak/>
        <w:t xml:space="preserve">Table </w:t>
      </w:r>
      <w:fldSimple w:instr=" SEQ Table \* ARABIC ">
        <w:r w:rsidR="0093776B">
          <w:rPr>
            <w:noProof/>
          </w:rPr>
          <w:t>19</w:t>
        </w:r>
      </w:fldSimple>
      <w:r>
        <w:t xml:space="preserve"> </w:t>
      </w:r>
      <w:r>
        <w:rPr>
          <w:lang w:eastAsia="ko-KR"/>
        </w:rPr>
        <w:t xml:space="preserve">Significant COG functional terms in microbial fecal proteins.  </w:t>
      </w:r>
      <w:r>
        <w:rPr>
          <w:b w:val="0"/>
        </w:rPr>
        <w:t>FDR: FDR-adjusted enrichment test and # of prots: the number of member proteins.</w:t>
      </w:r>
      <w:bookmarkEnd w:id="100"/>
    </w:p>
    <w:tbl>
      <w:tblPr>
        <w:tblW w:w="8838" w:type="dxa"/>
        <w:tblLayout w:type="fixed"/>
        <w:tblLook w:val="04A0" w:firstRow="1" w:lastRow="0" w:firstColumn="1" w:lastColumn="0" w:noHBand="0" w:noVBand="1"/>
      </w:tblPr>
      <w:tblGrid>
        <w:gridCol w:w="828"/>
        <w:gridCol w:w="3510"/>
        <w:gridCol w:w="1350"/>
        <w:gridCol w:w="900"/>
        <w:gridCol w:w="990"/>
        <w:gridCol w:w="1260"/>
      </w:tblGrid>
      <w:tr w:rsidR="00473687" w:rsidRPr="00473687" w14:paraId="677818C0" w14:textId="77777777" w:rsidTr="00473687">
        <w:trPr>
          <w:trHeight w:val="300"/>
        </w:trPr>
        <w:tc>
          <w:tcPr>
            <w:tcW w:w="828" w:type="dxa"/>
            <w:noWrap/>
            <w:hideMark/>
          </w:tcPr>
          <w:p w14:paraId="69175D23" w14:textId="77777777" w:rsidR="00473687" w:rsidRPr="00473687" w:rsidRDefault="00473687" w:rsidP="00473687">
            <w:pPr>
              <w:jc w:val="center"/>
              <w:rPr>
                <w:rFonts w:eastAsia="Times New Roman" w:cs="Arial"/>
                <w:color w:val="000000"/>
              </w:rPr>
            </w:pPr>
            <w:r w:rsidRPr="00473687">
              <w:rPr>
                <w:rFonts w:eastAsia="Times New Roman" w:cs="Arial"/>
                <w:color w:val="000000"/>
              </w:rPr>
              <w:t>COG ID</w:t>
            </w:r>
          </w:p>
        </w:tc>
        <w:tc>
          <w:tcPr>
            <w:tcW w:w="3510" w:type="dxa"/>
            <w:noWrap/>
            <w:hideMark/>
          </w:tcPr>
          <w:p w14:paraId="405CE66D" w14:textId="77777777" w:rsidR="00473687" w:rsidRPr="00473687" w:rsidRDefault="00473687" w:rsidP="00473687">
            <w:pPr>
              <w:jc w:val="center"/>
              <w:rPr>
                <w:rFonts w:eastAsia="Times New Roman" w:cs="Arial"/>
                <w:color w:val="000000"/>
              </w:rPr>
            </w:pPr>
            <w:r w:rsidRPr="00473687">
              <w:rPr>
                <w:rFonts w:eastAsia="Times New Roman" w:cs="Arial"/>
                <w:color w:val="000000"/>
              </w:rPr>
              <w:t>Description</w:t>
            </w:r>
          </w:p>
        </w:tc>
        <w:tc>
          <w:tcPr>
            <w:tcW w:w="1350" w:type="dxa"/>
            <w:noWrap/>
            <w:hideMark/>
          </w:tcPr>
          <w:p w14:paraId="4700ADDA" w14:textId="3B62066B" w:rsidR="00473687" w:rsidRPr="00473687" w:rsidRDefault="00473687" w:rsidP="00473687">
            <w:pPr>
              <w:jc w:val="center"/>
              <w:rPr>
                <w:rFonts w:eastAsia="Times New Roman" w:cs="Arial"/>
                <w:color w:val="000000"/>
              </w:rPr>
            </w:pPr>
            <w:r>
              <w:rPr>
                <w:rFonts w:eastAsia="Times New Roman" w:cs="Arial"/>
                <w:color w:val="000000"/>
              </w:rPr>
              <w:t xml:space="preserve">Enrich. </w:t>
            </w:r>
            <w:r w:rsidRPr="00473687">
              <w:rPr>
                <w:rFonts w:eastAsia="Times New Roman" w:cs="Arial"/>
                <w:color w:val="000000"/>
              </w:rPr>
              <w:t>FDR</w:t>
            </w:r>
          </w:p>
        </w:tc>
        <w:tc>
          <w:tcPr>
            <w:tcW w:w="900" w:type="dxa"/>
            <w:noWrap/>
            <w:hideMark/>
          </w:tcPr>
          <w:p w14:paraId="001A5E43" w14:textId="60130DD7" w:rsidR="00473687" w:rsidRPr="00473687" w:rsidRDefault="00473687" w:rsidP="00473687">
            <w:pPr>
              <w:jc w:val="center"/>
              <w:rPr>
                <w:rFonts w:eastAsia="Times New Roman" w:cs="Arial"/>
                <w:color w:val="000000"/>
              </w:rPr>
            </w:pPr>
            <w:r>
              <w:rPr>
                <w:rFonts w:eastAsia="Times New Roman" w:cs="Arial"/>
                <w:color w:val="000000"/>
              </w:rPr>
              <w:t># of prots</w:t>
            </w:r>
          </w:p>
        </w:tc>
        <w:tc>
          <w:tcPr>
            <w:tcW w:w="990" w:type="dxa"/>
            <w:noWrap/>
            <w:hideMark/>
          </w:tcPr>
          <w:p w14:paraId="0E9EF08F" w14:textId="18D9B908" w:rsidR="00473687" w:rsidRPr="00473687" w:rsidRDefault="00473687" w:rsidP="00473687">
            <w:pPr>
              <w:jc w:val="center"/>
              <w:rPr>
                <w:rFonts w:eastAsia="Times New Roman" w:cs="Arial"/>
                <w:color w:val="000000"/>
              </w:rPr>
            </w:pPr>
            <w:r>
              <w:rPr>
                <w:rFonts w:eastAsia="Times New Roman" w:cs="Arial"/>
                <w:color w:val="000000"/>
              </w:rPr>
              <w:t xml:space="preserve">Cohen’s </w:t>
            </w:r>
            <w:r w:rsidRPr="00473687">
              <w:rPr>
                <w:rFonts w:eastAsia="Times New Roman" w:cs="Arial"/>
                <w:i/>
                <w:color w:val="000000"/>
              </w:rPr>
              <w:t>f</w:t>
            </w:r>
          </w:p>
        </w:tc>
        <w:tc>
          <w:tcPr>
            <w:tcW w:w="1260" w:type="dxa"/>
            <w:noWrap/>
            <w:hideMark/>
          </w:tcPr>
          <w:p w14:paraId="027F449E" w14:textId="04BC0D5C" w:rsidR="00473687" w:rsidRPr="00473687" w:rsidRDefault="00473687" w:rsidP="00473687">
            <w:pPr>
              <w:jc w:val="center"/>
              <w:rPr>
                <w:rFonts w:eastAsia="Times New Roman" w:cs="Arial"/>
                <w:color w:val="000000"/>
              </w:rPr>
            </w:pPr>
            <w:r w:rsidRPr="00473687">
              <w:rPr>
                <w:rFonts w:eastAsia="Times New Roman" w:cs="Arial"/>
                <w:color w:val="000000"/>
              </w:rPr>
              <w:t>QP FDR</w:t>
            </w:r>
          </w:p>
        </w:tc>
      </w:tr>
      <w:tr w:rsidR="00473687" w:rsidRPr="00473687" w14:paraId="17F4BFA7" w14:textId="77777777" w:rsidTr="00473687">
        <w:trPr>
          <w:trHeight w:val="300"/>
        </w:trPr>
        <w:tc>
          <w:tcPr>
            <w:tcW w:w="828" w:type="dxa"/>
            <w:noWrap/>
            <w:hideMark/>
          </w:tcPr>
          <w:p w14:paraId="055A685C" w14:textId="5FA42090" w:rsidR="00473687" w:rsidRPr="00473687" w:rsidRDefault="00473687" w:rsidP="00473687">
            <w:pPr>
              <w:jc w:val="left"/>
              <w:rPr>
                <w:rFonts w:eastAsia="Times New Roman" w:cs="Arial"/>
                <w:color w:val="000000"/>
              </w:rPr>
            </w:pPr>
            <w:r w:rsidRPr="00473687">
              <w:rPr>
                <w:rFonts w:eastAsia="Times New Roman" w:cs="Arial"/>
                <w:color w:val="000000"/>
              </w:rPr>
              <w:t>J</w:t>
            </w:r>
          </w:p>
        </w:tc>
        <w:tc>
          <w:tcPr>
            <w:tcW w:w="3510" w:type="dxa"/>
            <w:noWrap/>
            <w:hideMark/>
          </w:tcPr>
          <w:p w14:paraId="78624F9C" w14:textId="77777777" w:rsidR="00473687" w:rsidRPr="00473687" w:rsidRDefault="00473687" w:rsidP="00473687">
            <w:pPr>
              <w:jc w:val="left"/>
              <w:rPr>
                <w:rFonts w:eastAsia="Times New Roman" w:cs="Arial"/>
                <w:color w:val="000000"/>
              </w:rPr>
            </w:pPr>
            <w:r w:rsidRPr="00473687">
              <w:rPr>
                <w:rFonts w:eastAsia="Times New Roman" w:cs="Arial"/>
                <w:color w:val="000000"/>
              </w:rPr>
              <w:t>Translation; ribosomal structure and biogenesis</w:t>
            </w:r>
          </w:p>
        </w:tc>
        <w:tc>
          <w:tcPr>
            <w:tcW w:w="1350" w:type="dxa"/>
            <w:noWrap/>
            <w:hideMark/>
          </w:tcPr>
          <w:p w14:paraId="6E950ABB" w14:textId="77777777" w:rsidR="00473687" w:rsidRPr="00473687" w:rsidRDefault="00473687" w:rsidP="00473687">
            <w:pPr>
              <w:jc w:val="right"/>
              <w:rPr>
                <w:rFonts w:eastAsia="Times New Roman" w:cs="Arial"/>
                <w:color w:val="000000"/>
              </w:rPr>
            </w:pPr>
            <w:r w:rsidRPr="00473687">
              <w:rPr>
                <w:rFonts w:eastAsia="Times New Roman" w:cs="Arial"/>
                <w:color w:val="000000"/>
              </w:rPr>
              <w:t>7.00E-258</w:t>
            </w:r>
          </w:p>
        </w:tc>
        <w:tc>
          <w:tcPr>
            <w:tcW w:w="900" w:type="dxa"/>
            <w:noWrap/>
            <w:hideMark/>
          </w:tcPr>
          <w:p w14:paraId="66C999E6" w14:textId="78B83E3C" w:rsidR="00473687" w:rsidRPr="00473687" w:rsidRDefault="00473687" w:rsidP="00473687">
            <w:pPr>
              <w:jc w:val="right"/>
              <w:rPr>
                <w:rFonts w:eastAsia="Times New Roman" w:cs="Arial"/>
                <w:color w:val="000000"/>
              </w:rPr>
            </w:pPr>
            <w:r w:rsidRPr="00473687">
              <w:rPr>
                <w:rFonts w:eastAsia="Times New Roman" w:cs="Arial"/>
                <w:color w:val="000000"/>
              </w:rPr>
              <w:t>1</w:t>
            </w:r>
            <w:r>
              <w:rPr>
                <w:rFonts w:eastAsia="Times New Roman" w:cs="Arial"/>
                <w:color w:val="000000"/>
              </w:rPr>
              <w:t>,</w:t>
            </w:r>
            <w:r w:rsidRPr="00473687">
              <w:rPr>
                <w:rFonts w:eastAsia="Times New Roman" w:cs="Arial"/>
                <w:color w:val="000000"/>
              </w:rPr>
              <w:t>060</w:t>
            </w:r>
          </w:p>
        </w:tc>
        <w:tc>
          <w:tcPr>
            <w:tcW w:w="990" w:type="dxa"/>
            <w:noWrap/>
            <w:hideMark/>
          </w:tcPr>
          <w:p w14:paraId="5F21F108" w14:textId="77777777" w:rsidR="00473687" w:rsidRPr="00473687" w:rsidRDefault="00473687" w:rsidP="00473687">
            <w:pPr>
              <w:jc w:val="right"/>
              <w:rPr>
                <w:rFonts w:eastAsia="Times New Roman" w:cs="Arial"/>
                <w:color w:val="000000"/>
              </w:rPr>
            </w:pPr>
            <w:r w:rsidRPr="00473687">
              <w:rPr>
                <w:rFonts w:eastAsia="Times New Roman" w:cs="Arial"/>
                <w:color w:val="000000"/>
              </w:rPr>
              <w:t>4.1810</w:t>
            </w:r>
          </w:p>
        </w:tc>
        <w:tc>
          <w:tcPr>
            <w:tcW w:w="1260" w:type="dxa"/>
            <w:noWrap/>
            <w:hideMark/>
          </w:tcPr>
          <w:p w14:paraId="3428B000" w14:textId="77777777" w:rsidR="00473687" w:rsidRPr="00473687" w:rsidRDefault="00473687" w:rsidP="00473687">
            <w:pPr>
              <w:jc w:val="right"/>
              <w:rPr>
                <w:rFonts w:eastAsia="Times New Roman" w:cs="Arial"/>
                <w:color w:val="000000"/>
              </w:rPr>
            </w:pPr>
            <w:r w:rsidRPr="00473687">
              <w:rPr>
                <w:rFonts w:eastAsia="Times New Roman" w:cs="Arial"/>
                <w:color w:val="000000"/>
              </w:rPr>
              <w:t>1.48E-10</w:t>
            </w:r>
          </w:p>
        </w:tc>
      </w:tr>
      <w:tr w:rsidR="00473687" w:rsidRPr="00473687" w14:paraId="557FF73E" w14:textId="77777777" w:rsidTr="00473687">
        <w:trPr>
          <w:trHeight w:val="300"/>
        </w:trPr>
        <w:tc>
          <w:tcPr>
            <w:tcW w:w="828" w:type="dxa"/>
            <w:noWrap/>
            <w:hideMark/>
          </w:tcPr>
          <w:p w14:paraId="2369205E" w14:textId="77777777" w:rsidR="00473687" w:rsidRPr="00473687" w:rsidRDefault="00473687" w:rsidP="00473687">
            <w:pPr>
              <w:jc w:val="left"/>
              <w:rPr>
                <w:rFonts w:eastAsia="Times New Roman" w:cs="Arial"/>
                <w:color w:val="000000"/>
              </w:rPr>
            </w:pPr>
            <w:r w:rsidRPr="00473687">
              <w:rPr>
                <w:rFonts w:eastAsia="Times New Roman" w:cs="Arial"/>
                <w:color w:val="000000"/>
              </w:rPr>
              <w:t>S</w:t>
            </w:r>
          </w:p>
        </w:tc>
        <w:tc>
          <w:tcPr>
            <w:tcW w:w="3510" w:type="dxa"/>
            <w:noWrap/>
            <w:hideMark/>
          </w:tcPr>
          <w:p w14:paraId="130B808E" w14:textId="77777777" w:rsidR="00473687" w:rsidRPr="00473687" w:rsidRDefault="00473687" w:rsidP="00473687">
            <w:pPr>
              <w:jc w:val="left"/>
              <w:rPr>
                <w:rFonts w:eastAsia="Times New Roman" w:cs="Arial"/>
                <w:color w:val="000000"/>
              </w:rPr>
            </w:pPr>
            <w:r w:rsidRPr="00473687">
              <w:rPr>
                <w:rFonts w:eastAsia="Times New Roman" w:cs="Arial"/>
                <w:color w:val="000000"/>
              </w:rPr>
              <w:t>Function unknown</w:t>
            </w:r>
          </w:p>
        </w:tc>
        <w:tc>
          <w:tcPr>
            <w:tcW w:w="1350" w:type="dxa"/>
            <w:noWrap/>
            <w:hideMark/>
          </w:tcPr>
          <w:p w14:paraId="3B4F8939" w14:textId="77777777" w:rsidR="00473687" w:rsidRPr="00473687" w:rsidRDefault="00473687" w:rsidP="00473687">
            <w:pPr>
              <w:jc w:val="right"/>
              <w:rPr>
                <w:rFonts w:eastAsia="Times New Roman" w:cs="Arial"/>
                <w:color w:val="000000"/>
              </w:rPr>
            </w:pPr>
            <w:r w:rsidRPr="00473687">
              <w:rPr>
                <w:rFonts w:eastAsia="Times New Roman" w:cs="Arial"/>
                <w:color w:val="000000"/>
              </w:rPr>
              <w:t>1.44E-39</w:t>
            </w:r>
          </w:p>
        </w:tc>
        <w:tc>
          <w:tcPr>
            <w:tcW w:w="900" w:type="dxa"/>
            <w:noWrap/>
            <w:hideMark/>
          </w:tcPr>
          <w:p w14:paraId="75502E0A" w14:textId="77777777" w:rsidR="00473687" w:rsidRPr="00473687" w:rsidRDefault="00473687" w:rsidP="00473687">
            <w:pPr>
              <w:jc w:val="right"/>
              <w:rPr>
                <w:rFonts w:eastAsia="Times New Roman" w:cs="Arial"/>
                <w:color w:val="000000"/>
              </w:rPr>
            </w:pPr>
            <w:r w:rsidRPr="00473687">
              <w:rPr>
                <w:rFonts w:eastAsia="Times New Roman" w:cs="Arial"/>
                <w:color w:val="000000"/>
              </w:rPr>
              <w:t>159</w:t>
            </w:r>
          </w:p>
        </w:tc>
        <w:tc>
          <w:tcPr>
            <w:tcW w:w="990" w:type="dxa"/>
            <w:noWrap/>
            <w:hideMark/>
          </w:tcPr>
          <w:p w14:paraId="200329C6" w14:textId="77777777" w:rsidR="00473687" w:rsidRPr="00473687" w:rsidRDefault="00473687" w:rsidP="00473687">
            <w:pPr>
              <w:jc w:val="right"/>
              <w:rPr>
                <w:rFonts w:eastAsia="Times New Roman" w:cs="Arial"/>
                <w:color w:val="000000"/>
              </w:rPr>
            </w:pPr>
            <w:r w:rsidRPr="00473687">
              <w:rPr>
                <w:rFonts w:eastAsia="Times New Roman" w:cs="Arial"/>
                <w:color w:val="000000"/>
              </w:rPr>
              <w:t>2.3167</w:t>
            </w:r>
          </w:p>
        </w:tc>
        <w:tc>
          <w:tcPr>
            <w:tcW w:w="1260" w:type="dxa"/>
            <w:noWrap/>
            <w:hideMark/>
          </w:tcPr>
          <w:p w14:paraId="34665963" w14:textId="77777777" w:rsidR="00473687" w:rsidRPr="00473687" w:rsidRDefault="00473687" w:rsidP="00473687">
            <w:pPr>
              <w:jc w:val="right"/>
              <w:rPr>
                <w:rFonts w:eastAsia="Times New Roman" w:cs="Arial"/>
                <w:color w:val="000000"/>
              </w:rPr>
            </w:pPr>
            <w:r w:rsidRPr="00473687">
              <w:rPr>
                <w:rFonts w:eastAsia="Times New Roman" w:cs="Arial"/>
                <w:color w:val="000000"/>
              </w:rPr>
              <w:t>3.51E-06</w:t>
            </w:r>
          </w:p>
        </w:tc>
      </w:tr>
      <w:tr w:rsidR="00473687" w:rsidRPr="00473687" w14:paraId="31D6E139" w14:textId="77777777" w:rsidTr="00473687">
        <w:trPr>
          <w:trHeight w:val="300"/>
        </w:trPr>
        <w:tc>
          <w:tcPr>
            <w:tcW w:w="828" w:type="dxa"/>
            <w:noWrap/>
            <w:hideMark/>
          </w:tcPr>
          <w:p w14:paraId="293CDBEB" w14:textId="77777777" w:rsidR="00473687" w:rsidRPr="00473687" w:rsidRDefault="00473687" w:rsidP="00473687">
            <w:pPr>
              <w:jc w:val="left"/>
              <w:rPr>
                <w:rFonts w:eastAsia="Times New Roman" w:cs="Arial"/>
                <w:color w:val="000000"/>
              </w:rPr>
            </w:pPr>
            <w:r w:rsidRPr="00473687">
              <w:rPr>
                <w:rFonts w:eastAsia="Times New Roman" w:cs="Arial"/>
                <w:color w:val="000000"/>
              </w:rPr>
              <w:t>X</w:t>
            </w:r>
          </w:p>
        </w:tc>
        <w:tc>
          <w:tcPr>
            <w:tcW w:w="3510" w:type="dxa"/>
            <w:noWrap/>
            <w:hideMark/>
          </w:tcPr>
          <w:p w14:paraId="1ECD8A69" w14:textId="77777777" w:rsidR="00473687" w:rsidRPr="00473687" w:rsidRDefault="00473687" w:rsidP="00473687">
            <w:pPr>
              <w:jc w:val="left"/>
              <w:rPr>
                <w:rFonts w:eastAsia="Times New Roman" w:cs="Arial"/>
                <w:color w:val="000000"/>
              </w:rPr>
            </w:pPr>
            <w:r w:rsidRPr="00473687">
              <w:rPr>
                <w:rFonts w:eastAsia="Times New Roman" w:cs="Arial"/>
                <w:color w:val="000000"/>
              </w:rPr>
              <w:t>Not predicted</w:t>
            </w:r>
          </w:p>
        </w:tc>
        <w:tc>
          <w:tcPr>
            <w:tcW w:w="1350" w:type="dxa"/>
            <w:noWrap/>
            <w:hideMark/>
          </w:tcPr>
          <w:p w14:paraId="4E438EEC" w14:textId="77777777" w:rsidR="00473687" w:rsidRPr="00473687" w:rsidRDefault="00473687" w:rsidP="00473687">
            <w:pPr>
              <w:jc w:val="right"/>
              <w:rPr>
                <w:rFonts w:eastAsia="Times New Roman" w:cs="Arial"/>
                <w:color w:val="000000"/>
              </w:rPr>
            </w:pPr>
            <w:r w:rsidRPr="00473687">
              <w:rPr>
                <w:rFonts w:eastAsia="Times New Roman" w:cs="Arial"/>
                <w:color w:val="000000"/>
              </w:rPr>
              <w:t>2.42E-37</w:t>
            </w:r>
          </w:p>
        </w:tc>
        <w:tc>
          <w:tcPr>
            <w:tcW w:w="900" w:type="dxa"/>
            <w:noWrap/>
            <w:hideMark/>
          </w:tcPr>
          <w:p w14:paraId="10CED718" w14:textId="77777777" w:rsidR="00473687" w:rsidRPr="00473687" w:rsidRDefault="00473687" w:rsidP="00473687">
            <w:pPr>
              <w:jc w:val="right"/>
              <w:rPr>
                <w:rFonts w:eastAsia="Times New Roman" w:cs="Arial"/>
                <w:color w:val="000000"/>
              </w:rPr>
            </w:pPr>
            <w:r w:rsidRPr="00473687">
              <w:rPr>
                <w:rFonts w:eastAsia="Times New Roman" w:cs="Arial"/>
                <w:color w:val="000000"/>
              </w:rPr>
              <w:t>205</w:t>
            </w:r>
          </w:p>
        </w:tc>
        <w:tc>
          <w:tcPr>
            <w:tcW w:w="990" w:type="dxa"/>
            <w:noWrap/>
            <w:hideMark/>
          </w:tcPr>
          <w:p w14:paraId="6A1E61A6" w14:textId="77777777" w:rsidR="00473687" w:rsidRPr="00473687" w:rsidRDefault="00473687" w:rsidP="00473687">
            <w:pPr>
              <w:jc w:val="right"/>
              <w:rPr>
                <w:rFonts w:eastAsia="Times New Roman" w:cs="Arial"/>
                <w:color w:val="000000"/>
              </w:rPr>
            </w:pPr>
            <w:r w:rsidRPr="00473687">
              <w:rPr>
                <w:rFonts w:eastAsia="Times New Roman" w:cs="Arial"/>
                <w:color w:val="000000"/>
              </w:rPr>
              <w:t>2.3234</w:t>
            </w:r>
          </w:p>
        </w:tc>
        <w:tc>
          <w:tcPr>
            <w:tcW w:w="1260" w:type="dxa"/>
            <w:noWrap/>
            <w:hideMark/>
          </w:tcPr>
          <w:p w14:paraId="2A950468" w14:textId="77777777" w:rsidR="00473687" w:rsidRPr="00473687" w:rsidRDefault="00473687" w:rsidP="00473687">
            <w:pPr>
              <w:jc w:val="right"/>
              <w:rPr>
                <w:rFonts w:eastAsia="Times New Roman" w:cs="Arial"/>
                <w:color w:val="000000"/>
              </w:rPr>
            </w:pPr>
            <w:r w:rsidRPr="00473687">
              <w:rPr>
                <w:rFonts w:eastAsia="Times New Roman" w:cs="Arial"/>
                <w:color w:val="000000"/>
              </w:rPr>
              <w:t>7.05E-07</w:t>
            </w:r>
          </w:p>
        </w:tc>
      </w:tr>
      <w:tr w:rsidR="00473687" w:rsidRPr="00473687" w14:paraId="25594CE9" w14:textId="77777777" w:rsidTr="00473687">
        <w:trPr>
          <w:trHeight w:val="300"/>
        </w:trPr>
        <w:tc>
          <w:tcPr>
            <w:tcW w:w="828" w:type="dxa"/>
            <w:noWrap/>
            <w:hideMark/>
          </w:tcPr>
          <w:p w14:paraId="1B8B2093" w14:textId="77777777" w:rsidR="00473687" w:rsidRPr="00473687" w:rsidRDefault="00473687" w:rsidP="00473687">
            <w:pPr>
              <w:jc w:val="left"/>
              <w:rPr>
                <w:rFonts w:eastAsia="Times New Roman" w:cs="Arial"/>
                <w:color w:val="000000"/>
              </w:rPr>
            </w:pPr>
            <w:r w:rsidRPr="00473687">
              <w:rPr>
                <w:rFonts w:eastAsia="Times New Roman" w:cs="Arial"/>
                <w:color w:val="000000"/>
              </w:rPr>
              <w:t>C</w:t>
            </w:r>
          </w:p>
        </w:tc>
        <w:tc>
          <w:tcPr>
            <w:tcW w:w="3510" w:type="dxa"/>
            <w:noWrap/>
            <w:hideMark/>
          </w:tcPr>
          <w:p w14:paraId="436D6B36" w14:textId="77777777" w:rsidR="00473687" w:rsidRPr="00473687" w:rsidRDefault="00473687" w:rsidP="00473687">
            <w:pPr>
              <w:jc w:val="left"/>
              <w:rPr>
                <w:rFonts w:eastAsia="Times New Roman" w:cs="Arial"/>
                <w:color w:val="000000"/>
              </w:rPr>
            </w:pPr>
            <w:r w:rsidRPr="00473687">
              <w:rPr>
                <w:rFonts w:eastAsia="Times New Roman" w:cs="Arial"/>
                <w:color w:val="000000"/>
              </w:rPr>
              <w:t>Energy production and conversion</w:t>
            </w:r>
          </w:p>
        </w:tc>
        <w:tc>
          <w:tcPr>
            <w:tcW w:w="1350" w:type="dxa"/>
            <w:noWrap/>
            <w:hideMark/>
          </w:tcPr>
          <w:p w14:paraId="57B6DF37" w14:textId="77777777" w:rsidR="00473687" w:rsidRPr="00473687" w:rsidRDefault="00473687" w:rsidP="00473687">
            <w:pPr>
              <w:jc w:val="right"/>
              <w:rPr>
                <w:rFonts w:eastAsia="Times New Roman" w:cs="Arial"/>
                <w:color w:val="000000"/>
              </w:rPr>
            </w:pPr>
            <w:r w:rsidRPr="00473687">
              <w:rPr>
                <w:rFonts w:eastAsia="Times New Roman" w:cs="Arial"/>
                <w:color w:val="000000"/>
              </w:rPr>
              <w:t>1.47E-34</w:t>
            </w:r>
          </w:p>
        </w:tc>
        <w:tc>
          <w:tcPr>
            <w:tcW w:w="900" w:type="dxa"/>
            <w:noWrap/>
            <w:hideMark/>
          </w:tcPr>
          <w:p w14:paraId="1D9E30B3" w14:textId="77777777" w:rsidR="00473687" w:rsidRPr="00473687" w:rsidRDefault="00473687" w:rsidP="00473687">
            <w:pPr>
              <w:jc w:val="right"/>
              <w:rPr>
                <w:rFonts w:eastAsia="Times New Roman" w:cs="Arial"/>
                <w:color w:val="000000"/>
              </w:rPr>
            </w:pPr>
            <w:r w:rsidRPr="00473687">
              <w:rPr>
                <w:rFonts w:eastAsia="Times New Roman" w:cs="Arial"/>
                <w:color w:val="000000"/>
              </w:rPr>
              <w:t>476</w:t>
            </w:r>
          </w:p>
        </w:tc>
        <w:tc>
          <w:tcPr>
            <w:tcW w:w="990" w:type="dxa"/>
            <w:noWrap/>
            <w:hideMark/>
          </w:tcPr>
          <w:p w14:paraId="58BF1632" w14:textId="77777777" w:rsidR="00473687" w:rsidRPr="00473687" w:rsidRDefault="00473687" w:rsidP="00473687">
            <w:pPr>
              <w:jc w:val="right"/>
              <w:rPr>
                <w:rFonts w:eastAsia="Times New Roman" w:cs="Arial"/>
                <w:color w:val="000000"/>
              </w:rPr>
            </w:pPr>
            <w:r w:rsidRPr="00473687">
              <w:rPr>
                <w:rFonts w:eastAsia="Times New Roman" w:cs="Arial"/>
                <w:color w:val="000000"/>
              </w:rPr>
              <w:t>2.2074</w:t>
            </w:r>
          </w:p>
        </w:tc>
        <w:tc>
          <w:tcPr>
            <w:tcW w:w="1260" w:type="dxa"/>
            <w:noWrap/>
            <w:hideMark/>
          </w:tcPr>
          <w:p w14:paraId="35C36DD5" w14:textId="77777777" w:rsidR="00473687" w:rsidRPr="00473687" w:rsidRDefault="00473687" w:rsidP="00473687">
            <w:pPr>
              <w:jc w:val="right"/>
              <w:rPr>
                <w:rFonts w:eastAsia="Times New Roman" w:cs="Arial"/>
                <w:color w:val="000000"/>
              </w:rPr>
            </w:pPr>
            <w:r w:rsidRPr="00473687">
              <w:rPr>
                <w:rFonts w:eastAsia="Times New Roman" w:cs="Arial"/>
                <w:color w:val="000000"/>
              </w:rPr>
              <w:t>1.46E-06</w:t>
            </w:r>
          </w:p>
        </w:tc>
      </w:tr>
      <w:tr w:rsidR="00473687" w:rsidRPr="00473687" w14:paraId="6474D580" w14:textId="77777777" w:rsidTr="00473687">
        <w:trPr>
          <w:trHeight w:val="300"/>
        </w:trPr>
        <w:tc>
          <w:tcPr>
            <w:tcW w:w="828" w:type="dxa"/>
            <w:noWrap/>
            <w:hideMark/>
          </w:tcPr>
          <w:p w14:paraId="6DE859E3" w14:textId="77777777" w:rsidR="00473687" w:rsidRPr="00473687" w:rsidRDefault="00473687" w:rsidP="00473687">
            <w:pPr>
              <w:jc w:val="left"/>
              <w:rPr>
                <w:rFonts w:eastAsia="Times New Roman" w:cs="Arial"/>
                <w:color w:val="000000"/>
              </w:rPr>
            </w:pPr>
            <w:r w:rsidRPr="00473687">
              <w:rPr>
                <w:rFonts w:eastAsia="Times New Roman" w:cs="Arial"/>
                <w:color w:val="000000"/>
              </w:rPr>
              <w:t>G</w:t>
            </w:r>
          </w:p>
        </w:tc>
        <w:tc>
          <w:tcPr>
            <w:tcW w:w="3510" w:type="dxa"/>
            <w:noWrap/>
            <w:hideMark/>
          </w:tcPr>
          <w:p w14:paraId="05CD521A" w14:textId="77777777" w:rsidR="00473687" w:rsidRPr="00473687" w:rsidRDefault="00473687" w:rsidP="00473687">
            <w:pPr>
              <w:jc w:val="left"/>
              <w:rPr>
                <w:rFonts w:eastAsia="Times New Roman" w:cs="Arial"/>
                <w:color w:val="000000"/>
              </w:rPr>
            </w:pPr>
            <w:r w:rsidRPr="00473687">
              <w:rPr>
                <w:rFonts w:eastAsia="Times New Roman" w:cs="Arial"/>
                <w:color w:val="000000"/>
              </w:rPr>
              <w:t>Carbohydrate transport and metabolism</w:t>
            </w:r>
          </w:p>
        </w:tc>
        <w:tc>
          <w:tcPr>
            <w:tcW w:w="1350" w:type="dxa"/>
            <w:noWrap/>
            <w:hideMark/>
          </w:tcPr>
          <w:p w14:paraId="30D37402" w14:textId="77777777" w:rsidR="00473687" w:rsidRPr="00473687" w:rsidRDefault="00473687" w:rsidP="00473687">
            <w:pPr>
              <w:jc w:val="right"/>
              <w:rPr>
                <w:rFonts w:eastAsia="Times New Roman" w:cs="Arial"/>
                <w:color w:val="000000"/>
              </w:rPr>
            </w:pPr>
            <w:r w:rsidRPr="00473687">
              <w:rPr>
                <w:rFonts w:eastAsia="Times New Roman" w:cs="Arial"/>
                <w:color w:val="000000"/>
              </w:rPr>
              <w:t>1.39E-31</w:t>
            </w:r>
          </w:p>
        </w:tc>
        <w:tc>
          <w:tcPr>
            <w:tcW w:w="900" w:type="dxa"/>
            <w:noWrap/>
            <w:hideMark/>
          </w:tcPr>
          <w:p w14:paraId="3B162BEC" w14:textId="77777777" w:rsidR="00473687" w:rsidRPr="00473687" w:rsidRDefault="00473687" w:rsidP="00473687">
            <w:pPr>
              <w:jc w:val="right"/>
              <w:rPr>
                <w:rFonts w:eastAsia="Times New Roman" w:cs="Arial"/>
                <w:color w:val="000000"/>
              </w:rPr>
            </w:pPr>
            <w:r w:rsidRPr="00473687">
              <w:rPr>
                <w:rFonts w:eastAsia="Times New Roman" w:cs="Arial"/>
                <w:color w:val="000000"/>
              </w:rPr>
              <w:t>626</w:t>
            </w:r>
          </w:p>
        </w:tc>
        <w:tc>
          <w:tcPr>
            <w:tcW w:w="990" w:type="dxa"/>
            <w:noWrap/>
            <w:hideMark/>
          </w:tcPr>
          <w:p w14:paraId="5C9FC33E" w14:textId="77777777" w:rsidR="00473687" w:rsidRPr="00473687" w:rsidRDefault="00473687" w:rsidP="00473687">
            <w:pPr>
              <w:jc w:val="right"/>
              <w:rPr>
                <w:rFonts w:eastAsia="Times New Roman" w:cs="Arial"/>
                <w:color w:val="000000"/>
              </w:rPr>
            </w:pPr>
            <w:r w:rsidRPr="00473687">
              <w:rPr>
                <w:rFonts w:eastAsia="Times New Roman" w:cs="Arial"/>
                <w:color w:val="000000"/>
              </w:rPr>
              <w:t>3.1924</w:t>
            </w:r>
          </w:p>
        </w:tc>
        <w:tc>
          <w:tcPr>
            <w:tcW w:w="1260" w:type="dxa"/>
            <w:noWrap/>
            <w:hideMark/>
          </w:tcPr>
          <w:p w14:paraId="7811F870" w14:textId="77777777" w:rsidR="00473687" w:rsidRPr="00473687" w:rsidRDefault="00473687" w:rsidP="00473687">
            <w:pPr>
              <w:jc w:val="right"/>
              <w:rPr>
                <w:rFonts w:eastAsia="Times New Roman" w:cs="Arial"/>
                <w:color w:val="000000"/>
              </w:rPr>
            </w:pPr>
            <w:r w:rsidRPr="00473687">
              <w:rPr>
                <w:rFonts w:eastAsia="Times New Roman" w:cs="Arial"/>
                <w:color w:val="000000"/>
              </w:rPr>
              <w:t>3.15E-09</w:t>
            </w:r>
          </w:p>
        </w:tc>
      </w:tr>
      <w:tr w:rsidR="00473687" w:rsidRPr="00473687" w14:paraId="15F4BEB1" w14:textId="77777777" w:rsidTr="00473687">
        <w:trPr>
          <w:trHeight w:val="300"/>
        </w:trPr>
        <w:tc>
          <w:tcPr>
            <w:tcW w:w="828" w:type="dxa"/>
            <w:noWrap/>
            <w:hideMark/>
          </w:tcPr>
          <w:p w14:paraId="712F703B" w14:textId="77777777" w:rsidR="00473687" w:rsidRPr="00473687" w:rsidRDefault="00473687" w:rsidP="00473687">
            <w:pPr>
              <w:jc w:val="left"/>
              <w:rPr>
                <w:rFonts w:eastAsia="Times New Roman" w:cs="Arial"/>
                <w:color w:val="000000"/>
              </w:rPr>
            </w:pPr>
            <w:r w:rsidRPr="00473687">
              <w:rPr>
                <w:rFonts w:eastAsia="Times New Roman" w:cs="Arial"/>
                <w:color w:val="000000"/>
              </w:rPr>
              <w:t>O</w:t>
            </w:r>
          </w:p>
        </w:tc>
        <w:tc>
          <w:tcPr>
            <w:tcW w:w="3510" w:type="dxa"/>
            <w:noWrap/>
            <w:hideMark/>
          </w:tcPr>
          <w:p w14:paraId="43F17461" w14:textId="77777777" w:rsidR="00473687" w:rsidRPr="00473687" w:rsidRDefault="00473687" w:rsidP="00473687">
            <w:pPr>
              <w:jc w:val="left"/>
              <w:rPr>
                <w:rFonts w:eastAsia="Times New Roman" w:cs="Arial"/>
                <w:color w:val="000000"/>
              </w:rPr>
            </w:pPr>
            <w:r w:rsidRPr="00473687">
              <w:rPr>
                <w:rFonts w:eastAsia="Times New Roman" w:cs="Arial"/>
                <w:color w:val="000000"/>
              </w:rPr>
              <w:t>Posttranslational modification; protein turnover; chaperones</w:t>
            </w:r>
          </w:p>
        </w:tc>
        <w:tc>
          <w:tcPr>
            <w:tcW w:w="1350" w:type="dxa"/>
            <w:noWrap/>
            <w:hideMark/>
          </w:tcPr>
          <w:p w14:paraId="210A8B47" w14:textId="77777777" w:rsidR="00473687" w:rsidRPr="00473687" w:rsidRDefault="00473687" w:rsidP="00473687">
            <w:pPr>
              <w:jc w:val="right"/>
              <w:rPr>
                <w:rFonts w:eastAsia="Times New Roman" w:cs="Arial"/>
                <w:color w:val="000000"/>
              </w:rPr>
            </w:pPr>
            <w:r w:rsidRPr="00473687">
              <w:rPr>
                <w:rFonts w:eastAsia="Times New Roman" w:cs="Arial"/>
                <w:color w:val="000000"/>
              </w:rPr>
              <w:t>1.88E-27</w:t>
            </w:r>
          </w:p>
        </w:tc>
        <w:tc>
          <w:tcPr>
            <w:tcW w:w="900" w:type="dxa"/>
            <w:noWrap/>
            <w:hideMark/>
          </w:tcPr>
          <w:p w14:paraId="2C8DD4B2" w14:textId="77777777" w:rsidR="00473687" w:rsidRPr="00473687" w:rsidRDefault="00473687" w:rsidP="00473687">
            <w:pPr>
              <w:jc w:val="right"/>
              <w:rPr>
                <w:rFonts w:eastAsia="Times New Roman" w:cs="Arial"/>
                <w:color w:val="000000"/>
              </w:rPr>
            </w:pPr>
            <w:r w:rsidRPr="00473687">
              <w:rPr>
                <w:rFonts w:eastAsia="Times New Roman" w:cs="Arial"/>
                <w:color w:val="000000"/>
              </w:rPr>
              <w:t>319</w:t>
            </w:r>
          </w:p>
        </w:tc>
        <w:tc>
          <w:tcPr>
            <w:tcW w:w="990" w:type="dxa"/>
            <w:noWrap/>
            <w:hideMark/>
          </w:tcPr>
          <w:p w14:paraId="58258974" w14:textId="77777777" w:rsidR="00473687" w:rsidRPr="00473687" w:rsidRDefault="00473687" w:rsidP="00473687">
            <w:pPr>
              <w:jc w:val="right"/>
              <w:rPr>
                <w:rFonts w:eastAsia="Times New Roman" w:cs="Arial"/>
                <w:color w:val="000000"/>
              </w:rPr>
            </w:pPr>
            <w:r w:rsidRPr="00473687">
              <w:rPr>
                <w:rFonts w:eastAsia="Times New Roman" w:cs="Arial"/>
                <w:color w:val="000000"/>
              </w:rPr>
              <w:t>4.5972</w:t>
            </w:r>
          </w:p>
        </w:tc>
        <w:tc>
          <w:tcPr>
            <w:tcW w:w="1260" w:type="dxa"/>
            <w:noWrap/>
            <w:hideMark/>
          </w:tcPr>
          <w:p w14:paraId="33170A59" w14:textId="77777777" w:rsidR="00473687" w:rsidRPr="00473687" w:rsidRDefault="00473687" w:rsidP="00473687">
            <w:pPr>
              <w:jc w:val="right"/>
              <w:rPr>
                <w:rFonts w:eastAsia="Times New Roman" w:cs="Arial"/>
                <w:color w:val="000000"/>
              </w:rPr>
            </w:pPr>
            <w:r w:rsidRPr="00473687">
              <w:rPr>
                <w:rFonts w:eastAsia="Times New Roman" w:cs="Arial"/>
                <w:color w:val="000000"/>
              </w:rPr>
              <w:t>1.48E-10</w:t>
            </w:r>
          </w:p>
        </w:tc>
      </w:tr>
      <w:tr w:rsidR="00473687" w:rsidRPr="00473687" w14:paraId="083BC90D" w14:textId="77777777" w:rsidTr="00473687">
        <w:trPr>
          <w:trHeight w:val="300"/>
        </w:trPr>
        <w:tc>
          <w:tcPr>
            <w:tcW w:w="828" w:type="dxa"/>
            <w:noWrap/>
            <w:hideMark/>
          </w:tcPr>
          <w:p w14:paraId="69445547" w14:textId="77777777" w:rsidR="00473687" w:rsidRPr="00473687" w:rsidRDefault="00473687" w:rsidP="00473687">
            <w:pPr>
              <w:jc w:val="left"/>
              <w:rPr>
                <w:rFonts w:eastAsia="Times New Roman" w:cs="Arial"/>
                <w:color w:val="000000"/>
              </w:rPr>
            </w:pPr>
            <w:r w:rsidRPr="00473687">
              <w:rPr>
                <w:rFonts w:eastAsia="Times New Roman" w:cs="Arial"/>
                <w:color w:val="000000"/>
              </w:rPr>
              <w:t>R</w:t>
            </w:r>
          </w:p>
        </w:tc>
        <w:tc>
          <w:tcPr>
            <w:tcW w:w="3510" w:type="dxa"/>
            <w:noWrap/>
            <w:hideMark/>
          </w:tcPr>
          <w:p w14:paraId="7D8881D8" w14:textId="77777777" w:rsidR="00473687" w:rsidRPr="00473687" w:rsidRDefault="00473687" w:rsidP="00473687">
            <w:pPr>
              <w:jc w:val="left"/>
              <w:rPr>
                <w:rFonts w:eastAsia="Times New Roman" w:cs="Arial"/>
                <w:color w:val="000000"/>
              </w:rPr>
            </w:pPr>
            <w:r w:rsidRPr="00473687">
              <w:rPr>
                <w:rFonts w:eastAsia="Times New Roman" w:cs="Arial"/>
                <w:color w:val="000000"/>
              </w:rPr>
              <w:t>General function prediction only</w:t>
            </w:r>
          </w:p>
        </w:tc>
        <w:tc>
          <w:tcPr>
            <w:tcW w:w="1350" w:type="dxa"/>
            <w:noWrap/>
            <w:hideMark/>
          </w:tcPr>
          <w:p w14:paraId="78EA41BD" w14:textId="77777777" w:rsidR="00473687" w:rsidRPr="00473687" w:rsidRDefault="00473687" w:rsidP="00473687">
            <w:pPr>
              <w:jc w:val="right"/>
              <w:rPr>
                <w:rFonts w:eastAsia="Times New Roman" w:cs="Arial"/>
                <w:color w:val="000000"/>
              </w:rPr>
            </w:pPr>
            <w:r w:rsidRPr="00473687">
              <w:rPr>
                <w:rFonts w:eastAsia="Times New Roman" w:cs="Arial"/>
                <w:color w:val="000000"/>
              </w:rPr>
              <w:t>1.10E-19</w:t>
            </w:r>
          </w:p>
        </w:tc>
        <w:tc>
          <w:tcPr>
            <w:tcW w:w="900" w:type="dxa"/>
            <w:noWrap/>
            <w:hideMark/>
          </w:tcPr>
          <w:p w14:paraId="4DE8DCAE" w14:textId="77777777" w:rsidR="00473687" w:rsidRPr="00473687" w:rsidRDefault="00473687" w:rsidP="00473687">
            <w:pPr>
              <w:jc w:val="right"/>
              <w:rPr>
                <w:rFonts w:eastAsia="Times New Roman" w:cs="Arial"/>
                <w:color w:val="000000"/>
              </w:rPr>
            </w:pPr>
            <w:r w:rsidRPr="00473687">
              <w:rPr>
                <w:rFonts w:eastAsia="Times New Roman" w:cs="Arial"/>
                <w:color w:val="000000"/>
              </w:rPr>
              <w:t>313</w:t>
            </w:r>
          </w:p>
        </w:tc>
        <w:tc>
          <w:tcPr>
            <w:tcW w:w="990" w:type="dxa"/>
            <w:noWrap/>
            <w:hideMark/>
          </w:tcPr>
          <w:p w14:paraId="7966E423" w14:textId="77777777" w:rsidR="00473687" w:rsidRPr="00473687" w:rsidRDefault="00473687" w:rsidP="00473687">
            <w:pPr>
              <w:jc w:val="right"/>
              <w:rPr>
                <w:rFonts w:eastAsia="Times New Roman" w:cs="Arial"/>
                <w:color w:val="000000"/>
              </w:rPr>
            </w:pPr>
            <w:r w:rsidRPr="00473687">
              <w:rPr>
                <w:rFonts w:eastAsia="Times New Roman" w:cs="Arial"/>
                <w:color w:val="000000"/>
              </w:rPr>
              <w:t>1.7545</w:t>
            </w:r>
          </w:p>
        </w:tc>
        <w:tc>
          <w:tcPr>
            <w:tcW w:w="1260" w:type="dxa"/>
            <w:noWrap/>
            <w:hideMark/>
          </w:tcPr>
          <w:p w14:paraId="7B4B0640" w14:textId="77777777" w:rsidR="00473687" w:rsidRPr="00473687" w:rsidRDefault="00473687" w:rsidP="00473687">
            <w:pPr>
              <w:jc w:val="right"/>
              <w:rPr>
                <w:rFonts w:eastAsia="Times New Roman" w:cs="Arial"/>
                <w:color w:val="000000"/>
              </w:rPr>
            </w:pPr>
            <w:r w:rsidRPr="00473687">
              <w:rPr>
                <w:rFonts w:eastAsia="Times New Roman" w:cs="Arial"/>
                <w:color w:val="000000"/>
              </w:rPr>
              <w:t>3.43E-05</w:t>
            </w:r>
          </w:p>
        </w:tc>
      </w:tr>
      <w:tr w:rsidR="00473687" w:rsidRPr="00473687" w14:paraId="3E9CBAC7" w14:textId="77777777" w:rsidTr="00473687">
        <w:trPr>
          <w:trHeight w:val="300"/>
        </w:trPr>
        <w:tc>
          <w:tcPr>
            <w:tcW w:w="828" w:type="dxa"/>
            <w:noWrap/>
            <w:hideMark/>
          </w:tcPr>
          <w:p w14:paraId="789CBEAD" w14:textId="77777777" w:rsidR="00473687" w:rsidRPr="00473687" w:rsidRDefault="00473687" w:rsidP="00473687">
            <w:pPr>
              <w:jc w:val="left"/>
              <w:rPr>
                <w:rFonts w:eastAsia="Times New Roman" w:cs="Arial"/>
                <w:color w:val="000000"/>
              </w:rPr>
            </w:pPr>
            <w:r w:rsidRPr="00473687">
              <w:rPr>
                <w:rFonts w:eastAsia="Times New Roman" w:cs="Arial"/>
                <w:color w:val="000000"/>
              </w:rPr>
              <w:t>K</w:t>
            </w:r>
          </w:p>
        </w:tc>
        <w:tc>
          <w:tcPr>
            <w:tcW w:w="3510" w:type="dxa"/>
            <w:noWrap/>
            <w:hideMark/>
          </w:tcPr>
          <w:p w14:paraId="304BF393" w14:textId="77777777" w:rsidR="00473687" w:rsidRPr="00473687" w:rsidRDefault="00473687" w:rsidP="00473687">
            <w:pPr>
              <w:jc w:val="left"/>
              <w:rPr>
                <w:rFonts w:eastAsia="Times New Roman" w:cs="Arial"/>
                <w:color w:val="000000"/>
              </w:rPr>
            </w:pPr>
            <w:r w:rsidRPr="00473687">
              <w:rPr>
                <w:rFonts w:eastAsia="Times New Roman" w:cs="Arial"/>
                <w:color w:val="000000"/>
              </w:rPr>
              <w:t>Transcription</w:t>
            </w:r>
          </w:p>
        </w:tc>
        <w:tc>
          <w:tcPr>
            <w:tcW w:w="1350" w:type="dxa"/>
            <w:noWrap/>
            <w:hideMark/>
          </w:tcPr>
          <w:p w14:paraId="6CCC2AA3" w14:textId="77777777" w:rsidR="00473687" w:rsidRPr="00473687" w:rsidRDefault="00473687" w:rsidP="00473687">
            <w:pPr>
              <w:jc w:val="right"/>
              <w:rPr>
                <w:rFonts w:eastAsia="Times New Roman" w:cs="Arial"/>
                <w:color w:val="000000"/>
              </w:rPr>
            </w:pPr>
            <w:r w:rsidRPr="00473687">
              <w:rPr>
                <w:rFonts w:eastAsia="Times New Roman" w:cs="Arial"/>
                <w:color w:val="000000"/>
              </w:rPr>
              <w:t>6.68E-17</w:t>
            </w:r>
          </w:p>
        </w:tc>
        <w:tc>
          <w:tcPr>
            <w:tcW w:w="900" w:type="dxa"/>
            <w:noWrap/>
            <w:hideMark/>
          </w:tcPr>
          <w:p w14:paraId="6F8CA00E" w14:textId="77777777" w:rsidR="00473687" w:rsidRPr="00473687" w:rsidRDefault="00473687" w:rsidP="00473687">
            <w:pPr>
              <w:jc w:val="right"/>
              <w:rPr>
                <w:rFonts w:eastAsia="Times New Roman" w:cs="Arial"/>
                <w:color w:val="000000"/>
              </w:rPr>
            </w:pPr>
            <w:r w:rsidRPr="00473687">
              <w:rPr>
                <w:rFonts w:eastAsia="Times New Roman" w:cs="Arial"/>
                <w:color w:val="000000"/>
              </w:rPr>
              <w:t>214</w:t>
            </w:r>
          </w:p>
        </w:tc>
        <w:tc>
          <w:tcPr>
            <w:tcW w:w="990" w:type="dxa"/>
            <w:noWrap/>
            <w:hideMark/>
          </w:tcPr>
          <w:p w14:paraId="00E52835" w14:textId="77777777" w:rsidR="00473687" w:rsidRPr="00473687" w:rsidRDefault="00473687" w:rsidP="00473687">
            <w:pPr>
              <w:jc w:val="right"/>
              <w:rPr>
                <w:rFonts w:eastAsia="Times New Roman" w:cs="Arial"/>
                <w:color w:val="000000"/>
              </w:rPr>
            </w:pPr>
            <w:r w:rsidRPr="00473687">
              <w:rPr>
                <w:rFonts w:eastAsia="Times New Roman" w:cs="Arial"/>
                <w:color w:val="000000"/>
              </w:rPr>
              <w:t>2.1878</w:t>
            </w:r>
          </w:p>
        </w:tc>
        <w:tc>
          <w:tcPr>
            <w:tcW w:w="1260" w:type="dxa"/>
            <w:noWrap/>
            <w:hideMark/>
          </w:tcPr>
          <w:p w14:paraId="72443B1D" w14:textId="77777777" w:rsidR="00473687" w:rsidRPr="00473687" w:rsidRDefault="00473687" w:rsidP="00473687">
            <w:pPr>
              <w:jc w:val="right"/>
              <w:rPr>
                <w:rFonts w:eastAsia="Times New Roman" w:cs="Arial"/>
                <w:color w:val="000000"/>
              </w:rPr>
            </w:pPr>
            <w:r w:rsidRPr="00473687">
              <w:rPr>
                <w:rFonts w:eastAsia="Times New Roman" w:cs="Arial"/>
                <w:color w:val="000000"/>
              </w:rPr>
              <w:t>2.77E-07</w:t>
            </w:r>
          </w:p>
        </w:tc>
      </w:tr>
      <w:tr w:rsidR="00473687" w:rsidRPr="00473687" w14:paraId="561FEF33" w14:textId="77777777" w:rsidTr="00473687">
        <w:trPr>
          <w:trHeight w:val="300"/>
        </w:trPr>
        <w:tc>
          <w:tcPr>
            <w:tcW w:w="828" w:type="dxa"/>
            <w:noWrap/>
            <w:hideMark/>
          </w:tcPr>
          <w:p w14:paraId="1DB6313F" w14:textId="77777777" w:rsidR="00473687" w:rsidRPr="00473687" w:rsidRDefault="00473687" w:rsidP="00473687">
            <w:pPr>
              <w:jc w:val="left"/>
              <w:rPr>
                <w:rFonts w:eastAsia="Times New Roman" w:cs="Arial"/>
                <w:color w:val="000000"/>
              </w:rPr>
            </w:pPr>
            <w:r w:rsidRPr="00473687">
              <w:rPr>
                <w:rFonts w:eastAsia="Times New Roman" w:cs="Arial"/>
                <w:color w:val="000000"/>
              </w:rPr>
              <w:t>L</w:t>
            </w:r>
          </w:p>
        </w:tc>
        <w:tc>
          <w:tcPr>
            <w:tcW w:w="3510" w:type="dxa"/>
            <w:noWrap/>
            <w:hideMark/>
          </w:tcPr>
          <w:p w14:paraId="718C0644" w14:textId="77777777" w:rsidR="00473687" w:rsidRPr="00473687" w:rsidRDefault="00473687" w:rsidP="00473687">
            <w:pPr>
              <w:jc w:val="left"/>
              <w:rPr>
                <w:rFonts w:eastAsia="Times New Roman" w:cs="Arial"/>
                <w:color w:val="000000"/>
              </w:rPr>
            </w:pPr>
            <w:r w:rsidRPr="00473687">
              <w:rPr>
                <w:rFonts w:eastAsia="Times New Roman" w:cs="Arial"/>
                <w:color w:val="000000"/>
              </w:rPr>
              <w:t>Replication; recombination and repair</w:t>
            </w:r>
          </w:p>
        </w:tc>
        <w:tc>
          <w:tcPr>
            <w:tcW w:w="1350" w:type="dxa"/>
            <w:noWrap/>
            <w:hideMark/>
          </w:tcPr>
          <w:p w14:paraId="23D94A61" w14:textId="77777777" w:rsidR="00473687" w:rsidRPr="00473687" w:rsidRDefault="00473687" w:rsidP="00473687">
            <w:pPr>
              <w:jc w:val="right"/>
              <w:rPr>
                <w:rFonts w:eastAsia="Times New Roman" w:cs="Arial"/>
                <w:color w:val="000000"/>
              </w:rPr>
            </w:pPr>
            <w:r w:rsidRPr="00473687">
              <w:rPr>
                <w:rFonts w:eastAsia="Times New Roman" w:cs="Arial"/>
                <w:color w:val="000000"/>
              </w:rPr>
              <w:t>2.51E-16</w:t>
            </w:r>
          </w:p>
        </w:tc>
        <w:tc>
          <w:tcPr>
            <w:tcW w:w="900" w:type="dxa"/>
            <w:noWrap/>
            <w:hideMark/>
          </w:tcPr>
          <w:p w14:paraId="62071F76" w14:textId="77777777" w:rsidR="00473687" w:rsidRPr="00473687" w:rsidRDefault="00473687" w:rsidP="00473687">
            <w:pPr>
              <w:jc w:val="right"/>
              <w:rPr>
                <w:rFonts w:eastAsia="Times New Roman" w:cs="Arial"/>
                <w:color w:val="000000"/>
              </w:rPr>
            </w:pPr>
            <w:r w:rsidRPr="00473687">
              <w:rPr>
                <w:rFonts w:eastAsia="Times New Roman" w:cs="Arial"/>
                <w:color w:val="000000"/>
              </w:rPr>
              <w:t>229</w:t>
            </w:r>
          </w:p>
        </w:tc>
        <w:tc>
          <w:tcPr>
            <w:tcW w:w="990" w:type="dxa"/>
            <w:noWrap/>
            <w:hideMark/>
          </w:tcPr>
          <w:p w14:paraId="464EE2DC" w14:textId="77777777" w:rsidR="00473687" w:rsidRPr="00473687" w:rsidRDefault="00473687" w:rsidP="00473687">
            <w:pPr>
              <w:jc w:val="right"/>
              <w:rPr>
                <w:rFonts w:eastAsia="Times New Roman" w:cs="Arial"/>
                <w:color w:val="000000"/>
              </w:rPr>
            </w:pPr>
            <w:r w:rsidRPr="00473687">
              <w:rPr>
                <w:rFonts w:eastAsia="Times New Roman" w:cs="Arial"/>
                <w:color w:val="000000"/>
              </w:rPr>
              <w:t>1.8058</w:t>
            </w:r>
          </w:p>
        </w:tc>
        <w:tc>
          <w:tcPr>
            <w:tcW w:w="1260" w:type="dxa"/>
            <w:noWrap/>
            <w:hideMark/>
          </w:tcPr>
          <w:p w14:paraId="5B61E876" w14:textId="77777777" w:rsidR="00473687" w:rsidRPr="00473687" w:rsidRDefault="00473687" w:rsidP="00473687">
            <w:pPr>
              <w:jc w:val="right"/>
              <w:rPr>
                <w:rFonts w:eastAsia="Times New Roman" w:cs="Arial"/>
                <w:color w:val="000000"/>
              </w:rPr>
            </w:pPr>
            <w:r w:rsidRPr="00473687">
              <w:rPr>
                <w:rFonts w:eastAsia="Times New Roman" w:cs="Arial"/>
                <w:color w:val="000000"/>
              </w:rPr>
              <w:t>2.76E-06</w:t>
            </w:r>
          </w:p>
        </w:tc>
      </w:tr>
      <w:tr w:rsidR="00473687" w:rsidRPr="00473687" w14:paraId="696012F4" w14:textId="77777777" w:rsidTr="00473687">
        <w:trPr>
          <w:trHeight w:val="300"/>
        </w:trPr>
        <w:tc>
          <w:tcPr>
            <w:tcW w:w="828" w:type="dxa"/>
            <w:noWrap/>
            <w:hideMark/>
          </w:tcPr>
          <w:p w14:paraId="22286CCB" w14:textId="77777777" w:rsidR="00473687" w:rsidRPr="00473687" w:rsidRDefault="00473687" w:rsidP="00473687">
            <w:pPr>
              <w:jc w:val="left"/>
              <w:rPr>
                <w:rFonts w:eastAsia="Times New Roman" w:cs="Arial"/>
                <w:color w:val="000000"/>
              </w:rPr>
            </w:pPr>
            <w:r w:rsidRPr="00473687">
              <w:rPr>
                <w:rFonts w:eastAsia="Times New Roman" w:cs="Arial"/>
                <w:color w:val="000000"/>
              </w:rPr>
              <w:t>T</w:t>
            </w:r>
          </w:p>
        </w:tc>
        <w:tc>
          <w:tcPr>
            <w:tcW w:w="3510" w:type="dxa"/>
            <w:noWrap/>
            <w:hideMark/>
          </w:tcPr>
          <w:p w14:paraId="03E2657E" w14:textId="77777777" w:rsidR="00473687" w:rsidRPr="00473687" w:rsidRDefault="00473687" w:rsidP="00473687">
            <w:pPr>
              <w:jc w:val="left"/>
              <w:rPr>
                <w:rFonts w:eastAsia="Times New Roman" w:cs="Arial"/>
                <w:color w:val="000000"/>
              </w:rPr>
            </w:pPr>
            <w:r w:rsidRPr="00473687">
              <w:rPr>
                <w:rFonts w:eastAsia="Times New Roman" w:cs="Arial"/>
                <w:color w:val="000000"/>
              </w:rPr>
              <w:t>Signal transduction mechanisms</w:t>
            </w:r>
          </w:p>
        </w:tc>
        <w:tc>
          <w:tcPr>
            <w:tcW w:w="1350" w:type="dxa"/>
            <w:noWrap/>
            <w:hideMark/>
          </w:tcPr>
          <w:p w14:paraId="1F5C39AA" w14:textId="77777777" w:rsidR="00473687" w:rsidRPr="00473687" w:rsidRDefault="00473687" w:rsidP="00473687">
            <w:pPr>
              <w:jc w:val="right"/>
              <w:rPr>
                <w:rFonts w:eastAsia="Times New Roman" w:cs="Arial"/>
                <w:color w:val="000000"/>
              </w:rPr>
            </w:pPr>
            <w:r w:rsidRPr="00473687">
              <w:rPr>
                <w:rFonts w:eastAsia="Times New Roman" w:cs="Arial"/>
                <w:color w:val="000000"/>
              </w:rPr>
              <w:t>1.39E-09</w:t>
            </w:r>
          </w:p>
        </w:tc>
        <w:tc>
          <w:tcPr>
            <w:tcW w:w="900" w:type="dxa"/>
            <w:noWrap/>
            <w:hideMark/>
          </w:tcPr>
          <w:p w14:paraId="301CECA6" w14:textId="77777777" w:rsidR="00473687" w:rsidRPr="00473687" w:rsidRDefault="00473687" w:rsidP="00473687">
            <w:pPr>
              <w:jc w:val="right"/>
              <w:rPr>
                <w:rFonts w:eastAsia="Times New Roman" w:cs="Arial"/>
                <w:color w:val="000000"/>
              </w:rPr>
            </w:pPr>
            <w:r w:rsidRPr="00473687">
              <w:rPr>
                <w:rFonts w:eastAsia="Times New Roman" w:cs="Arial"/>
                <w:color w:val="000000"/>
              </w:rPr>
              <w:t>94</w:t>
            </w:r>
          </w:p>
        </w:tc>
        <w:tc>
          <w:tcPr>
            <w:tcW w:w="990" w:type="dxa"/>
            <w:noWrap/>
            <w:hideMark/>
          </w:tcPr>
          <w:p w14:paraId="60AF777E" w14:textId="77777777" w:rsidR="00473687" w:rsidRPr="00473687" w:rsidRDefault="00473687" w:rsidP="00473687">
            <w:pPr>
              <w:jc w:val="right"/>
              <w:rPr>
                <w:rFonts w:eastAsia="Times New Roman" w:cs="Arial"/>
                <w:color w:val="000000"/>
              </w:rPr>
            </w:pPr>
            <w:r w:rsidRPr="00473687">
              <w:rPr>
                <w:rFonts w:eastAsia="Times New Roman" w:cs="Arial"/>
                <w:color w:val="000000"/>
              </w:rPr>
              <w:t>1.5192</w:t>
            </w:r>
          </w:p>
        </w:tc>
        <w:tc>
          <w:tcPr>
            <w:tcW w:w="1260" w:type="dxa"/>
            <w:noWrap/>
            <w:hideMark/>
          </w:tcPr>
          <w:p w14:paraId="4687F8C9" w14:textId="77777777" w:rsidR="00473687" w:rsidRPr="00473687" w:rsidRDefault="00473687" w:rsidP="00473687">
            <w:pPr>
              <w:jc w:val="right"/>
              <w:rPr>
                <w:rFonts w:eastAsia="Times New Roman" w:cs="Arial"/>
                <w:color w:val="000000"/>
              </w:rPr>
            </w:pPr>
            <w:r w:rsidRPr="00473687">
              <w:rPr>
                <w:rFonts w:eastAsia="Times New Roman" w:cs="Arial"/>
                <w:color w:val="000000"/>
              </w:rPr>
              <w:t>3.12E-04</w:t>
            </w:r>
          </w:p>
        </w:tc>
      </w:tr>
      <w:tr w:rsidR="00473687" w:rsidRPr="00473687" w14:paraId="03BC5D4E" w14:textId="77777777" w:rsidTr="00473687">
        <w:trPr>
          <w:trHeight w:val="300"/>
        </w:trPr>
        <w:tc>
          <w:tcPr>
            <w:tcW w:w="828" w:type="dxa"/>
            <w:noWrap/>
            <w:hideMark/>
          </w:tcPr>
          <w:p w14:paraId="25C415F9" w14:textId="77777777" w:rsidR="00473687" w:rsidRPr="00473687" w:rsidRDefault="00473687" w:rsidP="00473687">
            <w:pPr>
              <w:jc w:val="left"/>
              <w:rPr>
                <w:rFonts w:eastAsia="Times New Roman" w:cs="Arial"/>
                <w:color w:val="000000"/>
              </w:rPr>
            </w:pPr>
            <w:r w:rsidRPr="00473687">
              <w:rPr>
                <w:rFonts w:eastAsia="Times New Roman" w:cs="Arial"/>
                <w:color w:val="000000"/>
              </w:rPr>
              <w:t>V</w:t>
            </w:r>
          </w:p>
        </w:tc>
        <w:tc>
          <w:tcPr>
            <w:tcW w:w="3510" w:type="dxa"/>
            <w:noWrap/>
            <w:hideMark/>
          </w:tcPr>
          <w:p w14:paraId="6E8BCA8B" w14:textId="77777777" w:rsidR="00473687" w:rsidRPr="00473687" w:rsidRDefault="00473687" w:rsidP="00473687">
            <w:pPr>
              <w:jc w:val="left"/>
              <w:rPr>
                <w:rFonts w:eastAsia="Times New Roman" w:cs="Arial"/>
                <w:color w:val="000000"/>
              </w:rPr>
            </w:pPr>
            <w:r w:rsidRPr="00473687">
              <w:rPr>
                <w:rFonts w:eastAsia="Times New Roman" w:cs="Arial"/>
                <w:color w:val="000000"/>
              </w:rPr>
              <w:t>Defense mechanisms</w:t>
            </w:r>
          </w:p>
        </w:tc>
        <w:tc>
          <w:tcPr>
            <w:tcW w:w="1350" w:type="dxa"/>
            <w:noWrap/>
            <w:hideMark/>
          </w:tcPr>
          <w:p w14:paraId="03E63594" w14:textId="77777777" w:rsidR="00473687" w:rsidRPr="00473687" w:rsidRDefault="00473687" w:rsidP="00473687">
            <w:pPr>
              <w:jc w:val="right"/>
              <w:rPr>
                <w:rFonts w:eastAsia="Times New Roman" w:cs="Arial"/>
                <w:color w:val="000000"/>
              </w:rPr>
            </w:pPr>
            <w:r w:rsidRPr="00473687">
              <w:rPr>
                <w:rFonts w:eastAsia="Times New Roman" w:cs="Arial"/>
                <w:color w:val="000000"/>
              </w:rPr>
              <w:t>1.19E-07</w:t>
            </w:r>
          </w:p>
        </w:tc>
        <w:tc>
          <w:tcPr>
            <w:tcW w:w="900" w:type="dxa"/>
            <w:noWrap/>
            <w:hideMark/>
          </w:tcPr>
          <w:p w14:paraId="31A224A4" w14:textId="77777777" w:rsidR="00473687" w:rsidRPr="00473687" w:rsidRDefault="00473687" w:rsidP="00473687">
            <w:pPr>
              <w:jc w:val="right"/>
              <w:rPr>
                <w:rFonts w:eastAsia="Times New Roman" w:cs="Arial"/>
                <w:color w:val="000000"/>
              </w:rPr>
            </w:pPr>
            <w:r w:rsidRPr="00473687">
              <w:rPr>
                <w:rFonts w:eastAsia="Times New Roman" w:cs="Arial"/>
                <w:color w:val="000000"/>
              </w:rPr>
              <w:t>70</w:t>
            </w:r>
          </w:p>
        </w:tc>
        <w:tc>
          <w:tcPr>
            <w:tcW w:w="990" w:type="dxa"/>
            <w:noWrap/>
            <w:hideMark/>
          </w:tcPr>
          <w:p w14:paraId="3464720F" w14:textId="77777777" w:rsidR="00473687" w:rsidRPr="00473687" w:rsidRDefault="00473687" w:rsidP="00473687">
            <w:pPr>
              <w:jc w:val="right"/>
              <w:rPr>
                <w:rFonts w:eastAsia="Times New Roman" w:cs="Arial"/>
                <w:color w:val="000000"/>
              </w:rPr>
            </w:pPr>
            <w:r w:rsidRPr="00473687">
              <w:rPr>
                <w:rFonts w:eastAsia="Times New Roman" w:cs="Arial"/>
                <w:color w:val="000000"/>
              </w:rPr>
              <w:t>2.1949</w:t>
            </w:r>
          </w:p>
        </w:tc>
        <w:tc>
          <w:tcPr>
            <w:tcW w:w="1260" w:type="dxa"/>
            <w:noWrap/>
            <w:hideMark/>
          </w:tcPr>
          <w:p w14:paraId="0C78720F" w14:textId="77777777" w:rsidR="00473687" w:rsidRPr="00473687" w:rsidRDefault="00473687" w:rsidP="00473687">
            <w:pPr>
              <w:jc w:val="right"/>
              <w:rPr>
                <w:rFonts w:eastAsia="Times New Roman" w:cs="Arial"/>
                <w:color w:val="000000"/>
              </w:rPr>
            </w:pPr>
            <w:r w:rsidRPr="00473687">
              <w:rPr>
                <w:rFonts w:eastAsia="Times New Roman" w:cs="Arial"/>
                <w:color w:val="000000"/>
              </w:rPr>
              <w:t>2.95E-05</w:t>
            </w:r>
          </w:p>
        </w:tc>
      </w:tr>
      <w:tr w:rsidR="00473687" w:rsidRPr="00473687" w14:paraId="3C6D4F67" w14:textId="77777777" w:rsidTr="00473687">
        <w:trPr>
          <w:trHeight w:val="300"/>
        </w:trPr>
        <w:tc>
          <w:tcPr>
            <w:tcW w:w="828" w:type="dxa"/>
            <w:noWrap/>
            <w:hideMark/>
          </w:tcPr>
          <w:p w14:paraId="6C54211F" w14:textId="77777777" w:rsidR="00473687" w:rsidRPr="00473687" w:rsidRDefault="00473687" w:rsidP="00473687">
            <w:pPr>
              <w:jc w:val="left"/>
              <w:rPr>
                <w:rFonts w:eastAsia="Times New Roman" w:cs="Arial"/>
                <w:color w:val="000000"/>
              </w:rPr>
            </w:pPr>
            <w:r w:rsidRPr="00473687">
              <w:rPr>
                <w:rFonts w:eastAsia="Times New Roman" w:cs="Arial"/>
                <w:color w:val="000000"/>
              </w:rPr>
              <w:t>M</w:t>
            </w:r>
          </w:p>
        </w:tc>
        <w:tc>
          <w:tcPr>
            <w:tcW w:w="3510" w:type="dxa"/>
            <w:noWrap/>
            <w:hideMark/>
          </w:tcPr>
          <w:p w14:paraId="72878D68" w14:textId="77777777" w:rsidR="00473687" w:rsidRPr="00473687" w:rsidRDefault="00473687" w:rsidP="00473687">
            <w:pPr>
              <w:jc w:val="left"/>
              <w:rPr>
                <w:rFonts w:eastAsia="Times New Roman" w:cs="Arial"/>
                <w:color w:val="000000"/>
              </w:rPr>
            </w:pPr>
            <w:r w:rsidRPr="00473687">
              <w:rPr>
                <w:rFonts w:eastAsia="Times New Roman" w:cs="Arial"/>
                <w:color w:val="000000"/>
              </w:rPr>
              <w:t>Cell wall/membrane/envelope biogenesis</w:t>
            </w:r>
          </w:p>
        </w:tc>
        <w:tc>
          <w:tcPr>
            <w:tcW w:w="1350" w:type="dxa"/>
            <w:noWrap/>
            <w:hideMark/>
          </w:tcPr>
          <w:p w14:paraId="5548C564" w14:textId="77777777" w:rsidR="00473687" w:rsidRPr="00473687" w:rsidRDefault="00473687" w:rsidP="00473687">
            <w:pPr>
              <w:jc w:val="right"/>
              <w:rPr>
                <w:rFonts w:eastAsia="Times New Roman" w:cs="Arial"/>
                <w:color w:val="000000"/>
              </w:rPr>
            </w:pPr>
            <w:r w:rsidRPr="00473687">
              <w:rPr>
                <w:rFonts w:eastAsia="Times New Roman" w:cs="Arial"/>
                <w:color w:val="000000"/>
              </w:rPr>
              <w:t>1.26E-05</w:t>
            </w:r>
          </w:p>
        </w:tc>
        <w:tc>
          <w:tcPr>
            <w:tcW w:w="900" w:type="dxa"/>
            <w:noWrap/>
            <w:hideMark/>
          </w:tcPr>
          <w:p w14:paraId="63C97BD8" w14:textId="77777777" w:rsidR="00473687" w:rsidRPr="00473687" w:rsidRDefault="00473687" w:rsidP="00473687">
            <w:pPr>
              <w:jc w:val="right"/>
              <w:rPr>
                <w:rFonts w:eastAsia="Times New Roman" w:cs="Arial"/>
                <w:color w:val="000000"/>
              </w:rPr>
            </w:pPr>
            <w:r w:rsidRPr="00473687">
              <w:rPr>
                <w:rFonts w:eastAsia="Times New Roman" w:cs="Arial"/>
                <w:color w:val="000000"/>
              </w:rPr>
              <w:t>226</w:t>
            </w:r>
          </w:p>
        </w:tc>
        <w:tc>
          <w:tcPr>
            <w:tcW w:w="990" w:type="dxa"/>
            <w:noWrap/>
            <w:hideMark/>
          </w:tcPr>
          <w:p w14:paraId="43A10A99" w14:textId="77777777" w:rsidR="00473687" w:rsidRPr="00473687" w:rsidRDefault="00473687" w:rsidP="00473687">
            <w:pPr>
              <w:jc w:val="right"/>
              <w:rPr>
                <w:rFonts w:eastAsia="Times New Roman" w:cs="Arial"/>
                <w:color w:val="000000"/>
              </w:rPr>
            </w:pPr>
            <w:r w:rsidRPr="00473687">
              <w:rPr>
                <w:rFonts w:eastAsia="Times New Roman" w:cs="Arial"/>
                <w:color w:val="000000"/>
              </w:rPr>
              <w:t>3.7150</w:t>
            </w:r>
          </w:p>
        </w:tc>
        <w:tc>
          <w:tcPr>
            <w:tcW w:w="1260" w:type="dxa"/>
            <w:noWrap/>
            <w:hideMark/>
          </w:tcPr>
          <w:p w14:paraId="14207676" w14:textId="77777777" w:rsidR="00473687" w:rsidRPr="00473687" w:rsidRDefault="00473687" w:rsidP="00473687">
            <w:pPr>
              <w:jc w:val="right"/>
              <w:rPr>
                <w:rFonts w:eastAsia="Times New Roman" w:cs="Arial"/>
                <w:color w:val="000000"/>
              </w:rPr>
            </w:pPr>
            <w:r w:rsidRPr="00473687">
              <w:rPr>
                <w:rFonts w:eastAsia="Times New Roman" w:cs="Arial"/>
                <w:color w:val="000000"/>
              </w:rPr>
              <w:t>8.49E-09</w:t>
            </w:r>
          </w:p>
        </w:tc>
      </w:tr>
      <w:tr w:rsidR="00473687" w:rsidRPr="00473687" w14:paraId="39106252" w14:textId="77777777" w:rsidTr="00473687">
        <w:trPr>
          <w:trHeight w:val="300"/>
        </w:trPr>
        <w:tc>
          <w:tcPr>
            <w:tcW w:w="828" w:type="dxa"/>
            <w:noWrap/>
            <w:hideMark/>
          </w:tcPr>
          <w:p w14:paraId="488C07A5" w14:textId="77777777" w:rsidR="00473687" w:rsidRPr="00473687" w:rsidRDefault="00473687" w:rsidP="00473687">
            <w:pPr>
              <w:jc w:val="left"/>
              <w:rPr>
                <w:rFonts w:eastAsia="Times New Roman" w:cs="Arial"/>
                <w:color w:val="000000"/>
              </w:rPr>
            </w:pPr>
            <w:r w:rsidRPr="00473687">
              <w:rPr>
                <w:rFonts w:eastAsia="Times New Roman" w:cs="Arial"/>
                <w:color w:val="000000"/>
              </w:rPr>
              <w:t>E</w:t>
            </w:r>
          </w:p>
        </w:tc>
        <w:tc>
          <w:tcPr>
            <w:tcW w:w="3510" w:type="dxa"/>
            <w:noWrap/>
            <w:hideMark/>
          </w:tcPr>
          <w:p w14:paraId="3F0E2DFE" w14:textId="77777777" w:rsidR="00473687" w:rsidRPr="00473687" w:rsidRDefault="00473687" w:rsidP="00473687">
            <w:pPr>
              <w:jc w:val="left"/>
              <w:rPr>
                <w:rFonts w:eastAsia="Times New Roman" w:cs="Arial"/>
                <w:color w:val="000000"/>
              </w:rPr>
            </w:pPr>
            <w:r w:rsidRPr="00473687">
              <w:rPr>
                <w:rFonts w:eastAsia="Times New Roman" w:cs="Arial"/>
                <w:color w:val="000000"/>
              </w:rPr>
              <w:t>Amino acid transport and metabolism</w:t>
            </w:r>
          </w:p>
        </w:tc>
        <w:tc>
          <w:tcPr>
            <w:tcW w:w="1350" w:type="dxa"/>
            <w:noWrap/>
            <w:hideMark/>
          </w:tcPr>
          <w:p w14:paraId="1E073614" w14:textId="77777777" w:rsidR="00473687" w:rsidRPr="00473687" w:rsidRDefault="00473687" w:rsidP="00473687">
            <w:pPr>
              <w:jc w:val="right"/>
              <w:rPr>
                <w:rFonts w:eastAsia="Times New Roman" w:cs="Arial"/>
                <w:color w:val="000000"/>
              </w:rPr>
            </w:pPr>
            <w:r w:rsidRPr="00473687">
              <w:rPr>
                <w:rFonts w:eastAsia="Times New Roman" w:cs="Arial"/>
                <w:color w:val="000000"/>
              </w:rPr>
              <w:t>1.60E-05</w:t>
            </w:r>
          </w:p>
        </w:tc>
        <w:tc>
          <w:tcPr>
            <w:tcW w:w="900" w:type="dxa"/>
            <w:noWrap/>
            <w:hideMark/>
          </w:tcPr>
          <w:p w14:paraId="15B257B6" w14:textId="77777777" w:rsidR="00473687" w:rsidRPr="00473687" w:rsidRDefault="00473687" w:rsidP="00473687">
            <w:pPr>
              <w:jc w:val="right"/>
              <w:rPr>
                <w:rFonts w:eastAsia="Times New Roman" w:cs="Arial"/>
                <w:color w:val="000000"/>
              </w:rPr>
            </w:pPr>
            <w:r w:rsidRPr="00473687">
              <w:rPr>
                <w:rFonts w:eastAsia="Times New Roman" w:cs="Arial"/>
                <w:color w:val="000000"/>
              </w:rPr>
              <w:t>471</w:t>
            </w:r>
          </w:p>
        </w:tc>
        <w:tc>
          <w:tcPr>
            <w:tcW w:w="990" w:type="dxa"/>
            <w:noWrap/>
            <w:hideMark/>
          </w:tcPr>
          <w:p w14:paraId="75DBAEAA" w14:textId="77777777" w:rsidR="00473687" w:rsidRPr="00473687" w:rsidRDefault="00473687" w:rsidP="00473687">
            <w:pPr>
              <w:jc w:val="right"/>
              <w:rPr>
                <w:rFonts w:eastAsia="Times New Roman" w:cs="Arial"/>
                <w:color w:val="000000"/>
              </w:rPr>
            </w:pPr>
            <w:r w:rsidRPr="00473687">
              <w:rPr>
                <w:rFonts w:eastAsia="Times New Roman" w:cs="Arial"/>
                <w:color w:val="000000"/>
              </w:rPr>
              <w:t>2.2311</w:t>
            </w:r>
          </w:p>
        </w:tc>
        <w:tc>
          <w:tcPr>
            <w:tcW w:w="1260" w:type="dxa"/>
            <w:noWrap/>
            <w:hideMark/>
          </w:tcPr>
          <w:p w14:paraId="07C8AFE4" w14:textId="77777777" w:rsidR="00473687" w:rsidRPr="00473687" w:rsidRDefault="00473687" w:rsidP="00473687">
            <w:pPr>
              <w:jc w:val="right"/>
              <w:rPr>
                <w:rFonts w:eastAsia="Times New Roman" w:cs="Arial"/>
                <w:color w:val="000000"/>
              </w:rPr>
            </w:pPr>
            <w:r w:rsidRPr="00473687">
              <w:rPr>
                <w:rFonts w:eastAsia="Times New Roman" w:cs="Arial"/>
                <w:color w:val="000000"/>
              </w:rPr>
              <w:t>7.57E-07</w:t>
            </w:r>
          </w:p>
        </w:tc>
      </w:tr>
      <w:tr w:rsidR="00473687" w:rsidRPr="00473687" w14:paraId="1C017230" w14:textId="77777777" w:rsidTr="00473687">
        <w:trPr>
          <w:trHeight w:val="300"/>
        </w:trPr>
        <w:tc>
          <w:tcPr>
            <w:tcW w:w="828" w:type="dxa"/>
            <w:noWrap/>
            <w:hideMark/>
          </w:tcPr>
          <w:p w14:paraId="4498A8DF" w14:textId="77777777" w:rsidR="00473687" w:rsidRPr="00473687" w:rsidRDefault="00473687" w:rsidP="00473687">
            <w:pPr>
              <w:jc w:val="left"/>
              <w:rPr>
                <w:rFonts w:eastAsia="Times New Roman" w:cs="Arial"/>
                <w:color w:val="000000"/>
              </w:rPr>
            </w:pPr>
            <w:r w:rsidRPr="00473687">
              <w:rPr>
                <w:rFonts w:eastAsia="Times New Roman" w:cs="Arial"/>
                <w:color w:val="000000"/>
              </w:rPr>
              <w:t>N</w:t>
            </w:r>
          </w:p>
        </w:tc>
        <w:tc>
          <w:tcPr>
            <w:tcW w:w="3510" w:type="dxa"/>
            <w:noWrap/>
            <w:hideMark/>
          </w:tcPr>
          <w:p w14:paraId="2F935EFC" w14:textId="77777777" w:rsidR="00473687" w:rsidRPr="00473687" w:rsidRDefault="00473687" w:rsidP="00473687">
            <w:pPr>
              <w:jc w:val="left"/>
              <w:rPr>
                <w:rFonts w:eastAsia="Times New Roman" w:cs="Arial"/>
                <w:color w:val="000000"/>
              </w:rPr>
            </w:pPr>
            <w:r w:rsidRPr="00473687">
              <w:rPr>
                <w:rFonts w:eastAsia="Times New Roman" w:cs="Arial"/>
                <w:color w:val="000000"/>
              </w:rPr>
              <w:t>Cell motility</w:t>
            </w:r>
          </w:p>
        </w:tc>
        <w:tc>
          <w:tcPr>
            <w:tcW w:w="1350" w:type="dxa"/>
            <w:noWrap/>
            <w:hideMark/>
          </w:tcPr>
          <w:p w14:paraId="43AFB992" w14:textId="77777777" w:rsidR="00473687" w:rsidRPr="00473687" w:rsidRDefault="00473687" w:rsidP="00473687">
            <w:pPr>
              <w:jc w:val="right"/>
              <w:rPr>
                <w:rFonts w:eastAsia="Times New Roman" w:cs="Arial"/>
                <w:color w:val="000000"/>
              </w:rPr>
            </w:pPr>
            <w:r w:rsidRPr="00473687">
              <w:rPr>
                <w:rFonts w:eastAsia="Times New Roman" w:cs="Arial"/>
                <w:color w:val="000000"/>
              </w:rPr>
              <w:t>5.57E-04</w:t>
            </w:r>
          </w:p>
        </w:tc>
        <w:tc>
          <w:tcPr>
            <w:tcW w:w="900" w:type="dxa"/>
            <w:noWrap/>
            <w:hideMark/>
          </w:tcPr>
          <w:p w14:paraId="476EEF94" w14:textId="77777777" w:rsidR="00473687" w:rsidRPr="00473687" w:rsidRDefault="00473687" w:rsidP="00473687">
            <w:pPr>
              <w:jc w:val="right"/>
              <w:rPr>
                <w:rFonts w:eastAsia="Times New Roman" w:cs="Arial"/>
                <w:color w:val="000000"/>
              </w:rPr>
            </w:pPr>
            <w:r w:rsidRPr="00473687">
              <w:rPr>
                <w:rFonts w:eastAsia="Times New Roman" w:cs="Arial"/>
                <w:color w:val="000000"/>
              </w:rPr>
              <w:t>37</w:t>
            </w:r>
          </w:p>
        </w:tc>
        <w:tc>
          <w:tcPr>
            <w:tcW w:w="990" w:type="dxa"/>
            <w:noWrap/>
            <w:hideMark/>
          </w:tcPr>
          <w:p w14:paraId="05E9DCEE" w14:textId="77777777" w:rsidR="00473687" w:rsidRPr="00473687" w:rsidRDefault="00473687" w:rsidP="00473687">
            <w:pPr>
              <w:jc w:val="right"/>
              <w:rPr>
                <w:rFonts w:eastAsia="Times New Roman" w:cs="Arial"/>
                <w:color w:val="000000"/>
              </w:rPr>
            </w:pPr>
            <w:r w:rsidRPr="00473687">
              <w:rPr>
                <w:rFonts w:eastAsia="Times New Roman" w:cs="Arial"/>
                <w:color w:val="000000"/>
              </w:rPr>
              <w:t>1.5247</w:t>
            </w:r>
          </w:p>
        </w:tc>
        <w:tc>
          <w:tcPr>
            <w:tcW w:w="1260" w:type="dxa"/>
            <w:noWrap/>
            <w:hideMark/>
          </w:tcPr>
          <w:p w14:paraId="77CD59F8" w14:textId="77777777" w:rsidR="00473687" w:rsidRPr="00473687" w:rsidRDefault="00473687" w:rsidP="00473687">
            <w:pPr>
              <w:jc w:val="right"/>
              <w:rPr>
                <w:rFonts w:eastAsia="Times New Roman" w:cs="Arial"/>
                <w:color w:val="000000"/>
              </w:rPr>
            </w:pPr>
            <w:r w:rsidRPr="00473687">
              <w:rPr>
                <w:rFonts w:eastAsia="Times New Roman" w:cs="Arial"/>
                <w:color w:val="000000"/>
              </w:rPr>
              <w:t>9.60E-05</w:t>
            </w:r>
          </w:p>
        </w:tc>
      </w:tr>
      <w:tr w:rsidR="00473687" w:rsidRPr="00473687" w14:paraId="13F7D51C" w14:textId="77777777" w:rsidTr="00473687">
        <w:trPr>
          <w:trHeight w:val="300"/>
        </w:trPr>
        <w:tc>
          <w:tcPr>
            <w:tcW w:w="828" w:type="dxa"/>
            <w:noWrap/>
            <w:hideMark/>
          </w:tcPr>
          <w:p w14:paraId="7E864EE9" w14:textId="77777777" w:rsidR="00473687" w:rsidRPr="00473687" w:rsidRDefault="00473687" w:rsidP="00473687">
            <w:pPr>
              <w:jc w:val="left"/>
              <w:rPr>
                <w:rFonts w:eastAsia="Times New Roman" w:cs="Arial"/>
                <w:color w:val="000000"/>
              </w:rPr>
            </w:pPr>
            <w:r w:rsidRPr="00473687">
              <w:rPr>
                <w:rFonts w:eastAsia="Times New Roman" w:cs="Arial"/>
                <w:color w:val="000000"/>
              </w:rPr>
              <w:t>P</w:t>
            </w:r>
          </w:p>
        </w:tc>
        <w:tc>
          <w:tcPr>
            <w:tcW w:w="3510" w:type="dxa"/>
            <w:noWrap/>
            <w:hideMark/>
          </w:tcPr>
          <w:p w14:paraId="018E38AF" w14:textId="77777777" w:rsidR="00473687" w:rsidRPr="00473687" w:rsidRDefault="00473687" w:rsidP="00473687">
            <w:pPr>
              <w:jc w:val="left"/>
              <w:rPr>
                <w:rFonts w:eastAsia="Times New Roman" w:cs="Arial"/>
                <w:color w:val="000000"/>
              </w:rPr>
            </w:pPr>
            <w:r w:rsidRPr="00473687">
              <w:rPr>
                <w:rFonts w:eastAsia="Times New Roman" w:cs="Arial"/>
                <w:color w:val="000000"/>
              </w:rPr>
              <w:t>Inorganic ion transport and metabolism</w:t>
            </w:r>
          </w:p>
        </w:tc>
        <w:tc>
          <w:tcPr>
            <w:tcW w:w="1350" w:type="dxa"/>
            <w:noWrap/>
            <w:hideMark/>
          </w:tcPr>
          <w:p w14:paraId="482144C0" w14:textId="77777777" w:rsidR="00473687" w:rsidRPr="00473687" w:rsidRDefault="00473687" w:rsidP="00473687">
            <w:pPr>
              <w:jc w:val="right"/>
              <w:rPr>
                <w:rFonts w:eastAsia="Times New Roman" w:cs="Arial"/>
                <w:color w:val="000000"/>
              </w:rPr>
            </w:pPr>
            <w:r w:rsidRPr="00473687">
              <w:rPr>
                <w:rFonts w:eastAsia="Times New Roman" w:cs="Arial"/>
                <w:color w:val="000000"/>
              </w:rPr>
              <w:t>3.44E-03</w:t>
            </w:r>
          </w:p>
        </w:tc>
        <w:tc>
          <w:tcPr>
            <w:tcW w:w="900" w:type="dxa"/>
            <w:noWrap/>
            <w:hideMark/>
          </w:tcPr>
          <w:p w14:paraId="3F5755EA" w14:textId="77777777" w:rsidR="00473687" w:rsidRPr="00473687" w:rsidRDefault="00473687" w:rsidP="00473687">
            <w:pPr>
              <w:jc w:val="right"/>
              <w:rPr>
                <w:rFonts w:eastAsia="Times New Roman" w:cs="Arial"/>
                <w:color w:val="000000"/>
              </w:rPr>
            </w:pPr>
            <w:r w:rsidRPr="00473687">
              <w:rPr>
                <w:rFonts w:eastAsia="Times New Roman" w:cs="Arial"/>
                <w:color w:val="000000"/>
              </w:rPr>
              <w:t>162</w:t>
            </w:r>
          </w:p>
        </w:tc>
        <w:tc>
          <w:tcPr>
            <w:tcW w:w="990" w:type="dxa"/>
            <w:noWrap/>
            <w:hideMark/>
          </w:tcPr>
          <w:p w14:paraId="1487C0FC" w14:textId="77777777" w:rsidR="00473687" w:rsidRPr="00473687" w:rsidRDefault="00473687" w:rsidP="00473687">
            <w:pPr>
              <w:jc w:val="right"/>
              <w:rPr>
                <w:rFonts w:eastAsia="Times New Roman" w:cs="Arial"/>
                <w:color w:val="000000"/>
              </w:rPr>
            </w:pPr>
            <w:r w:rsidRPr="00473687">
              <w:rPr>
                <w:rFonts w:eastAsia="Times New Roman" w:cs="Arial"/>
                <w:color w:val="000000"/>
              </w:rPr>
              <w:t>2.1932</w:t>
            </w:r>
          </w:p>
        </w:tc>
        <w:tc>
          <w:tcPr>
            <w:tcW w:w="1260" w:type="dxa"/>
            <w:noWrap/>
            <w:hideMark/>
          </w:tcPr>
          <w:p w14:paraId="37034842" w14:textId="77777777" w:rsidR="00473687" w:rsidRPr="00473687" w:rsidRDefault="00473687" w:rsidP="00473687">
            <w:pPr>
              <w:jc w:val="right"/>
              <w:rPr>
                <w:rFonts w:eastAsia="Times New Roman" w:cs="Arial"/>
                <w:color w:val="000000"/>
              </w:rPr>
            </w:pPr>
            <w:r w:rsidRPr="00473687">
              <w:rPr>
                <w:rFonts w:eastAsia="Times New Roman" w:cs="Arial"/>
                <w:color w:val="000000"/>
              </w:rPr>
              <w:t>1.45E-06</w:t>
            </w:r>
          </w:p>
        </w:tc>
      </w:tr>
    </w:tbl>
    <w:p w14:paraId="21D52A86" w14:textId="086105E4" w:rsidR="006F4E63" w:rsidRDefault="006F4E63">
      <w:pPr>
        <w:jc w:val="left"/>
      </w:pPr>
      <w:r>
        <w:br w:type="page"/>
      </w:r>
    </w:p>
    <w:p w14:paraId="42A5D8C8" w14:textId="77777777" w:rsidR="00026C28" w:rsidRDefault="00BE14B0" w:rsidP="00026C28">
      <w:pPr>
        <w:keepNext/>
        <w:jc w:val="left"/>
      </w:pPr>
      <w:r>
        <w:rPr>
          <w:noProof/>
        </w:rPr>
        <w:lastRenderedPageBreak/>
        <w:drawing>
          <wp:inline distT="0" distB="0" distL="0" distR="0" wp14:anchorId="37EC4A09" wp14:editId="2B007031">
            <wp:extent cx="5575935" cy="7945707"/>
            <wp:effectExtent l="0" t="0" r="12065"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cal_cog_func_figure.tif"/>
                    <pic:cNvPicPr/>
                  </pic:nvPicPr>
                  <pic:blipFill>
                    <a:blip r:embed="rId64">
                      <a:extLst>
                        <a:ext uri="{28A0092B-C50C-407E-A947-70E740481C1C}">
                          <a14:useLocalDpi xmlns:a14="http://schemas.microsoft.com/office/drawing/2010/main" val="0"/>
                        </a:ext>
                      </a:extLst>
                    </a:blip>
                    <a:stretch>
                      <a:fillRect/>
                    </a:stretch>
                  </pic:blipFill>
                  <pic:spPr bwMode="auto">
                    <a:xfrm>
                      <a:off x="0" y="0"/>
                      <a:ext cx="5577024" cy="7947259"/>
                    </a:xfrm>
                    <a:prstGeom prst="rect">
                      <a:avLst/>
                    </a:prstGeom>
                    <a:ln>
                      <a:noFill/>
                    </a:ln>
                    <a:extLst>
                      <a:ext uri="{53640926-AAD7-44d8-BBD7-CCE9431645EC}">
                        <a14:shadowObscured xmlns:a14="http://schemas.microsoft.com/office/drawing/2010/main"/>
                      </a:ext>
                    </a:extLst>
                  </pic:spPr>
                </pic:pic>
              </a:graphicData>
            </a:graphic>
          </wp:inline>
        </w:drawing>
      </w:r>
    </w:p>
    <w:p w14:paraId="4B13B786" w14:textId="1FB85520" w:rsidR="000A2D1D" w:rsidRPr="00026C28" w:rsidRDefault="00026C28" w:rsidP="000A2D1D">
      <w:pPr>
        <w:pStyle w:val="Caption"/>
        <w:jc w:val="left"/>
      </w:pPr>
      <w:bookmarkStart w:id="101" w:name="_Toc296333127"/>
      <w:r>
        <w:lastRenderedPageBreak/>
        <w:t xml:space="preserve">Figure </w:t>
      </w:r>
      <w:fldSimple w:instr=" SEQ Figure \* ARABIC ">
        <w:r w:rsidR="002B3E83">
          <w:rPr>
            <w:noProof/>
          </w:rPr>
          <w:t>34</w:t>
        </w:r>
      </w:fldSimple>
      <w:r>
        <w:t xml:space="preserve"> </w:t>
      </w:r>
      <w:r w:rsidR="001F17BE">
        <w:t>Expression profile of</w:t>
      </w:r>
      <w:r w:rsidR="00C7384A">
        <w:t xml:space="preserve"> 15 COG functions</w:t>
      </w:r>
      <w:r w:rsidR="001F17BE">
        <w:t>.</w:t>
      </w:r>
      <w:r w:rsidR="00C7384A">
        <w:t xml:space="preserve"> </w:t>
      </w:r>
      <w:r w:rsidR="001F17BE">
        <w:t xml:space="preserve"> </w:t>
      </w:r>
      <w:r w:rsidR="00C566A7">
        <w:rPr>
          <w:b w:val="0"/>
          <w:lang w:eastAsia="ko-KR"/>
        </w:rPr>
        <w:t xml:space="preserve">Spectrum counts of member proteins were transferred to COG </w:t>
      </w:r>
      <w:r w:rsidR="00FC05C8">
        <w:rPr>
          <w:b w:val="0"/>
          <w:lang w:eastAsia="ko-KR"/>
        </w:rPr>
        <w:t xml:space="preserve">broad functional </w:t>
      </w:r>
      <w:r w:rsidR="00C566A7">
        <w:rPr>
          <w:b w:val="0"/>
          <w:lang w:eastAsia="ko-KR"/>
        </w:rPr>
        <w:t>terms.</w:t>
      </w:r>
      <w:r w:rsidR="007B5868">
        <w:rPr>
          <w:b w:val="0"/>
          <w:lang w:eastAsia="ko-KR"/>
        </w:rPr>
        <w:t xml:space="preserve">  COG function name </w:t>
      </w:r>
      <w:r w:rsidR="00C353CE">
        <w:rPr>
          <w:b w:val="0"/>
          <w:lang w:eastAsia="ko-KR"/>
        </w:rPr>
        <w:t xml:space="preserve">for corresponding </w:t>
      </w:r>
      <w:r w:rsidR="007B5868">
        <w:rPr>
          <w:b w:val="0"/>
          <w:lang w:eastAsia="ko-KR"/>
        </w:rPr>
        <w:t>symbol</w:t>
      </w:r>
      <w:r w:rsidR="00C353CE">
        <w:rPr>
          <w:b w:val="0"/>
          <w:lang w:eastAsia="ko-KR"/>
        </w:rPr>
        <w:t xml:space="preserve"> is in table 19.</w:t>
      </w:r>
      <w:r w:rsidR="00AB20E1">
        <w:rPr>
          <w:b w:val="0"/>
          <w:lang w:eastAsia="ko-KR"/>
        </w:rPr>
        <w:t xml:space="preserve">  This plot was drown by line plot module of QFAM.</w:t>
      </w:r>
      <w:bookmarkEnd w:id="101"/>
    </w:p>
    <w:p w14:paraId="1D4D0CB3" w14:textId="2D06E7FC" w:rsidR="000A2D1D" w:rsidRDefault="000A2D1D">
      <w:pPr>
        <w:jc w:val="left"/>
      </w:pPr>
      <w:r>
        <w:br w:type="page"/>
      </w:r>
    </w:p>
    <w:p w14:paraId="6E1AA089" w14:textId="67361E08" w:rsidR="0004273B" w:rsidRDefault="0004273B" w:rsidP="0004273B">
      <w:pPr>
        <w:pStyle w:val="Heading2"/>
      </w:pPr>
      <w:bookmarkStart w:id="102" w:name="_Toc296333744"/>
      <w:r>
        <w:lastRenderedPageBreak/>
        <w:t>Conclusion</w:t>
      </w:r>
      <w:bookmarkEnd w:id="102"/>
    </w:p>
    <w:p w14:paraId="349CA0ED" w14:textId="77777777" w:rsidR="00167ABF" w:rsidRPr="00167ABF" w:rsidRDefault="00167ABF" w:rsidP="00167ABF"/>
    <w:p w14:paraId="4D548E8D" w14:textId="36F7F403" w:rsidR="0004273B" w:rsidRPr="0004273B" w:rsidRDefault="0004273B" w:rsidP="0004273B">
      <w:pPr>
        <w:spacing w:line="480" w:lineRule="auto"/>
        <w:ind w:firstLine="720"/>
        <w:rPr>
          <w:lang w:eastAsia="ko-KR"/>
        </w:rPr>
      </w:pPr>
      <w:r w:rsidRPr="0004273B">
        <w:rPr>
          <w:lang w:eastAsia="ko-KR"/>
        </w:rPr>
        <w:t xml:space="preserve">We could identify 2,102 fecal human proteins and 5,453 microbial proteins from feces of 11 healthy volunteers and confirmed their heterogeneity.  This number of human fecal proteins is highly bigger than previous studies, 234 proteins from three samples in Lichtman et al </w:t>
      </w:r>
      <w:r w:rsidRPr="0004273B">
        <w:rPr>
          <w:lang w:eastAsia="ko-KR"/>
        </w:rPr>
        <w:fldChar w:fldCharType="begin"/>
      </w:r>
      <w:r w:rsidR="00913405">
        <w:rPr>
          <w:lang w:eastAsia="ko-KR"/>
        </w:rPr>
        <w:instrText xml:space="preserve"> ADDIN EN.CITE &lt;EndNote&gt;&lt;Cite&gt;&lt;Author&gt;Lichtman&lt;/Author&gt;&lt;Year&gt;2013&lt;/Year&gt;&lt;RecNum&gt;38&lt;/RecNum&gt;&lt;DisplayText&gt;[11]&lt;/DisplayText&gt;&lt;record&gt;&lt;rec-number&gt;38&lt;/rec-number&gt;&lt;foreign-keys&gt;&lt;key app="EN" db-id="dv5rxf0vx9xt01epsfuxx0p5292ff2dt9p0r" timestamp="1408039035"&gt;38&lt;/key&gt;&lt;/foreign-keys&gt;&lt;ref-type name="Journal Article"&gt;17&lt;/ref-type&gt;&lt;contributors&gt;&lt;authors&gt;&lt;author&gt;Lichtman, Joshua S&lt;/author&gt;&lt;author&gt;Marcobal, Angela&lt;/author&gt;&lt;author&gt;Sonnenburg, Justin L&lt;/author&gt;&lt;author&gt;Elias, Joshua E&lt;/author&gt;&lt;/authors&gt;&lt;/contributors&gt;&lt;titles&gt;&lt;title&gt;Host-centric proteomics of stool: A novel strategy focused on intestinal responses to the gut microbiota&lt;/title&gt;&lt;secondary-title&gt;Molecular &amp;amp; Cellular Proteomics&lt;/secondary-title&gt;&lt;/titles&gt;&lt;periodical&gt;&lt;full-title&gt;Molecular &amp;amp; cellular proteomics&lt;/full-title&gt;&lt;/periodical&gt;&lt;pages&gt;3310-3318&lt;/pages&gt;&lt;volume&gt;12&lt;/volume&gt;&lt;number&gt;11&lt;/number&gt;&lt;dates&gt;&lt;year&gt;2013&lt;/year&gt;&lt;/dates&gt;&lt;isbn&gt;1535-9476&lt;/isbn&gt;&lt;urls&gt;&lt;/urls&gt;&lt;/record&gt;&lt;/Cite&gt;&lt;/EndNote&gt;</w:instrText>
      </w:r>
      <w:r w:rsidRPr="0004273B">
        <w:rPr>
          <w:lang w:eastAsia="ko-KR"/>
        </w:rPr>
        <w:fldChar w:fldCharType="separate"/>
      </w:r>
      <w:r w:rsidR="00913405">
        <w:rPr>
          <w:noProof/>
          <w:lang w:eastAsia="ko-KR"/>
        </w:rPr>
        <w:t>[11]</w:t>
      </w:r>
      <w:r w:rsidRPr="0004273B">
        <w:rPr>
          <w:lang w:eastAsia="ko-KR"/>
        </w:rPr>
        <w:fldChar w:fldCharType="end"/>
      </w:r>
      <w:r w:rsidRPr="0004273B">
        <w:rPr>
          <w:lang w:eastAsia="ko-KR"/>
        </w:rPr>
        <w:t xml:space="preserve"> and 446 proteins from two samples in </w:t>
      </w:r>
      <w:r w:rsidR="002A4F87">
        <w:rPr>
          <w:lang w:eastAsia="ko-KR"/>
        </w:rPr>
        <w:t>our previous study</w:t>
      </w:r>
      <w:r w:rsidRPr="0004273B">
        <w:rPr>
          <w:lang w:eastAsia="ko-KR"/>
        </w:rPr>
        <w:t xml:space="preserve"> </w:t>
      </w:r>
      <w:r w:rsidRPr="0004273B">
        <w:rPr>
          <w:lang w:eastAsia="ko-KR"/>
        </w:rPr>
        <w:fldChar w:fldCharType="begin"/>
      </w:r>
      <w:r w:rsidR="00CA0B81">
        <w:rPr>
          <w:lang w:eastAsia="ko-KR"/>
        </w:rPr>
        <w:instrText xml:space="preserve"> ADDIN EN.CITE &lt;EndNote&gt;&lt;Cite&gt;&lt;Author&gt;Verberkmoes&lt;/Author&gt;&lt;Year&gt;2008&lt;/Year&gt;&lt;RecNum&gt;39&lt;/RecNum&gt;&lt;DisplayText&gt;[127]&lt;/DisplayText&gt;&lt;record&gt;&lt;rec-number&gt;39&lt;/rec-number&gt;&lt;foreign-keys&gt;&lt;key app="EN" db-id="dv5rxf0vx9xt01epsfuxx0p5292ff2dt9p0r" timestamp="1408039067"&gt;39&lt;/key&gt;&lt;/foreign-keys&gt;&lt;ref-type name="Journal Article"&gt;17&lt;/ref-type&gt;&lt;contributors&gt;&lt;authors&gt;&lt;author&gt;Verberkmoes, Nathan C&lt;/author&gt;&lt;author&gt;Russell, Alison L&lt;/author&gt;&lt;author&gt;Shah, Manesh&lt;/author&gt;&lt;author&gt;Godzik, Adam&lt;/author&gt;&lt;author&gt;Rosenquist, Magnus&lt;/author&gt;&lt;author&gt;Halfvarson, Jonas&lt;/author&gt;&lt;author&gt;Lefsrud, Mark G&lt;/author&gt;&lt;author&gt;Apajalahti, Juha&lt;/author&gt;&lt;author&gt;Tysk, Curt&lt;/author&gt;&lt;author&gt;Hettich, Robert L&lt;/author&gt;&lt;/authors&gt;&lt;/contributors&gt;&lt;titles&gt;&lt;title&gt;Shotgun metaproteomics of the human distal gut microbiota&lt;/title&gt;&lt;secondary-title&gt;The ISME journal&lt;/secondary-title&gt;&lt;/titles&gt;&lt;periodical&gt;&lt;full-title&gt;The ISME journal&lt;/full-title&gt;&lt;/periodical&gt;&lt;pages&gt;179-189&lt;/pages&gt;&lt;volume&gt;3&lt;/volume&gt;&lt;number&gt;2&lt;/number&gt;&lt;dates&gt;&lt;year&gt;2008&lt;/year&gt;&lt;/dates&gt;&lt;isbn&gt;1751-7362&lt;/isbn&gt;&lt;urls&gt;&lt;/urls&gt;&lt;/record&gt;&lt;/Cite&gt;&lt;/EndNote&gt;</w:instrText>
      </w:r>
      <w:r w:rsidRPr="0004273B">
        <w:rPr>
          <w:lang w:eastAsia="ko-KR"/>
        </w:rPr>
        <w:fldChar w:fldCharType="separate"/>
      </w:r>
      <w:r w:rsidR="00CA0B81">
        <w:rPr>
          <w:noProof/>
          <w:lang w:eastAsia="ko-KR"/>
        </w:rPr>
        <w:t>[127]</w:t>
      </w:r>
      <w:r w:rsidRPr="0004273B">
        <w:rPr>
          <w:lang w:eastAsia="ko-KR"/>
        </w:rPr>
        <w:fldChar w:fldCharType="end"/>
      </w:r>
      <w:r w:rsidRPr="0004273B">
        <w:rPr>
          <w:lang w:eastAsia="ko-KR"/>
        </w:rPr>
        <w:t xml:space="preserve">.  We identified averagely 501 proteins per a MS run that is bigger number than total number of proteins from two or three samples in the previous studies.  We confirmed that host proteins in feces are diverse in human as is shown in mice feces by Lichtman et al </w:t>
      </w:r>
      <w:r w:rsidRPr="0004273B">
        <w:rPr>
          <w:lang w:eastAsia="ko-KR"/>
        </w:rPr>
        <w:fldChar w:fldCharType="begin"/>
      </w:r>
      <w:r w:rsidR="00913405">
        <w:rPr>
          <w:lang w:eastAsia="ko-KR"/>
        </w:rPr>
        <w:instrText xml:space="preserve"> ADDIN EN.CITE &lt;EndNote&gt;&lt;Cite&gt;&lt;Author&gt;Lichtman&lt;/Author&gt;&lt;Year&gt;2013&lt;/Year&gt;&lt;RecNum&gt;38&lt;/RecNum&gt;&lt;DisplayText&gt;[11]&lt;/DisplayText&gt;&lt;record&gt;&lt;rec-number&gt;38&lt;/rec-number&gt;&lt;foreign-keys&gt;&lt;key app="EN" db-id="dv5rxf0vx9xt01epsfuxx0p5292ff2dt9p0r" timestamp="1408039035"&gt;38&lt;/key&gt;&lt;/foreign-keys&gt;&lt;ref-type name="Journal Article"&gt;17&lt;/ref-type&gt;&lt;contributors&gt;&lt;authors&gt;&lt;author&gt;Lichtman, Joshua S&lt;/author&gt;&lt;author&gt;Marcobal, Angela&lt;/author&gt;&lt;author&gt;Sonnenburg, Justin L&lt;/author&gt;&lt;author&gt;Elias, Joshua E&lt;/author&gt;&lt;/authors&gt;&lt;/contributors&gt;&lt;titles&gt;&lt;title&gt;Host-centric proteomics of stool: A novel strategy focused on intestinal responses to the gut microbiota&lt;/title&gt;&lt;secondary-title&gt;Molecular &amp;amp; Cellular Proteomics&lt;/secondary-title&gt;&lt;/titles&gt;&lt;periodical&gt;&lt;full-title&gt;Molecular &amp;amp; cellular proteomics&lt;/full-title&gt;&lt;/periodical&gt;&lt;pages&gt;3310-3318&lt;/pages&gt;&lt;volume&gt;12&lt;/volume&gt;&lt;number&gt;11&lt;/number&gt;&lt;dates&gt;&lt;year&gt;2013&lt;/year&gt;&lt;/dates&gt;&lt;isbn&gt;1535-9476&lt;/isbn&gt;&lt;urls&gt;&lt;/urls&gt;&lt;/record&gt;&lt;/Cite&gt;&lt;/EndNote&gt;</w:instrText>
      </w:r>
      <w:r w:rsidRPr="0004273B">
        <w:rPr>
          <w:lang w:eastAsia="ko-KR"/>
        </w:rPr>
        <w:fldChar w:fldCharType="separate"/>
      </w:r>
      <w:r w:rsidR="00913405">
        <w:rPr>
          <w:noProof/>
          <w:lang w:eastAsia="ko-KR"/>
        </w:rPr>
        <w:t>[11]</w:t>
      </w:r>
      <w:r w:rsidRPr="0004273B">
        <w:rPr>
          <w:lang w:eastAsia="ko-KR"/>
        </w:rPr>
        <w:fldChar w:fldCharType="end"/>
      </w:r>
      <w:r w:rsidRPr="0004273B">
        <w:rPr>
          <w:lang w:eastAsia="ko-KR"/>
        </w:rPr>
        <w:t xml:space="preserve">.  Host fecal protein’s variance was disclosed by PCC </w:t>
      </w:r>
      <w:r w:rsidR="0010765C">
        <w:rPr>
          <w:color w:val="FF0000"/>
          <w:lang w:eastAsia="ko-KR"/>
        </w:rPr>
        <w:t>(Fig. 31</w:t>
      </w:r>
      <w:r w:rsidRPr="0004273B">
        <w:rPr>
          <w:color w:val="FF0000"/>
          <w:lang w:eastAsia="ko-KR"/>
        </w:rPr>
        <w:t xml:space="preserve">) </w:t>
      </w:r>
      <w:r w:rsidRPr="0004273B">
        <w:rPr>
          <w:lang w:eastAsia="ko-KR"/>
        </w:rPr>
        <w:t xml:space="preserve">and identification frequency </w:t>
      </w:r>
      <w:r w:rsidRPr="0004273B">
        <w:rPr>
          <w:color w:val="FF0000"/>
          <w:lang w:eastAsia="ko-KR"/>
        </w:rPr>
        <w:t>(</w:t>
      </w:r>
      <w:r w:rsidR="0010765C">
        <w:rPr>
          <w:color w:val="FF0000"/>
          <w:lang w:eastAsia="ko-KR"/>
        </w:rPr>
        <w:t>Table 14</w:t>
      </w:r>
      <w:r w:rsidRPr="0004273B">
        <w:rPr>
          <w:color w:val="FF0000"/>
          <w:lang w:eastAsia="ko-KR"/>
        </w:rPr>
        <w:t xml:space="preserve">) </w:t>
      </w:r>
      <w:r w:rsidRPr="0004273B">
        <w:rPr>
          <w:lang w:eastAsia="ko-KR"/>
        </w:rPr>
        <w:t xml:space="preserve">comparisons with technical replicates and five PBMC proteomes.  </w:t>
      </w:r>
      <w:r w:rsidRPr="0010765C">
        <w:rPr>
          <w:color w:val="FF0000"/>
          <w:lang w:eastAsia="ko-KR"/>
        </w:rPr>
        <w:t xml:space="preserve">Figure </w:t>
      </w:r>
      <w:r w:rsidR="0010765C">
        <w:rPr>
          <w:color w:val="FF0000"/>
          <w:lang w:eastAsia="ko-KR"/>
        </w:rPr>
        <w:t>31</w:t>
      </w:r>
      <w:r w:rsidRPr="0004273B">
        <w:rPr>
          <w:lang w:eastAsia="ko-KR"/>
        </w:rPr>
        <w:t xml:space="preserve"> shows that fecal proteins are not uniformly identified in individual fecal samples.  The QP model also reveals that expression levels of fecal proteome</w:t>
      </w:r>
      <w:r w:rsidR="00982328">
        <w:rPr>
          <w:lang w:eastAsia="ko-KR"/>
        </w:rPr>
        <w:t>s are various.  We could find 1,610</w:t>
      </w:r>
      <w:r w:rsidRPr="0004273B">
        <w:rPr>
          <w:lang w:eastAsia="ko-KR"/>
        </w:rPr>
        <w:t xml:space="preserve"> proteins that are differentially and significantly detected in 11 fecal proteomes via QP model and effect size filter.  We utilized Cohen’s f to enhance statistical power of our QP model.  Functional enrichment analyses over the </w:t>
      </w:r>
      <w:r w:rsidR="006F7691">
        <w:rPr>
          <w:lang w:eastAsia="ko-KR"/>
        </w:rPr>
        <w:t>1,610</w:t>
      </w:r>
      <w:r w:rsidRPr="0004273B">
        <w:rPr>
          <w:lang w:eastAsia="ko-KR"/>
        </w:rPr>
        <w:t xml:space="preserve"> significant proteins show that human significant proteins are generally located extracellular regions and are related with digestion, cytoskeleton and protein metabolisms, and microbial significant proteins are related with translation, energy generation and protein metabolisms.</w:t>
      </w:r>
    </w:p>
    <w:p w14:paraId="3FED940F" w14:textId="77777777" w:rsidR="0004273B" w:rsidRPr="0004273B" w:rsidRDefault="0004273B" w:rsidP="0004273B">
      <w:pPr>
        <w:spacing w:line="480" w:lineRule="auto"/>
      </w:pPr>
      <w:r w:rsidRPr="0004273B">
        <w:rPr>
          <w:lang w:eastAsia="ko-KR"/>
        </w:rPr>
        <w:tab/>
        <w:t xml:space="preserve">Many immune response proteins are also identified in our fecal proteome. </w:t>
      </w:r>
      <w:r w:rsidRPr="0004273B">
        <w:t xml:space="preserve">Identification of immune response proteins in fecal proteomes is a natural outcome because the GI tract is a direct interface of interaction between host </w:t>
      </w:r>
      <w:r w:rsidRPr="0004273B">
        <w:lastRenderedPageBreak/>
        <w:t>immune system and microbiome including commensal flora and enteric pathogens.  We dug 214 immune proteins out of 11 fecal proteomes.  Almost 40 immune proteins are detected in more than half of fecal samples (&gt; 5 samples), while others are less-frequently identified.  Toll-like receptor family protein (TLR) plays a key role in the innate immunity, so we expected TLR proteins in many of fecal samples, but only TLR6 was weekly identified in one fecal sample.  TLR6 has a fundamental role in pathogen recognition and induction of innate immune response.  We also expected to see immunoglobulins for innate immunity, such as IGA, IGD, IGE, IGG and IGM, but none of these are in our fecal proteomes.  In place of above five immunoglobulins, IGJ are strongly and frequently identified.  IGJ is involved in polymer form of IGA and IGM, so IGJ can be an indirect clue of existence of IGA and IGM.  IGJ is also identified in previous studies</w:t>
      </w:r>
      <w:r w:rsidRPr="0004273B">
        <w:rPr>
          <w:lang w:eastAsia="ko-KR"/>
        </w:rPr>
        <w:t>, but TLR6 is found only in our study.</w:t>
      </w:r>
    </w:p>
    <w:p w14:paraId="0E8D8BBA" w14:textId="51CED395" w:rsidR="0004273B" w:rsidRPr="000A2D1D" w:rsidRDefault="0004273B" w:rsidP="000A2D1D">
      <w:pPr>
        <w:spacing w:line="480" w:lineRule="auto"/>
      </w:pPr>
      <w:r w:rsidRPr="0004273B">
        <w:rPr>
          <w:lang w:eastAsia="ko-KR"/>
        </w:rPr>
        <w:tab/>
        <w:t xml:space="preserve">Human fecal proteins that were identified by previous studies are confirmed in our study.  We could confirm that 196 proteins of 234 in Lichtman et al and 243 proteins of 446 in </w:t>
      </w:r>
      <w:r w:rsidR="00416159">
        <w:rPr>
          <w:lang w:eastAsia="ko-KR"/>
        </w:rPr>
        <w:t>our previous study</w:t>
      </w:r>
      <w:r w:rsidRPr="0004273B">
        <w:rPr>
          <w:lang w:eastAsia="ko-KR"/>
        </w:rPr>
        <w:t xml:space="preserve"> were identified in our study.  The number of fecal proteins that are commonly identified in three studies including our fecal proteome is 101.  Of the commonly identified 101 proteins, 24 proteins are immune response proteins including IGJ and DMBT1.  Digestion related proteins, such as, AMY2A and PRSS1, are also commonly found.  Many of the simultaneously found proteins are detected with high SC in our study.  Top 25 abundant fecal proteins in </w:t>
      </w:r>
      <w:r w:rsidRPr="0004273B">
        <w:rPr>
          <w:color w:val="FF0000"/>
          <w:lang w:eastAsia="ko-KR"/>
        </w:rPr>
        <w:t xml:space="preserve">table </w:t>
      </w:r>
      <w:r w:rsidR="0010765C">
        <w:rPr>
          <w:color w:val="FF0000"/>
          <w:lang w:eastAsia="ko-KR"/>
        </w:rPr>
        <w:t>15</w:t>
      </w:r>
      <w:r w:rsidRPr="0004273B">
        <w:rPr>
          <w:lang w:eastAsia="ko-KR"/>
        </w:rPr>
        <w:t xml:space="preserve"> are found in at least one of previous studies.  </w:t>
      </w:r>
    </w:p>
    <w:p w14:paraId="0C19365A" w14:textId="28974ACC" w:rsidR="00236E6D" w:rsidRPr="00956B2F" w:rsidRDefault="000A35F6" w:rsidP="00956B2F">
      <w:pPr>
        <w:pStyle w:val="Heading1"/>
        <w:jc w:val="center"/>
      </w:pPr>
      <w:r w:rsidRPr="004030F5">
        <w:br w:type="page"/>
      </w:r>
      <w:bookmarkStart w:id="103" w:name="_Toc296333745"/>
      <w:r w:rsidR="00236E6D" w:rsidRPr="004030F5">
        <w:lastRenderedPageBreak/>
        <w:t xml:space="preserve">CHAPTER </w:t>
      </w:r>
      <w:r w:rsidR="00F7354F">
        <w:t>V</w:t>
      </w:r>
      <w:r w:rsidR="00956B2F">
        <w:br/>
      </w:r>
      <w:r w:rsidR="00B840E3" w:rsidRPr="004030F5">
        <w:rPr>
          <w:rFonts w:cs="Arial"/>
        </w:rPr>
        <w:t>APPLICATION CASE 2 – HUMAN DIET PROTEOME STUDY</w:t>
      </w:r>
      <w:bookmarkEnd w:id="103"/>
    </w:p>
    <w:p w14:paraId="1E1075F2" w14:textId="77777777" w:rsidR="00236E6D" w:rsidRPr="004030F5" w:rsidRDefault="00236E6D"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14:paraId="78898E31" w14:textId="04ADBBFB" w:rsidR="00236E6D" w:rsidRPr="004030F5" w:rsidRDefault="00B840E3" w:rsidP="000A35F6">
      <w:pPr>
        <w:pStyle w:val="Heading2"/>
        <w:spacing w:line="480" w:lineRule="auto"/>
      </w:pPr>
      <w:bookmarkStart w:id="104" w:name="_Toc296333746"/>
      <w:r w:rsidRPr="004030F5">
        <w:t>Introduction</w:t>
      </w:r>
      <w:bookmarkEnd w:id="104"/>
    </w:p>
    <w:p w14:paraId="340BB711" w14:textId="692E6184" w:rsidR="00AB11D5" w:rsidRDefault="00727F0C"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t>What we are eating have</w:t>
      </w:r>
      <w:r w:rsidR="00AB11D5">
        <w:rPr>
          <w:rFonts w:cs="Arial"/>
        </w:rPr>
        <w:t xml:space="preserve"> </w:t>
      </w:r>
      <w:r>
        <w:rPr>
          <w:rFonts w:cs="Arial"/>
        </w:rPr>
        <w:t xml:space="preserve">undoubtedly </w:t>
      </w:r>
      <w:r w:rsidR="00AB11D5">
        <w:rPr>
          <w:rFonts w:cs="Arial"/>
        </w:rPr>
        <w:t>affect</w:t>
      </w:r>
      <w:r>
        <w:rPr>
          <w:rFonts w:cs="Arial"/>
        </w:rPr>
        <w:t>ed</w:t>
      </w:r>
      <w:r w:rsidR="00AB11D5">
        <w:rPr>
          <w:rFonts w:cs="Arial"/>
        </w:rPr>
        <w:t xml:space="preserve"> on</w:t>
      </w:r>
      <w:r w:rsidR="00A861AB">
        <w:rPr>
          <w:rFonts w:cs="Arial"/>
        </w:rPr>
        <w:t xml:space="preserve"> the relative abundance and the types of</w:t>
      </w:r>
      <w:r w:rsidR="00AB11D5">
        <w:rPr>
          <w:rFonts w:cs="Arial"/>
        </w:rPr>
        <w:t xml:space="preserve"> our microbiome living in gastrointestinal tract</w:t>
      </w:r>
      <w:r w:rsidR="00180DA4">
        <w:rPr>
          <w:rFonts w:cs="Arial"/>
        </w:rPr>
        <w:t xml:space="preserve"> </w:t>
      </w:r>
      <w:r w:rsidR="00180DA4">
        <w:rPr>
          <w:rFonts w:cs="Arial"/>
        </w:rPr>
        <w:fldChar w:fldCharType="begin"/>
      </w:r>
      <w:r w:rsidR="00180DA4">
        <w:rPr>
          <w:rFonts w:cs="Arial"/>
        </w:rPr>
        <w:instrText xml:space="preserve"> ADDIN EN.CITE &lt;EndNote&gt;&lt;Cite&gt;&lt;Author&gt;Walker&lt;/Author&gt;&lt;Year&gt;2011&lt;/Year&gt;&lt;RecNum&gt;190&lt;/RecNum&gt;&lt;DisplayText&gt;[144]&lt;/DisplayText&gt;&lt;record&gt;&lt;rec-number&gt;190&lt;/rec-number&gt;&lt;foreign-keys&gt;&lt;key app="EN" db-id="efx2002d5f0z21etvw3x9zp7tw2axpa2eez0" timestamp="1434656918"&gt;190&lt;/key&gt;&lt;/foreign-keys&gt;&lt;ref-type name="Journal Article"&gt;17&lt;/ref-type&gt;&lt;contributors&gt;&lt;authors&gt;&lt;author&gt;Walker, Alan W&lt;/author&gt;&lt;author&gt;Ince, Jennifer&lt;/author&gt;&lt;author&gt;Duncan, Sylvia H&lt;/author&gt;&lt;author&gt;Webster, Lucy M&lt;/author&gt;&lt;author&gt;Holtrop, Grietje&lt;/author&gt;&lt;author&gt;Ze, Xiaolei&lt;/author&gt;&lt;author&gt;Brown, David&lt;/author&gt;&lt;author&gt;Stares, Mark D&lt;/author&gt;&lt;author&gt;Scott, Paul&lt;/author&gt;&lt;author&gt;Bergerat, Aurore&lt;/author&gt;&lt;/authors&gt;&lt;/contributors&gt;&lt;titles&gt;&lt;title&gt;Dominant and diet-responsive groups of bacteria within the human colonic microbiota&lt;/title&gt;&lt;secondary-title&gt;The ISME journal&lt;/secondary-title&gt;&lt;/titles&gt;&lt;periodical&gt;&lt;full-title&gt;The ISME journal&lt;/full-title&gt;&lt;/periodical&gt;&lt;pages&gt;220-230&lt;/pages&gt;&lt;volume&gt;5&lt;/volume&gt;&lt;number&gt;2&lt;/number&gt;&lt;dates&gt;&lt;year&gt;2011&lt;/year&gt;&lt;/dates&gt;&lt;isbn&gt;1751-7362&lt;/isbn&gt;&lt;urls&gt;&lt;/urls&gt;&lt;/record&gt;&lt;/Cite&gt;&lt;/EndNote&gt;</w:instrText>
      </w:r>
      <w:r w:rsidR="00180DA4">
        <w:rPr>
          <w:rFonts w:cs="Arial"/>
        </w:rPr>
        <w:fldChar w:fldCharType="separate"/>
      </w:r>
      <w:r w:rsidR="00180DA4">
        <w:rPr>
          <w:rFonts w:cs="Arial"/>
          <w:noProof/>
        </w:rPr>
        <w:t>[144]</w:t>
      </w:r>
      <w:r w:rsidR="00180DA4">
        <w:rPr>
          <w:rFonts w:cs="Arial"/>
        </w:rPr>
        <w:fldChar w:fldCharType="end"/>
      </w:r>
      <w:r w:rsidR="00AB11D5">
        <w:rPr>
          <w:rFonts w:cs="Arial"/>
        </w:rPr>
        <w:t xml:space="preserve">.  </w:t>
      </w:r>
      <w:r w:rsidR="00A861AB">
        <w:rPr>
          <w:rFonts w:cs="Arial"/>
        </w:rPr>
        <w:t xml:space="preserve">For example, </w:t>
      </w:r>
      <w:r w:rsidR="00180DA4">
        <w:rPr>
          <w:rFonts w:cs="Arial"/>
        </w:rPr>
        <w:t>western diets, low in carbohydrates and high in simple sugar and fat, are</w:t>
      </w:r>
      <w:r w:rsidR="00A861AB">
        <w:rPr>
          <w:rFonts w:cs="Arial"/>
        </w:rPr>
        <w:t xml:space="preserve"> associated with</w:t>
      </w:r>
      <w:r w:rsidR="006A511B">
        <w:rPr>
          <w:rFonts w:cs="Arial"/>
        </w:rPr>
        <w:t xml:space="preserve"> the decrease of</w:t>
      </w:r>
      <w:r w:rsidR="00A861AB">
        <w:rPr>
          <w:rFonts w:cs="Arial"/>
        </w:rPr>
        <w:t xml:space="preserve"> </w:t>
      </w:r>
      <w:r w:rsidR="00A861AB" w:rsidRPr="00A861AB">
        <w:rPr>
          <w:rFonts w:cs="Arial"/>
          <w:i/>
        </w:rPr>
        <w:t>Bacteriodetes</w:t>
      </w:r>
      <w:r w:rsidR="00A861AB">
        <w:rPr>
          <w:rFonts w:cs="Arial"/>
        </w:rPr>
        <w:t xml:space="preserve"> in</w:t>
      </w:r>
      <w:r w:rsidR="006A511B">
        <w:rPr>
          <w:rFonts w:cs="Arial"/>
        </w:rPr>
        <w:t xml:space="preserve"> North Americans</w:t>
      </w:r>
      <w:r w:rsidR="00180DA4">
        <w:rPr>
          <w:rFonts w:cs="Arial"/>
        </w:rPr>
        <w:t xml:space="preserve"> </w:t>
      </w:r>
      <w:r w:rsidR="00180DA4">
        <w:rPr>
          <w:rFonts w:cs="Arial"/>
        </w:rPr>
        <w:fldChar w:fldCharType="begin"/>
      </w:r>
      <w:r w:rsidR="00180DA4">
        <w:rPr>
          <w:rFonts w:cs="Arial"/>
        </w:rPr>
        <w:instrText xml:space="preserve"> ADDIN EN.CITE &lt;EndNote&gt;&lt;Cite&gt;&lt;Author&gt;Ley&lt;/Author&gt;&lt;Year&gt;2006&lt;/Year&gt;&lt;RecNum&gt;191&lt;/RecNum&gt;&lt;DisplayText&gt;[145,146]&lt;/DisplayText&gt;&lt;record&gt;&lt;rec-number&gt;191&lt;/rec-number&gt;&lt;foreign-keys&gt;&lt;key app="EN" db-id="efx2002d5f0z21etvw3x9zp7tw2axpa2eez0" timestamp="1434656996"&gt;191&lt;/key&gt;&lt;/foreign-keys&gt;&lt;ref-type name="Journal Article"&gt;17&lt;/ref-type&gt;&lt;contributors&gt;&lt;authors&gt;&lt;author&gt;Ley, Ruth E&lt;/author&gt;&lt;author&gt;Turnbaugh, Peter J&lt;/author&gt;&lt;author&gt;Klein, Samuel&lt;/author&gt;&lt;author&gt;Gordon, Jeffrey I&lt;/author&gt;&lt;/authors&gt;&lt;/contributors&gt;&lt;titles&gt;&lt;title&gt;Microbial ecology: human gut microbes associated with obesity&lt;/title&gt;&lt;secondary-title&gt;Nature&lt;/secondary-title&gt;&lt;/titles&gt;&lt;periodical&gt;&lt;full-title&gt;Nature&lt;/full-title&gt;&lt;/periodical&gt;&lt;pages&gt;1022-1023&lt;/pages&gt;&lt;volume&gt;444&lt;/volume&gt;&lt;number&gt;7122&lt;/number&gt;&lt;dates&gt;&lt;year&gt;2006&lt;/year&gt;&lt;/dates&gt;&lt;isbn&gt;0028-0836&lt;/isbn&gt;&lt;urls&gt;&lt;/urls&gt;&lt;/record&gt;&lt;/Cite&gt;&lt;Cite&gt;&lt;Author&gt;Turnbaugh&lt;/Author&gt;&lt;Year&gt;2008&lt;/Year&gt;&lt;RecNum&gt;192&lt;/RecNum&gt;&lt;record&gt;&lt;rec-number&gt;192&lt;/rec-number&gt;&lt;foreign-keys&gt;&lt;key app="EN" db-id="efx2002d5f0z21etvw3x9zp7tw2axpa2eez0" timestamp="1434657043"&gt;192&lt;/key&gt;&lt;/foreign-keys&gt;&lt;ref-type name="Journal Article"&gt;17&lt;/ref-type&gt;&lt;contributors&gt;&lt;authors&gt;&lt;author&gt;Turnbaugh, Peter J&lt;/author&gt;&lt;author&gt;Bäckhed, Fredrik&lt;/author&gt;&lt;author&gt;Fulton, Lucinda&lt;/author&gt;&lt;author&gt;Gordon, Jeffrey I&lt;/author&gt;&lt;/authors&gt;&lt;/contributors&gt;&lt;titles&gt;&lt;title&gt;Diet-induced obesity is linked to marked but reversible alterations in the mouse distal gut microbiome&lt;/title&gt;&lt;secondary-title&gt;Cell host &amp;amp; microbe&lt;/secondary-title&gt;&lt;/titles&gt;&lt;periodical&gt;&lt;full-title&gt;Cell host &amp;amp; microbe&lt;/full-title&gt;&lt;/periodical&gt;&lt;pages&gt;213-223&lt;/pages&gt;&lt;volume&gt;3&lt;/volume&gt;&lt;number&gt;4&lt;/number&gt;&lt;dates&gt;&lt;year&gt;2008&lt;/year&gt;&lt;/dates&gt;&lt;isbn&gt;1931-3128&lt;/isbn&gt;&lt;urls&gt;&lt;/urls&gt;&lt;/record&gt;&lt;/Cite&gt;&lt;/EndNote&gt;</w:instrText>
      </w:r>
      <w:r w:rsidR="00180DA4">
        <w:rPr>
          <w:rFonts w:cs="Arial"/>
        </w:rPr>
        <w:fldChar w:fldCharType="separate"/>
      </w:r>
      <w:r w:rsidR="00180DA4">
        <w:rPr>
          <w:rFonts w:cs="Arial"/>
          <w:noProof/>
        </w:rPr>
        <w:t>[145,146]</w:t>
      </w:r>
      <w:r w:rsidR="00180DA4">
        <w:rPr>
          <w:rFonts w:cs="Arial"/>
        </w:rPr>
        <w:fldChar w:fldCharType="end"/>
      </w:r>
      <w:r w:rsidR="00180DA4">
        <w:rPr>
          <w:rFonts w:cs="Arial"/>
        </w:rPr>
        <w:t xml:space="preserve">.  </w:t>
      </w:r>
      <w:r w:rsidR="00D54304">
        <w:rPr>
          <w:rFonts w:cs="Arial"/>
        </w:rPr>
        <w:t>This change in microbiome i</w:t>
      </w:r>
      <w:r w:rsidR="007D0925">
        <w:rPr>
          <w:rFonts w:cs="Arial"/>
        </w:rPr>
        <w:t xml:space="preserve">s generally detected in feces </w:t>
      </w:r>
      <w:r w:rsidR="007D0925">
        <w:rPr>
          <w:rFonts w:cs="Arial"/>
        </w:rPr>
        <w:fldChar w:fldCharType="begin"/>
      </w:r>
      <w:r w:rsidR="007D0925">
        <w:rPr>
          <w:rFonts w:cs="Arial"/>
        </w:rPr>
        <w:instrText xml:space="preserve"> ADDIN EN.CITE &lt;EndNote&gt;&lt;Cite&gt;&lt;Author&gt;Walter&lt;/Author&gt;&lt;Year&gt;2011&lt;/Year&gt;&lt;RecNum&gt;193&lt;/RecNum&gt;&lt;DisplayText&gt;[147]&lt;/DisplayText&gt;&lt;record&gt;&lt;rec-number&gt;193&lt;/rec-number&gt;&lt;foreign-keys&gt;&lt;key app="EN" db-id="efx2002d5f0z21etvw3x9zp7tw2axpa2eez0" timestamp="1434657093"&gt;193&lt;/key&gt;&lt;/foreign-keys&gt;&lt;ref-type name="Journal Article"&gt;17&lt;/ref-type&gt;&lt;contributors&gt;&lt;authors&gt;&lt;author&gt;Walter, Jens&lt;/author&gt;&lt;author&gt;Ley, Ruth&lt;/author&gt;&lt;/authors&gt;&lt;/contributors&gt;&lt;titles&gt;&lt;title&gt;The human gut microbiome: ecology and recent evolutionary changes&lt;/title&gt;&lt;secondary-title&gt;Annual review of microbiology&lt;/secondary-title&gt;&lt;/titles&gt;&lt;periodical&gt;&lt;full-title&gt;Annual review of microbiology&lt;/full-title&gt;&lt;/periodical&gt;&lt;pages&gt;411-429&lt;/pages&gt;&lt;volume&gt;65&lt;/volume&gt;&lt;dates&gt;&lt;year&gt;2011&lt;/year&gt;&lt;/dates&gt;&lt;isbn&gt;0066-4227&lt;/isbn&gt;&lt;urls&gt;&lt;/urls&gt;&lt;/record&gt;&lt;/Cite&gt;&lt;/EndNote&gt;</w:instrText>
      </w:r>
      <w:r w:rsidR="007D0925">
        <w:rPr>
          <w:rFonts w:cs="Arial"/>
        </w:rPr>
        <w:fldChar w:fldCharType="separate"/>
      </w:r>
      <w:r w:rsidR="007D0925">
        <w:rPr>
          <w:rFonts w:cs="Arial"/>
          <w:noProof/>
        </w:rPr>
        <w:t>[147]</w:t>
      </w:r>
      <w:r w:rsidR="007D0925">
        <w:rPr>
          <w:rFonts w:cs="Arial"/>
        </w:rPr>
        <w:fldChar w:fldCharType="end"/>
      </w:r>
      <w:r w:rsidR="007D0925">
        <w:rPr>
          <w:rFonts w:cs="Arial"/>
        </w:rPr>
        <w:t xml:space="preserve">.  For instance, certain type of bacteria is increased by short-term dietary changes, such as </w:t>
      </w:r>
      <w:r w:rsidR="00ED1A7D">
        <w:rPr>
          <w:rFonts w:cs="Arial"/>
        </w:rPr>
        <w:t>resistant starch</w:t>
      </w:r>
      <w:r w:rsidR="00995843">
        <w:rPr>
          <w:rFonts w:cs="Arial"/>
        </w:rPr>
        <w:t xml:space="preserve"> (RS)</w:t>
      </w:r>
      <w:r w:rsidR="00ED1A7D">
        <w:rPr>
          <w:rFonts w:cs="Arial"/>
        </w:rPr>
        <w:t xml:space="preserve"> contents</w:t>
      </w:r>
      <w:r w:rsidR="00D930BE">
        <w:rPr>
          <w:rFonts w:cs="Arial"/>
        </w:rPr>
        <w:t>, in the collected fecal samples</w:t>
      </w:r>
      <w:r w:rsidR="007D0925">
        <w:rPr>
          <w:rFonts w:cs="Arial"/>
        </w:rPr>
        <w:t>.</w:t>
      </w:r>
      <w:r w:rsidR="00ED1A7D">
        <w:rPr>
          <w:rFonts w:cs="Arial"/>
        </w:rPr>
        <w:t xml:space="preserve">  The pattern changed by different</w:t>
      </w:r>
      <w:r w:rsidR="00CB61E7">
        <w:rPr>
          <w:rFonts w:cs="Arial"/>
        </w:rPr>
        <w:t xml:space="preserve"> </w:t>
      </w:r>
      <w:r w:rsidR="0084688F">
        <w:rPr>
          <w:rFonts w:cs="Arial"/>
        </w:rPr>
        <w:t>RS amount in</w:t>
      </w:r>
      <w:r w:rsidR="00ED1A7D">
        <w:rPr>
          <w:rFonts w:cs="Arial"/>
        </w:rPr>
        <w:t xml:space="preserve"> diets is likely associated with how long the changed diet is taken and </w:t>
      </w:r>
      <w:r w:rsidR="00CB61E7">
        <w:rPr>
          <w:rFonts w:cs="Arial"/>
        </w:rPr>
        <w:t xml:space="preserve">its </w:t>
      </w:r>
      <w:r w:rsidR="00ED1A7D">
        <w:rPr>
          <w:rFonts w:cs="Arial"/>
        </w:rPr>
        <w:t xml:space="preserve">specific nutritional contents, such as more refined </w:t>
      </w:r>
      <w:r w:rsidR="00CB61E7">
        <w:rPr>
          <w:rFonts w:cs="Arial"/>
        </w:rPr>
        <w:t>RS</w:t>
      </w:r>
      <w:r w:rsidR="0069163C">
        <w:rPr>
          <w:rFonts w:cs="Arial"/>
        </w:rPr>
        <w:t xml:space="preserve"> </w:t>
      </w:r>
      <w:r w:rsidR="0069163C">
        <w:rPr>
          <w:rFonts w:cs="Arial"/>
        </w:rPr>
        <w:fldChar w:fldCharType="begin">
          <w:fldData xml:space="preserve">PEVuZE5vdGU+PENpdGU+PEF1dGhvcj5FbmdseXN0PC9BdXRob3I+PFllYXI+MTk5MjwvWWVhcj48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=
</w:fldData>
        </w:fldChar>
      </w:r>
      <w:r w:rsidR="00AE4C45">
        <w:rPr>
          <w:rFonts w:cs="Arial"/>
        </w:rPr>
        <w:instrText xml:space="preserve"> ADDIN EN.CITE </w:instrText>
      </w:r>
      <w:r w:rsidR="00AE4C45">
        <w:rPr>
          <w:rFonts w:cs="Arial"/>
        </w:rPr>
        <w:fldChar w:fldCharType="begin">
          <w:fldData xml:space="preserve">PEVuZE5vdGU+PENpdGU+PEF1dGhvcj5FbmdseXN0PC9BdXRob3I+PFllYXI+MTk5MjwvWWVhcj48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=
</w:fldData>
        </w:fldChar>
      </w:r>
      <w:r w:rsidR="00AE4C45">
        <w:rPr>
          <w:rFonts w:cs="Arial"/>
        </w:rPr>
        <w:instrText xml:space="preserve"> ADDIN EN.CITE.DATA </w:instrText>
      </w:r>
      <w:r w:rsidR="00AE4C45">
        <w:rPr>
          <w:rFonts w:cs="Arial"/>
        </w:rPr>
      </w:r>
      <w:r w:rsidR="00AE4C45">
        <w:rPr>
          <w:rFonts w:cs="Arial"/>
        </w:rPr>
        <w:fldChar w:fldCharType="end"/>
      </w:r>
      <w:r w:rsidR="0069163C">
        <w:rPr>
          <w:rFonts w:cs="Arial"/>
        </w:rPr>
      </w:r>
      <w:r w:rsidR="0069163C">
        <w:rPr>
          <w:rFonts w:cs="Arial"/>
        </w:rPr>
        <w:fldChar w:fldCharType="separate"/>
      </w:r>
      <w:r w:rsidR="00AE4C45">
        <w:rPr>
          <w:rFonts w:cs="Arial"/>
          <w:noProof/>
        </w:rPr>
        <w:t>[148-150]</w:t>
      </w:r>
      <w:r w:rsidR="0069163C">
        <w:rPr>
          <w:rFonts w:cs="Arial"/>
        </w:rPr>
        <w:fldChar w:fldCharType="end"/>
      </w:r>
      <w:r w:rsidR="00ED1A7D">
        <w:rPr>
          <w:rFonts w:cs="Arial"/>
        </w:rPr>
        <w:t xml:space="preserve">.  Also, antibiotics, effective against </w:t>
      </w:r>
      <w:r w:rsidR="00ED1A7D">
        <w:rPr>
          <w:rFonts w:eastAsia="Times New Roman"/>
        </w:rPr>
        <w:t>autochthonous species members</w:t>
      </w:r>
      <w:r w:rsidR="00AD14BE">
        <w:rPr>
          <w:rFonts w:eastAsia="Times New Roman"/>
        </w:rPr>
        <w:t xml:space="preserve">, such as </w:t>
      </w:r>
      <w:r w:rsidR="00AD14BE" w:rsidRPr="00EF3E2B">
        <w:rPr>
          <w:rFonts w:eastAsia="Times New Roman"/>
          <w:i/>
        </w:rPr>
        <w:t>Helicobacter pylori</w:t>
      </w:r>
      <w:r w:rsidR="00AD14BE">
        <w:rPr>
          <w:rFonts w:eastAsia="Times New Roman"/>
        </w:rPr>
        <w:t xml:space="preserve"> and </w:t>
      </w:r>
      <w:r w:rsidR="00EF3E2B" w:rsidRPr="00EF3E2B">
        <w:rPr>
          <w:rFonts w:eastAsia="Times New Roman"/>
          <w:i/>
        </w:rPr>
        <w:t>Lactobacillus Reuteri</w:t>
      </w:r>
      <w:r w:rsidR="00ED1A7D">
        <w:rPr>
          <w:rFonts w:eastAsia="Times New Roman"/>
        </w:rPr>
        <w:t xml:space="preserve">, </w:t>
      </w:r>
      <w:r w:rsidR="00ED1A7D">
        <w:rPr>
          <w:rFonts w:cs="Arial"/>
        </w:rPr>
        <w:t xml:space="preserve">made significant decrease detected in feces </w:t>
      </w:r>
      <w:r w:rsidR="00ED1A7D">
        <w:rPr>
          <w:rFonts w:cs="Arial"/>
        </w:rPr>
        <w:fldChar w:fldCharType="begin"/>
      </w:r>
      <w:r w:rsidR="00ED1A7D">
        <w:rPr>
          <w:rFonts w:cs="Arial"/>
        </w:rPr>
        <w:instrText xml:space="preserve"> ADDIN EN.CITE &lt;EndNote&gt;&lt;Cite&gt;&lt;Author&gt;Walter&lt;/Author&gt;&lt;Year&gt;2011&lt;/Year&gt;&lt;RecNum&gt;193&lt;/RecNum&gt;&lt;DisplayText&gt;[147]&lt;/DisplayText&gt;&lt;record&gt;&lt;rec-number&gt;193&lt;/rec-number&gt;&lt;foreign-keys&gt;&lt;key app="EN" db-id="efx2002d5f0z21etvw3x9zp7tw2axpa2eez0" timestamp="1434657093"&gt;193&lt;/key&gt;&lt;/foreign-keys&gt;&lt;ref-type name="Journal Article"&gt;17&lt;/ref-type&gt;&lt;contributors&gt;&lt;authors&gt;&lt;author&gt;Walter, Jens&lt;/author&gt;&lt;author&gt;Ley, Ruth&lt;/author&gt;&lt;/authors&gt;&lt;/contributors&gt;&lt;titles&gt;&lt;title&gt;The human gut microbiome: ecology and recent evolutionary changes&lt;/title&gt;&lt;secondary-title&gt;Annual review of microbiology&lt;/secondary-title&gt;&lt;/titles&gt;&lt;periodical&gt;&lt;full-title&gt;Annual review of microbiology&lt;/full-title&gt;&lt;/periodical&gt;&lt;pages&gt;411-429&lt;/pages&gt;&lt;volume&gt;65&lt;/volume&gt;&lt;dates&gt;&lt;year&gt;2011&lt;/year&gt;&lt;/dates&gt;&lt;isbn&gt;0066-4227&lt;/isbn&gt;&lt;urls&gt;&lt;/urls&gt;&lt;/record&gt;&lt;/Cite&gt;&lt;/EndNote&gt;</w:instrText>
      </w:r>
      <w:r w:rsidR="00ED1A7D">
        <w:rPr>
          <w:rFonts w:cs="Arial"/>
        </w:rPr>
        <w:fldChar w:fldCharType="separate"/>
      </w:r>
      <w:r w:rsidR="00ED1A7D">
        <w:rPr>
          <w:rFonts w:cs="Arial"/>
          <w:noProof/>
        </w:rPr>
        <w:t>[147]</w:t>
      </w:r>
      <w:r w:rsidR="00ED1A7D">
        <w:rPr>
          <w:rFonts w:cs="Arial"/>
        </w:rPr>
        <w:fldChar w:fldCharType="end"/>
      </w:r>
      <w:r w:rsidR="0069163C">
        <w:rPr>
          <w:rFonts w:cs="Arial"/>
        </w:rPr>
        <w:t>.</w:t>
      </w:r>
    </w:p>
    <w:p w14:paraId="394898E0" w14:textId="2204C685" w:rsidR="0032548C" w:rsidRPr="00805185" w:rsidRDefault="003764F2"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iCs/>
        </w:rPr>
      </w:pPr>
      <w:r>
        <w:rPr>
          <w:rFonts w:cs="Arial"/>
        </w:rPr>
        <w:tab/>
      </w:r>
      <w:r w:rsidR="005E5A52">
        <w:rPr>
          <w:rFonts w:cs="Arial"/>
        </w:rPr>
        <w:t>RS is one of starch or derivatives of starch and is not fully digested by human small intestine</w:t>
      </w:r>
      <w:r w:rsidR="00D32F23">
        <w:rPr>
          <w:rFonts w:cs="Arial"/>
        </w:rPr>
        <w:t>, while sugars and most starches are rapidly digested and absorbed as glucose</w:t>
      </w:r>
      <w:r w:rsidR="005E5A52">
        <w:rPr>
          <w:rFonts w:cs="Arial"/>
        </w:rPr>
        <w:t xml:space="preserve">.  </w:t>
      </w:r>
      <w:r w:rsidR="0010527A">
        <w:rPr>
          <w:rFonts w:cs="Arial"/>
        </w:rPr>
        <w:t>This undigested RS</w:t>
      </w:r>
      <w:r w:rsidR="00D32F23">
        <w:rPr>
          <w:rFonts w:cs="Arial"/>
        </w:rPr>
        <w:t>, dietary fiber,</w:t>
      </w:r>
      <w:r w:rsidR="0010527A">
        <w:rPr>
          <w:rFonts w:cs="Arial"/>
        </w:rPr>
        <w:t xml:space="preserve"> is diet-derived energy-source of microbiom</w:t>
      </w:r>
      <w:r w:rsidR="00D930BE">
        <w:rPr>
          <w:rFonts w:cs="Arial"/>
        </w:rPr>
        <w:t>e</w:t>
      </w:r>
      <w:r w:rsidR="00546E3D">
        <w:rPr>
          <w:rFonts w:cs="Arial"/>
        </w:rPr>
        <w:t xml:space="preserve"> living in large intestine.  Several scientific reports </w:t>
      </w:r>
      <w:r w:rsidR="0032548C">
        <w:rPr>
          <w:rFonts w:cs="Arial"/>
        </w:rPr>
        <w:t>showed that high RS diet could result in abundance of specific bacteria in microbiome, such as</w:t>
      </w:r>
      <w:r w:rsidR="00B44EDD">
        <w:rPr>
          <w:rFonts w:cs="Arial"/>
        </w:rPr>
        <w:t xml:space="preserve"> </w:t>
      </w:r>
      <w:r w:rsidR="00B44EDD" w:rsidRPr="00494944">
        <w:rPr>
          <w:rFonts w:cs="Arial"/>
          <w:i/>
          <w:iCs/>
        </w:rPr>
        <w:t>Ruminococcus bromii</w:t>
      </w:r>
      <w:r w:rsidR="00B44EDD" w:rsidRPr="00494944">
        <w:rPr>
          <w:rFonts w:cs="Arial"/>
          <w:iCs/>
        </w:rPr>
        <w:t>,</w:t>
      </w:r>
      <w:r w:rsidR="00B44EDD" w:rsidRPr="00494944">
        <w:rPr>
          <w:rFonts w:cs="Arial"/>
          <w:i/>
          <w:iCs/>
        </w:rPr>
        <w:t xml:space="preserve"> Eubacterium rectale</w:t>
      </w:r>
      <w:r w:rsidR="00B44EDD" w:rsidRPr="00494944">
        <w:rPr>
          <w:rFonts w:cs="Arial"/>
        </w:rPr>
        <w:t xml:space="preserve">, and </w:t>
      </w:r>
      <w:r w:rsidR="00B44EDD" w:rsidRPr="00494944">
        <w:rPr>
          <w:rFonts w:cs="Arial"/>
          <w:i/>
          <w:iCs/>
        </w:rPr>
        <w:t>Bifidobacterium adolescentis</w:t>
      </w:r>
      <w:r w:rsidR="00B44EDD">
        <w:rPr>
          <w:rFonts w:cs="Arial"/>
        </w:rPr>
        <w:t xml:space="preserve"> </w:t>
      </w:r>
      <w:r w:rsidR="00D61F74">
        <w:rPr>
          <w:rFonts w:cs="Arial"/>
        </w:rPr>
        <w:fldChar w:fldCharType="begin">
          <w:fldData xml:space="preserve">PEVuZE5vdGU+PENpdGU+PEF1dGhvcj5BYmVsbDwvQXV0aG9yPjxZZWFyPjIwMDg8L1llYXI+PFJl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</w:fldData>
        </w:fldChar>
      </w:r>
      <w:r w:rsidR="00DD3799">
        <w:rPr>
          <w:rFonts w:cs="Arial"/>
        </w:rPr>
        <w:instrText xml:space="preserve"> ADDIN EN.CITE </w:instrText>
      </w:r>
      <w:r w:rsidR="00DD3799">
        <w:rPr>
          <w:rFonts w:cs="Arial"/>
        </w:rPr>
        <w:fldChar w:fldCharType="begin">
          <w:fldData xml:space="preserve">PEVuZE5vdGU+PENpdGU+PEF1dGhvcj5BYmVsbDwvQXV0aG9yPjxZZWFyPjIwMDg8L1llYXI+PFJl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</w:fldData>
        </w:fldChar>
      </w:r>
      <w:r w:rsidR="00DD3799">
        <w:rPr>
          <w:rFonts w:cs="Arial"/>
        </w:rPr>
        <w:instrText xml:space="preserve"> ADDIN EN.CITE.DATA </w:instrText>
      </w:r>
      <w:r w:rsidR="00DD3799">
        <w:rPr>
          <w:rFonts w:cs="Arial"/>
        </w:rPr>
      </w:r>
      <w:r w:rsidR="00DD3799">
        <w:rPr>
          <w:rFonts w:cs="Arial"/>
        </w:rPr>
        <w:fldChar w:fldCharType="end"/>
      </w:r>
      <w:r w:rsidR="00D61F74">
        <w:rPr>
          <w:rFonts w:cs="Arial"/>
        </w:rPr>
      </w:r>
      <w:r w:rsidR="00D61F74">
        <w:rPr>
          <w:rFonts w:cs="Arial"/>
        </w:rPr>
        <w:fldChar w:fldCharType="separate"/>
      </w:r>
      <w:r w:rsidR="00737844">
        <w:rPr>
          <w:rFonts w:cs="Arial"/>
          <w:noProof/>
        </w:rPr>
        <w:t>[144,150-152]</w:t>
      </w:r>
      <w:r w:rsidR="00D61F74">
        <w:rPr>
          <w:rFonts w:cs="Arial"/>
        </w:rPr>
        <w:fldChar w:fldCharType="end"/>
      </w:r>
      <w:r w:rsidR="00805185">
        <w:rPr>
          <w:rFonts w:cs="Arial"/>
        </w:rPr>
        <w:t xml:space="preserve">. </w:t>
      </w:r>
      <w:r w:rsidR="00D473A5">
        <w:rPr>
          <w:rFonts w:cs="Arial"/>
        </w:rPr>
        <w:t xml:space="preserve"> These changes in microbiome are probably</w:t>
      </w:r>
      <w:r w:rsidR="00737844">
        <w:rPr>
          <w:rFonts w:cs="Arial"/>
          <w:i/>
          <w:iCs/>
        </w:rPr>
        <w:t xml:space="preserve"> </w:t>
      </w:r>
      <w:r w:rsidR="00805185">
        <w:rPr>
          <w:rFonts w:cs="Arial"/>
          <w:iCs/>
        </w:rPr>
        <w:t xml:space="preserve">caused </w:t>
      </w:r>
      <w:r w:rsidR="00805185">
        <w:rPr>
          <w:rFonts w:cs="Arial"/>
          <w:iCs/>
        </w:rPr>
        <w:lastRenderedPageBreak/>
        <w:t xml:space="preserve">by substrate-specific preference of different microbes that can uptake and degrade RS efficiently.  </w:t>
      </w:r>
      <w:r w:rsidR="004957AD">
        <w:rPr>
          <w:rFonts w:cs="Arial"/>
          <w:iCs/>
        </w:rPr>
        <w:t>Generally people inhabiting in different places have dissimilar microbiome, but children in European Union and Burkina Faso showed similar response</w:t>
      </w:r>
      <w:r w:rsidR="00434B31">
        <w:rPr>
          <w:rFonts w:cs="Arial"/>
          <w:iCs/>
        </w:rPr>
        <w:t xml:space="preserve"> to high fiber diets</w:t>
      </w:r>
      <w:r w:rsidR="004957AD">
        <w:rPr>
          <w:rFonts w:cs="Arial"/>
          <w:iCs/>
        </w:rPr>
        <w:t xml:space="preserve">, which </w:t>
      </w:r>
      <w:r w:rsidR="004957AD" w:rsidRPr="00DD3799">
        <w:rPr>
          <w:rFonts w:cs="Arial"/>
          <w:i/>
        </w:rPr>
        <w:t>Bacteroidetes</w:t>
      </w:r>
      <w:r w:rsidR="004957AD" w:rsidRPr="00494944">
        <w:rPr>
          <w:rFonts w:cs="Arial"/>
        </w:rPr>
        <w:t xml:space="preserve"> and </w:t>
      </w:r>
      <w:r w:rsidR="004957AD" w:rsidRPr="00DD3799">
        <w:rPr>
          <w:rFonts w:cs="Arial"/>
          <w:i/>
        </w:rPr>
        <w:t>Firmicutes</w:t>
      </w:r>
      <w:r w:rsidR="004957AD" w:rsidRPr="00494944">
        <w:rPr>
          <w:rFonts w:cs="Arial"/>
        </w:rPr>
        <w:t xml:space="preserve"> ratio</w:t>
      </w:r>
      <w:r w:rsidR="004957AD">
        <w:rPr>
          <w:rFonts w:cs="Arial"/>
        </w:rPr>
        <w:t xml:space="preserve"> are changed by</w:t>
      </w:r>
      <w:r w:rsidR="004957AD">
        <w:rPr>
          <w:rFonts w:cs="Arial"/>
          <w:iCs/>
        </w:rPr>
        <w:t xml:space="preserve"> different amount of dietary RS </w:t>
      </w:r>
      <w:r w:rsidR="00DD3799">
        <w:rPr>
          <w:rFonts w:cs="Arial"/>
          <w:iCs/>
        </w:rPr>
        <w:fldChar w:fldCharType="begin"/>
      </w:r>
      <w:r w:rsidR="00DD3799">
        <w:rPr>
          <w:rFonts w:cs="Arial"/>
          <w:iCs/>
        </w:rPr>
        <w:instrText xml:space="preserve"> ADDIN EN.CITE &lt;EndNote&gt;&lt;Cite&gt;&lt;Author&gt;De Filippo&lt;/Author&gt;&lt;Year&gt;2010&lt;/Year&gt;&lt;RecNum&gt;201&lt;/RecNum&gt;&lt;DisplayText&gt;[153]&lt;/DisplayText&gt;&lt;record&gt;&lt;rec-number&gt;201&lt;/rec-number&gt;&lt;foreign-keys&gt;&lt;key app="EN" db-id="efx2002d5f0z21etvw3x9zp7tw2axpa2eez0" timestamp="1434661181"&gt;201&lt;/key&gt;&lt;/foreign-keys&gt;&lt;ref-type name="Journal Article"&gt;17&lt;/ref-type&gt;&lt;contributors&gt;&lt;authors&gt;&lt;author&gt;De Filippo, Carlotta&lt;/author&gt;&lt;author&gt;Cavalieri, Duccio&lt;/author&gt;&lt;author&gt;Di Paola, Monica&lt;/author&gt;&lt;author&gt;Ramazzotti, Matteo&lt;/author&gt;&lt;author&gt;Poullet, Jean Baptiste&lt;/author&gt;&lt;author&gt;Massart, Sebastien&lt;/author&gt;&lt;author&gt;Collini, Silvia&lt;/author&gt;&lt;author&gt;Pieraccini, Giuseppe&lt;/author&gt;&lt;author&gt;Lionetti, Paolo&lt;/author&gt;&lt;/authors&gt;&lt;/contributors&gt;&lt;titles&gt;&lt;title&gt;Impact of diet in shaping gut microbiota revealed by a comparative study in children from Europe and rural Africa&lt;/title&gt;&lt;secondary-title&gt;Proceedings of the National Academy of Sciences&lt;/secondary-title&gt;&lt;/titles&gt;&lt;periodical&gt;&lt;full-title&gt;Proceedings of the National Academy of Sciences&lt;/full-title&gt;&lt;/periodical&gt;&lt;pages&gt;14691-14696&lt;/pages&gt;&lt;volume&gt;107&lt;/volume&gt;&lt;number&gt;33&lt;/number&gt;&lt;dates&gt;&lt;year&gt;2010&lt;/year&gt;&lt;/dates&gt;&lt;isbn&gt;0027-8424&lt;/isbn&gt;&lt;urls&gt;&lt;/urls&gt;&lt;/record&gt;&lt;/Cite&gt;&lt;/EndNote&gt;</w:instrText>
      </w:r>
      <w:r w:rsidR="00DD3799">
        <w:rPr>
          <w:rFonts w:cs="Arial"/>
          <w:iCs/>
        </w:rPr>
        <w:fldChar w:fldCharType="separate"/>
      </w:r>
      <w:r w:rsidR="00DD3799">
        <w:rPr>
          <w:rFonts w:cs="Arial"/>
          <w:iCs/>
          <w:noProof/>
        </w:rPr>
        <w:t>[153]</w:t>
      </w:r>
      <w:r w:rsidR="00DD3799">
        <w:rPr>
          <w:rFonts w:cs="Arial"/>
          <w:iCs/>
        </w:rPr>
        <w:fldChar w:fldCharType="end"/>
      </w:r>
      <w:r w:rsidR="00C977C4">
        <w:rPr>
          <w:rFonts w:cs="Arial"/>
          <w:iCs/>
        </w:rPr>
        <w:t xml:space="preserve">.  </w:t>
      </w:r>
      <w:r w:rsidR="00A517DD">
        <w:rPr>
          <w:rFonts w:cs="Arial"/>
          <w:iCs/>
        </w:rPr>
        <w:t>Potential i</w:t>
      </w:r>
      <w:r w:rsidR="008E2A24">
        <w:rPr>
          <w:rFonts w:cs="Arial"/>
          <w:iCs/>
        </w:rPr>
        <w:t xml:space="preserve">ncrease of short chain fatty acid and butyrate-producing microbes and decrease of disease-causing bacteria </w:t>
      </w:r>
      <w:r w:rsidR="00551366">
        <w:rPr>
          <w:rFonts w:cs="Arial"/>
          <w:iCs/>
        </w:rPr>
        <w:t>enables us to associate RS diet with human health.</w:t>
      </w:r>
    </w:p>
    <w:p w14:paraId="18114E33" w14:textId="30E9238B" w:rsidR="00B840E3" w:rsidRDefault="004043B9"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rPr>
          <w:rFonts w:cs="Arial"/>
        </w:rPr>
        <w:tab/>
      </w:r>
      <w:r w:rsidR="00FE525F" w:rsidRPr="00FE525F">
        <w:rPr>
          <w:rFonts w:cs="Arial"/>
        </w:rPr>
        <w:t>While the influence of resistant starch on both the gut microbial community and human metabolism has been demonstrated, the precise relationship between the gut microbiome and human met</w:t>
      </w:r>
      <w:r w:rsidR="00025A0C">
        <w:rPr>
          <w:rFonts w:cs="Arial"/>
        </w:rPr>
        <w:t>abolic factors remain</w:t>
      </w:r>
      <w:r w:rsidR="00BF0743">
        <w:rPr>
          <w:rFonts w:cs="Arial"/>
        </w:rPr>
        <w:t xml:space="preserve">s unclear.  This study is proteomics part of the integrative “omics” study including metagenomics, metabolomics and metaproteomics.  </w:t>
      </w:r>
      <w:r w:rsidR="00D1657F">
        <w:rPr>
          <w:rFonts w:cs="Arial"/>
        </w:rPr>
        <w:t>Two different diets containing high and low amounts of RS were treated to 8 patients in crossover time course design.</w:t>
      </w:r>
      <w:r w:rsidR="00FA6A6E">
        <w:rPr>
          <w:rFonts w:cs="Arial"/>
        </w:rPr>
        <w:t xml:space="preserve">  Feces after having specific diets were sampled and analyzed by 2D LC-MS/MS and QFAM.</w:t>
      </w:r>
    </w:p>
    <w:p w14:paraId="7B05688E" w14:textId="77777777" w:rsidR="00D31B8D" w:rsidRPr="004030F5" w:rsidRDefault="00D31B8D"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14:paraId="007C8A2C" w14:textId="7553F150" w:rsidR="00B840E3" w:rsidRPr="004030F5" w:rsidRDefault="007A7AE6" w:rsidP="00964BBB">
      <w:pPr>
        <w:pStyle w:val="Heading2"/>
        <w:tabs>
          <w:tab w:val="left" w:pos="1536"/>
          <w:tab w:val="center" w:pos="4320"/>
        </w:tabs>
        <w:spacing w:line="480" w:lineRule="auto"/>
      </w:pPr>
      <w:bookmarkStart w:id="105" w:name="_Toc296333747"/>
      <w:r>
        <w:t>Methods</w:t>
      </w:r>
      <w:bookmarkEnd w:id="105"/>
    </w:p>
    <w:p w14:paraId="6AF1AEFA" w14:textId="2451D170" w:rsidR="00B840E3" w:rsidRPr="004030F5" w:rsidRDefault="001D6BDB" w:rsidP="000A35F6">
      <w:pPr>
        <w:pStyle w:val="Heading3"/>
      </w:pPr>
      <w:bookmarkStart w:id="106" w:name="_Toc296333748"/>
      <w:r>
        <w:t>Generation of Metaproteome data</w:t>
      </w:r>
      <w:bookmarkEnd w:id="106"/>
    </w:p>
    <w:p w14:paraId="103A1AF7" w14:textId="781B03B7" w:rsidR="003E0EA4" w:rsidRDefault="004A6562" w:rsidP="004A6562">
      <w:pPr>
        <w:spacing w:line="480" w:lineRule="auto"/>
        <w:ind w:firstLine="720"/>
        <w:rPr>
          <w:rFonts w:cs="Arial"/>
        </w:rPr>
      </w:pPr>
      <w:r w:rsidRPr="004A6562">
        <w:rPr>
          <w:rFonts w:cs="Arial"/>
        </w:rPr>
        <w:t>The diet study desi</w:t>
      </w:r>
      <w:r w:rsidR="007B0CBE">
        <w:rPr>
          <w:rFonts w:cs="Arial"/>
        </w:rPr>
        <w:t>gn is summarized in Figure 35</w:t>
      </w:r>
      <w:r w:rsidRPr="004A6562">
        <w:rPr>
          <w:rFonts w:cs="Arial"/>
        </w:rPr>
        <w:t xml:space="preserve">. Briefly, </w:t>
      </w:r>
      <w:r w:rsidR="007A7A12">
        <w:rPr>
          <w:rFonts w:cs="Arial"/>
        </w:rPr>
        <w:t>8 patients</w:t>
      </w:r>
      <w:r w:rsidRPr="004A6562">
        <w:rPr>
          <w:rFonts w:cs="Arial"/>
        </w:rPr>
        <w:t xml:space="preserve"> who were insulin resistant (HOMA-IR &gt; 50th percentile for sex), overweight or obese (BMI between 27 and 35 kg/m2), and met other eligibility criteria were enrolled in the study. </w:t>
      </w:r>
    </w:p>
    <w:p w14:paraId="1065C838" w14:textId="77777777" w:rsidR="003E0EA4" w:rsidRDefault="003E0EA4" w:rsidP="003E0EA4">
      <w:pPr>
        <w:keepNext/>
        <w:jc w:val="left"/>
      </w:pPr>
      <w:r>
        <w:rPr>
          <w:rFonts w:cs="Arial"/>
          <w:noProof/>
        </w:rPr>
        <w:lastRenderedPageBreak/>
        <w:drawing>
          <wp:inline distT="0" distB="0" distL="0" distR="0" wp14:anchorId="0D39BB9B" wp14:editId="49B8448C">
            <wp:extent cx="5486400" cy="3732974"/>
            <wp:effectExtent l="0" t="0" r="0" b="1270"/>
            <wp:docPr id="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86400" cy="3732974"/>
                    </a:xfrm>
                    <a:prstGeom prst="rect">
                      <a:avLst/>
                    </a:prstGeom>
                    <a:noFill/>
                    <a:ln>
                      <a:noFill/>
                    </a:ln>
                  </pic:spPr>
                </pic:pic>
              </a:graphicData>
            </a:graphic>
          </wp:inline>
        </w:drawing>
      </w:r>
    </w:p>
    <w:p w14:paraId="3D2A8780" w14:textId="5675B1C8" w:rsidR="003E0EA4" w:rsidRDefault="003E0EA4" w:rsidP="00267880">
      <w:pPr>
        <w:pStyle w:val="Caption"/>
        <w:rPr>
          <w:rFonts w:cs="Arial"/>
        </w:rPr>
      </w:pPr>
      <w:bookmarkStart w:id="107" w:name="_Toc296333128"/>
      <w:r>
        <w:t xml:space="preserve">Figure </w:t>
      </w:r>
      <w:fldSimple w:instr=" SEQ Figure \* ARABIC ">
        <w:r w:rsidR="002B3E83">
          <w:rPr>
            <w:noProof/>
          </w:rPr>
          <w:t>35</w:t>
        </w:r>
      </w:fldSimple>
      <w:r>
        <w:t xml:space="preserve"> Experiment design of diet proteome study.</w:t>
      </w:r>
      <w:r w:rsidRPr="00B0470F">
        <w:rPr>
          <w:b w:val="0"/>
        </w:rPr>
        <w:t xml:space="preserve">  </w:t>
      </w:r>
      <w:r w:rsidR="00B0470F" w:rsidRPr="00B0470F">
        <w:rPr>
          <w:b w:val="0"/>
        </w:rPr>
        <w:t>Low RS</w:t>
      </w:r>
      <w:r w:rsidR="00B0470F">
        <w:rPr>
          <w:b w:val="0"/>
        </w:rPr>
        <w:t xml:space="preserve"> has 2g amylose and High RS has 38g amylose.  </w:t>
      </w:r>
      <w:r w:rsidR="00267880">
        <w:rPr>
          <w:b w:val="0"/>
        </w:rPr>
        <w:t>Every diet is treated for two weeks.  Total 8 patients had different diets, as is schedule in cross over design.</w:t>
      </w:r>
      <w:bookmarkEnd w:id="107"/>
    </w:p>
    <w:p w14:paraId="13118349" w14:textId="239D0EC5" w:rsidR="003E0EA4" w:rsidRDefault="003E0EA4">
      <w:pPr>
        <w:jc w:val="left"/>
        <w:rPr>
          <w:rFonts w:cs="Arial"/>
        </w:rPr>
      </w:pPr>
      <w:r>
        <w:rPr>
          <w:rFonts w:cs="Arial"/>
        </w:rPr>
        <w:br w:type="page"/>
      </w:r>
    </w:p>
    <w:p w14:paraId="50B18051" w14:textId="77777777" w:rsidR="003E0EA4" w:rsidRDefault="003E0EA4" w:rsidP="004A6562">
      <w:pPr>
        <w:spacing w:line="480" w:lineRule="auto"/>
        <w:ind w:firstLine="720"/>
        <w:rPr>
          <w:rFonts w:cs="Arial"/>
        </w:rPr>
      </w:pPr>
    </w:p>
    <w:p w14:paraId="57C85750" w14:textId="26977A80" w:rsidR="00B840E3" w:rsidRPr="004030F5" w:rsidRDefault="004A6562" w:rsidP="004A6562">
      <w:pPr>
        <w:spacing w:line="480" w:lineRule="auto"/>
        <w:ind w:firstLine="720"/>
        <w:rPr>
          <w:rFonts w:cs="Arial"/>
        </w:rPr>
      </w:pPr>
      <w:r w:rsidRPr="004A6562">
        <w:rPr>
          <w:rFonts w:cs="Arial"/>
        </w:rPr>
        <w:t xml:space="preserve">All subjects were otherwise healthy and not taking any antibiotics, lipid-reducing or blood-thinning medications, or hormones. </w:t>
      </w:r>
      <w:r w:rsidR="003479DC">
        <w:rPr>
          <w:rFonts w:cs="Arial"/>
        </w:rPr>
        <w:t xml:space="preserve"> </w:t>
      </w:r>
      <w:r w:rsidRPr="004A6562">
        <w:rPr>
          <w:rFonts w:cs="Arial"/>
        </w:rPr>
        <w:t>The study protocols were approved by the Human Subjects Committee of both Children’s Hospital Oakland Research Institute and Lawrence Berkeley National Laboratory.</w:t>
      </w:r>
      <w:r w:rsidR="003479DC">
        <w:rPr>
          <w:rFonts w:cs="Arial"/>
        </w:rPr>
        <w:t xml:space="preserve"> </w:t>
      </w:r>
      <w:r w:rsidRPr="004A6562">
        <w:rPr>
          <w:rFonts w:cs="Arial"/>
        </w:rPr>
        <w:t xml:space="preserve"> Written informed consent was obtained from each subject.</w:t>
      </w:r>
      <w:r w:rsidR="008B1A3E">
        <w:rPr>
          <w:rFonts w:cs="Arial"/>
        </w:rPr>
        <w:t xml:space="preserve">  </w:t>
      </w:r>
      <w:r w:rsidR="008B1A3E" w:rsidRPr="00494944">
        <w:rPr>
          <w:rFonts w:cs="Arial"/>
        </w:rPr>
        <w:t>Study partici</w:t>
      </w:r>
      <w:r w:rsidR="008B1A3E">
        <w:rPr>
          <w:rFonts w:cs="Arial"/>
        </w:rPr>
        <w:t xml:space="preserve">pants were randomly assigned </w:t>
      </w:r>
      <w:r w:rsidR="008B1A3E" w:rsidRPr="00494944">
        <w:rPr>
          <w:rFonts w:cs="Arial"/>
        </w:rPr>
        <w:t>to a sequence of the two experimental diets: a low resistant starch (LRS) diet containing 2 grams of resistant starch and a high resistant starch (HRS) diet containing 38 grams of resistant starch. Each</w:t>
      </w:r>
      <w:r w:rsidR="008B1A3E">
        <w:rPr>
          <w:rFonts w:cs="Arial"/>
        </w:rPr>
        <w:t xml:space="preserve"> diet period was 2 weeks with </w:t>
      </w:r>
      <w:r w:rsidR="008B1A3E" w:rsidRPr="00494944">
        <w:rPr>
          <w:rFonts w:cs="Arial"/>
        </w:rPr>
        <w:t>2 week</w:t>
      </w:r>
      <w:r w:rsidR="008B1A3E">
        <w:rPr>
          <w:rFonts w:cs="Arial"/>
        </w:rPr>
        <w:t>s</w:t>
      </w:r>
      <w:r w:rsidR="008B1A3E" w:rsidRPr="00494944">
        <w:rPr>
          <w:rFonts w:cs="Arial"/>
        </w:rPr>
        <w:t xml:space="preserve"> baseline washout diet between diet periods</w:t>
      </w:r>
      <w:r w:rsidR="00573464">
        <w:rPr>
          <w:rFonts w:cs="Arial"/>
        </w:rPr>
        <w:t xml:space="preserve"> (Fig. 35</w:t>
      </w:r>
      <w:r w:rsidR="008B1A3E">
        <w:rPr>
          <w:rFonts w:cs="Arial"/>
        </w:rPr>
        <w:t>)</w:t>
      </w:r>
      <w:r w:rsidR="008B1A3E" w:rsidRPr="00494944">
        <w:rPr>
          <w:rFonts w:cs="Arial"/>
        </w:rPr>
        <w:t xml:space="preserve">. </w:t>
      </w:r>
      <w:r w:rsidR="008B1A3E">
        <w:rPr>
          <w:rFonts w:cs="Arial"/>
        </w:rPr>
        <w:t xml:space="preserve"> </w:t>
      </w:r>
      <w:r w:rsidR="008B1A3E" w:rsidRPr="00494944">
        <w:rPr>
          <w:rFonts w:cs="Arial"/>
        </w:rPr>
        <w:t xml:space="preserve">In both diets, type 2 </w:t>
      </w:r>
      <w:r w:rsidR="003653E3">
        <w:rPr>
          <w:rFonts w:cs="Arial"/>
        </w:rPr>
        <w:t>RS</w:t>
      </w:r>
      <w:r w:rsidR="008B1A3E" w:rsidRPr="00494944">
        <w:rPr>
          <w:rFonts w:cs="Arial"/>
        </w:rPr>
        <w:t>, a granular form of high amylose cornstarch, was used. Melojel</w:t>
      </w:r>
      <w:r w:rsidR="00D40077">
        <w:rPr>
          <w:rFonts w:cs="Arial" w:hint="eastAsia"/>
          <w:lang w:eastAsia="ko-KR"/>
        </w:rPr>
        <w:t xml:space="preserve"> of </w:t>
      </w:r>
      <w:r w:rsidR="00E474CF">
        <w:rPr>
          <w:rFonts w:cs="Arial"/>
          <w:lang w:eastAsia="ko-KR"/>
        </w:rPr>
        <w:t>Ingredion Inc.</w:t>
      </w:r>
      <w:r w:rsidR="008B1A3E" w:rsidRPr="00494944">
        <w:rPr>
          <w:rFonts w:cs="Arial"/>
        </w:rPr>
        <w:t xml:space="preserve"> was used </w:t>
      </w:r>
      <w:r w:rsidR="00FE7DEA">
        <w:rPr>
          <w:rFonts w:cs="Arial"/>
        </w:rPr>
        <w:t xml:space="preserve">for </w:t>
      </w:r>
      <w:r w:rsidR="008B1A3E" w:rsidRPr="00494944">
        <w:rPr>
          <w:rFonts w:cs="Arial"/>
        </w:rPr>
        <w:t>LRS diets</w:t>
      </w:r>
      <w:r w:rsidR="00FE7DEA">
        <w:rPr>
          <w:rFonts w:cs="Arial"/>
        </w:rPr>
        <w:t>,</w:t>
      </w:r>
      <w:r w:rsidR="008B1A3E" w:rsidRPr="00494944">
        <w:rPr>
          <w:rFonts w:cs="Arial"/>
        </w:rPr>
        <w:t xml:space="preserve"> while Hi-maize 260 </w:t>
      </w:r>
      <w:r w:rsidR="00884C79">
        <w:rPr>
          <w:rFonts w:cs="Arial"/>
        </w:rPr>
        <w:t>RS</w:t>
      </w:r>
      <w:r w:rsidR="008B1A3E" w:rsidRPr="00494944">
        <w:rPr>
          <w:rFonts w:cs="Arial"/>
        </w:rPr>
        <w:t xml:space="preserve"> was used for the HRS diets.</w:t>
      </w:r>
      <w:r w:rsidR="003B4D72">
        <w:rPr>
          <w:rFonts w:cs="Arial"/>
        </w:rPr>
        <w:t xml:space="preserve"> </w:t>
      </w:r>
      <w:r w:rsidR="008B1A3E" w:rsidRPr="00494944">
        <w:rPr>
          <w:rFonts w:cs="Arial"/>
        </w:rPr>
        <w:t xml:space="preserve"> Following the initial baseline diet and each diet period, fecal samples</w:t>
      </w:r>
      <w:r w:rsidR="003B4D72">
        <w:rPr>
          <w:rFonts w:cs="Arial"/>
        </w:rPr>
        <w:t xml:space="preserve"> were</w:t>
      </w:r>
      <w:r w:rsidR="008B1A3E" w:rsidRPr="00494944">
        <w:rPr>
          <w:rFonts w:cs="Arial"/>
        </w:rPr>
        <w:t xml:space="preserve"> collected. </w:t>
      </w:r>
    </w:p>
    <w:p w14:paraId="1762B665" w14:textId="77777777" w:rsidR="0014092C" w:rsidRPr="004030F5" w:rsidRDefault="0014092C" w:rsidP="0014092C">
      <w:pPr>
        <w:pStyle w:val="Heading3"/>
      </w:pPr>
      <w:bookmarkStart w:id="108" w:name="_Toc296333749"/>
      <w:r>
        <w:t>Sample preparation and LC-MS/MS experiment</w:t>
      </w:r>
      <w:bookmarkEnd w:id="108"/>
    </w:p>
    <w:p w14:paraId="40FBFAC3" w14:textId="77777777" w:rsidR="0014092C" w:rsidRDefault="0014092C" w:rsidP="0014092C">
      <w:pPr>
        <w:spacing w:line="480" w:lineRule="auto"/>
        <w:ind w:firstLine="720"/>
      </w:pPr>
      <w:r>
        <w:t xml:space="preserve">Proteins of all fecal samples were extracted by indirect cell lysis method (Fig. 29) because indirect method is preferred for collection of more amount of microbiome proteins.  Proteins of all the samples were digested by trypsin and analyzed </w:t>
      </w:r>
      <w:r w:rsidRPr="00DD03C1">
        <w:t>via two-dimensional (2D) nano-LC MS/MS system with a split-phase column (SCX-RP) Velos Orbitrap Pro (Thermo Fisher Scientific)</w:t>
      </w:r>
      <w:r>
        <w:t xml:space="preserve"> for feces as shown in Figure 29</w:t>
      </w:r>
      <w:r w:rsidRPr="00DD03C1">
        <w:t>.</w:t>
      </w:r>
      <w:r>
        <w:t xml:space="preserve">  </w:t>
      </w:r>
      <w:r w:rsidRPr="00DD03C1">
        <w:t xml:space="preserve">The Orbitrap settings were as follows: 30K resolution on full </w:t>
      </w:r>
      <w:r w:rsidRPr="00DD03C1">
        <w:lastRenderedPageBreak/>
        <w:t>scans in Orbitrap,</w:t>
      </w:r>
      <w:r>
        <w:t xml:space="preserve"> </w:t>
      </w:r>
      <w:r w:rsidRPr="00DD03C1">
        <w:t>data-</w:t>
      </w:r>
      <w:r>
        <w:t>dependent MS/MS in LTQ (Top 10 peaks were chosen), two</w:t>
      </w:r>
      <w:r w:rsidRPr="00DD03C1">
        <w:t xml:space="preserve"> micro</w:t>
      </w:r>
      <w:r>
        <w:t>-</w:t>
      </w:r>
      <w:r w:rsidRPr="00DD03C1">
        <w:t xml:space="preserve">scans for both full and MS/MS scans, centroid data for all scans.  </w:t>
      </w:r>
    </w:p>
    <w:p w14:paraId="41548EE7" w14:textId="2F68B2E0" w:rsidR="0014092C" w:rsidRPr="00DD03C1" w:rsidRDefault="0014092C" w:rsidP="0014092C">
      <w:pPr>
        <w:pStyle w:val="Heading3"/>
      </w:pPr>
      <w:bookmarkStart w:id="109" w:name="_Toc296333750"/>
      <w:r w:rsidRPr="00CB2600">
        <w:t>Quantitation and normalization of metaproteome data</w:t>
      </w:r>
      <w:bookmarkEnd w:id="109"/>
    </w:p>
    <w:p w14:paraId="1DCFDBEA" w14:textId="161B2558" w:rsidR="0014092C" w:rsidRPr="00CB2600" w:rsidRDefault="0014092C" w:rsidP="0014092C">
      <w:pPr>
        <w:spacing w:line="480" w:lineRule="auto"/>
        <w:ind w:firstLine="720"/>
      </w:pPr>
      <w:r w:rsidRPr="00CB2600">
        <w:t>All MS/MS spectra were searched against our customized sequence database.  The database consists of human protein sequences, translated meta-genome sequences, proteins of 34 human-gut-isolated microbial species, and common contaminants (i.e., trypsin and keratin; 36 protein sequences).  We collected human proteins sequences from NC</w:t>
      </w:r>
      <w:r w:rsidR="00D806B3">
        <w:t xml:space="preserve">BI </w:t>
      </w:r>
      <w:r w:rsidRPr="00CB2600">
        <w:t xml:space="preserve">RefSeq and microbial proteins from JGI human microbiome project (IMG-HMP) as is described in our previous paper </w:t>
      </w:r>
      <w:r w:rsidR="00D806B3" w:rsidRPr="00C226C4">
        <w:rPr>
          <w:szCs w:val="28"/>
        </w:rPr>
        <w:fldChar w:fldCharType="begin"/>
      </w:r>
      <w:r w:rsidR="00D806B3">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D806B3" w:rsidRPr="00C226C4">
        <w:rPr>
          <w:szCs w:val="28"/>
        </w:rPr>
        <w:fldChar w:fldCharType="separate"/>
      </w:r>
      <w:r w:rsidR="00D806B3">
        <w:rPr>
          <w:noProof/>
          <w:szCs w:val="28"/>
        </w:rPr>
        <w:t>[73]</w:t>
      </w:r>
      <w:r w:rsidR="00D806B3" w:rsidRPr="00C226C4">
        <w:rPr>
          <w:szCs w:val="28"/>
        </w:rPr>
        <w:fldChar w:fldCharType="end"/>
      </w:r>
      <w:r w:rsidRPr="00CB2600">
        <w:t>.  All MS/MS individual runs were searched with the SEQUEST (v.27) algorithm against our customized FASTA sequence database.  Search parameters were followed to our prior study</w:t>
      </w:r>
      <w:r w:rsidR="00D806B3">
        <w:t xml:space="preserve"> </w:t>
      </w:r>
      <w:r w:rsidR="00D806B3" w:rsidRPr="00C226C4">
        <w:rPr>
          <w:szCs w:val="28"/>
        </w:rPr>
        <w:fldChar w:fldCharType="begin"/>
      </w:r>
      <w:r w:rsidR="00D806B3">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D806B3" w:rsidRPr="00C226C4">
        <w:rPr>
          <w:szCs w:val="28"/>
        </w:rPr>
        <w:fldChar w:fldCharType="separate"/>
      </w:r>
      <w:r w:rsidR="00D806B3">
        <w:rPr>
          <w:noProof/>
          <w:szCs w:val="28"/>
        </w:rPr>
        <w:t>[73]</w:t>
      </w:r>
      <w:r w:rsidR="00D806B3" w:rsidRPr="00C226C4">
        <w:rPr>
          <w:szCs w:val="28"/>
        </w:rPr>
        <w:fldChar w:fldCharType="end"/>
      </w:r>
      <w:r w:rsidRPr="00CB2600">
        <w:t xml:space="preserve"> (&lt;4 miss-cleavages, 3 Da mass tolerance window around the precursor ion mass and 0.5 Da for fragment ion masses).  All SEQUEST output files were gathered and filtered using DTASelect (1.9) at ≥ 2 peptides per protein and the following widely accepted parameters for all the MS runs: XCorr of at least 1.8, 2.5, 3.5 for +1, +2, and +3 charge states, respectively and a minimum deltCN for 0.08.  All the peptide spectrum matches (PSM) that could not satisfy a post-database search filter, -10 ≤ ppm ≤ 10, were excluded out to remove false positives as described in our previous study </w:t>
      </w:r>
      <w:r w:rsidR="00E22CAC" w:rsidRPr="00C226C4">
        <w:rPr>
          <w:szCs w:val="28"/>
        </w:rPr>
        <w:fldChar w:fldCharType="begin"/>
      </w:r>
      <w:r w:rsidR="00E22CAC">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E22CAC" w:rsidRPr="00C226C4">
        <w:rPr>
          <w:szCs w:val="28"/>
        </w:rPr>
        <w:fldChar w:fldCharType="separate"/>
      </w:r>
      <w:r w:rsidR="00E22CAC">
        <w:rPr>
          <w:noProof/>
          <w:szCs w:val="28"/>
        </w:rPr>
        <w:t>[73]</w:t>
      </w:r>
      <w:r w:rsidR="00E22CAC" w:rsidRPr="00C226C4">
        <w:rPr>
          <w:szCs w:val="28"/>
        </w:rPr>
        <w:fldChar w:fldCharType="end"/>
      </w:r>
      <w:r w:rsidRPr="00CB2600">
        <w:t xml:space="preserve">.  Finally 57,397 proteins were quantitatively identified (human: 1,103 and microbes: 56,294).  Spectrum counts (SC) of protein is normalized as described below </w:t>
      </w:r>
      <w:r w:rsidR="00E22CAC" w:rsidRPr="00C226C4">
        <w:rPr>
          <w:szCs w:val="28"/>
        </w:rPr>
        <w:fldChar w:fldCharType="begin"/>
      </w:r>
      <w:r w:rsidR="00E22CAC">
        <w:rPr>
          <w:szCs w:val="28"/>
        </w:rPr>
        <w:instrText xml:space="preserve"> ADDIN EN.CITE &lt;EndNote&gt;&lt;Cite&gt;&lt;Author&gt;Erickson&lt;/Author&gt;&lt;Year&gt;2012&lt;/Year&gt;&lt;RecNum&gt;1&lt;/RecNum&gt;&lt;DisplayText&gt;[73]&lt;/DisplayText&gt;&lt;record&gt;&lt;rec-number&gt;1&lt;/rec-number&gt;&lt;foreign-keys&gt;&lt;key app="EN" db-id="dv5rxf0vx9xt01epsfuxx0p5292ff2dt9p0r" timestamp="1405709609"&gt;1&lt;/key&gt;&lt;/foreign-keys&gt;&lt;ref-type name="Journal Article"&gt;17&lt;/ref-type&gt;&lt;contributors&gt;&lt;authors&gt;&lt;author&gt;Erickson, Alison R&lt;/author&gt;&lt;author&gt;Cantarel, Brandi L&lt;/author&gt;&lt;author&gt;Lamendella, Regina&lt;/author&gt;&lt;author&gt;Darzi, Youssef&lt;/author&gt;&lt;author&gt;Mongodin, Emmanuel F&lt;/author&gt;&lt;author&gt;Pan, Chongle&lt;/author&gt;&lt;author&gt;Shah, Manesh&lt;/author&gt;&lt;author&gt;Halfvarson, Jonas&lt;/author&gt;&lt;author&gt;Tysk, Curt&lt;/author&gt;&lt;author&gt;Henrissat, Bernard&lt;/author&gt;&lt;/authors&gt;&lt;/contributors&gt;&lt;titles&gt;&lt;title&gt;Integrated metagenomics/metaproteomics reveals human host-microbiota signatures of Crohn&amp;apos;s disease&lt;/title&gt;&lt;secondary-title&gt;PloS one&lt;/secondary-title&gt;&lt;/titles&gt;&lt;periodical&gt;&lt;full-title&gt;PloS one&lt;/full-title&gt;&lt;/periodical&gt;&lt;pages&gt;e49138&lt;/pages&gt;&lt;volume&gt;7&lt;/volume&gt;&lt;number&gt;11&lt;/number&gt;&lt;dates&gt;&lt;year&gt;2012&lt;/year&gt;&lt;/dates&gt;&lt;isbn&gt;1932-6203&lt;/isbn&gt;&lt;urls&gt;&lt;/urls&gt;&lt;/record&gt;&lt;/Cite&gt;&lt;/EndNote&gt;</w:instrText>
      </w:r>
      <w:r w:rsidR="00E22CAC" w:rsidRPr="00C226C4">
        <w:rPr>
          <w:szCs w:val="28"/>
        </w:rPr>
        <w:fldChar w:fldCharType="separate"/>
      </w:r>
      <w:r w:rsidR="00E22CAC">
        <w:rPr>
          <w:noProof/>
          <w:szCs w:val="28"/>
        </w:rPr>
        <w:t>[73]</w:t>
      </w:r>
      <w:r w:rsidR="00E22CAC" w:rsidRPr="00C226C4">
        <w:rPr>
          <w:szCs w:val="28"/>
        </w:rPr>
        <w:fldChar w:fldCharType="end"/>
      </w:r>
      <w:r w:rsidRPr="00CB2600">
        <w:t xml:space="preserve">: </w:t>
      </w:r>
    </w:p>
    <w:p w14:paraId="4A346803" w14:textId="77777777" w:rsidR="0014092C" w:rsidRPr="00CB2600" w:rsidRDefault="0014092C" w:rsidP="0014092C">
      <w:pPr>
        <w:spacing w:line="480" w:lineRule="auto"/>
        <w:ind w:firstLine="720"/>
      </w:pPr>
      <m:oMathPara>
        <m:oMath>
          <m:r>
            <w:rPr>
              <w:rFonts w:ascii="Cambria Math" w:hAnsi="Cambria Math" w:cs="Arial"/>
            </w:rPr>
            <w:lastRenderedPageBreak/>
            <m:t xml:space="preserve">Normalized </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r>
            <w:rPr>
              <w:rFonts w:ascii="Cambria Math" w:hAnsi="Cambria Math" w:cs="Arial"/>
            </w:rPr>
            <m:t xml:space="preserve">= </m:t>
          </m:r>
          <m:f>
            <m:fPr>
              <m:ctrlPr>
                <w:rPr>
                  <w:rFonts w:ascii="Cambria Math" w:hAnsi="Cambria Math" w:cs="Arial"/>
                  <w:i/>
                </w:rPr>
              </m:ctrlPr>
            </m:fPr>
            <m:num>
              <m:f>
                <m:fPr>
                  <m:ctrlPr>
                    <w:rPr>
                      <w:rFonts w:ascii="Cambria Math" w:hAnsi="Cambria Math" w:cs="Arial"/>
                      <w:i/>
                    </w:rPr>
                  </m:ctrlPr>
                </m:fPr>
                <m:num>
                  <m:nary>
                    <m:naryPr>
                      <m:chr m:val="∑"/>
                      <m:limLoc m:val="undOvr"/>
                      <m:ctrlPr>
                        <w:rPr>
                          <w:rFonts w:ascii="Cambria Math" w:hAnsi="Cambria Math" w:cs="Arial"/>
                          <w:i/>
                        </w:rPr>
                      </m:ctrlPr>
                    </m:naryPr>
                    <m:sub>
                      <m:r>
                        <w:rPr>
                          <w:rFonts w:ascii="Cambria Math" w:hAnsi="Cambria Math" w:cs="Arial"/>
                        </w:rPr>
                        <m:t>j=1</m:t>
                      </m:r>
                    </m:sub>
                    <m:sup>
                      <m:r>
                        <w:rPr>
                          <w:rFonts w:ascii="Cambria Math" w:hAnsi="Cambria Math" w:cs="Arial"/>
                        </w:rPr>
                        <m:t>M</m:t>
                      </m:r>
                    </m:sup>
                    <m:e>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e>
                  </m:nary>
                </m:num>
                <m:den>
                  <m:r>
                    <w:rPr>
                      <w:rFonts w:ascii="Cambria Math" w:hAnsi="Cambria Math" w:cs="Arial"/>
                    </w:rPr>
                    <m:t>M</m:t>
                  </m:r>
                </m:den>
              </m:f>
            </m:num>
            <m:den>
              <m:nary>
                <m:naryPr>
                  <m:chr m:val="∑"/>
                  <m:limLoc m:val="undOvr"/>
                  <m:ctrlPr>
                    <w:rPr>
                      <w:rFonts w:ascii="Cambria Math" w:hAnsi="Cambria Math" w:cs="Arial"/>
                      <w:i/>
                    </w:rPr>
                  </m:ctrlPr>
                </m:naryPr>
                <m:sub>
                  <m:r>
                    <w:rPr>
                      <w:rFonts w:ascii="Cambria Math" w:hAnsi="Cambria Math" w:cs="Arial"/>
                    </w:rPr>
                    <m:t>k=1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SC</m:t>
                      </m:r>
                    </m:e>
                    <m:sub>
                      <m:r>
                        <w:rPr>
                          <w:rFonts w:ascii="Cambria Math" w:hAnsi="Cambria Math" w:cs="Arial"/>
                        </w:rPr>
                        <m:t>k</m:t>
                      </m:r>
                    </m:sub>
                  </m:sSub>
                </m:e>
              </m:nary>
            </m:den>
          </m:f>
          <m:r>
            <w:rPr>
              <w:rFonts w:ascii="Cambria Math" w:hAnsi="Cambria Math" w:cs="Arial"/>
            </w:rPr>
            <m:t>×</m:t>
          </m:r>
          <m:sSub>
            <m:sSubPr>
              <m:ctrlPr>
                <w:rPr>
                  <w:rFonts w:ascii="Cambria Math" w:hAnsi="Cambria Math" w:cs="Arial"/>
                  <w:i/>
                </w:rPr>
              </m:ctrlPr>
            </m:sSubPr>
            <m:e>
              <m:r>
                <w:rPr>
                  <w:rFonts w:ascii="Cambria Math" w:hAnsi="Cambria Math" w:cs="Arial"/>
                </w:rPr>
                <m:t>SC</m:t>
              </m:r>
            </m:e>
            <m:sub>
              <m:r>
                <w:rPr>
                  <w:rFonts w:ascii="Cambria Math" w:hAnsi="Cambria Math" w:cs="Arial"/>
                </w:rPr>
                <m:t>i</m:t>
              </m:r>
            </m:sub>
          </m:sSub>
        </m:oMath>
      </m:oMathPara>
    </w:p>
    <w:p w14:paraId="57872A48" w14:textId="77777777" w:rsidR="0014092C" w:rsidRPr="00CB2600" w:rsidRDefault="0014092C" w:rsidP="0014092C">
      <w:pPr>
        <w:spacing w:line="480" w:lineRule="auto"/>
        <w:rPr>
          <w:rFonts w:cs="Arial"/>
        </w:rPr>
      </w:pPr>
      <w:r w:rsidRPr="00CB2600">
        <w:rPr>
          <w:rFonts w:cs="Arial"/>
        </w:rPr>
        <w:t>Where, N = the number proteins and M = the number MS runs.</w:t>
      </w:r>
    </w:p>
    <w:p w14:paraId="776DFB46" w14:textId="77777777" w:rsidR="0014092C" w:rsidRPr="00CB2600" w:rsidRDefault="0014092C" w:rsidP="00E22CAC">
      <w:pPr>
        <w:pStyle w:val="Heading3"/>
      </w:pPr>
      <w:bookmarkStart w:id="110" w:name="_Toc296333751"/>
      <w:r w:rsidRPr="00CB2600">
        <w:t>Quantitative analysis of metaproteome data</w:t>
      </w:r>
      <w:bookmarkEnd w:id="110"/>
    </w:p>
    <w:p w14:paraId="514D9494" w14:textId="0135953F" w:rsidR="0014092C" w:rsidRPr="00CB2600" w:rsidRDefault="0014092C" w:rsidP="0014092C">
      <w:pPr>
        <w:spacing w:line="480" w:lineRule="auto"/>
        <w:ind w:firstLine="720"/>
      </w:pPr>
      <w:r w:rsidRPr="00CB2600">
        <w:t xml:space="preserve">All the statistical analyses were fulfilled by using R 3.1.3 and Python 2.7.6.  Since people have different gut microbiome and different genetic background, fecal proteomes are heterogeneous from person to person.  Our previous study showed that human fecal proteome is highly varied (unpublished).  Hence, we considered that personal variation is important to interpret our proteomics data in terms of diet type.  Generalized Linear Mixed Model (GLMM) is the extended one of generalized linear model (GLM) and able to include random effects in addition to the usual fixed effects.  We set personal variation as random effect to explain different people’s different fecal proteomes.  Our model for the proteome analysis is SC ~ μ + Diet type + (1|Person).  Negative binomial distribution (NB) was employed as null distribution in GLMM instead of Normal distribution because spectral count is frequency-based data and NB distribution is generally used for count-type data analysis, such as read numbers of RNA sequencing.  The constructed GLMM NB model was compared to null model through chi-square likelihood ratio test (LR test).  All the P-values were adjusted by FDR in order to reduce multiple comparison effect.  Cut-off FDR is 0.0001.  We used ‘lmerTest’ package to construct GLMM NB model </w:t>
      </w:r>
      <w:r w:rsidR="00E22CAC">
        <w:fldChar w:fldCharType="begin"/>
      </w:r>
      <w:r w:rsidR="00E22CAC">
        <w:instrText xml:space="preserve"> ADDIN EN.CITE &lt;EndNote&gt;&lt;Cite&gt;&lt;Author&gt;Kuznetsova&lt;/Author&gt;&lt;Year&gt;2013&lt;/Year&gt;&lt;RecNum&gt;202&lt;/RecNum&gt;&lt;DisplayText&gt;[154]&lt;/DisplayText&gt;&lt;record&gt;&lt;rec-number&gt;202&lt;/rec-number&gt;&lt;foreign-keys&gt;&lt;key app="EN" db-id="efx2002d5f0z21etvw3x9zp7tw2axpa2eez0" timestamp="1434666309"&gt;202&lt;/key&gt;&lt;/foreign-keys&gt;&lt;ref-type name="Journal Article"&gt;17&lt;/ref-type&gt;&lt;contributors&gt;&lt;authors&gt;&lt;author&gt;Kuznetsova, Alexandra&lt;/author&gt;&lt;author&gt;Brockhoff, Per Bruun&lt;/author&gt;&lt;author&gt;Christensen, Rune Haubo Bojesen&lt;/author&gt;&lt;/authors&gt;&lt;/contributors&gt;&lt;titles&gt;&lt;title&gt;lmerTest: Tests for random and fixed effects for linear mixed effect models (lmer objects of lme4 package)&lt;/title&gt;&lt;secondary-title&gt;R package version&lt;/secondary-title&gt;&lt;/titles&gt;&lt;periodical&gt;&lt;full-title&gt;R package version&lt;/full-title&gt;&lt;/periodical&gt;&lt;volume&gt;2&lt;/volume&gt;&lt;number&gt;6&lt;/number&gt;&lt;dates&gt;&lt;year&gt;2013&lt;/year&gt;&lt;/dates&gt;&lt;urls&gt;&lt;/urls&gt;&lt;/record&gt;&lt;/Cite&gt;&lt;/EndNote&gt;</w:instrText>
      </w:r>
      <w:r w:rsidR="00E22CAC">
        <w:fldChar w:fldCharType="separate"/>
      </w:r>
      <w:r w:rsidR="00E22CAC">
        <w:rPr>
          <w:noProof/>
        </w:rPr>
        <w:t>[154]</w:t>
      </w:r>
      <w:r w:rsidR="00E22CAC">
        <w:fldChar w:fldCharType="end"/>
      </w:r>
      <w:r w:rsidRPr="00CB2600">
        <w:t>.</w:t>
      </w:r>
    </w:p>
    <w:p w14:paraId="2849DE30" w14:textId="6D639B55" w:rsidR="0014092C" w:rsidRPr="00CB2600" w:rsidRDefault="0014092C" w:rsidP="0014092C">
      <w:pPr>
        <w:spacing w:line="480" w:lineRule="auto"/>
        <w:ind w:firstLine="720"/>
      </w:pPr>
      <w:r w:rsidRPr="00CB2600">
        <w:lastRenderedPageBreak/>
        <w:t>On top of GLMM NB model, effect size (ES) filter was applied to enhance reproducibility.  Combining p-value and ES filter can enhance reproducibility of proteomics data analysis</w:t>
      </w:r>
      <w:r w:rsidR="00152829">
        <w:t xml:space="preserve"> </w:t>
      </w:r>
      <w:r w:rsidR="00152829" w:rsidRPr="00C16570">
        <w:rPr>
          <w:rFonts w:eastAsia="Batang"/>
          <w:lang w:eastAsia="ko-KR"/>
        </w:rPr>
        <w:fldChar w:fldCharType="begin"/>
      </w:r>
      <w:r w:rsidR="00152829">
        <w:rPr>
          <w:rFonts w:eastAsia="Batang"/>
          <w:lang w:eastAsia="ko-KR"/>
        </w:rPr>
        <w:instrText xml:space="preserve"> ADDIN EN.CITE &lt;EndNote&gt;&lt;Cite&gt;&lt;Author&gt;Gregori&lt;/Author&gt;&lt;Year&gt;2013&lt;/Year&gt;&lt;RecNum&gt;113&lt;/RecNum&gt;&lt;DisplayText&gt;[107]&lt;/DisplayText&gt;&lt;record&gt;&lt;rec-number&gt;113&lt;/rec-number&gt;&lt;foreign-keys&gt;&lt;key app="EN" db-id="efx2002d5f0z21etvw3x9zp7tw2axpa2eez0" timestamp="1434471120"&gt;113&lt;/key&gt;&lt;/foreign-keys&gt;&lt;ref-type name="Computer Program"&gt;9&lt;/ref-type&gt;&lt;contributors&gt;&lt;authors&gt;&lt;author&gt;Josep Gregori&lt;/author&gt;&lt;author&gt;Alex Sanchez&lt;/author&gt;&lt;author&gt;Josep Villanueva&lt;/author&gt;&lt;/authors&gt;&lt;/contributors&gt;&lt;titles&gt;&lt;title&gt;msmsTests&lt;/title&gt;&lt;/titles&gt;&lt;pages&gt;msmsTests, http://www.bioconductor.org/packages/release/bioc/html/msmsTests.html&lt;/pages&gt;&lt;dates&gt;&lt;year&gt;2013&lt;/year&gt;&lt;/dates&gt;&lt;pub-location&gt;Bioconductor&lt;/pub-location&gt;&lt;urls&gt;&lt;/urls&gt;&lt;/record&gt;&lt;/Cite&gt;&lt;/EndNote&gt;</w:instrText>
      </w:r>
      <w:r w:rsidR="00152829" w:rsidRPr="00C16570">
        <w:rPr>
          <w:rFonts w:eastAsia="Batang"/>
          <w:lang w:eastAsia="ko-KR"/>
        </w:rPr>
        <w:fldChar w:fldCharType="separate"/>
      </w:r>
      <w:r w:rsidR="00152829">
        <w:rPr>
          <w:rFonts w:eastAsia="Batang"/>
          <w:noProof/>
          <w:lang w:eastAsia="ko-KR"/>
        </w:rPr>
        <w:t>[107]</w:t>
      </w:r>
      <w:r w:rsidR="00152829" w:rsidRPr="00C16570">
        <w:rPr>
          <w:rFonts w:eastAsia="Batang"/>
          <w:lang w:eastAsia="ko-KR"/>
        </w:rPr>
        <w:fldChar w:fldCharType="end"/>
      </w:r>
      <w:r w:rsidRPr="00CB2600">
        <w:t xml:space="preserve">.  </w:t>
      </w:r>
      <w:r w:rsidR="00157D26">
        <w:t xml:space="preserve">As is showed in chapter 3, </w:t>
      </w:r>
      <w:r w:rsidR="009A4A95">
        <w:t>f</w:t>
      </w:r>
      <w:r w:rsidRPr="00CB2600">
        <w:t xml:space="preserve">old change is widely used ES, but Cohen’s ES is better ES in terms of statistical power and selection power filtering false positives.  We used ‘selfea’ R package, </w:t>
      </w:r>
      <w:r w:rsidR="00943DE5">
        <w:t>described in chapter 3</w:t>
      </w:r>
      <w:r w:rsidRPr="00CB2600">
        <w:t xml:space="preserve">, to calculate Cohen’s </w:t>
      </w:r>
      <w:r w:rsidRPr="00CB2600">
        <w:rPr>
          <w:i/>
        </w:rPr>
        <w:t>w</w:t>
      </w:r>
      <w:r w:rsidRPr="00CB2600">
        <w:t xml:space="preserve"> that is designed for chi-square test that was used for GLMM NB model comparison.  Since a number of microbial proteins were significantly detected, we used very strict statistical filters (FDR-adjusted p-value (FDR) &lt; 0.0001) to make the expected number of false positives is smaller than 1.  When p-value threshold is 0.0001, minimum Cohen’s </w:t>
      </w:r>
      <w:r w:rsidRPr="00CB2600">
        <w:rPr>
          <w:i/>
        </w:rPr>
        <w:t>w</w:t>
      </w:r>
      <w:r w:rsidRPr="00CB2600">
        <w:t xml:space="preserve"> for our data was 1.0258 corresponding to 80% statistical power that is recommended level for reliable hypothesis test.  Statistical power is a probability correctly rejecting null hypothesis when it is false, so it is directly related statistics with reproducible result.  The expected number of false positives is 0.7 at 0.0001 FDR and 80% power.  The number of significantly detected human proteins is 94, while one of microbial proteins is 7,018.</w:t>
      </w:r>
    </w:p>
    <w:p w14:paraId="34DDAAE9" w14:textId="77777777" w:rsidR="0014092C" w:rsidRPr="00CB2600" w:rsidRDefault="0014092C" w:rsidP="00943DE5">
      <w:pPr>
        <w:pStyle w:val="Heading3"/>
      </w:pPr>
      <w:bookmarkStart w:id="111" w:name="_Toc296333752"/>
      <w:r w:rsidRPr="00CB2600">
        <w:t>Functional analysis of metaproteome data</w:t>
      </w:r>
      <w:bookmarkEnd w:id="111"/>
    </w:p>
    <w:p w14:paraId="36F26D75" w14:textId="70968C95" w:rsidR="0014092C" w:rsidRPr="00372220" w:rsidRDefault="0014092C" w:rsidP="0014092C">
      <w:pPr>
        <w:spacing w:line="480" w:lineRule="auto"/>
        <w:ind w:firstLine="720"/>
        <w:rPr>
          <w:color w:val="FF0000"/>
        </w:rPr>
      </w:pPr>
      <w:r w:rsidRPr="00CB2600">
        <w:t xml:space="preserve">Metaproteome data was functionally analyzed by using </w:t>
      </w:r>
      <w:r w:rsidR="00943DE5">
        <w:t>COG</w:t>
      </w:r>
      <w:r w:rsidRPr="00CB2600">
        <w:t xml:space="preserve"> for microbial proteins and </w:t>
      </w:r>
      <w:r w:rsidR="00943DE5">
        <w:t>KEGG</w:t>
      </w:r>
      <w:r w:rsidRPr="00CB2600">
        <w:t xml:space="preserve"> pathway terms.  </w:t>
      </w:r>
      <w:r w:rsidR="00024D04" w:rsidRPr="00CB2600">
        <w:t xml:space="preserve">Using COG-analysis pipeline of FAM </w:t>
      </w:r>
      <w:r w:rsidR="00024D04">
        <w:t>examined</w:t>
      </w:r>
      <w:r w:rsidR="00024D04" w:rsidRPr="00CB2600">
        <w:t xml:space="preserve"> COG </w:t>
      </w:r>
      <w:r w:rsidR="00024D04">
        <w:t>and COG functional terms</w:t>
      </w:r>
      <w:r w:rsidRPr="00CB2600">
        <w:t xml:space="preserve">.  To assign COG ID to microbial proteins, we used COG-software by following steps suggested by Kristensen et al.  For proteins, COG-software could not assign, PSI-BLAST search against </w:t>
      </w:r>
      <w:r w:rsidRPr="00CB2600">
        <w:lastRenderedPageBreak/>
        <w:t xml:space="preserve">COG sequences was used with cut off E-value 0.00000001.  We could assign COG ID to 54,290 microbial proteins.  To quantitatively analyze COG IDs, we transferred SC of member proteins, assigned to at least one COG ID, to COG ID.  Same assignment was done to 25 broad COG functional terms.  We applied GLMM NB model and Cohen’s </w:t>
      </w:r>
      <w:r w:rsidRPr="00CB2600">
        <w:rPr>
          <w:i/>
        </w:rPr>
        <w:t>w</w:t>
      </w:r>
      <w:r w:rsidRPr="00CB2600">
        <w:t xml:space="preserve"> to get significant COG terms and their broad functional terms.  For COG analysis, 0.0001 FDR thresholds and 1.0258 Cohen’s </w:t>
      </w:r>
      <w:r w:rsidRPr="00CB2600">
        <w:rPr>
          <w:i/>
        </w:rPr>
        <w:t>w</w:t>
      </w:r>
      <w:r w:rsidRPr="00CB2600">
        <w:t xml:space="preserve"> were applied. We could examine significantly changed 400 COG terms and 4 COG functional terms across different diet types.  Since many of significant COG terms were supported by only 1 or 2 member proteins, we filtered out COGs by the number of member proteins (member &gt; 2).  This rule was applied to COG functional terms.  After filtering by minimum member proteins, remaining COGs were 166 terms and 2 functional terms. </w:t>
      </w:r>
      <w:r w:rsidRPr="00B84AB3">
        <w:t xml:space="preserve"> For COG functions, we applied 0.001 FDR of GLMM-NB model and 0.9051 Cohen’s </w:t>
      </w:r>
      <w:r w:rsidRPr="00B84AB3">
        <w:rPr>
          <w:i/>
        </w:rPr>
        <w:t xml:space="preserve">w </w:t>
      </w:r>
      <w:r w:rsidRPr="00B84AB3">
        <w:t xml:space="preserve">(the number of expected false positive is 0.02).  </w:t>
      </w:r>
    </w:p>
    <w:p w14:paraId="0D5DFFEB" w14:textId="5F085CF4" w:rsidR="0014092C" w:rsidRPr="00CB2600" w:rsidRDefault="00220540" w:rsidP="0014092C">
      <w:pPr>
        <w:spacing w:line="480" w:lineRule="auto"/>
        <w:ind w:firstLine="720"/>
      </w:pPr>
      <w:r w:rsidRPr="00CB2600">
        <w:t xml:space="preserve">FAM </w:t>
      </w:r>
      <w:r>
        <w:t>was used to analyze</w:t>
      </w:r>
      <w:r w:rsidRPr="00CB2600">
        <w:t xml:space="preserve"> KEGG pathway </w:t>
      </w:r>
      <w:r>
        <w:t>for human proteins in diet metaproteome</w:t>
      </w:r>
      <w:r w:rsidR="0014092C" w:rsidRPr="00CB2600">
        <w:t xml:space="preserve">.  SC transfer to KEGG pathways was done like COG analysis.  </w:t>
      </w:r>
      <w:r w:rsidR="008034C8">
        <w:t>Enrichment test was carried out by QAM module</w:t>
      </w:r>
      <w:r w:rsidR="0014092C" w:rsidRPr="00CB2600">
        <w:t xml:space="preserve">.  FDR threshold for the enrichment test was 0.05.  To quantitatively analyze KEGG pathways, we applied GLMM NB model and Cohen’s w, 0.05 FDR thresholds and 0.6336 Cohen’s </w:t>
      </w:r>
      <w:r w:rsidR="0014092C" w:rsidRPr="00CB2600">
        <w:rPr>
          <w:i/>
        </w:rPr>
        <w:t>w</w:t>
      </w:r>
      <w:r w:rsidR="0014092C" w:rsidRPr="00CB2600">
        <w:t>, so that the number of expected false positives is 1.  We could identify 20 significant KEGG pathways.</w:t>
      </w:r>
    </w:p>
    <w:p w14:paraId="6A2F88C0" w14:textId="77777777" w:rsidR="0014092C" w:rsidRPr="00CB2600" w:rsidRDefault="0014092C" w:rsidP="00943DE5">
      <w:pPr>
        <w:pStyle w:val="Heading3"/>
      </w:pPr>
      <w:bookmarkStart w:id="112" w:name="_Toc296333753"/>
      <w:r w:rsidRPr="00CB2600">
        <w:lastRenderedPageBreak/>
        <w:t>Identification of translated-metagenome sequences</w:t>
      </w:r>
      <w:bookmarkEnd w:id="112"/>
    </w:p>
    <w:p w14:paraId="3C9E184C" w14:textId="3C9F0080" w:rsidR="0014092C" w:rsidRPr="00CB2600" w:rsidRDefault="0014092C" w:rsidP="0014092C">
      <w:pPr>
        <w:spacing w:line="480" w:lineRule="auto"/>
      </w:pPr>
      <w:r w:rsidRPr="00CB2600">
        <w:tab/>
        <w:t>Undefined translated-metagenome sequences (metagenome proteins) were defined by BLAST search</w:t>
      </w:r>
      <w:r w:rsidR="0047225C">
        <w:t xml:space="preserve"> pipeline of QFAM</w:t>
      </w:r>
      <w:r w:rsidRPr="00CB2600">
        <w:t xml:space="preserve"> against whole UniProt DB downloaded in Dec. 2014.  BLAST search, using BLAST 2.2.24, was fulfilled in Newton cluster of the University of Tennessee (</w:t>
      </w:r>
      <w:hyperlink r:id="rId66" w:history="1">
        <w:r w:rsidRPr="00CB2600">
          <w:rPr>
            <w:rStyle w:val="Hyperlink"/>
          </w:rPr>
          <w:t>https://newton.utk.edu/</w:t>
        </w:r>
      </w:hyperlink>
      <w:r w:rsidRPr="00CB2600">
        <w:t>).  We divided 48,284 metagenome proteins into 48 groups and had run 48 BLAST jobs simultaneously onto 48 cores of Newton cluster.  Sequence similarity was calculated for every alignment as described below:</w:t>
      </w:r>
    </w:p>
    <w:p w14:paraId="181700B1" w14:textId="77777777" w:rsidR="0014092C" w:rsidRPr="00CB2600" w:rsidRDefault="0014092C" w:rsidP="0014092C">
      <w:pPr>
        <w:spacing w:line="480" w:lineRule="auto"/>
      </w:pPr>
      <m:oMathPara>
        <m:oMath>
          <m:r>
            <w:rPr>
              <w:rFonts w:ascii="Cambria Math" w:hAnsi="Cambria Math"/>
            </w:rPr>
            <m:t>Similarity=</m:t>
          </m:r>
          <m:f>
            <m:fPr>
              <m:ctrlPr>
                <w:rPr>
                  <w:rFonts w:ascii="Cambria Math" w:hAnsi="Cambria Math"/>
                  <w:i/>
                </w:rPr>
              </m:ctrlPr>
            </m:fPr>
            <m:num>
              <m:r>
                <w:rPr>
                  <w:rFonts w:ascii="Cambria Math" w:hAnsi="Cambria Math"/>
                </w:rPr>
                <m:t>Aligned length</m:t>
              </m:r>
            </m:num>
            <m:den>
              <m:r>
                <w:rPr>
                  <w:rFonts w:ascii="Cambria Math" w:hAnsi="Cambria Math"/>
                </w:rPr>
                <m:t>Protein length</m:t>
              </m:r>
            </m:den>
          </m:f>
          <m:r>
            <w:rPr>
              <w:rFonts w:ascii="Cambria Math" w:hAnsi="Cambria Math"/>
            </w:rPr>
            <m:t>×Percent identity</m:t>
          </m:r>
        </m:oMath>
      </m:oMathPara>
    </w:p>
    <w:p w14:paraId="5EE1DD42" w14:textId="4A55DFF8" w:rsidR="0014092C" w:rsidRDefault="0014092C" w:rsidP="00670F0D">
      <w:pPr>
        <w:spacing w:line="480" w:lineRule="auto"/>
      </w:pPr>
      <w:r w:rsidRPr="00CB2600">
        <w:t>Where aligned length is value of ‘alignment length’ of BLAST result, protein length is the number of amino acid of a protein and percent identity is ‘% identity’ of BLAST result.  We assigned single UniProt ID to a metagenome protein by 95% sequence similarity without gap opens.  At 95% similarity level, 38,543 metagenome proteins were successfully determined.</w:t>
      </w:r>
    </w:p>
    <w:p w14:paraId="48FD783D" w14:textId="77777777" w:rsidR="00227728" w:rsidRPr="004030F5" w:rsidRDefault="00227728" w:rsidP="002277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14:paraId="3EFAAAF8" w14:textId="48721F0E" w:rsidR="00227728" w:rsidRPr="004030F5" w:rsidRDefault="00227728" w:rsidP="00227728">
      <w:pPr>
        <w:pStyle w:val="Heading2"/>
        <w:tabs>
          <w:tab w:val="left" w:pos="1536"/>
          <w:tab w:val="center" w:pos="4320"/>
        </w:tabs>
        <w:spacing w:line="480" w:lineRule="auto"/>
        <w:jc w:val="left"/>
      </w:pPr>
      <w:r>
        <w:tab/>
      </w:r>
      <w:r>
        <w:tab/>
      </w:r>
      <w:bookmarkStart w:id="113" w:name="_Toc296333754"/>
      <w:r w:rsidR="004D5AF5">
        <w:t>Results</w:t>
      </w:r>
      <w:bookmarkEnd w:id="113"/>
    </w:p>
    <w:p w14:paraId="317DCF73" w14:textId="66B41E38" w:rsidR="00227728" w:rsidRPr="004030F5" w:rsidRDefault="0047225C" w:rsidP="00227728">
      <w:pPr>
        <w:pStyle w:val="Heading3"/>
      </w:pPr>
      <w:bookmarkStart w:id="114" w:name="_Toc296333755"/>
      <w:r>
        <w:t>Generation of diet metaproteome data</w:t>
      </w:r>
      <w:bookmarkEnd w:id="114"/>
    </w:p>
    <w:p w14:paraId="671A5BAA" w14:textId="77777777" w:rsidR="00365EB0" w:rsidRDefault="0089433A" w:rsidP="00227728">
      <w:pPr>
        <w:spacing w:line="480" w:lineRule="auto"/>
        <w:rPr>
          <w:rFonts w:cs="Arial"/>
        </w:rPr>
      </w:pPr>
      <w:r>
        <w:rPr>
          <w:rFonts w:cs="Arial"/>
        </w:rPr>
        <w:tab/>
      </w:r>
      <w:r w:rsidR="007E0974">
        <w:rPr>
          <w:rFonts w:cs="Arial"/>
        </w:rPr>
        <w:t xml:space="preserve">From 24 MS runs (8 patients * 3 diets), 57,398 proteins were determined.  Of 57,398 proteins, 56,295 were from microbiome and 1,103 were host human proteins.  This identification bias </w:t>
      </w:r>
      <w:r w:rsidR="00352608">
        <w:rPr>
          <w:rFonts w:cs="Arial"/>
        </w:rPr>
        <w:t xml:space="preserve">is caused by indirect protein extraction method (Fig. 29).  </w:t>
      </w:r>
      <w:r w:rsidR="006E2E81">
        <w:rPr>
          <w:rFonts w:cs="Arial"/>
        </w:rPr>
        <w:t xml:space="preserve">Since we collected microbial pellets and removed </w:t>
      </w:r>
      <w:r w:rsidR="00BF5EC2" w:rsidRPr="00BF5EC2">
        <w:rPr>
          <w:rFonts w:cs="Arial"/>
        </w:rPr>
        <w:t>supernatant</w:t>
      </w:r>
      <w:r w:rsidR="00BF5EC2">
        <w:rPr>
          <w:rFonts w:cs="Arial"/>
        </w:rPr>
        <w:t xml:space="preserve">, human </w:t>
      </w:r>
      <w:r w:rsidR="00BF5EC2">
        <w:rPr>
          <w:rFonts w:cs="Arial"/>
        </w:rPr>
        <w:lastRenderedPageBreak/>
        <w:t xml:space="preserve">proteins, floating in supernatant, were efficiently removed.  </w:t>
      </w:r>
      <w:r w:rsidR="00327F9F">
        <w:rPr>
          <w:rFonts w:cs="Arial"/>
        </w:rPr>
        <w:t xml:space="preserve">Filtering out of host proteins are required to get more microbial proteins from fecal samples.  This diet proteome study targets understanding of changes in microbiome communities, so half </w:t>
      </w:r>
      <w:r w:rsidR="006F3E32">
        <w:rPr>
          <w:rFonts w:cs="Arial"/>
        </w:rPr>
        <w:t>number of human proteins was</w:t>
      </w:r>
      <w:r w:rsidR="00327F9F">
        <w:rPr>
          <w:rFonts w:cs="Arial"/>
        </w:rPr>
        <w:t xml:space="preserve"> identified </w:t>
      </w:r>
      <w:r w:rsidR="0055140E">
        <w:rPr>
          <w:rFonts w:cs="Arial"/>
        </w:rPr>
        <w:t xml:space="preserve">when compared to human fecal proteome study of chapter 4.  </w:t>
      </w:r>
      <w:r w:rsidR="00327F9F">
        <w:rPr>
          <w:rFonts w:cs="Arial"/>
        </w:rPr>
        <w:t xml:space="preserve"> </w:t>
      </w:r>
    </w:p>
    <w:p w14:paraId="6FA2DE0E" w14:textId="1BB7DC71" w:rsidR="00F77310" w:rsidRDefault="006F3E32" w:rsidP="004B6A96">
      <w:pPr>
        <w:spacing w:line="480" w:lineRule="auto"/>
        <w:ind w:firstLine="720"/>
        <w:rPr>
          <w:rFonts w:cs="Arial"/>
        </w:rPr>
      </w:pPr>
      <w:r>
        <w:rPr>
          <w:rFonts w:cs="Arial"/>
        </w:rPr>
        <w:t xml:space="preserve">Much more number of microbial proteins was detected in this study than human fecal proteome study (56k of diet proteome vs. 5k of human fecal proteome).  </w:t>
      </w:r>
      <w:r w:rsidR="001C7829">
        <w:rPr>
          <w:rFonts w:cs="Arial"/>
        </w:rPr>
        <w:t>This abundant microbial protein examinatio</w:t>
      </w:r>
      <w:r w:rsidR="00CE3903">
        <w:rPr>
          <w:rFonts w:cs="Arial"/>
        </w:rPr>
        <w:t xml:space="preserve">n is due to two reasons.  First, it </w:t>
      </w:r>
      <w:r w:rsidR="001C7829">
        <w:rPr>
          <w:rFonts w:cs="Arial"/>
        </w:rPr>
        <w:t xml:space="preserve">is employing indirect protein collection method as is described in chapter 4.  Another factor is the metagenome sequencing.  As is explained in chapter 4, species composition of human feces is not known and is </w:t>
      </w:r>
      <w:r w:rsidR="00E0767C">
        <w:rPr>
          <w:rFonts w:cs="Arial"/>
        </w:rPr>
        <w:t>various from person to person.  In this study, metagenome sequencing was emp</w:t>
      </w:r>
      <w:r w:rsidR="00E01852">
        <w:rPr>
          <w:rFonts w:cs="Arial"/>
        </w:rPr>
        <w:t>loyed and added to PSM search</w:t>
      </w:r>
      <w:r w:rsidR="00964BBB">
        <w:rPr>
          <w:rFonts w:cs="Arial"/>
        </w:rPr>
        <w:t>, while it wasn’t in human fecal proteome study</w:t>
      </w:r>
      <w:r w:rsidR="00E01852">
        <w:rPr>
          <w:rFonts w:cs="Arial"/>
        </w:rPr>
        <w:t xml:space="preserve">.  Since metagenome is not annotated, metagenome characterization is required.  However, </w:t>
      </w:r>
      <w:r w:rsidR="00217672">
        <w:rPr>
          <w:rFonts w:cs="Arial"/>
        </w:rPr>
        <w:t>microbial protein identification is dramatically increased by metagenome sequences and indirect</w:t>
      </w:r>
      <w:r w:rsidR="00CE3903">
        <w:rPr>
          <w:rFonts w:cs="Arial"/>
        </w:rPr>
        <w:t xml:space="preserve"> method.</w:t>
      </w:r>
      <w:r w:rsidR="00142E28">
        <w:rPr>
          <w:rFonts w:cs="Arial"/>
        </w:rPr>
        <w:t xml:space="preserve">  The number of metagenome proteins, translated metagenome coding genes, is 48,376 of 56,295 total microbial proteins.  This is 86% of total microbial protein identifications, which means showing huge contribution of metagenome proteins to increase of microbial proteins.</w:t>
      </w:r>
    </w:p>
    <w:p w14:paraId="47DB167A" w14:textId="70028ECF" w:rsidR="004B6A96" w:rsidRDefault="00B07AFB" w:rsidP="00EE2A17">
      <w:pPr>
        <w:spacing w:line="480" w:lineRule="auto"/>
        <w:rPr>
          <w:rFonts w:cs="Arial"/>
        </w:rPr>
      </w:pPr>
      <w:r>
        <w:rPr>
          <w:rFonts w:cs="Arial"/>
        </w:rPr>
        <w:tab/>
        <w:t>Some species had significant changes in the number of identified proteins</w:t>
      </w:r>
      <w:r w:rsidR="00EE2A17">
        <w:rPr>
          <w:rFonts w:cs="Arial"/>
        </w:rPr>
        <w:t xml:space="preserve"> (Table 20)</w:t>
      </w:r>
      <w:r>
        <w:rPr>
          <w:rFonts w:cs="Arial"/>
        </w:rPr>
        <w:t>.</w:t>
      </w:r>
      <w:r w:rsidR="00EE2A17">
        <w:rPr>
          <w:rFonts w:cs="Arial"/>
        </w:rPr>
        <w:t xml:space="preserve"> </w:t>
      </w:r>
      <w:r>
        <w:rPr>
          <w:rFonts w:cs="Arial"/>
        </w:rPr>
        <w:t xml:space="preserve">  </w:t>
      </w:r>
      <w:r w:rsidR="00DD7295">
        <w:rPr>
          <w:rFonts w:cs="Arial"/>
        </w:rPr>
        <w:t>The number of metagenome proteins was increased by RS amount (</w:t>
      </w:r>
      <w:r w:rsidR="00F373F9">
        <w:rPr>
          <w:rFonts w:cs="Arial"/>
        </w:rPr>
        <w:t>26,</w:t>
      </w:r>
      <w:r w:rsidR="00EE2A17">
        <w:rPr>
          <w:rFonts w:cs="Arial"/>
        </w:rPr>
        <w:t xml:space="preserve">075 in LRS and 28,776 in HRS).  As is reported previously </w:t>
      </w:r>
      <w:r w:rsidR="00EE2A17">
        <w:rPr>
          <w:rFonts w:cs="Arial"/>
          <w:iCs/>
        </w:rPr>
        <w:fldChar w:fldCharType="begin"/>
      </w:r>
      <w:r w:rsidR="00EE2A17">
        <w:rPr>
          <w:rFonts w:cs="Arial"/>
          <w:iCs/>
        </w:rPr>
        <w:instrText xml:space="preserve"> ADDIN EN.CITE &lt;EndNote&gt;&lt;Cite&gt;&lt;Author&gt;De Filippo&lt;/Author&gt;&lt;Year&gt;2010&lt;/Year&gt;&lt;RecNum&gt;201&lt;/RecNum&gt;&lt;DisplayText&gt;[153]&lt;/DisplayText&gt;&lt;record&gt;&lt;rec-number&gt;201&lt;/rec-number&gt;&lt;foreign-keys&gt;&lt;key app="EN" db-id="efx2002d5f0z21etvw3x9zp7tw2axpa2eez0" timestamp="1434661181"&gt;201&lt;/key&gt;&lt;/foreign-keys&gt;&lt;ref-type name="Journal Article"&gt;17&lt;/ref-type&gt;&lt;contributors&gt;&lt;authors&gt;&lt;author&gt;De Filippo, Carlotta&lt;/author&gt;&lt;author&gt;Cavalieri, Duccio&lt;/author&gt;&lt;author&gt;Di Paola, Monica&lt;/author&gt;&lt;author&gt;Ramazzotti, Matteo&lt;/author&gt;&lt;author&gt;Poullet, Jean Baptiste&lt;/author&gt;&lt;author&gt;Massart, Sebastien&lt;/author&gt;&lt;author&gt;Collini, Silvia&lt;/author&gt;&lt;author&gt;Pieraccini, Giuseppe&lt;/author&gt;&lt;author&gt;Lionetti, Paolo&lt;/author&gt;&lt;/authors&gt;&lt;/contributors&gt;&lt;titles&gt;&lt;title&gt;Impact of diet in shaping gut microbiota revealed by a comparative study in children from Europe and rural Africa&lt;/title&gt;&lt;secondary-title&gt;Proceedings of the National Academy of Sciences&lt;/secondary-title&gt;&lt;/titles&gt;&lt;periodical&gt;&lt;full-title&gt;Proceedings of the National Academy of Sciences&lt;/full-title&gt;&lt;/periodical&gt;&lt;pages&gt;14691-14696&lt;/pages&gt;&lt;volume&gt;107&lt;/volume&gt;&lt;number&gt;33&lt;/number&gt;&lt;dates&gt;&lt;year&gt;2010&lt;/year&gt;&lt;/dates&gt;&lt;isbn&gt;0027-8424&lt;/isbn&gt;&lt;urls&gt;&lt;/urls&gt;&lt;/record&gt;&lt;/Cite&gt;&lt;/EndNote&gt;</w:instrText>
      </w:r>
      <w:r w:rsidR="00EE2A17">
        <w:rPr>
          <w:rFonts w:cs="Arial"/>
          <w:iCs/>
        </w:rPr>
        <w:fldChar w:fldCharType="separate"/>
      </w:r>
      <w:r w:rsidR="00EE2A17">
        <w:rPr>
          <w:rFonts w:cs="Arial"/>
          <w:iCs/>
          <w:noProof/>
        </w:rPr>
        <w:t>[153]</w:t>
      </w:r>
      <w:r w:rsidR="00EE2A17">
        <w:rPr>
          <w:rFonts w:cs="Arial"/>
          <w:iCs/>
        </w:rPr>
        <w:fldChar w:fldCharType="end"/>
      </w:r>
      <w:r w:rsidR="00EE2A17">
        <w:rPr>
          <w:rFonts w:cs="Arial"/>
          <w:iCs/>
        </w:rPr>
        <w:t xml:space="preserve">, </w:t>
      </w:r>
      <w:r w:rsidR="00EE2A17" w:rsidRPr="00EE2A17">
        <w:rPr>
          <w:rFonts w:cs="Arial"/>
          <w:i/>
          <w:iCs/>
        </w:rPr>
        <w:t>Bacteriodes</w:t>
      </w:r>
      <w:r w:rsidR="00EE2A17">
        <w:rPr>
          <w:rFonts w:cs="Arial"/>
          <w:iCs/>
        </w:rPr>
        <w:t xml:space="preserve"> showed changes by RS amount (Table 20).</w:t>
      </w:r>
      <w:r w:rsidR="004B6A96">
        <w:rPr>
          <w:rFonts w:cs="Arial"/>
        </w:rPr>
        <w:br w:type="page"/>
      </w:r>
    </w:p>
    <w:p w14:paraId="7EF4708B" w14:textId="502BBA89" w:rsidR="00B07AFB" w:rsidRDefault="00B07AFB" w:rsidP="00B07AFB">
      <w:pPr>
        <w:pStyle w:val="Caption"/>
        <w:keepNext/>
      </w:pPr>
      <w:bookmarkStart w:id="115" w:name="_Toc296333092"/>
      <w:r>
        <w:lastRenderedPageBreak/>
        <w:t xml:space="preserve">Table </w:t>
      </w:r>
      <w:fldSimple w:instr=" SEQ Table \* ARABIC ">
        <w:r w:rsidR="0093776B">
          <w:rPr>
            <w:noProof/>
          </w:rPr>
          <w:t>20</w:t>
        </w:r>
      </w:fldSimple>
      <w:r w:rsidR="00674A89">
        <w:t xml:space="preserve"> The number of identified proteins in different species. </w:t>
      </w:r>
      <w:r w:rsidR="00674A89" w:rsidRPr="00674A89">
        <w:rPr>
          <w:b w:val="0"/>
        </w:rPr>
        <w:t xml:space="preserve"> SD</w:t>
      </w:r>
      <w:r w:rsidR="00674A89">
        <w:rPr>
          <w:b w:val="0"/>
        </w:rPr>
        <w:t xml:space="preserve"> is standard deviation of numbers in three different diets.</w:t>
      </w:r>
      <w:bookmarkEnd w:id="115"/>
    </w:p>
    <w:tbl>
      <w:tblPr>
        <w:tblW w:w="8838" w:type="dxa"/>
        <w:jc w:val="center"/>
        <w:tblLayout w:type="fixed"/>
        <w:tblLook w:val="04A0" w:firstRow="1" w:lastRow="0" w:firstColumn="1" w:lastColumn="0" w:noHBand="0" w:noVBand="1"/>
      </w:tblPr>
      <w:tblGrid>
        <w:gridCol w:w="4840"/>
        <w:gridCol w:w="1028"/>
        <w:gridCol w:w="990"/>
        <w:gridCol w:w="900"/>
        <w:gridCol w:w="1080"/>
      </w:tblGrid>
      <w:tr w:rsidR="00B07AFB" w:rsidRPr="00B07AFB" w14:paraId="416D02A4" w14:textId="77777777" w:rsidTr="00B07AFB">
        <w:trPr>
          <w:trHeight w:val="300"/>
          <w:jc w:val="center"/>
        </w:trPr>
        <w:tc>
          <w:tcPr>
            <w:tcW w:w="4840" w:type="dxa"/>
            <w:noWrap/>
            <w:hideMark/>
          </w:tcPr>
          <w:p w14:paraId="640D7DF6" w14:textId="77777777" w:rsidR="00B07AFB" w:rsidRPr="00B07AFB" w:rsidRDefault="00B07AFB">
            <w:pPr>
              <w:jc w:val="center"/>
              <w:rPr>
                <w:rFonts w:ascii="Calibri" w:eastAsia="Times New Roman" w:hAnsi="Calibri"/>
                <w:bCs/>
                <w:color w:val="000000"/>
              </w:rPr>
            </w:pPr>
            <w:r w:rsidRPr="00B07AFB">
              <w:rPr>
                <w:rFonts w:ascii="Calibri" w:eastAsia="Times New Roman" w:hAnsi="Calibri"/>
                <w:bCs/>
                <w:color w:val="000000"/>
              </w:rPr>
              <w:t>Species</w:t>
            </w:r>
          </w:p>
        </w:tc>
        <w:tc>
          <w:tcPr>
            <w:tcW w:w="1028" w:type="dxa"/>
            <w:noWrap/>
            <w:hideMark/>
          </w:tcPr>
          <w:p w14:paraId="74A63A21" w14:textId="77777777" w:rsidR="00B07AFB" w:rsidRPr="00B07AFB" w:rsidRDefault="00B07AFB">
            <w:pPr>
              <w:jc w:val="center"/>
              <w:rPr>
                <w:rFonts w:ascii="Calibri" w:eastAsia="Times New Roman" w:hAnsi="Calibri"/>
                <w:bCs/>
                <w:color w:val="000000"/>
              </w:rPr>
            </w:pPr>
            <w:r w:rsidRPr="00B07AFB">
              <w:rPr>
                <w:rFonts w:ascii="Calibri" w:eastAsia="Times New Roman" w:hAnsi="Calibri"/>
                <w:bCs/>
                <w:color w:val="000000"/>
              </w:rPr>
              <w:t>Baseline</w:t>
            </w:r>
          </w:p>
        </w:tc>
        <w:tc>
          <w:tcPr>
            <w:tcW w:w="990" w:type="dxa"/>
            <w:noWrap/>
            <w:hideMark/>
          </w:tcPr>
          <w:p w14:paraId="2810F62E" w14:textId="77777777" w:rsidR="00B07AFB" w:rsidRPr="00B07AFB" w:rsidRDefault="00B07AFB">
            <w:pPr>
              <w:jc w:val="center"/>
              <w:rPr>
                <w:rFonts w:ascii="Calibri" w:eastAsia="Times New Roman" w:hAnsi="Calibri"/>
                <w:bCs/>
                <w:color w:val="000000"/>
              </w:rPr>
            </w:pPr>
            <w:r w:rsidRPr="00B07AFB">
              <w:rPr>
                <w:rFonts w:ascii="Calibri" w:eastAsia="Times New Roman" w:hAnsi="Calibri"/>
                <w:bCs/>
                <w:color w:val="000000"/>
              </w:rPr>
              <w:t>LRS</w:t>
            </w:r>
          </w:p>
        </w:tc>
        <w:tc>
          <w:tcPr>
            <w:tcW w:w="900" w:type="dxa"/>
            <w:noWrap/>
            <w:hideMark/>
          </w:tcPr>
          <w:p w14:paraId="2DC115A8" w14:textId="77777777" w:rsidR="00B07AFB" w:rsidRPr="00B07AFB" w:rsidRDefault="00B07AFB">
            <w:pPr>
              <w:jc w:val="center"/>
              <w:rPr>
                <w:rFonts w:ascii="Calibri" w:eastAsia="Times New Roman" w:hAnsi="Calibri"/>
                <w:bCs/>
                <w:color w:val="000000"/>
              </w:rPr>
            </w:pPr>
            <w:r w:rsidRPr="00B07AFB">
              <w:rPr>
                <w:rFonts w:ascii="Calibri" w:eastAsia="Times New Roman" w:hAnsi="Calibri"/>
                <w:bCs/>
                <w:color w:val="000000"/>
              </w:rPr>
              <w:t>HRS</w:t>
            </w:r>
          </w:p>
        </w:tc>
        <w:tc>
          <w:tcPr>
            <w:tcW w:w="1080" w:type="dxa"/>
            <w:noWrap/>
            <w:hideMark/>
          </w:tcPr>
          <w:p w14:paraId="6368AACA" w14:textId="77777777" w:rsidR="00B07AFB" w:rsidRPr="00B07AFB" w:rsidRDefault="00B07AFB">
            <w:pPr>
              <w:jc w:val="center"/>
              <w:rPr>
                <w:rFonts w:ascii="Calibri" w:eastAsia="Times New Roman" w:hAnsi="Calibri"/>
                <w:bCs/>
                <w:color w:val="000000"/>
              </w:rPr>
            </w:pPr>
            <w:r w:rsidRPr="00B07AFB">
              <w:rPr>
                <w:rFonts w:ascii="Calibri" w:eastAsia="Times New Roman" w:hAnsi="Calibri"/>
                <w:bCs/>
                <w:color w:val="000000"/>
              </w:rPr>
              <w:t>SD</w:t>
            </w:r>
          </w:p>
        </w:tc>
      </w:tr>
      <w:tr w:rsidR="00B07AFB" w:rsidRPr="00B07AFB" w14:paraId="63371BB3" w14:textId="77777777" w:rsidTr="00B07AFB">
        <w:trPr>
          <w:trHeight w:val="300"/>
          <w:jc w:val="center"/>
        </w:trPr>
        <w:tc>
          <w:tcPr>
            <w:tcW w:w="4840" w:type="dxa"/>
            <w:noWrap/>
            <w:hideMark/>
          </w:tcPr>
          <w:p w14:paraId="0E0B1FB4"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Aeromonas hydrophila hydrophila ATCC 7966  </w:t>
            </w:r>
          </w:p>
        </w:tc>
        <w:tc>
          <w:tcPr>
            <w:tcW w:w="1028" w:type="dxa"/>
            <w:noWrap/>
            <w:hideMark/>
          </w:tcPr>
          <w:p w14:paraId="5BCBF2D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w:t>
            </w:r>
          </w:p>
        </w:tc>
        <w:tc>
          <w:tcPr>
            <w:tcW w:w="990" w:type="dxa"/>
            <w:noWrap/>
            <w:hideMark/>
          </w:tcPr>
          <w:p w14:paraId="3A30E42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w:t>
            </w:r>
          </w:p>
        </w:tc>
        <w:tc>
          <w:tcPr>
            <w:tcW w:w="900" w:type="dxa"/>
            <w:noWrap/>
            <w:hideMark/>
          </w:tcPr>
          <w:p w14:paraId="00AD53C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w:t>
            </w:r>
          </w:p>
        </w:tc>
        <w:tc>
          <w:tcPr>
            <w:tcW w:w="1080" w:type="dxa"/>
            <w:noWrap/>
            <w:hideMark/>
          </w:tcPr>
          <w:p w14:paraId="1474E30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0.58</w:t>
            </w:r>
          </w:p>
        </w:tc>
      </w:tr>
      <w:tr w:rsidR="00B07AFB" w:rsidRPr="00B07AFB" w14:paraId="3BCF0197" w14:textId="77777777" w:rsidTr="00B07AFB">
        <w:trPr>
          <w:trHeight w:val="300"/>
          <w:jc w:val="center"/>
        </w:trPr>
        <w:tc>
          <w:tcPr>
            <w:tcW w:w="4840" w:type="dxa"/>
            <w:noWrap/>
            <w:hideMark/>
          </w:tcPr>
          <w:p w14:paraId="542E8D49"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Desulfovibrio sp. 3_1_syn3</w:t>
            </w:r>
          </w:p>
        </w:tc>
        <w:tc>
          <w:tcPr>
            <w:tcW w:w="1028" w:type="dxa"/>
            <w:noWrap/>
            <w:hideMark/>
          </w:tcPr>
          <w:p w14:paraId="18EF173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13</w:t>
            </w:r>
          </w:p>
        </w:tc>
        <w:tc>
          <w:tcPr>
            <w:tcW w:w="990" w:type="dxa"/>
            <w:noWrap/>
            <w:hideMark/>
          </w:tcPr>
          <w:p w14:paraId="275A6FD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13</w:t>
            </w:r>
          </w:p>
        </w:tc>
        <w:tc>
          <w:tcPr>
            <w:tcW w:w="900" w:type="dxa"/>
            <w:noWrap/>
            <w:hideMark/>
          </w:tcPr>
          <w:p w14:paraId="5380B92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w:t>
            </w:r>
          </w:p>
        </w:tc>
        <w:tc>
          <w:tcPr>
            <w:tcW w:w="1080" w:type="dxa"/>
            <w:noWrap/>
            <w:hideMark/>
          </w:tcPr>
          <w:p w14:paraId="0C4B322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1.15</w:t>
            </w:r>
          </w:p>
        </w:tc>
      </w:tr>
      <w:tr w:rsidR="00B07AFB" w:rsidRPr="00B07AFB" w14:paraId="4DA32233" w14:textId="77777777" w:rsidTr="00B07AFB">
        <w:trPr>
          <w:trHeight w:val="300"/>
          <w:jc w:val="center"/>
        </w:trPr>
        <w:tc>
          <w:tcPr>
            <w:tcW w:w="4840" w:type="dxa"/>
            <w:noWrap/>
            <w:hideMark/>
          </w:tcPr>
          <w:p w14:paraId="0F7CE363"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Escherichia coli CFT073  </w:t>
            </w:r>
          </w:p>
        </w:tc>
        <w:tc>
          <w:tcPr>
            <w:tcW w:w="1028" w:type="dxa"/>
            <w:noWrap/>
            <w:hideMark/>
          </w:tcPr>
          <w:p w14:paraId="452C052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12</w:t>
            </w:r>
          </w:p>
        </w:tc>
        <w:tc>
          <w:tcPr>
            <w:tcW w:w="990" w:type="dxa"/>
            <w:noWrap/>
            <w:hideMark/>
          </w:tcPr>
          <w:p w14:paraId="44CED89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w:t>
            </w:r>
          </w:p>
        </w:tc>
        <w:tc>
          <w:tcPr>
            <w:tcW w:w="900" w:type="dxa"/>
            <w:noWrap/>
            <w:hideMark/>
          </w:tcPr>
          <w:p w14:paraId="4E5761B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w:t>
            </w:r>
          </w:p>
        </w:tc>
        <w:tc>
          <w:tcPr>
            <w:tcW w:w="1080" w:type="dxa"/>
            <w:noWrap/>
            <w:hideMark/>
          </w:tcPr>
          <w:p w14:paraId="094C429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2.00</w:t>
            </w:r>
          </w:p>
        </w:tc>
      </w:tr>
      <w:tr w:rsidR="00B07AFB" w:rsidRPr="00B07AFB" w14:paraId="2FD5A393" w14:textId="77777777" w:rsidTr="00B07AFB">
        <w:trPr>
          <w:trHeight w:val="300"/>
          <w:jc w:val="center"/>
        </w:trPr>
        <w:tc>
          <w:tcPr>
            <w:tcW w:w="4840" w:type="dxa"/>
            <w:noWrap/>
            <w:hideMark/>
          </w:tcPr>
          <w:p w14:paraId="0663D0BA"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Lactobacillus reuteri CF48-3A  </w:t>
            </w:r>
          </w:p>
        </w:tc>
        <w:tc>
          <w:tcPr>
            <w:tcW w:w="1028" w:type="dxa"/>
            <w:noWrap/>
            <w:hideMark/>
          </w:tcPr>
          <w:p w14:paraId="3E4B2D0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w:t>
            </w:r>
          </w:p>
        </w:tc>
        <w:tc>
          <w:tcPr>
            <w:tcW w:w="990" w:type="dxa"/>
            <w:noWrap/>
            <w:hideMark/>
          </w:tcPr>
          <w:p w14:paraId="650AA3D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w:t>
            </w:r>
          </w:p>
        </w:tc>
        <w:tc>
          <w:tcPr>
            <w:tcW w:w="900" w:type="dxa"/>
            <w:noWrap/>
            <w:hideMark/>
          </w:tcPr>
          <w:p w14:paraId="643BF0C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w:t>
            </w:r>
          </w:p>
        </w:tc>
        <w:tc>
          <w:tcPr>
            <w:tcW w:w="1080" w:type="dxa"/>
            <w:noWrap/>
            <w:hideMark/>
          </w:tcPr>
          <w:p w14:paraId="6A8FF5C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2.00</w:t>
            </w:r>
          </w:p>
        </w:tc>
      </w:tr>
      <w:tr w:rsidR="00B07AFB" w:rsidRPr="00B07AFB" w14:paraId="7C864C92" w14:textId="77777777" w:rsidTr="00B07AFB">
        <w:trPr>
          <w:trHeight w:val="300"/>
          <w:jc w:val="center"/>
        </w:trPr>
        <w:tc>
          <w:tcPr>
            <w:tcW w:w="4840" w:type="dxa"/>
            <w:noWrap/>
            <w:hideMark/>
          </w:tcPr>
          <w:p w14:paraId="31F0F9AC"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Enterococcus faecalis PC4.1  </w:t>
            </w:r>
          </w:p>
        </w:tc>
        <w:tc>
          <w:tcPr>
            <w:tcW w:w="1028" w:type="dxa"/>
            <w:noWrap/>
            <w:hideMark/>
          </w:tcPr>
          <w:p w14:paraId="04A708F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w:t>
            </w:r>
          </w:p>
        </w:tc>
        <w:tc>
          <w:tcPr>
            <w:tcW w:w="990" w:type="dxa"/>
            <w:noWrap/>
            <w:hideMark/>
          </w:tcPr>
          <w:p w14:paraId="170F982A"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w:t>
            </w:r>
          </w:p>
        </w:tc>
        <w:tc>
          <w:tcPr>
            <w:tcW w:w="900" w:type="dxa"/>
            <w:noWrap/>
            <w:hideMark/>
          </w:tcPr>
          <w:p w14:paraId="4C4D521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w:t>
            </w:r>
          </w:p>
        </w:tc>
        <w:tc>
          <w:tcPr>
            <w:tcW w:w="1080" w:type="dxa"/>
            <w:noWrap/>
            <w:hideMark/>
          </w:tcPr>
          <w:p w14:paraId="4D52CCC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2.08</w:t>
            </w:r>
          </w:p>
        </w:tc>
      </w:tr>
      <w:tr w:rsidR="00B07AFB" w:rsidRPr="00B07AFB" w14:paraId="1F394C3D" w14:textId="77777777" w:rsidTr="00B07AFB">
        <w:trPr>
          <w:trHeight w:val="300"/>
          <w:jc w:val="center"/>
        </w:trPr>
        <w:tc>
          <w:tcPr>
            <w:tcW w:w="4840" w:type="dxa"/>
            <w:noWrap/>
            <w:hideMark/>
          </w:tcPr>
          <w:p w14:paraId="47348748"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Shigella flexneri 2a 2457T</w:t>
            </w:r>
          </w:p>
        </w:tc>
        <w:tc>
          <w:tcPr>
            <w:tcW w:w="1028" w:type="dxa"/>
            <w:noWrap/>
            <w:hideMark/>
          </w:tcPr>
          <w:p w14:paraId="4536B3F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w:t>
            </w:r>
          </w:p>
        </w:tc>
        <w:tc>
          <w:tcPr>
            <w:tcW w:w="990" w:type="dxa"/>
            <w:noWrap/>
            <w:hideMark/>
          </w:tcPr>
          <w:p w14:paraId="5EA1F5C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w:t>
            </w:r>
          </w:p>
        </w:tc>
        <w:tc>
          <w:tcPr>
            <w:tcW w:w="900" w:type="dxa"/>
            <w:noWrap/>
            <w:hideMark/>
          </w:tcPr>
          <w:p w14:paraId="065E82E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w:t>
            </w:r>
          </w:p>
        </w:tc>
        <w:tc>
          <w:tcPr>
            <w:tcW w:w="1080" w:type="dxa"/>
            <w:noWrap/>
            <w:hideMark/>
          </w:tcPr>
          <w:p w14:paraId="72CF8BF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2.08</w:t>
            </w:r>
          </w:p>
        </w:tc>
      </w:tr>
      <w:tr w:rsidR="00B07AFB" w:rsidRPr="00B07AFB" w14:paraId="3C3853BD" w14:textId="77777777" w:rsidTr="00B07AFB">
        <w:trPr>
          <w:trHeight w:val="300"/>
          <w:jc w:val="center"/>
        </w:trPr>
        <w:tc>
          <w:tcPr>
            <w:tcW w:w="4840" w:type="dxa"/>
            <w:noWrap/>
            <w:hideMark/>
          </w:tcPr>
          <w:p w14:paraId="742E7AFA"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Methanobrevibacter smithii F1, DSM 2374  </w:t>
            </w:r>
          </w:p>
        </w:tc>
        <w:tc>
          <w:tcPr>
            <w:tcW w:w="1028" w:type="dxa"/>
            <w:noWrap/>
            <w:hideMark/>
          </w:tcPr>
          <w:p w14:paraId="3630B93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w:t>
            </w:r>
          </w:p>
        </w:tc>
        <w:tc>
          <w:tcPr>
            <w:tcW w:w="990" w:type="dxa"/>
            <w:noWrap/>
            <w:hideMark/>
          </w:tcPr>
          <w:p w14:paraId="063E382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w:t>
            </w:r>
          </w:p>
        </w:tc>
        <w:tc>
          <w:tcPr>
            <w:tcW w:w="900" w:type="dxa"/>
            <w:noWrap/>
            <w:hideMark/>
          </w:tcPr>
          <w:p w14:paraId="1BFC89A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w:t>
            </w:r>
          </w:p>
        </w:tc>
        <w:tc>
          <w:tcPr>
            <w:tcW w:w="1080" w:type="dxa"/>
            <w:noWrap/>
            <w:hideMark/>
          </w:tcPr>
          <w:p w14:paraId="4239BDE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2.89</w:t>
            </w:r>
          </w:p>
        </w:tc>
      </w:tr>
      <w:tr w:rsidR="00B07AFB" w:rsidRPr="00B07AFB" w14:paraId="3BB41401" w14:textId="77777777" w:rsidTr="00B07AFB">
        <w:trPr>
          <w:trHeight w:val="300"/>
          <w:jc w:val="center"/>
        </w:trPr>
        <w:tc>
          <w:tcPr>
            <w:tcW w:w="4840" w:type="dxa"/>
            <w:noWrap/>
            <w:hideMark/>
          </w:tcPr>
          <w:p w14:paraId="57F1524D"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Salmonella enterica enterica sv Typhi Ty2</w:t>
            </w:r>
          </w:p>
        </w:tc>
        <w:tc>
          <w:tcPr>
            <w:tcW w:w="1028" w:type="dxa"/>
            <w:noWrap/>
            <w:hideMark/>
          </w:tcPr>
          <w:p w14:paraId="5FEF293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13</w:t>
            </w:r>
          </w:p>
        </w:tc>
        <w:tc>
          <w:tcPr>
            <w:tcW w:w="990" w:type="dxa"/>
            <w:noWrap/>
            <w:hideMark/>
          </w:tcPr>
          <w:p w14:paraId="750DFE1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w:t>
            </w:r>
          </w:p>
        </w:tc>
        <w:tc>
          <w:tcPr>
            <w:tcW w:w="900" w:type="dxa"/>
            <w:noWrap/>
            <w:hideMark/>
          </w:tcPr>
          <w:p w14:paraId="34DAD9D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w:t>
            </w:r>
          </w:p>
        </w:tc>
        <w:tc>
          <w:tcPr>
            <w:tcW w:w="1080" w:type="dxa"/>
            <w:noWrap/>
            <w:hideMark/>
          </w:tcPr>
          <w:p w14:paraId="4AE4844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2.89</w:t>
            </w:r>
          </w:p>
        </w:tc>
      </w:tr>
      <w:tr w:rsidR="00B07AFB" w:rsidRPr="00B07AFB" w14:paraId="4A7D4FC6" w14:textId="77777777" w:rsidTr="00B07AFB">
        <w:trPr>
          <w:trHeight w:val="300"/>
          <w:jc w:val="center"/>
        </w:trPr>
        <w:tc>
          <w:tcPr>
            <w:tcW w:w="4840" w:type="dxa"/>
            <w:noWrap/>
            <w:hideMark/>
          </w:tcPr>
          <w:p w14:paraId="06702D47"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Blautia hydrogenotrophicus S5a33, DSM 10507  </w:t>
            </w:r>
          </w:p>
        </w:tc>
        <w:tc>
          <w:tcPr>
            <w:tcW w:w="1028" w:type="dxa"/>
            <w:noWrap/>
            <w:hideMark/>
          </w:tcPr>
          <w:p w14:paraId="1885B82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72</w:t>
            </w:r>
          </w:p>
        </w:tc>
        <w:tc>
          <w:tcPr>
            <w:tcW w:w="990" w:type="dxa"/>
            <w:noWrap/>
            <w:hideMark/>
          </w:tcPr>
          <w:p w14:paraId="5CF5EB2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66</w:t>
            </w:r>
          </w:p>
        </w:tc>
        <w:tc>
          <w:tcPr>
            <w:tcW w:w="900" w:type="dxa"/>
            <w:noWrap/>
            <w:hideMark/>
          </w:tcPr>
          <w:p w14:paraId="614B529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66</w:t>
            </w:r>
          </w:p>
        </w:tc>
        <w:tc>
          <w:tcPr>
            <w:tcW w:w="1080" w:type="dxa"/>
            <w:noWrap/>
            <w:hideMark/>
          </w:tcPr>
          <w:p w14:paraId="21AB7A3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3.46</w:t>
            </w:r>
          </w:p>
        </w:tc>
      </w:tr>
      <w:tr w:rsidR="00B07AFB" w:rsidRPr="00B07AFB" w14:paraId="61D197C8" w14:textId="77777777" w:rsidTr="00B07AFB">
        <w:trPr>
          <w:trHeight w:val="300"/>
          <w:jc w:val="center"/>
        </w:trPr>
        <w:tc>
          <w:tcPr>
            <w:tcW w:w="4840" w:type="dxa"/>
            <w:noWrap/>
            <w:hideMark/>
          </w:tcPr>
          <w:p w14:paraId="446A420F"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Klebsiella sp. 1_1_55</w:t>
            </w:r>
          </w:p>
        </w:tc>
        <w:tc>
          <w:tcPr>
            <w:tcW w:w="1028" w:type="dxa"/>
            <w:noWrap/>
            <w:hideMark/>
          </w:tcPr>
          <w:p w14:paraId="3B751F3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20</w:t>
            </w:r>
          </w:p>
        </w:tc>
        <w:tc>
          <w:tcPr>
            <w:tcW w:w="990" w:type="dxa"/>
            <w:noWrap/>
            <w:hideMark/>
          </w:tcPr>
          <w:p w14:paraId="173ADAF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w:t>
            </w:r>
          </w:p>
        </w:tc>
        <w:tc>
          <w:tcPr>
            <w:tcW w:w="900" w:type="dxa"/>
            <w:noWrap/>
            <w:hideMark/>
          </w:tcPr>
          <w:p w14:paraId="47F0189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15</w:t>
            </w:r>
          </w:p>
        </w:tc>
        <w:tc>
          <w:tcPr>
            <w:tcW w:w="1080" w:type="dxa"/>
            <w:noWrap/>
            <w:hideMark/>
          </w:tcPr>
          <w:p w14:paraId="60EC3C4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5.51</w:t>
            </w:r>
          </w:p>
        </w:tc>
      </w:tr>
      <w:tr w:rsidR="00B07AFB" w:rsidRPr="00B07AFB" w14:paraId="13D179E9" w14:textId="77777777" w:rsidTr="00B07AFB">
        <w:trPr>
          <w:trHeight w:val="300"/>
          <w:jc w:val="center"/>
        </w:trPr>
        <w:tc>
          <w:tcPr>
            <w:tcW w:w="4840" w:type="dxa"/>
            <w:noWrap/>
            <w:hideMark/>
          </w:tcPr>
          <w:p w14:paraId="40B8B6A3"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Streptococcus sp. 2_1_36FAA  </w:t>
            </w:r>
          </w:p>
        </w:tc>
        <w:tc>
          <w:tcPr>
            <w:tcW w:w="1028" w:type="dxa"/>
            <w:noWrap/>
            <w:hideMark/>
          </w:tcPr>
          <w:p w14:paraId="0943630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21</w:t>
            </w:r>
          </w:p>
        </w:tc>
        <w:tc>
          <w:tcPr>
            <w:tcW w:w="990" w:type="dxa"/>
            <w:noWrap/>
            <w:hideMark/>
          </w:tcPr>
          <w:p w14:paraId="793AFF3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14</w:t>
            </w:r>
          </w:p>
        </w:tc>
        <w:tc>
          <w:tcPr>
            <w:tcW w:w="900" w:type="dxa"/>
            <w:noWrap/>
            <w:hideMark/>
          </w:tcPr>
          <w:p w14:paraId="675F0FD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w:t>
            </w:r>
          </w:p>
        </w:tc>
        <w:tc>
          <w:tcPr>
            <w:tcW w:w="1080" w:type="dxa"/>
            <w:noWrap/>
            <w:hideMark/>
          </w:tcPr>
          <w:p w14:paraId="44EEAF8C"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6.51</w:t>
            </w:r>
          </w:p>
        </w:tc>
      </w:tr>
      <w:tr w:rsidR="00B07AFB" w:rsidRPr="00B07AFB" w14:paraId="1838FE56" w14:textId="77777777" w:rsidTr="00B07AFB">
        <w:trPr>
          <w:trHeight w:val="300"/>
          <w:jc w:val="center"/>
        </w:trPr>
        <w:tc>
          <w:tcPr>
            <w:tcW w:w="4840" w:type="dxa"/>
            <w:noWrap/>
            <w:hideMark/>
          </w:tcPr>
          <w:p w14:paraId="663E9045"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Coprococcus sp. HPP0048</w:t>
            </w:r>
          </w:p>
        </w:tc>
        <w:tc>
          <w:tcPr>
            <w:tcW w:w="1028" w:type="dxa"/>
            <w:noWrap/>
            <w:hideMark/>
          </w:tcPr>
          <w:p w14:paraId="0931A2DA"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75</w:t>
            </w:r>
          </w:p>
        </w:tc>
        <w:tc>
          <w:tcPr>
            <w:tcW w:w="990" w:type="dxa"/>
            <w:noWrap/>
            <w:hideMark/>
          </w:tcPr>
          <w:p w14:paraId="50413B5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61</w:t>
            </w:r>
          </w:p>
        </w:tc>
        <w:tc>
          <w:tcPr>
            <w:tcW w:w="900" w:type="dxa"/>
            <w:noWrap/>
            <w:hideMark/>
          </w:tcPr>
          <w:p w14:paraId="718F6B7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74</w:t>
            </w:r>
          </w:p>
        </w:tc>
        <w:tc>
          <w:tcPr>
            <w:tcW w:w="1080" w:type="dxa"/>
            <w:noWrap/>
            <w:hideMark/>
          </w:tcPr>
          <w:p w14:paraId="261BEBF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7.81</w:t>
            </w:r>
          </w:p>
        </w:tc>
      </w:tr>
      <w:tr w:rsidR="00B07AFB" w:rsidRPr="00B07AFB" w14:paraId="59FEA1EE" w14:textId="77777777" w:rsidTr="00B07AFB">
        <w:trPr>
          <w:trHeight w:val="300"/>
          <w:jc w:val="center"/>
        </w:trPr>
        <w:tc>
          <w:tcPr>
            <w:tcW w:w="4840" w:type="dxa"/>
            <w:noWrap/>
            <w:hideMark/>
          </w:tcPr>
          <w:p w14:paraId="5D81F046"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Anaerostipes sp. 3_2_56FAA</w:t>
            </w:r>
          </w:p>
        </w:tc>
        <w:tc>
          <w:tcPr>
            <w:tcW w:w="1028" w:type="dxa"/>
            <w:noWrap/>
            <w:hideMark/>
          </w:tcPr>
          <w:p w14:paraId="5CEB8EC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58</w:t>
            </w:r>
          </w:p>
        </w:tc>
        <w:tc>
          <w:tcPr>
            <w:tcW w:w="990" w:type="dxa"/>
            <w:noWrap/>
            <w:hideMark/>
          </w:tcPr>
          <w:p w14:paraId="53D0A6C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67</w:t>
            </w:r>
          </w:p>
        </w:tc>
        <w:tc>
          <w:tcPr>
            <w:tcW w:w="900" w:type="dxa"/>
            <w:noWrap/>
            <w:hideMark/>
          </w:tcPr>
          <w:p w14:paraId="069C101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74</w:t>
            </w:r>
          </w:p>
        </w:tc>
        <w:tc>
          <w:tcPr>
            <w:tcW w:w="1080" w:type="dxa"/>
            <w:noWrap/>
            <w:hideMark/>
          </w:tcPr>
          <w:p w14:paraId="2C231C3A"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8.02</w:t>
            </w:r>
          </w:p>
        </w:tc>
      </w:tr>
      <w:tr w:rsidR="00B07AFB" w:rsidRPr="00B07AFB" w14:paraId="7EAB09E6" w14:textId="77777777" w:rsidTr="00B07AFB">
        <w:trPr>
          <w:trHeight w:val="300"/>
          <w:jc w:val="center"/>
        </w:trPr>
        <w:tc>
          <w:tcPr>
            <w:tcW w:w="4840" w:type="dxa"/>
            <w:noWrap/>
            <w:hideMark/>
          </w:tcPr>
          <w:p w14:paraId="1896FE88"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Ruminococcus lactaris ATCC 29176  </w:t>
            </w:r>
          </w:p>
        </w:tc>
        <w:tc>
          <w:tcPr>
            <w:tcW w:w="1028" w:type="dxa"/>
            <w:noWrap/>
            <w:hideMark/>
          </w:tcPr>
          <w:p w14:paraId="73AF5D6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87</w:t>
            </w:r>
          </w:p>
        </w:tc>
        <w:tc>
          <w:tcPr>
            <w:tcW w:w="990" w:type="dxa"/>
            <w:noWrap/>
            <w:hideMark/>
          </w:tcPr>
          <w:p w14:paraId="29A01D6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103</w:t>
            </w:r>
          </w:p>
        </w:tc>
        <w:tc>
          <w:tcPr>
            <w:tcW w:w="900" w:type="dxa"/>
            <w:noWrap/>
            <w:hideMark/>
          </w:tcPr>
          <w:p w14:paraId="7E93D29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89</w:t>
            </w:r>
          </w:p>
        </w:tc>
        <w:tc>
          <w:tcPr>
            <w:tcW w:w="1080" w:type="dxa"/>
            <w:noWrap/>
            <w:hideMark/>
          </w:tcPr>
          <w:p w14:paraId="080338E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8.72</w:t>
            </w:r>
          </w:p>
        </w:tc>
      </w:tr>
      <w:tr w:rsidR="00B07AFB" w:rsidRPr="00B07AFB" w14:paraId="2BF87F1D" w14:textId="77777777" w:rsidTr="00B07AFB">
        <w:trPr>
          <w:trHeight w:val="300"/>
          <w:jc w:val="center"/>
        </w:trPr>
        <w:tc>
          <w:tcPr>
            <w:tcW w:w="4840" w:type="dxa"/>
            <w:noWrap/>
            <w:hideMark/>
          </w:tcPr>
          <w:p w14:paraId="02A7B2CC"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Prevotella melaninogenica D18</w:t>
            </w:r>
          </w:p>
        </w:tc>
        <w:tc>
          <w:tcPr>
            <w:tcW w:w="1028" w:type="dxa"/>
            <w:noWrap/>
            <w:hideMark/>
          </w:tcPr>
          <w:p w14:paraId="7682E17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64</w:t>
            </w:r>
          </w:p>
        </w:tc>
        <w:tc>
          <w:tcPr>
            <w:tcW w:w="990" w:type="dxa"/>
            <w:noWrap/>
            <w:hideMark/>
          </w:tcPr>
          <w:p w14:paraId="1611B77C"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82</w:t>
            </w:r>
          </w:p>
        </w:tc>
        <w:tc>
          <w:tcPr>
            <w:tcW w:w="900" w:type="dxa"/>
            <w:noWrap/>
            <w:hideMark/>
          </w:tcPr>
          <w:p w14:paraId="40B8BB4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71</w:t>
            </w:r>
          </w:p>
        </w:tc>
        <w:tc>
          <w:tcPr>
            <w:tcW w:w="1080" w:type="dxa"/>
            <w:noWrap/>
            <w:hideMark/>
          </w:tcPr>
          <w:p w14:paraId="09F58B9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9.07</w:t>
            </w:r>
          </w:p>
        </w:tc>
      </w:tr>
      <w:tr w:rsidR="00B07AFB" w:rsidRPr="00B07AFB" w14:paraId="462E5E24" w14:textId="77777777" w:rsidTr="00B07AFB">
        <w:trPr>
          <w:trHeight w:val="300"/>
          <w:jc w:val="center"/>
        </w:trPr>
        <w:tc>
          <w:tcPr>
            <w:tcW w:w="4840" w:type="dxa"/>
            <w:noWrap/>
            <w:hideMark/>
          </w:tcPr>
          <w:p w14:paraId="773146E9"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Clostridium sp. 7_2_43FAA</w:t>
            </w:r>
          </w:p>
        </w:tc>
        <w:tc>
          <w:tcPr>
            <w:tcW w:w="1028" w:type="dxa"/>
            <w:noWrap/>
            <w:hideMark/>
          </w:tcPr>
          <w:p w14:paraId="387A4E8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45</w:t>
            </w:r>
          </w:p>
        </w:tc>
        <w:tc>
          <w:tcPr>
            <w:tcW w:w="990" w:type="dxa"/>
            <w:noWrap/>
            <w:hideMark/>
          </w:tcPr>
          <w:p w14:paraId="4722A06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31</w:t>
            </w:r>
          </w:p>
        </w:tc>
        <w:tc>
          <w:tcPr>
            <w:tcW w:w="900" w:type="dxa"/>
            <w:noWrap/>
            <w:hideMark/>
          </w:tcPr>
          <w:p w14:paraId="16714F3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50</w:t>
            </w:r>
          </w:p>
        </w:tc>
        <w:tc>
          <w:tcPr>
            <w:tcW w:w="1080" w:type="dxa"/>
            <w:noWrap/>
            <w:hideMark/>
          </w:tcPr>
          <w:p w14:paraId="13F8ADC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9.85</w:t>
            </w:r>
          </w:p>
        </w:tc>
      </w:tr>
      <w:tr w:rsidR="00B07AFB" w:rsidRPr="00B07AFB" w14:paraId="0B334837" w14:textId="77777777" w:rsidTr="00B07AFB">
        <w:trPr>
          <w:trHeight w:val="300"/>
          <w:jc w:val="center"/>
        </w:trPr>
        <w:tc>
          <w:tcPr>
            <w:tcW w:w="4840" w:type="dxa"/>
            <w:noWrap/>
            <w:hideMark/>
          </w:tcPr>
          <w:p w14:paraId="7BDE582D"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Dorea formicigenerans ATCC 27755  </w:t>
            </w:r>
          </w:p>
        </w:tc>
        <w:tc>
          <w:tcPr>
            <w:tcW w:w="1028" w:type="dxa"/>
            <w:noWrap/>
            <w:hideMark/>
          </w:tcPr>
          <w:p w14:paraId="1BE9B30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93</w:t>
            </w:r>
          </w:p>
        </w:tc>
        <w:tc>
          <w:tcPr>
            <w:tcW w:w="990" w:type="dxa"/>
            <w:noWrap/>
            <w:hideMark/>
          </w:tcPr>
          <w:p w14:paraId="6F85F6F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104</w:t>
            </w:r>
          </w:p>
        </w:tc>
        <w:tc>
          <w:tcPr>
            <w:tcW w:w="900" w:type="dxa"/>
            <w:noWrap/>
            <w:hideMark/>
          </w:tcPr>
          <w:p w14:paraId="016089B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84</w:t>
            </w:r>
          </w:p>
        </w:tc>
        <w:tc>
          <w:tcPr>
            <w:tcW w:w="1080" w:type="dxa"/>
            <w:noWrap/>
            <w:hideMark/>
          </w:tcPr>
          <w:p w14:paraId="6F903AF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10.02</w:t>
            </w:r>
          </w:p>
        </w:tc>
      </w:tr>
      <w:tr w:rsidR="00B07AFB" w:rsidRPr="00B07AFB" w14:paraId="35FBADB6" w14:textId="77777777" w:rsidTr="00B07AFB">
        <w:trPr>
          <w:trHeight w:val="300"/>
          <w:jc w:val="center"/>
        </w:trPr>
        <w:tc>
          <w:tcPr>
            <w:tcW w:w="4840" w:type="dxa"/>
            <w:noWrap/>
            <w:hideMark/>
          </w:tcPr>
          <w:p w14:paraId="49661842"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Coprococcus comes  </w:t>
            </w:r>
          </w:p>
        </w:tc>
        <w:tc>
          <w:tcPr>
            <w:tcW w:w="1028" w:type="dxa"/>
            <w:noWrap/>
            <w:hideMark/>
          </w:tcPr>
          <w:p w14:paraId="6CBD713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77</w:t>
            </w:r>
          </w:p>
        </w:tc>
        <w:tc>
          <w:tcPr>
            <w:tcW w:w="990" w:type="dxa"/>
            <w:noWrap/>
            <w:hideMark/>
          </w:tcPr>
          <w:p w14:paraId="3AAE4C7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81</w:t>
            </w:r>
          </w:p>
        </w:tc>
        <w:tc>
          <w:tcPr>
            <w:tcW w:w="900" w:type="dxa"/>
            <w:noWrap/>
            <w:hideMark/>
          </w:tcPr>
          <w:p w14:paraId="4BB91FB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98</w:t>
            </w:r>
          </w:p>
        </w:tc>
        <w:tc>
          <w:tcPr>
            <w:tcW w:w="1080" w:type="dxa"/>
            <w:noWrap/>
            <w:hideMark/>
          </w:tcPr>
          <w:p w14:paraId="1802943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11.15</w:t>
            </w:r>
          </w:p>
        </w:tc>
      </w:tr>
      <w:tr w:rsidR="00B07AFB" w:rsidRPr="00B07AFB" w14:paraId="6966B0FB" w14:textId="77777777" w:rsidTr="00B07AFB">
        <w:trPr>
          <w:trHeight w:val="300"/>
          <w:jc w:val="center"/>
        </w:trPr>
        <w:tc>
          <w:tcPr>
            <w:tcW w:w="4840" w:type="dxa"/>
            <w:noWrap/>
            <w:hideMark/>
          </w:tcPr>
          <w:p w14:paraId="1343E268"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Lachnospiraceae bacterium 6_1_63FAA</w:t>
            </w:r>
          </w:p>
        </w:tc>
        <w:tc>
          <w:tcPr>
            <w:tcW w:w="1028" w:type="dxa"/>
            <w:noWrap/>
            <w:hideMark/>
          </w:tcPr>
          <w:p w14:paraId="2E51679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90</w:t>
            </w:r>
          </w:p>
        </w:tc>
        <w:tc>
          <w:tcPr>
            <w:tcW w:w="990" w:type="dxa"/>
            <w:noWrap/>
            <w:hideMark/>
          </w:tcPr>
          <w:p w14:paraId="0400652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89</w:t>
            </w:r>
          </w:p>
        </w:tc>
        <w:tc>
          <w:tcPr>
            <w:tcW w:w="900" w:type="dxa"/>
            <w:noWrap/>
            <w:hideMark/>
          </w:tcPr>
          <w:p w14:paraId="1E35335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115</w:t>
            </w:r>
          </w:p>
        </w:tc>
        <w:tc>
          <w:tcPr>
            <w:tcW w:w="1080" w:type="dxa"/>
            <w:noWrap/>
            <w:hideMark/>
          </w:tcPr>
          <w:p w14:paraId="79FFE7A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14.73</w:t>
            </w:r>
          </w:p>
        </w:tc>
      </w:tr>
      <w:tr w:rsidR="00B07AFB" w:rsidRPr="00B07AFB" w14:paraId="6475142B" w14:textId="77777777" w:rsidTr="00B07AFB">
        <w:trPr>
          <w:trHeight w:val="300"/>
          <w:jc w:val="center"/>
        </w:trPr>
        <w:tc>
          <w:tcPr>
            <w:tcW w:w="4840" w:type="dxa"/>
            <w:noWrap/>
            <w:hideMark/>
          </w:tcPr>
          <w:p w14:paraId="23A079C2"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Alistipes putredinis DSM 17216  </w:t>
            </w:r>
          </w:p>
        </w:tc>
        <w:tc>
          <w:tcPr>
            <w:tcW w:w="1028" w:type="dxa"/>
            <w:noWrap/>
            <w:hideMark/>
          </w:tcPr>
          <w:p w14:paraId="5E6BC28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130</w:t>
            </w:r>
          </w:p>
        </w:tc>
        <w:tc>
          <w:tcPr>
            <w:tcW w:w="990" w:type="dxa"/>
            <w:noWrap/>
            <w:hideMark/>
          </w:tcPr>
          <w:p w14:paraId="6712474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157</w:t>
            </w:r>
          </w:p>
        </w:tc>
        <w:tc>
          <w:tcPr>
            <w:tcW w:w="900" w:type="dxa"/>
            <w:noWrap/>
            <w:hideMark/>
          </w:tcPr>
          <w:p w14:paraId="4344416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161</w:t>
            </w:r>
          </w:p>
        </w:tc>
        <w:tc>
          <w:tcPr>
            <w:tcW w:w="1080" w:type="dxa"/>
            <w:noWrap/>
            <w:hideMark/>
          </w:tcPr>
          <w:p w14:paraId="2C8E26D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16.86</w:t>
            </w:r>
          </w:p>
        </w:tc>
      </w:tr>
      <w:tr w:rsidR="00B07AFB" w:rsidRPr="00B07AFB" w14:paraId="440369F2" w14:textId="77777777" w:rsidTr="00B07AFB">
        <w:trPr>
          <w:trHeight w:val="300"/>
          <w:jc w:val="center"/>
        </w:trPr>
        <w:tc>
          <w:tcPr>
            <w:tcW w:w="4840" w:type="dxa"/>
            <w:noWrap/>
            <w:hideMark/>
          </w:tcPr>
          <w:p w14:paraId="7A939E71"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Dialister invisus DSM 15470  </w:t>
            </w:r>
          </w:p>
        </w:tc>
        <w:tc>
          <w:tcPr>
            <w:tcW w:w="1028" w:type="dxa"/>
            <w:noWrap/>
            <w:hideMark/>
          </w:tcPr>
          <w:p w14:paraId="0C3259A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23</w:t>
            </w:r>
          </w:p>
        </w:tc>
        <w:tc>
          <w:tcPr>
            <w:tcW w:w="990" w:type="dxa"/>
            <w:noWrap/>
            <w:hideMark/>
          </w:tcPr>
          <w:p w14:paraId="02A708C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47</w:t>
            </w:r>
          </w:p>
        </w:tc>
        <w:tc>
          <w:tcPr>
            <w:tcW w:w="900" w:type="dxa"/>
            <w:noWrap/>
            <w:hideMark/>
          </w:tcPr>
          <w:p w14:paraId="5D09A13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57</w:t>
            </w:r>
          </w:p>
        </w:tc>
        <w:tc>
          <w:tcPr>
            <w:tcW w:w="1080" w:type="dxa"/>
            <w:noWrap/>
            <w:hideMark/>
          </w:tcPr>
          <w:p w14:paraId="5579FD9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17.47</w:t>
            </w:r>
          </w:p>
        </w:tc>
      </w:tr>
      <w:tr w:rsidR="00B07AFB" w:rsidRPr="00B07AFB" w14:paraId="243C813B" w14:textId="77777777" w:rsidTr="00B07AFB">
        <w:trPr>
          <w:trHeight w:val="300"/>
          <w:jc w:val="center"/>
        </w:trPr>
        <w:tc>
          <w:tcPr>
            <w:tcW w:w="4840" w:type="dxa"/>
            <w:noWrap/>
            <w:hideMark/>
          </w:tcPr>
          <w:p w14:paraId="520430B2"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Roseburia intestinalis L1-82  </w:t>
            </w:r>
          </w:p>
        </w:tc>
        <w:tc>
          <w:tcPr>
            <w:tcW w:w="1028" w:type="dxa"/>
            <w:noWrap/>
            <w:hideMark/>
          </w:tcPr>
          <w:p w14:paraId="05CCF6F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104</w:t>
            </w:r>
          </w:p>
        </w:tc>
        <w:tc>
          <w:tcPr>
            <w:tcW w:w="990" w:type="dxa"/>
            <w:noWrap/>
            <w:hideMark/>
          </w:tcPr>
          <w:p w14:paraId="232AC3C3"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145</w:t>
            </w:r>
          </w:p>
        </w:tc>
        <w:tc>
          <w:tcPr>
            <w:tcW w:w="900" w:type="dxa"/>
            <w:noWrap/>
            <w:hideMark/>
          </w:tcPr>
          <w:p w14:paraId="3AA4D08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111</w:t>
            </w:r>
          </w:p>
        </w:tc>
        <w:tc>
          <w:tcPr>
            <w:tcW w:w="1080" w:type="dxa"/>
            <w:noWrap/>
            <w:hideMark/>
          </w:tcPr>
          <w:p w14:paraId="5FDFB55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21.93</w:t>
            </w:r>
          </w:p>
        </w:tc>
      </w:tr>
      <w:tr w:rsidR="00B07AFB" w:rsidRPr="00B07AFB" w14:paraId="4A7CEEC9" w14:textId="77777777" w:rsidTr="00B07AFB">
        <w:trPr>
          <w:trHeight w:val="300"/>
          <w:jc w:val="center"/>
        </w:trPr>
        <w:tc>
          <w:tcPr>
            <w:tcW w:w="4840" w:type="dxa"/>
            <w:noWrap/>
            <w:hideMark/>
          </w:tcPr>
          <w:p w14:paraId="403677DF"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Akkermansia muciniphila ATCC BAA-835  </w:t>
            </w:r>
          </w:p>
        </w:tc>
        <w:tc>
          <w:tcPr>
            <w:tcW w:w="1028" w:type="dxa"/>
            <w:noWrap/>
            <w:hideMark/>
          </w:tcPr>
          <w:p w14:paraId="04A16BC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14</w:t>
            </w:r>
          </w:p>
        </w:tc>
        <w:tc>
          <w:tcPr>
            <w:tcW w:w="990" w:type="dxa"/>
            <w:noWrap/>
            <w:hideMark/>
          </w:tcPr>
          <w:p w14:paraId="3FB0428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w:t>
            </w:r>
          </w:p>
        </w:tc>
        <w:tc>
          <w:tcPr>
            <w:tcW w:w="900" w:type="dxa"/>
            <w:noWrap/>
            <w:hideMark/>
          </w:tcPr>
          <w:p w14:paraId="67F5065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58</w:t>
            </w:r>
          </w:p>
        </w:tc>
        <w:tc>
          <w:tcPr>
            <w:tcW w:w="1080" w:type="dxa"/>
            <w:noWrap/>
            <w:hideMark/>
          </w:tcPr>
          <w:p w14:paraId="3E01148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26.31</w:t>
            </w:r>
          </w:p>
        </w:tc>
      </w:tr>
      <w:tr w:rsidR="00B07AFB" w:rsidRPr="00B07AFB" w14:paraId="44EB7BC1" w14:textId="77777777" w:rsidTr="00B07AFB">
        <w:trPr>
          <w:trHeight w:val="300"/>
          <w:jc w:val="center"/>
        </w:trPr>
        <w:tc>
          <w:tcPr>
            <w:tcW w:w="4840" w:type="dxa"/>
            <w:noWrap/>
            <w:hideMark/>
          </w:tcPr>
          <w:p w14:paraId="35E15EE6"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Eubacterium rectale ATCC 33656  </w:t>
            </w:r>
          </w:p>
        </w:tc>
        <w:tc>
          <w:tcPr>
            <w:tcW w:w="1028" w:type="dxa"/>
            <w:noWrap/>
            <w:hideMark/>
          </w:tcPr>
          <w:p w14:paraId="22027B2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263</w:t>
            </w:r>
          </w:p>
        </w:tc>
        <w:tc>
          <w:tcPr>
            <w:tcW w:w="990" w:type="dxa"/>
            <w:noWrap/>
            <w:hideMark/>
          </w:tcPr>
          <w:p w14:paraId="543AE8E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311</w:t>
            </w:r>
          </w:p>
        </w:tc>
        <w:tc>
          <w:tcPr>
            <w:tcW w:w="900" w:type="dxa"/>
            <w:noWrap/>
            <w:hideMark/>
          </w:tcPr>
          <w:p w14:paraId="73058AB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325</w:t>
            </w:r>
          </w:p>
        </w:tc>
        <w:tc>
          <w:tcPr>
            <w:tcW w:w="1080" w:type="dxa"/>
            <w:noWrap/>
            <w:hideMark/>
          </w:tcPr>
          <w:p w14:paraId="36A722B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32.52</w:t>
            </w:r>
          </w:p>
        </w:tc>
      </w:tr>
      <w:tr w:rsidR="00B07AFB" w:rsidRPr="00B07AFB" w14:paraId="5C26E4D3" w14:textId="77777777" w:rsidTr="00B07AFB">
        <w:trPr>
          <w:trHeight w:val="300"/>
          <w:jc w:val="center"/>
        </w:trPr>
        <w:tc>
          <w:tcPr>
            <w:tcW w:w="4840" w:type="dxa"/>
            <w:noWrap/>
            <w:hideMark/>
          </w:tcPr>
          <w:p w14:paraId="18F77A93"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Bifidobacterium adolescentis ATCC 15703</w:t>
            </w:r>
          </w:p>
        </w:tc>
        <w:tc>
          <w:tcPr>
            <w:tcW w:w="1028" w:type="dxa"/>
            <w:noWrap/>
            <w:hideMark/>
          </w:tcPr>
          <w:p w14:paraId="69261C9C"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41</w:t>
            </w:r>
          </w:p>
        </w:tc>
        <w:tc>
          <w:tcPr>
            <w:tcW w:w="990" w:type="dxa"/>
            <w:noWrap/>
            <w:hideMark/>
          </w:tcPr>
          <w:p w14:paraId="76248A4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38</w:t>
            </w:r>
          </w:p>
        </w:tc>
        <w:tc>
          <w:tcPr>
            <w:tcW w:w="900" w:type="dxa"/>
            <w:noWrap/>
            <w:hideMark/>
          </w:tcPr>
          <w:p w14:paraId="72D8A39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102</w:t>
            </w:r>
          </w:p>
        </w:tc>
        <w:tc>
          <w:tcPr>
            <w:tcW w:w="1080" w:type="dxa"/>
            <w:noWrap/>
            <w:hideMark/>
          </w:tcPr>
          <w:p w14:paraId="7C080EA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36.12</w:t>
            </w:r>
          </w:p>
        </w:tc>
      </w:tr>
      <w:tr w:rsidR="00B07AFB" w:rsidRPr="00B07AFB" w14:paraId="4EB9D965" w14:textId="77777777" w:rsidTr="00B07AFB">
        <w:trPr>
          <w:trHeight w:val="300"/>
          <w:jc w:val="center"/>
        </w:trPr>
        <w:tc>
          <w:tcPr>
            <w:tcW w:w="4840" w:type="dxa"/>
            <w:noWrap/>
            <w:hideMark/>
          </w:tcPr>
          <w:p w14:paraId="5B25497E"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Ruminococcaceae bacterium D16</w:t>
            </w:r>
          </w:p>
        </w:tc>
        <w:tc>
          <w:tcPr>
            <w:tcW w:w="1028" w:type="dxa"/>
            <w:noWrap/>
            <w:hideMark/>
          </w:tcPr>
          <w:p w14:paraId="4081549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75</w:t>
            </w:r>
          </w:p>
        </w:tc>
        <w:tc>
          <w:tcPr>
            <w:tcW w:w="990" w:type="dxa"/>
            <w:noWrap/>
            <w:hideMark/>
          </w:tcPr>
          <w:p w14:paraId="3C98162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147</w:t>
            </w:r>
          </w:p>
        </w:tc>
        <w:tc>
          <w:tcPr>
            <w:tcW w:w="900" w:type="dxa"/>
            <w:noWrap/>
            <w:hideMark/>
          </w:tcPr>
          <w:p w14:paraId="3197A1F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126</w:t>
            </w:r>
          </w:p>
        </w:tc>
        <w:tc>
          <w:tcPr>
            <w:tcW w:w="1080" w:type="dxa"/>
            <w:noWrap/>
            <w:hideMark/>
          </w:tcPr>
          <w:p w14:paraId="212CCCC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37.03</w:t>
            </w:r>
          </w:p>
        </w:tc>
      </w:tr>
      <w:tr w:rsidR="00B07AFB" w:rsidRPr="00B07AFB" w14:paraId="7CC1A6F1" w14:textId="77777777" w:rsidTr="00B07AFB">
        <w:trPr>
          <w:trHeight w:val="300"/>
          <w:jc w:val="center"/>
        </w:trPr>
        <w:tc>
          <w:tcPr>
            <w:tcW w:w="4840" w:type="dxa"/>
            <w:noWrap/>
            <w:hideMark/>
          </w:tcPr>
          <w:p w14:paraId="4AD5DA5F"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Bacteroides uniformis CL03T00C23</w:t>
            </w:r>
          </w:p>
        </w:tc>
        <w:tc>
          <w:tcPr>
            <w:tcW w:w="1028" w:type="dxa"/>
            <w:noWrap/>
            <w:hideMark/>
          </w:tcPr>
          <w:p w14:paraId="092750D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393</w:t>
            </w:r>
          </w:p>
        </w:tc>
        <w:tc>
          <w:tcPr>
            <w:tcW w:w="990" w:type="dxa"/>
            <w:noWrap/>
            <w:hideMark/>
          </w:tcPr>
          <w:p w14:paraId="445447C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314</w:t>
            </w:r>
          </w:p>
        </w:tc>
        <w:tc>
          <w:tcPr>
            <w:tcW w:w="900" w:type="dxa"/>
            <w:noWrap/>
            <w:hideMark/>
          </w:tcPr>
          <w:p w14:paraId="70518B2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367</w:t>
            </w:r>
          </w:p>
        </w:tc>
        <w:tc>
          <w:tcPr>
            <w:tcW w:w="1080" w:type="dxa"/>
            <w:noWrap/>
            <w:hideMark/>
          </w:tcPr>
          <w:p w14:paraId="03555C4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40.26</w:t>
            </w:r>
          </w:p>
        </w:tc>
      </w:tr>
      <w:tr w:rsidR="00B07AFB" w:rsidRPr="00B07AFB" w14:paraId="75226D1E" w14:textId="77777777" w:rsidTr="00B07AFB">
        <w:trPr>
          <w:trHeight w:val="300"/>
          <w:jc w:val="center"/>
        </w:trPr>
        <w:tc>
          <w:tcPr>
            <w:tcW w:w="4840" w:type="dxa"/>
            <w:noWrap/>
            <w:hideMark/>
          </w:tcPr>
          <w:p w14:paraId="2C2E70A1"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Bifidobacterium adolescentis L2-32</w:t>
            </w:r>
          </w:p>
        </w:tc>
        <w:tc>
          <w:tcPr>
            <w:tcW w:w="1028" w:type="dxa"/>
            <w:noWrap/>
            <w:hideMark/>
          </w:tcPr>
          <w:p w14:paraId="0CA38B7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44</w:t>
            </w:r>
          </w:p>
        </w:tc>
        <w:tc>
          <w:tcPr>
            <w:tcW w:w="990" w:type="dxa"/>
            <w:noWrap/>
            <w:hideMark/>
          </w:tcPr>
          <w:p w14:paraId="7929DF7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38</w:t>
            </w:r>
          </w:p>
        </w:tc>
        <w:tc>
          <w:tcPr>
            <w:tcW w:w="900" w:type="dxa"/>
            <w:noWrap/>
            <w:hideMark/>
          </w:tcPr>
          <w:p w14:paraId="566EE1D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111</w:t>
            </w:r>
          </w:p>
        </w:tc>
        <w:tc>
          <w:tcPr>
            <w:tcW w:w="1080" w:type="dxa"/>
            <w:noWrap/>
            <w:hideMark/>
          </w:tcPr>
          <w:p w14:paraId="76DC1BC6"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40.53</w:t>
            </w:r>
          </w:p>
        </w:tc>
      </w:tr>
      <w:tr w:rsidR="00B07AFB" w:rsidRPr="00B07AFB" w14:paraId="4F5F290D" w14:textId="77777777" w:rsidTr="00B07AFB">
        <w:trPr>
          <w:trHeight w:val="300"/>
          <w:jc w:val="center"/>
        </w:trPr>
        <w:tc>
          <w:tcPr>
            <w:tcW w:w="4840" w:type="dxa"/>
            <w:noWrap/>
            <w:hideMark/>
          </w:tcPr>
          <w:p w14:paraId="44C11135"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Bacteroides uniformis CL03T12C37</w:t>
            </w:r>
          </w:p>
        </w:tc>
        <w:tc>
          <w:tcPr>
            <w:tcW w:w="1028" w:type="dxa"/>
            <w:noWrap/>
            <w:hideMark/>
          </w:tcPr>
          <w:p w14:paraId="3DBDFB1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392</w:t>
            </w:r>
          </w:p>
        </w:tc>
        <w:tc>
          <w:tcPr>
            <w:tcW w:w="990" w:type="dxa"/>
            <w:noWrap/>
            <w:hideMark/>
          </w:tcPr>
          <w:p w14:paraId="3C567D3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312</w:t>
            </w:r>
          </w:p>
        </w:tc>
        <w:tc>
          <w:tcPr>
            <w:tcW w:w="900" w:type="dxa"/>
            <w:noWrap/>
            <w:hideMark/>
          </w:tcPr>
          <w:p w14:paraId="5D0E9B5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366</w:t>
            </w:r>
          </w:p>
        </w:tc>
        <w:tc>
          <w:tcPr>
            <w:tcW w:w="1080" w:type="dxa"/>
            <w:noWrap/>
            <w:hideMark/>
          </w:tcPr>
          <w:p w14:paraId="146A5C2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40.81</w:t>
            </w:r>
          </w:p>
        </w:tc>
      </w:tr>
      <w:tr w:rsidR="00B07AFB" w:rsidRPr="00B07AFB" w14:paraId="1852BCEE" w14:textId="77777777" w:rsidTr="00B07AFB">
        <w:trPr>
          <w:trHeight w:val="300"/>
          <w:jc w:val="center"/>
        </w:trPr>
        <w:tc>
          <w:tcPr>
            <w:tcW w:w="4840" w:type="dxa"/>
            <w:noWrap/>
            <w:hideMark/>
          </w:tcPr>
          <w:p w14:paraId="10B6B77C"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Prevotella copri CB7, DSM 18205  </w:t>
            </w:r>
          </w:p>
        </w:tc>
        <w:tc>
          <w:tcPr>
            <w:tcW w:w="1028" w:type="dxa"/>
            <w:noWrap/>
            <w:hideMark/>
          </w:tcPr>
          <w:p w14:paraId="4CA9C8C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529</w:t>
            </w:r>
          </w:p>
        </w:tc>
        <w:tc>
          <w:tcPr>
            <w:tcW w:w="990" w:type="dxa"/>
            <w:noWrap/>
            <w:hideMark/>
          </w:tcPr>
          <w:p w14:paraId="2887F44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633</w:t>
            </w:r>
          </w:p>
        </w:tc>
        <w:tc>
          <w:tcPr>
            <w:tcW w:w="900" w:type="dxa"/>
            <w:noWrap/>
            <w:hideMark/>
          </w:tcPr>
          <w:p w14:paraId="02B3F36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523</w:t>
            </w:r>
          </w:p>
        </w:tc>
        <w:tc>
          <w:tcPr>
            <w:tcW w:w="1080" w:type="dxa"/>
            <w:noWrap/>
            <w:hideMark/>
          </w:tcPr>
          <w:p w14:paraId="4C8EAB69"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61.85</w:t>
            </w:r>
          </w:p>
        </w:tc>
      </w:tr>
      <w:tr w:rsidR="00B07AFB" w:rsidRPr="00B07AFB" w14:paraId="5F194181" w14:textId="77777777" w:rsidTr="00B07AFB">
        <w:trPr>
          <w:trHeight w:val="300"/>
          <w:jc w:val="center"/>
        </w:trPr>
        <w:tc>
          <w:tcPr>
            <w:tcW w:w="4840" w:type="dxa"/>
            <w:noWrap/>
            <w:hideMark/>
          </w:tcPr>
          <w:p w14:paraId="3926C284"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Homo sapiens</w:t>
            </w:r>
          </w:p>
        </w:tc>
        <w:tc>
          <w:tcPr>
            <w:tcW w:w="1028" w:type="dxa"/>
            <w:noWrap/>
            <w:hideMark/>
          </w:tcPr>
          <w:p w14:paraId="1F010371"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893</w:t>
            </w:r>
          </w:p>
        </w:tc>
        <w:tc>
          <w:tcPr>
            <w:tcW w:w="990" w:type="dxa"/>
            <w:noWrap/>
            <w:hideMark/>
          </w:tcPr>
          <w:p w14:paraId="04EDD674"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723</w:t>
            </w:r>
          </w:p>
        </w:tc>
        <w:tc>
          <w:tcPr>
            <w:tcW w:w="900" w:type="dxa"/>
            <w:noWrap/>
            <w:hideMark/>
          </w:tcPr>
          <w:p w14:paraId="3348CFCC"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760</w:t>
            </w:r>
          </w:p>
        </w:tc>
        <w:tc>
          <w:tcPr>
            <w:tcW w:w="1080" w:type="dxa"/>
            <w:noWrap/>
            <w:hideMark/>
          </w:tcPr>
          <w:p w14:paraId="0B588CA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89.40</w:t>
            </w:r>
          </w:p>
        </w:tc>
      </w:tr>
      <w:tr w:rsidR="00B07AFB" w:rsidRPr="00B07AFB" w14:paraId="7AD16319" w14:textId="77777777" w:rsidTr="00B07AFB">
        <w:trPr>
          <w:trHeight w:val="300"/>
          <w:jc w:val="center"/>
        </w:trPr>
        <w:tc>
          <w:tcPr>
            <w:tcW w:w="4840" w:type="dxa"/>
            <w:noWrap/>
            <w:hideMark/>
          </w:tcPr>
          <w:p w14:paraId="66F2D358"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Faecalibacterium prausnitzii A2-165  </w:t>
            </w:r>
          </w:p>
        </w:tc>
        <w:tc>
          <w:tcPr>
            <w:tcW w:w="1028" w:type="dxa"/>
            <w:noWrap/>
            <w:hideMark/>
          </w:tcPr>
          <w:p w14:paraId="0CA2BCE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226</w:t>
            </w:r>
          </w:p>
        </w:tc>
        <w:tc>
          <w:tcPr>
            <w:tcW w:w="990" w:type="dxa"/>
            <w:noWrap/>
            <w:hideMark/>
          </w:tcPr>
          <w:p w14:paraId="5A34920C"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361</w:t>
            </w:r>
          </w:p>
        </w:tc>
        <w:tc>
          <w:tcPr>
            <w:tcW w:w="900" w:type="dxa"/>
            <w:noWrap/>
            <w:hideMark/>
          </w:tcPr>
          <w:p w14:paraId="2DD3CACD"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454</w:t>
            </w:r>
          </w:p>
        </w:tc>
        <w:tc>
          <w:tcPr>
            <w:tcW w:w="1080" w:type="dxa"/>
            <w:noWrap/>
            <w:hideMark/>
          </w:tcPr>
          <w:p w14:paraId="3117D84A"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114.64</w:t>
            </w:r>
          </w:p>
        </w:tc>
      </w:tr>
      <w:tr w:rsidR="00B07AFB" w:rsidRPr="00B07AFB" w14:paraId="1B061E19" w14:textId="77777777" w:rsidTr="00B07AFB">
        <w:trPr>
          <w:trHeight w:val="300"/>
          <w:jc w:val="center"/>
        </w:trPr>
        <w:tc>
          <w:tcPr>
            <w:tcW w:w="4840" w:type="dxa"/>
            <w:noWrap/>
            <w:hideMark/>
          </w:tcPr>
          <w:p w14:paraId="4DD3BC94"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 xml:space="preserve">Bacteroides vulgatus ATCC 8482  </w:t>
            </w:r>
          </w:p>
        </w:tc>
        <w:tc>
          <w:tcPr>
            <w:tcW w:w="1028" w:type="dxa"/>
            <w:noWrap/>
            <w:hideMark/>
          </w:tcPr>
          <w:p w14:paraId="4EF6556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777</w:t>
            </w:r>
          </w:p>
        </w:tc>
        <w:tc>
          <w:tcPr>
            <w:tcW w:w="990" w:type="dxa"/>
            <w:noWrap/>
            <w:hideMark/>
          </w:tcPr>
          <w:p w14:paraId="5B372FE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571</w:t>
            </w:r>
          </w:p>
        </w:tc>
        <w:tc>
          <w:tcPr>
            <w:tcW w:w="900" w:type="dxa"/>
            <w:noWrap/>
            <w:hideMark/>
          </w:tcPr>
          <w:p w14:paraId="6F348DF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785</w:t>
            </w:r>
          </w:p>
        </w:tc>
        <w:tc>
          <w:tcPr>
            <w:tcW w:w="1080" w:type="dxa"/>
            <w:noWrap/>
            <w:hideMark/>
          </w:tcPr>
          <w:p w14:paraId="4E367A7E"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121.31</w:t>
            </w:r>
          </w:p>
        </w:tc>
      </w:tr>
      <w:tr w:rsidR="00B07AFB" w:rsidRPr="00B07AFB" w14:paraId="325258DE" w14:textId="77777777" w:rsidTr="00B07AFB">
        <w:trPr>
          <w:trHeight w:val="300"/>
          <w:jc w:val="center"/>
        </w:trPr>
        <w:tc>
          <w:tcPr>
            <w:tcW w:w="4840" w:type="dxa"/>
            <w:noWrap/>
            <w:hideMark/>
          </w:tcPr>
          <w:p w14:paraId="54BD7541"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Bacteroides sp. 1_1_6</w:t>
            </w:r>
          </w:p>
        </w:tc>
        <w:tc>
          <w:tcPr>
            <w:tcW w:w="1028" w:type="dxa"/>
            <w:noWrap/>
            <w:hideMark/>
          </w:tcPr>
          <w:p w14:paraId="03482618"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774</w:t>
            </w:r>
          </w:p>
        </w:tc>
        <w:tc>
          <w:tcPr>
            <w:tcW w:w="990" w:type="dxa"/>
            <w:noWrap/>
            <w:hideMark/>
          </w:tcPr>
          <w:p w14:paraId="01EA144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389</w:t>
            </w:r>
          </w:p>
        </w:tc>
        <w:tc>
          <w:tcPr>
            <w:tcW w:w="900" w:type="dxa"/>
            <w:noWrap/>
            <w:hideMark/>
          </w:tcPr>
          <w:p w14:paraId="0C18AC0F"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320</w:t>
            </w:r>
          </w:p>
        </w:tc>
        <w:tc>
          <w:tcPr>
            <w:tcW w:w="1080" w:type="dxa"/>
            <w:noWrap/>
            <w:hideMark/>
          </w:tcPr>
          <w:p w14:paraId="298D71C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244.64</w:t>
            </w:r>
          </w:p>
        </w:tc>
      </w:tr>
      <w:tr w:rsidR="00B07AFB" w:rsidRPr="00B07AFB" w14:paraId="107FD567" w14:textId="77777777" w:rsidTr="00B07AFB">
        <w:trPr>
          <w:trHeight w:val="300"/>
          <w:jc w:val="center"/>
        </w:trPr>
        <w:tc>
          <w:tcPr>
            <w:tcW w:w="4840" w:type="dxa"/>
            <w:noWrap/>
            <w:hideMark/>
          </w:tcPr>
          <w:p w14:paraId="1C281D29" w14:textId="77777777" w:rsidR="00B07AFB" w:rsidRPr="00EE2A17" w:rsidRDefault="00B07AFB">
            <w:pPr>
              <w:rPr>
                <w:rFonts w:ascii="Calibri" w:eastAsia="Times New Roman" w:hAnsi="Calibri"/>
                <w:i/>
                <w:color w:val="000000"/>
              </w:rPr>
            </w:pPr>
            <w:r w:rsidRPr="00EE2A17">
              <w:rPr>
                <w:rFonts w:ascii="Calibri" w:eastAsia="Times New Roman" w:hAnsi="Calibri"/>
                <w:i/>
                <w:color w:val="000000"/>
              </w:rPr>
              <w:t>Bacteroides sp. D2</w:t>
            </w:r>
          </w:p>
        </w:tc>
        <w:tc>
          <w:tcPr>
            <w:tcW w:w="1028" w:type="dxa"/>
            <w:noWrap/>
            <w:hideMark/>
          </w:tcPr>
          <w:p w14:paraId="49F35F92"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885</w:t>
            </w:r>
          </w:p>
        </w:tc>
        <w:tc>
          <w:tcPr>
            <w:tcW w:w="990" w:type="dxa"/>
            <w:noWrap/>
            <w:hideMark/>
          </w:tcPr>
          <w:p w14:paraId="18A64E4A"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379</w:t>
            </w:r>
          </w:p>
        </w:tc>
        <w:tc>
          <w:tcPr>
            <w:tcW w:w="900" w:type="dxa"/>
            <w:noWrap/>
            <w:hideMark/>
          </w:tcPr>
          <w:p w14:paraId="3F16361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409</w:t>
            </w:r>
          </w:p>
        </w:tc>
        <w:tc>
          <w:tcPr>
            <w:tcW w:w="1080" w:type="dxa"/>
            <w:noWrap/>
            <w:hideMark/>
          </w:tcPr>
          <w:p w14:paraId="5225D59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283.88</w:t>
            </w:r>
          </w:p>
        </w:tc>
      </w:tr>
      <w:tr w:rsidR="00B07AFB" w:rsidRPr="00B07AFB" w14:paraId="437B0FA7" w14:textId="77777777" w:rsidTr="00B07AFB">
        <w:trPr>
          <w:trHeight w:val="300"/>
          <w:jc w:val="center"/>
        </w:trPr>
        <w:tc>
          <w:tcPr>
            <w:tcW w:w="4840" w:type="dxa"/>
            <w:noWrap/>
            <w:hideMark/>
          </w:tcPr>
          <w:p w14:paraId="132A9834" w14:textId="77777777" w:rsidR="00B07AFB" w:rsidRPr="00B07AFB" w:rsidRDefault="00B07AFB">
            <w:pPr>
              <w:rPr>
                <w:rFonts w:ascii="Calibri" w:eastAsia="Times New Roman" w:hAnsi="Calibri"/>
                <w:color w:val="000000"/>
              </w:rPr>
            </w:pPr>
            <w:r w:rsidRPr="00B07AFB">
              <w:rPr>
                <w:rFonts w:ascii="Calibri" w:eastAsia="Times New Roman" w:hAnsi="Calibri"/>
                <w:color w:val="000000"/>
              </w:rPr>
              <w:lastRenderedPageBreak/>
              <w:t>Metagenome</w:t>
            </w:r>
          </w:p>
        </w:tc>
        <w:tc>
          <w:tcPr>
            <w:tcW w:w="1028" w:type="dxa"/>
            <w:noWrap/>
            <w:hideMark/>
          </w:tcPr>
          <w:p w14:paraId="641DB6D0"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23,359</w:t>
            </w:r>
          </w:p>
        </w:tc>
        <w:tc>
          <w:tcPr>
            <w:tcW w:w="990" w:type="dxa"/>
            <w:noWrap/>
            <w:hideMark/>
          </w:tcPr>
          <w:p w14:paraId="62FB450B"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26,075</w:t>
            </w:r>
          </w:p>
        </w:tc>
        <w:tc>
          <w:tcPr>
            <w:tcW w:w="900" w:type="dxa"/>
            <w:noWrap/>
            <w:hideMark/>
          </w:tcPr>
          <w:p w14:paraId="5C949E05"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28,766</w:t>
            </w:r>
          </w:p>
        </w:tc>
        <w:tc>
          <w:tcPr>
            <w:tcW w:w="1080" w:type="dxa"/>
            <w:noWrap/>
            <w:hideMark/>
          </w:tcPr>
          <w:p w14:paraId="4C7F1CA7" w14:textId="77777777" w:rsidR="00B07AFB" w:rsidRPr="00B07AFB" w:rsidRDefault="00B07AFB">
            <w:pPr>
              <w:jc w:val="right"/>
              <w:rPr>
                <w:rFonts w:ascii="Calibri" w:eastAsia="Times New Roman" w:hAnsi="Calibri"/>
                <w:color w:val="000000"/>
              </w:rPr>
            </w:pPr>
            <w:r w:rsidRPr="00B07AFB">
              <w:rPr>
                <w:rFonts w:ascii="Calibri" w:eastAsia="Times New Roman" w:hAnsi="Calibri"/>
                <w:color w:val="000000"/>
              </w:rPr>
              <w:t>2,703.51</w:t>
            </w:r>
          </w:p>
        </w:tc>
      </w:tr>
    </w:tbl>
    <w:p w14:paraId="33AD0003" w14:textId="1F697E1D" w:rsidR="0096445C" w:rsidRDefault="00B07AFB" w:rsidP="004D015E">
      <w:pPr>
        <w:spacing w:line="480" w:lineRule="auto"/>
        <w:rPr>
          <w:rFonts w:cs="Arial"/>
          <w:iCs/>
        </w:rPr>
      </w:pPr>
      <w:r w:rsidRPr="004D015E">
        <w:rPr>
          <w:rFonts w:cs="Arial"/>
          <w:i/>
        </w:rPr>
        <w:t xml:space="preserve"> </w:t>
      </w:r>
      <w:r w:rsidR="00DE13C9" w:rsidRPr="00EE2A17">
        <w:rPr>
          <w:rFonts w:cs="Arial"/>
          <w:i/>
          <w:iCs/>
        </w:rPr>
        <w:t>Bacteriodes</w:t>
      </w:r>
      <w:r w:rsidR="00DE13C9">
        <w:rPr>
          <w:rFonts w:cs="Arial"/>
          <w:iCs/>
        </w:rPr>
        <w:t xml:space="preserve"> </w:t>
      </w:r>
      <w:r w:rsidR="004D015E" w:rsidRPr="004D015E">
        <w:rPr>
          <w:rFonts w:cs="Arial"/>
          <w:i/>
        </w:rPr>
        <w:t>vulgatus ATCC 8482</w:t>
      </w:r>
      <w:r w:rsidR="004D015E">
        <w:rPr>
          <w:rFonts w:cs="Arial"/>
        </w:rPr>
        <w:t xml:space="preserve"> had 571 proteins in low RS, however its number of proteins is increased in high RS up to </w:t>
      </w:r>
      <w:r w:rsidR="00DE13C9">
        <w:rPr>
          <w:rFonts w:cs="Arial"/>
        </w:rPr>
        <w:t>785</w:t>
      </w:r>
      <w:r w:rsidR="00742FD3">
        <w:rPr>
          <w:rFonts w:cs="Arial"/>
          <w:iCs/>
        </w:rPr>
        <w:t xml:space="preserve"> (Table 20)</w:t>
      </w:r>
      <w:r w:rsidR="00DE13C9">
        <w:rPr>
          <w:rFonts w:cs="Arial"/>
        </w:rPr>
        <w:t xml:space="preserve">.  Interestingly, all the </w:t>
      </w:r>
      <w:r w:rsidR="00DE13C9" w:rsidRPr="00EE2A17">
        <w:rPr>
          <w:rFonts w:cs="Arial"/>
          <w:i/>
          <w:iCs/>
        </w:rPr>
        <w:t>Bacteriodes</w:t>
      </w:r>
      <w:r w:rsidR="00DE13C9">
        <w:rPr>
          <w:rFonts w:cs="Arial"/>
          <w:iCs/>
        </w:rPr>
        <w:t xml:space="preserve"> species</w:t>
      </w:r>
      <w:r w:rsidR="0019619C">
        <w:rPr>
          <w:rFonts w:cs="Arial"/>
          <w:iCs/>
        </w:rPr>
        <w:t xml:space="preserve">, </w:t>
      </w:r>
      <w:r w:rsidR="0019619C" w:rsidRPr="00EE2A17">
        <w:rPr>
          <w:rFonts w:cs="Arial"/>
          <w:i/>
          <w:iCs/>
        </w:rPr>
        <w:t>Bacteriodes</w:t>
      </w:r>
      <w:r w:rsidR="0019619C">
        <w:rPr>
          <w:rFonts w:cs="Arial"/>
          <w:i/>
          <w:iCs/>
        </w:rPr>
        <w:t xml:space="preserve"> sp. D2, </w:t>
      </w:r>
      <w:r w:rsidR="0019619C" w:rsidRPr="00EE2A17">
        <w:rPr>
          <w:rFonts w:cs="Arial"/>
          <w:i/>
          <w:iCs/>
        </w:rPr>
        <w:t>Bacteriodes</w:t>
      </w:r>
      <w:r w:rsidR="0019619C">
        <w:rPr>
          <w:rFonts w:cs="Arial"/>
          <w:i/>
          <w:iCs/>
        </w:rPr>
        <w:t xml:space="preserve"> sp. 1_1_6 </w:t>
      </w:r>
      <w:r w:rsidR="0019619C" w:rsidRPr="00073BA5">
        <w:rPr>
          <w:rFonts w:cs="Arial"/>
          <w:iCs/>
        </w:rPr>
        <w:t>and</w:t>
      </w:r>
      <w:r w:rsidR="0019619C">
        <w:rPr>
          <w:rFonts w:cs="Arial"/>
          <w:i/>
          <w:iCs/>
        </w:rPr>
        <w:t xml:space="preserve"> </w:t>
      </w:r>
      <w:r w:rsidR="0019619C" w:rsidRPr="00EE2A17">
        <w:rPr>
          <w:rFonts w:cs="Arial"/>
          <w:i/>
          <w:iCs/>
        </w:rPr>
        <w:t>Bacteriodes</w:t>
      </w:r>
      <w:r w:rsidR="0019619C">
        <w:rPr>
          <w:rFonts w:cs="Arial"/>
          <w:i/>
          <w:iCs/>
        </w:rPr>
        <w:t xml:space="preserve"> vulgatus ATCC 8482,</w:t>
      </w:r>
      <w:r w:rsidR="00DE13C9">
        <w:rPr>
          <w:rFonts w:cs="Arial"/>
          <w:iCs/>
        </w:rPr>
        <w:t xml:space="preserve"> were </w:t>
      </w:r>
      <w:r w:rsidR="00073BA5">
        <w:rPr>
          <w:rFonts w:cs="Arial"/>
          <w:iCs/>
        </w:rPr>
        <w:t xml:space="preserve">remarkably </w:t>
      </w:r>
      <w:r w:rsidR="00DE13C9">
        <w:rPr>
          <w:rFonts w:cs="Arial"/>
          <w:iCs/>
        </w:rPr>
        <w:t>decreased in low RS when compared to baseline diet</w:t>
      </w:r>
      <w:r w:rsidR="00742FD3">
        <w:rPr>
          <w:rFonts w:cs="Arial"/>
          <w:iCs/>
        </w:rPr>
        <w:t xml:space="preserve"> (Table 20)</w:t>
      </w:r>
      <w:r w:rsidR="00DE13C9">
        <w:rPr>
          <w:rFonts w:cs="Arial"/>
          <w:iCs/>
        </w:rPr>
        <w:t xml:space="preserve">.  </w:t>
      </w:r>
      <w:r w:rsidR="0096445C">
        <w:rPr>
          <w:rFonts w:cs="Arial"/>
          <w:iCs/>
        </w:rPr>
        <w:t>Th</w:t>
      </w:r>
      <w:r w:rsidR="008F183C">
        <w:rPr>
          <w:rFonts w:cs="Arial"/>
          <w:iCs/>
        </w:rPr>
        <w:t>ese changes are</w:t>
      </w:r>
      <w:r w:rsidR="0096445C">
        <w:rPr>
          <w:rFonts w:cs="Arial"/>
          <w:iCs/>
        </w:rPr>
        <w:t xml:space="preserve"> relatively large, considering changes in other species.  </w:t>
      </w:r>
      <w:r w:rsidR="00B8732F">
        <w:rPr>
          <w:rFonts w:cs="Arial"/>
          <w:iCs/>
        </w:rPr>
        <w:t xml:space="preserve">The number of human proteins is not quite changed by </w:t>
      </w:r>
      <w:r w:rsidR="00742FD3">
        <w:rPr>
          <w:rFonts w:cs="Arial"/>
          <w:iCs/>
        </w:rPr>
        <w:t>different diets  (Table 20)</w:t>
      </w:r>
      <w:r w:rsidR="006947A6">
        <w:rPr>
          <w:rFonts w:cs="Arial"/>
          <w:iCs/>
        </w:rPr>
        <w:t xml:space="preserve">.  Abundance of many species in fecal samples </w:t>
      </w:r>
      <w:r w:rsidR="004332AA">
        <w:rPr>
          <w:rFonts w:cs="Arial"/>
          <w:iCs/>
        </w:rPr>
        <w:t>was</w:t>
      </w:r>
      <w:r w:rsidR="006947A6">
        <w:rPr>
          <w:rFonts w:cs="Arial"/>
          <w:iCs/>
        </w:rPr>
        <w:t xml:space="preserve"> not much changed except </w:t>
      </w:r>
      <w:r w:rsidR="006947A6" w:rsidRPr="009E0BDA">
        <w:rPr>
          <w:rFonts w:cs="Arial"/>
          <w:i/>
          <w:iCs/>
        </w:rPr>
        <w:t>Bacteroides</w:t>
      </w:r>
      <w:r w:rsidR="006947A6">
        <w:rPr>
          <w:rFonts w:cs="Arial"/>
          <w:iCs/>
        </w:rPr>
        <w:t xml:space="preserve"> and </w:t>
      </w:r>
      <w:r w:rsidR="009E0BDA">
        <w:rPr>
          <w:rFonts w:cs="Arial"/>
          <w:iCs/>
        </w:rPr>
        <w:t>Metagenome</w:t>
      </w:r>
      <w:r w:rsidR="006947A6">
        <w:rPr>
          <w:rFonts w:cs="Arial"/>
          <w:iCs/>
        </w:rPr>
        <w:t xml:space="preserve"> (Table 20)</w:t>
      </w:r>
      <w:r w:rsidR="008F183C">
        <w:rPr>
          <w:rFonts w:cs="Arial"/>
          <w:iCs/>
        </w:rPr>
        <w:t xml:space="preserve">.  </w:t>
      </w:r>
    </w:p>
    <w:p w14:paraId="2D17EFFC" w14:textId="60D71C7E" w:rsidR="004B578D" w:rsidRDefault="004B578D" w:rsidP="004B578D">
      <w:pPr>
        <w:pStyle w:val="Heading3"/>
      </w:pPr>
      <w:bookmarkStart w:id="116" w:name="_Toc296333756"/>
      <w:r>
        <w:t>Construction of generalized linear mixed model</w:t>
      </w:r>
      <w:bookmarkEnd w:id="116"/>
    </w:p>
    <w:p w14:paraId="30473711" w14:textId="77777777" w:rsidR="008B1E76" w:rsidRDefault="004B578D" w:rsidP="00E4129D">
      <w:pPr>
        <w:spacing w:line="480" w:lineRule="auto"/>
        <w:rPr>
          <w:rFonts w:cs="Arial"/>
          <w:iCs/>
        </w:rPr>
      </w:pPr>
      <w:r>
        <w:rPr>
          <w:rFonts w:cs="Arial"/>
          <w:iCs/>
        </w:rPr>
        <w:tab/>
        <w:t xml:space="preserve">Generalized linear mixed model (GLMM) was constructed for comparing proteomes between different diets.  </w:t>
      </w:r>
      <w:r w:rsidR="00E4129D">
        <w:rPr>
          <w:rFonts w:cs="Arial"/>
          <w:iCs/>
        </w:rPr>
        <w:t xml:space="preserve">We showed that fecal proteomes are highly varied even in healthy volunteers at chapter 4.  Therefore, GLMM </w:t>
      </w:r>
      <w:r w:rsidR="00E4129D" w:rsidRPr="00E4129D">
        <w:rPr>
          <w:rFonts w:cs="Arial"/>
          <w:iCs/>
        </w:rPr>
        <w:t xml:space="preserve">was constructed </w:t>
      </w:r>
      <w:r w:rsidR="00E4129D">
        <w:rPr>
          <w:rFonts w:cs="Arial"/>
          <w:iCs/>
        </w:rPr>
        <w:t>based on</w:t>
      </w:r>
      <w:r w:rsidR="00E4129D" w:rsidRPr="00E4129D">
        <w:rPr>
          <w:rFonts w:cs="Arial"/>
          <w:iCs/>
        </w:rPr>
        <w:t xml:space="preserve"> Negative Binomial distribution.  GLMM is an extended linear model of Generalized Linear Model (GLM) that can cover random effects </w:t>
      </w:r>
      <w:r w:rsidR="008B1E76">
        <w:rPr>
          <w:rFonts w:cs="Arial"/>
          <w:iCs/>
        </w:rPr>
        <w:t>and</w:t>
      </w:r>
      <w:r w:rsidR="00E4129D" w:rsidRPr="00E4129D">
        <w:rPr>
          <w:rFonts w:cs="Arial"/>
          <w:iCs/>
        </w:rPr>
        <w:t xml:space="preserve"> fixed effects </w:t>
      </w:r>
      <w:r w:rsidR="008B1E76">
        <w:rPr>
          <w:rFonts w:cs="Arial"/>
          <w:iCs/>
        </w:rPr>
        <w:t>as well as</w:t>
      </w:r>
      <w:r w:rsidR="00E4129D" w:rsidRPr="00E4129D">
        <w:rPr>
          <w:rFonts w:cs="Arial"/>
          <w:iCs/>
        </w:rPr>
        <w:t xml:space="preserve"> regression variables</w:t>
      </w:r>
      <w:r w:rsidR="008B1E76">
        <w:rPr>
          <w:rFonts w:cs="Arial"/>
          <w:iCs/>
        </w:rPr>
        <w:t>.  Our model is described below.</w:t>
      </w:r>
    </w:p>
    <w:p w14:paraId="0DED6E95" w14:textId="1AB517EA" w:rsidR="008B1E76" w:rsidRDefault="008B1E76" w:rsidP="008B1E76">
      <w:pPr>
        <w:spacing w:line="480" w:lineRule="auto"/>
        <w:jc w:val="center"/>
        <w:rPr>
          <w:rFonts w:cs="Arial"/>
          <w:iCs/>
        </w:rPr>
      </w:pPr>
      <m:oMathPara>
        <m:oMath>
          <m:r>
            <w:rPr>
              <w:rFonts w:ascii="Cambria Math" w:hAnsi="Cambria Math" w:cs="Arial"/>
            </w:rPr>
            <m:t>SC ~ μ+diet type+(1|patients)</m:t>
          </m:r>
        </m:oMath>
      </m:oMathPara>
    </w:p>
    <w:p w14:paraId="575AFCE2" w14:textId="77777777" w:rsidR="00B17881" w:rsidRDefault="008B1E76" w:rsidP="00BE4C75">
      <w:pPr>
        <w:spacing w:line="480" w:lineRule="auto"/>
        <w:rPr>
          <w:rFonts w:cs="Arial"/>
          <w:iCs/>
        </w:rPr>
      </w:pPr>
      <w:r>
        <w:rPr>
          <w:rFonts w:cs="Arial"/>
          <w:iCs/>
        </w:rPr>
        <w:t xml:space="preserve">Where SC is spectral counts and </w:t>
      </w:r>
      <m:oMath>
        <m:r>
          <w:rPr>
            <w:rFonts w:ascii="Cambria Math" w:hAnsi="Cambria Math" w:cs="Arial"/>
          </w:rPr>
          <m:t>μ</m:t>
        </m:r>
      </m:oMath>
      <w:r>
        <w:rPr>
          <w:rFonts w:cs="Arial"/>
          <w:iCs/>
        </w:rPr>
        <w:t xml:space="preserve"> is intercept</w:t>
      </w:r>
      <w:r w:rsidR="00BE4C75">
        <w:rPr>
          <w:rFonts w:cs="Arial"/>
          <w:iCs/>
        </w:rPr>
        <w:t xml:space="preserve">.  This model considers that SC can be varied by diet type in different patients.  </w:t>
      </w:r>
      <w:r w:rsidR="00E971D9">
        <w:rPr>
          <w:rFonts w:cs="Arial"/>
          <w:iCs/>
        </w:rPr>
        <w:t>We</w:t>
      </w:r>
      <w:r w:rsidR="00522877">
        <w:rPr>
          <w:rFonts w:cs="Arial"/>
          <w:iCs/>
        </w:rPr>
        <w:t xml:space="preserve"> assumed that eight patients can have different fecal proteome profiles, even though they are</w:t>
      </w:r>
      <w:r w:rsidR="00E971D9">
        <w:rPr>
          <w:rFonts w:cs="Arial"/>
          <w:iCs/>
        </w:rPr>
        <w:t xml:space="preserve"> basically same biological replicates who have same disease and healthy </w:t>
      </w:r>
      <w:r w:rsidR="00522877">
        <w:rPr>
          <w:rFonts w:cs="Arial"/>
          <w:iCs/>
        </w:rPr>
        <w:t xml:space="preserve">background.  </w:t>
      </w:r>
      <w:r w:rsidR="008400D2">
        <w:rPr>
          <w:rFonts w:cs="Arial"/>
          <w:iCs/>
        </w:rPr>
        <w:t xml:space="preserve">Also, </w:t>
      </w:r>
      <w:r w:rsidR="00306F69">
        <w:rPr>
          <w:rFonts w:cs="Arial"/>
          <w:iCs/>
        </w:rPr>
        <w:lastRenderedPageBreak/>
        <w:t>different diets are crossed over</w:t>
      </w:r>
      <w:r w:rsidR="008400D2">
        <w:rPr>
          <w:rFonts w:cs="Arial"/>
          <w:iCs/>
        </w:rPr>
        <w:t xml:space="preserve"> </w:t>
      </w:r>
      <w:r w:rsidR="00306F69">
        <w:rPr>
          <w:rFonts w:cs="Arial"/>
          <w:iCs/>
        </w:rPr>
        <w:t>through</w:t>
      </w:r>
      <w:r w:rsidR="008400D2">
        <w:rPr>
          <w:rFonts w:cs="Arial"/>
          <w:iCs/>
        </w:rPr>
        <w:t xml:space="preserve"> patients, so it makes sense that GLMM has patients as random </w:t>
      </w:r>
      <w:r w:rsidR="00306F69">
        <w:rPr>
          <w:rFonts w:cs="Arial"/>
          <w:iCs/>
        </w:rPr>
        <w:t xml:space="preserve">effect and diet type as fixed effect.  </w:t>
      </w:r>
    </w:p>
    <w:p w14:paraId="1FFA8DA1" w14:textId="1F315648" w:rsidR="00413EEE" w:rsidRDefault="00B17881" w:rsidP="00413EEE">
      <w:pPr>
        <w:spacing w:line="480" w:lineRule="auto"/>
        <w:ind w:firstLine="720"/>
      </w:pPr>
      <w:r w:rsidRPr="00CB2600">
        <w:t xml:space="preserve">Negative binomial distribution (NB) was employed as null distribution in GLMM instead of Normal distribution because spectral count is frequency-based data and NB distribution is generally used for count-type data analysis, such as read numbers of RNA sequencing.  </w:t>
      </w:r>
      <w:r>
        <w:t>NB is widely used</w:t>
      </w:r>
      <w:r w:rsidR="0072436B">
        <w:t xml:space="preserve"> distribution</w:t>
      </w:r>
      <w:r>
        <w:t xml:space="preserve"> in RNA sequencing data comparison </w:t>
      </w:r>
      <w:r>
        <w:fldChar w:fldCharType="begin"/>
      </w:r>
      <w:r w:rsidR="0072436B">
        <w:instrText xml:space="preserve"> ADDIN EN.CITE &lt;EndNote&gt;&lt;Cite&gt;&lt;Author&gt;Robinson&lt;/Author&gt;&lt;Year&gt;2010&lt;/Year&gt;&lt;RecNum&gt;203&lt;/RecNum&gt;&lt;DisplayText&gt;[155,156]&lt;/DisplayText&gt;&lt;record&gt;&lt;rec-number&gt;203&lt;/rec-number&gt;&lt;foreign-keys&gt;&lt;key app="EN" db-id="efx2002d5f0z21etvw3x9zp7tw2axpa2eez0" timestamp="1434684271"&gt;203&lt;/key&gt;&lt;/foreign-keys&gt;&lt;ref-type name="Journal Article"&gt;17&lt;/ref-type&gt;&lt;contributors&gt;&lt;authors&gt;&lt;author&gt;Robinson, Mark D&lt;/author&gt;&lt;author&gt;McCarthy, Davis J&lt;/author&gt;&lt;author&gt;Smyth, Gordon K&lt;/author&gt;&lt;/authors&gt;&lt;/contributors&gt;&lt;titles&gt;&lt;title&gt;edgeR: a Bioconductor package for differential expression analysis of digital gene expression data&lt;/title&gt;&lt;secondary-title&gt;Bioinformatics&lt;/secondary-title&gt;&lt;/titles&gt;&lt;periodical&gt;&lt;full-title&gt;Bioinformatics&lt;/full-title&gt;&lt;/periodical&gt;&lt;pages&gt;139-140&lt;/pages&gt;&lt;volume&gt;26&lt;/volume&gt;&lt;number&gt;1&lt;/number&gt;&lt;dates&gt;&lt;year&gt;2010&lt;/year&gt;&lt;/dates&gt;&lt;isbn&gt;1367-4803&lt;/isbn&gt;&lt;urls&gt;&lt;/urls&gt;&lt;/record&gt;&lt;/Cite&gt;&lt;Cite&gt;&lt;Author&gt;Anders&lt;/Author&gt;&lt;Year&gt;2010&lt;/Year&gt;&lt;RecNum&gt;204&lt;/RecNum&gt;&lt;record&gt;&lt;rec-number&gt;204&lt;/rec-number&gt;&lt;foreign-keys&gt;&lt;key app="EN" db-id="efx2002d5f0z21etvw3x9zp7tw2axpa2eez0" timestamp="1434684349"&gt;204&lt;/key&gt;&lt;/foreign-keys&gt;&lt;ref-type name="Journal Article"&gt;17&lt;/ref-type&gt;&lt;contributors&gt;&lt;authors&gt;&lt;author&gt;Anders, Simon&lt;/author&gt;&lt;author&gt;Huber, Wolfgang&lt;/author&gt;&lt;/authors&gt;&lt;/contributors&gt;&lt;titles&gt;&lt;title&gt;Differential expression analysis for sequence count data&lt;/title&gt;&lt;secondary-title&gt;Genome biol&lt;/secondary-title&gt;&lt;/titles&gt;&lt;periodical&gt;&lt;full-title&gt;Genome Biol&lt;/full-title&gt;&lt;/periodical&gt;&lt;pages&gt;R106&lt;/pages&gt;&lt;volume&gt;11&lt;/volume&gt;&lt;number&gt;10&lt;/number&gt;&lt;dates&gt;&lt;year&gt;2010&lt;/year&gt;&lt;/dates&gt;&lt;urls&gt;&lt;/urls&gt;&lt;/record&gt;&lt;/Cite&gt;&lt;/EndNote&gt;</w:instrText>
      </w:r>
      <w:r>
        <w:fldChar w:fldCharType="separate"/>
      </w:r>
      <w:r w:rsidR="0072436B">
        <w:rPr>
          <w:noProof/>
        </w:rPr>
        <w:t>[155,156]</w:t>
      </w:r>
      <w:r>
        <w:fldChar w:fldCharType="end"/>
      </w:r>
      <w:r w:rsidR="0072436B">
        <w:t>, while has not been used in proteomics data analysis.</w:t>
      </w:r>
      <w:r w:rsidR="009C398D">
        <w:t xml:space="preserve">  NB is robust to over-dispersion when compared to Poisson that is also basically designed distribution for count type data.  </w:t>
      </w:r>
      <w:r w:rsidR="00F64D68">
        <w:t xml:space="preserve">Also, NB is uniquely determined by two parameters, mean and variance.  </w:t>
      </w:r>
      <w:r w:rsidR="00A42529">
        <w:t>However, the number of replicates in biological studies is often not enough to estimate mean and variance reliably.  Therefore, tools based on NB for RNA sequencing data comparison, such as DESeq</w:t>
      </w:r>
      <w:r w:rsidR="00394DEF">
        <w:fldChar w:fldCharType="begin"/>
      </w:r>
      <w:r w:rsidR="00394DEF">
        <w:instrText xml:space="preserve"> ADDIN EN.CITE &lt;EndNote&gt;&lt;Cite&gt;&lt;Author&gt;Anders&lt;/Author&gt;&lt;Year&gt;2010&lt;/Year&gt;&lt;RecNum&gt;204&lt;/RecNum&gt;&lt;DisplayText&gt;[156]&lt;/DisplayText&gt;&lt;record&gt;&lt;rec-number&gt;204&lt;/rec-number&gt;&lt;foreign-keys&gt;&lt;key app="EN" db-id="efx2002d5f0z21etvw3x9zp7tw2axpa2eez0" timestamp="1434684349"&gt;204&lt;/key&gt;&lt;/foreign-keys&gt;&lt;ref-type name="Journal Article"&gt;17&lt;/ref-type&gt;&lt;contributors&gt;&lt;authors&gt;&lt;author&gt;Anders, Simon&lt;/author&gt;&lt;author&gt;Huber, Wolfgang&lt;/author&gt;&lt;/authors&gt;&lt;/contributors&gt;&lt;titles&gt;&lt;title&gt;Differential expression analysis for sequence count data&lt;/title&gt;&lt;secondary-title&gt;Genome biol&lt;/secondary-title&gt;&lt;/titles&gt;&lt;periodical&gt;&lt;full-title&gt;Genome Biol&lt;/full-title&gt;&lt;/periodical&gt;&lt;pages&gt;R106&lt;/pages&gt;&lt;volume&gt;11&lt;/volume&gt;&lt;number&gt;10&lt;/number&gt;&lt;dates&gt;&lt;year&gt;2010&lt;/year&gt;&lt;/dates&gt;&lt;urls&gt;&lt;/urls&gt;&lt;/record&gt;&lt;/Cite&gt;&lt;/EndNote&gt;</w:instrText>
      </w:r>
      <w:r w:rsidR="00394DEF">
        <w:fldChar w:fldCharType="separate"/>
      </w:r>
      <w:r w:rsidR="00394DEF">
        <w:rPr>
          <w:noProof/>
        </w:rPr>
        <w:t>[156]</w:t>
      </w:r>
      <w:r w:rsidR="00394DEF">
        <w:fldChar w:fldCharType="end"/>
      </w:r>
      <w:r w:rsidR="00EB6932">
        <w:rPr>
          <w:noProof/>
        </w:rPr>
        <w:t xml:space="preserve"> </w:t>
      </w:r>
      <w:r w:rsidR="00A42529">
        <w:t>and edgeR</w:t>
      </w:r>
      <w:r w:rsidR="00394DEF">
        <w:fldChar w:fldCharType="begin"/>
      </w:r>
      <w:r w:rsidR="00394DEF">
        <w:instrText xml:space="preserve"> ADDIN EN.CITE &lt;EndNote&gt;&lt;Cite&gt;&lt;Author&gt;Robinson&lt;/Author&gt;&lt;Year&gt;2010&lt;/Year&gt;&lt;RecNum&gt;167&lt;/RecNum&gt;&lt;DisplayText&gt;[155]&lt;/DisplayText&gt;&lt;record&gt;&lt;rec-number&gt;167&lt;/rec-number&gt;&lt;foreign-keys&gt;&lt;key app="EN" db-id="efx2002d5f0z21etvw3x9zp7tw2axpa2eez0" timestamp="1434509735"&gt;167&lt;/key&gt;&lt;/foreign-keys&gt;&lt;ref-type name="Journal Article"&gt;17&lt;/ref-type&gt;&lt;contributors&gt;&lt;authors&gt;&lt;author&gt;Robinson, Mark D&lt;/author&gt;&lt;author&gt;McCarthy, Davis J&lt;/author&gt;&lt;author&gt;Smyth, Gordon K&lt;/author&gt;&lt;/authors&gt;&lt;/contributors&gt;&lt;titles&gt;&lt;title&gt;edgeR: a Bioconductor package for differential expression analysis of digital gene expression data&lt;/title&gt;&lt;secondary-title&gt;Bioinformatics&lt;/secondary-title&gt;&lt;/titles&gt;&lt;periodical&gt;&lt;full-title&gt;Bioinformatics&lt;/full-title&gt;&lt;/periodical&gt;&lt;pages&gt;139-140&lt;/pages&gt;&lt;volume&gt;26&lt;/volume&gt;&lt;number&gt;1&lt;/number&gt;&lt;dates&gt;&lt;year&gt;2010&lt;/year&gt;&lt;/dates&gt;&lt;isbn&gt;1367-4803&lt;/isbn&gt;&lt;urls&gt;&lt;/urls&gt;&lt;/record&gt;&lt;/Cite&gt;&lt;/EndNote&gt;</w:instrText>
      </w:r>
      <w:r w:rsidR="00394DEF">
        <w:fldChar w:fldCharType="separate"/>
      </w:r>
      <w:r w:rsidR="00394DEF">
        <w:rPr>
          <w:noProof/>
        </w:rPr>
        <w:t>[155]</w:t>
      </w:r>
      <w:r w:rsidR="00394DEF">
        <w:fldChar w:fldCharType="end"/>
      </w:r>
      <w:r w:rsidR="00A42529">
        <w:t xml:space="preserve">, </w:t>
      </w:r>
      <w:r w:rsidR="00394DEF">
        <w:t>have their variance functions adj</w:t>
      </w:r>
      <w:r w:rsidR="009436C4">
        <w:t xml:space="preserve">usted for RNA sequencing data.  Even though the diet proteome dataset has small number of replicates, </w:t>
      </w:r>
      <w:r w:rsidR="00F53F78">
        <w:t>tools using NB for GLMM models are not available.  Therefore, we used general NB variance function</w:t>
      </w:r>
      <w:r w:rsidR="00E14B8B">
        <w:t xml:space="preserve"> provided by lmerTest R package</w:t>
      </w:r>
      <w:r w:rsidR="00F53F78">
        <w:t xml:space="preserve"> designed for GLMM model.</w:t>
      </w:r>
      <w:r w:rsidR="00E14B8B">
        <w:t xml:space="preserve">  </w:t>
      </w:r>
      <w:r w:rsidR="00380EDE">
        <w:t>The constructed GLMM-</w:t>
      </w:r>
      <w:r w:rsidRPr="00CB2600">
        <w:t>NB model was compared to null model</w:t>
      </w:r>
      <w:r w:rsidR="001720E3">
        <w:t xml:space="preserve"> (null hypothesis) </w:t>
      </w:r>
      <w:r w:rsidRPr="00CB2600">
        <w:t>through chi-square likelihood ratio test (LR test).  All the P-values were adjusted by FDR in order to redu</w:t>
      </w:r>
      <w:r w:rsidR="00413EEE">
        <w:t xml:space="preserve">ce multiple comparison effect. </w:t>
      </w:r>
    </w:p>
    <w:p w14:paraId="1A21F288" w14:textId="7CCD84B2" w:rsidR="00913B90" w:rsidRDefault="00E4129D" w:rsidP="00413EEE">
      <w:pPr>
        <w:spacing w:line="480" w:lineRule="auto"/>
        <w:ind w:firstLine="720"/>
        <w:rPr>
          <w:rFonts w:cs="Arial"/>
          <w:iCs/>
        </w:rPr>
      </w:pPr>
      <w:r w:rsidRPr="00E4129D">
        <w:rPr>
          <w:rFonts w:cs="Arial"/>
          <w:iCs/>
        </w:rPr>
        <w:t xml:space="preserve">On top of </w:t>
      </w:r>
      <w:r w:rsidR="00F41CAD">
        <w:rPr>
          <w:rFonts w:cs="Arial"/>
          <w:iCs/>
        </w:rPr>
        <w:t xml:space="preserve">GLMM-NB </w:t>
      </w:r>
      <w:r w:rsidR="002731F4">
        <w:rPr>
          <w:rFonts w:cs="Arial"/>
          <w:iCs/>
        </w:rPr>
        <w:t>model</w:t>
      </w:r>
      <w:r w:rsidRPr="00E4129D">
        <w:rPr>
          <w:rFonts w:cs="Arial"/>
          <w:iCs/>
        </w:rPr>
        <w:t xml:space="preserve">, </w:t>
      </w:r>
      <w:r w:rsidR="00913B90">
        <w:rPr>
          <w:rFonts w:cs="Arial"/>
          <w:iCs/>
        </w:rPr>
        <w:t>ES</w:t>
      </w:r>
      <w:r w:rsidRPr="00E4129D">
        <w:rPr>
          <w:rFonts w:cs="Arial"/>
          <w:iCs/>
        </w:rPr>
        <w:t xml:space="preserve"> filter was applied to enhance reproducibility of our data analysis.  </w:t>
      </w:r>
      <w:r w:rsidR="00913B90">
        <w:rPr>
          <w:rFonts w:cs="Arial"/>
          <w:iCs/>
        </w:rPr>
        <w:t>In label-free proteomics data analysis like diet proteome dataset, c</w:t>
      </w:r>
      <w:r w:rsidRPr="00E4129D">
        <w:rPr>
          <w:rFonts w:cs="Arial"/>
          <w:iCs/>
        </w:rPr>
        <w:t xml:space="preserve">ombining p-value and </w:t>
      </w:r>
      <w:r w:rsidR="00D6442C">
        <w:rPr>
          <w:rFonts w:cs="Arial"/>
          <w:iCs/>
        </w:rPr>
        <w:t>ES</w:t>
      </w:r>
      <w:r w:rsidRPr="00E4129D">
        <w:rPr>
          <w:rFonts w:cs="Arial"/>
          <w:iCs/>
        </w:rPr>
        <w:t xml:space="preserve"> filter can bring better results (Gregori et al 2013).  </w:t>
      </w:r>
      <w:r w:rsidR="00913B90">
        <w:rPr>
          <w:rFonts w:cs="Arial"/>
          <w:iCs/>
        </w:rPr>
        <w:t xml:space="preserve">Moreover, as is explained in chapter 3, we can filter out </w:t>
      </w:r>
      <w:r w:rsidR="00913B90">
        <w:rPr>
          <w:rFonts w:cs="Arial"/>
          <w:iCs/>
        </w:rPr>
        <w:lastRenderedPageBreak/>
        <w:t>low-powered hypothesis tests by using Cohen’s ES</w:t>
      </w:r>
      <w:r w:rsidR="00834AEA">
        <w:rPr>
          <w:rFonts w:cs="Arial"/>
          <w:iCs/>
        </w:rPr>
        <w:t xml:space="preserve">.  One important advantage of employing Cohen’s ES is that we can enhance statistical power up to the level required for making p-value as reliable evidence.  </w:t>
      </w:r>
      <w:r w:rsidR="0042295E">
        <w:rPr>
          <w:rFonts w:cs="Arial"/>
          <w:iCs/>
        </w:rPr>
        <w:t xml:space="preserve">According to Halsey et al </w:t>
      </w:r>
      <w:r w:rsidR="0042295E">
        <w:rPr>
          <w:rFonts w:cs="Arial"/>
          <w:iCs/>
        </w:rPr>
        <w:fldChar w:fldCharType="begin"/>
      </w:r>
      <w:r w:rsidR="0042295E">
        <w:rPr>
          <w:rFonts w:cs="Arial"/>
          <w:iCs/>
        </w:rPr>
        <w:instrText xml:space="preserve"> ADDIN EN.CITE &lt;EndNote&gt;&lt;Cite&gt;&lt;Author&gt;Halsey&lt;/Author&gt;&lt;Year&gt;2015&lt;/Year&gt;&lt;RecNum&gt;115&lt;/RecNum&gt;&lt;DisplayText&gt;[102]&lt;/DisplayText&gt;&lt;record&gt;&lt;rec-number&gt;115&lt;/rec-number&gt;&lt;foreign-keys&gt;&lt;key app="EN" db-id="efx2002d5f0z21etvw3x9zp7tw2axpa2eez0" timestamp="1434471120"&gt;115&lt;/key&gt;&lt;/foreign-keys&gt;&lt;ref-type name="Journal Article"&gt;17&lt;/ref-type&gt;&lt;contributors&gt;&lt;authors&gt;&lt;author&gt;Halsey, Lewis G&lt;/author&gt;&lt;author&gt;Curran-Everett, Douglas&lt;/author&gt;&lt;author&gt;Vowler, Sarah L&lt;/author&gt;&lt;author&gt;Drummond, Gordon B&lt;/author&gt;&lt;/authors&gt;&lt;/contributors&gt;&lt;titles&gt;&lt;title&gt;The fickle P value generates irreproducible results&lt;/title&gt;&lt;secondary-title&gt;Nature methods&lt;/secondary-title&gt;&lt;/titles&gt;&lt;periodical&gt;&lt;full-title&gt;Nature methods&lt;/full-title&gt;&lt;/periodical&gt;&lt;pages&gt;179-185&lt;/pages&gt;&lt;volume&gt;12&lt;/volume&gt;&lt;number&gt;3&lt;/number&gt;&lt;dates&gt;&lt;year&gt;2015&lt;/year&gt;&lt;/dates&gt;&lt;isbn&gt;1548-7091&lt;/isbn&gt;&lt;urls&gt;&lt;/urls&gt;&lt;/record&gt;&lt;/Cite&gt;&lt;/EndNote&gt;</w:instrText>
      </w:r>
      <w:r w:rsidR="0042295E">
        <w:rPr>
          <w:rFonts w:cs="Arial"/>
          <w:iCs/>
        </w:rPr>
        <w:fldChar w:fldCharType="separate"/>
      </w:r>
      <w:r w:rsidR="0042295E">
        <w:rPr>
          <w:rFonts w:cs="Arial"/>
          <w:iCs/>
          <w:noProof/>
        </w:rPr>
        <w:t>[102]</w:t>
      </w:r>
      <w:r w:rsidR="0042295E">
        <w:rPr>
          <w:rFonts w:cs="Arial"/>
          <w:iCs/>
        </w:rPr>
        <w:fldChar w:fldCharType="end"/>
      </w:r>
      <w:r w:rsidR="0042295E">
        <w:rPr>
          <w:rFonts w:cs="Arial"/>
          <w:iCs/>
        </w:rPr>
        <w:t xml:space="preserve">, </w:t>
      </w:r>
      <w:r w:rsidR="00842CA6">
        <w:rPr>
          <w:rFonts w:cs="Arial"/>
          <w:iCs/>
        </w:rPr>
        <w:t>high</w:t>
      </w:r>
      <w:r w:rsidR="0042295E">
        <w:rPr>
          <w:rFonts w:cs="Arial"/>
          <w:iCs/>
        </w:rPr>
        <w:t xml:space="preserve"> statistical power is generally needed to p-value.  Through removing out of underpowered hypothesis tests, we can keep only hypothesis </w:t>
      </w:r>
      <w:r w:rsidR="00EE4613">
        <w:rPr>
          <w:rFonts w:cs="Arial"/>
          <w:iCs/>
        </w:rPr>
        <w:t xml:space="preserve">tests that </w:t>
      </w:r>
      <w:r w:rsidR="0042295E">
        <w:rPr>
          <w:rFonts w:cs="Arial"/>
          <w:iCs/>
        </w:rPr>
        <w:t xml:space="preserve">have </w:t>
      </w:r>
      <w:r w:rsidR="00842CA6">
        <w:rPr>
          <w:rFonts w:cs="Arial"/>
          <w:iCs/>
        </w:rPr>
        <w:t xml:space="preserve">enough </w:t>
      </w:r>
      <w:r w:rsidR="00EE4613">
        <w:rPr>
          <w:rFonts w:cs="Arial"/>
          <w:iCs/>
        </w:rPr>
        <w:t xml:space="preserve">statistical power, which means that p-values in our comparisons can play its pivotal role appropriately.  </w:t>
      </w:r>
    </w:p>
    <w:p w14:paraId="0A5E5B09" w14:textId="153BA7A8" w:rsidR="00516886" w:rsidRDefault="00E4129D" w:rsidP="00161104">
      <w:pPr>
        <w:spacing w:line="480" w:lineRule="auto"/>
        <w:ind w:firstLine="720"/>
        <w:rPr>
          <w:rFonts w:cs="Arial"/>
          <w:iCs/>
        </w:rPr>
      </w:pPr>
      <w:r w:rsidRPr="00E4129D">
        <w:rPr>
          <w:rFonts w:cs="Arial"/>
          <w:iCs/>
        </w:rPr>
        <w:t xml:space="preserve">For this study we used Cohen’s </w:t>
      </w:r>
      <w:r w:rsidRPr="002A0A9C">
        <w:rPr>
          <w:rFonts w:cs="Arial"/>
          <w:i/>
          <w:iCs/>
        </w:rPr>
        <w:t>w</w:t>
      </w:r>
      <w:r w:rsidRPr="00E4129D">
        <w:rPr>
          <w:rFonts w:cs="Arial"/>
          <w:iCs/>
        </w:rPr>
        <w:t xml:space="preserve"> as effect size filter because it is designed for Chi-Square test used for the GLMM-NB model comparison.  Cohen’s </w:t>
      </w:r>
      <w:r w:rsidRPr="002A0A9C">
        <w:rPr>
          <w:rFonts w:cs="Arial"/>
          <w:i/>
          <w:iCs/>
        </w:rPr>
        <w:t>w</w:t>
      </w:r>
      <w:r w:rsidRPr="00E4129D">
        <w:rPr>
          <w:rFonts w:cs="Arial"/>
          <w:iCs/>
        </w:rPr>
        <w:t xml:space="preserve"> is one of variables for the calculation of statistical power, so it can be increased or decreased by sample size and significance level to keep certain level of the power (</w:t>
      </w:r>
      <w:r w:rsidR="00FD700C">
        <w:rPr>
          <w:rFonts w:cs="Arial"/>
          <w:iCs/>
        </w:rPr>
        <w:t>typically</w:t>
      </w:r>
      <w:r w:rsidRPr="00E4129D">
        <w:rPr>
          <w:rFonts w:cs="Arial"/>
          <w:iCs/>
        </w:rPr>
        <w:t xml:space="preserve"> </w:t>
      </w:r>
      <w:r w:rsidR="00FD700C">
        <w:rPr>
          <w:rFonts w:cs="Arial"/>
          <w:iCs/>
        </w:rPr>
        <w:t>80%</w:t>
      </w:r>
      <w:r w:rsidRPr="00E4129D">
        <w:rPr>
          <w:rFonts w:cs="Arial"/>
          <w:iCs/>
        </w:rPr>
        <w:t xml:space="preserve">).  </w:t>
      </w:r>
      <w:r w:rsidR="00FD700C">
        <w:rPr>
          <w:rFonts w:cs="Arial"/>
          <w:iCs/>
        </w:rPr>
        <w:t xml:space="preserve">The higher statistical power </w:t>
      </w:r>
      <w:r w:rsidR="000B71B2">
        <w:rPr>
          <w:rFonts w:cs="Arial"/>
          <w:iCs/>
        </w:rPr>
        <w:t xml:space="preserve">means better selection power in hypothesis tests.  </w:t>
      </w:r>
      <w:r w:rsidRPr="00E4129D">
        <w:rPr>
          <w:rFonts w:cs="Arial"/>
          <w:iCs/>
        </w:rPr>
        <w:t xml:space="preserve">Using GLMM-NB and Cohen’s </w:t>
      </w:r>
      <w:r w:rsidRPr="00BD1D86">
        <w:rPr>
          <w:rFonts w:cs="Arial"/>
          <w:i/>
          <w:iCs/>
        </w:rPr>
        <w:t>w</w:t>
      </w:r>
      <w:r w:rsidRPr="00E4129D">
        <w:rPr>
          <w:rFonts w:cs="Arial"/>
          <w:iCs/>
        </w:rPr>
        <w:t xml:space="preserve"> we found </w:t>
      </w:r>
      <w:r w:rsidR="00530B61">
        <w:rPr>
          <w:rFonts w:cs="Arial"/>
          <w:iCs/>
        </w:rPr>
        <w:t>7,113 significant proteins, 94 from human and 7,018 from microbiome and metagenome,</w:t>
      </w:r>
      <w:r w:rsidRPr="00E4129D">
        <w:rPr>
          <w:rFonts w:cs="Arial"/>
          <w:iCs/>
        </w:rPr>
        <w:t xml:space="preserve"> that are differently detected </w:t>
      </w:r>
      <w:r w:rsidR="00BC0F42">
        <w:rPr>
          <w:rFonts w:cs="Arial"/>
          <w:iCs/>
        </w:rPr>
        <w:t>in</w:t>
      </w:r>
      <w:r w:rsidRPr="00E4129D">
        <w:rPr>
          <w:rFonts w:cs="Arial"/>
          <w:iCs/>
        </w:rPr>
        <w:t xml:space="preserve"> different diet types.  These significant proteins were picked by 0.0001 FDR and 1.0258 Cohen’s w threshold</w:t>
      </w:r>
      <w:r w:rsidR="00EF420C">
        <w:rPr>
          <w:rFonts w:cs="Arial"/>
          <w:iCs/>
        </w:rPr>
        <w:t xml:space="preserve"> (Fig. 36)</w:t>
      </w:r>
      <w:r w:rsidRPr="00E4129D">
        <w:rPr>
          <w:rFonts w:cs="Arial"/>
          <w:iCs/>
        </w:rPr>
        <w:t xml:space="preserve">.  We increased p-value threshold to reduce the number of expected false positives.  </w:t>
      </w:r>
      <w:r w:rsidR="00493CA6">
        <w:rPr>
          <w:rFonts w:cs="Arial"/>
          <w:iCs/>
        </w:rPr>
        <w:t xml:space="preserve">The expected false </w:t>
      </w:r>
      <w:r w:rsidR="00D9201F">
        <w:rPr>
          <w:rFonts w:cs="Arial"/>
          <w:iCs/>
        </w:rPr>
        <w:t>positive in our results is</w:t>
      </w:r>
      <w:r w:rsidR="00B74CBD">
        <w:rPr>
          <w:rFonts w:cs="Arial"/>
          <w:iCs/>
        </w:rPr>
        <w:t xml:space="preserve"> less than 1.  </w:t>
      </w:r>
      <w:r w:rsidR="00EF420C">
        <w:rPr>
          <w:rFonts w:cs="Arial"/>
          <w:iCs/>
        </w:rPr>
        <w:t xml:space="preserve">Protein scatter plot in figure 36 shows how </w:t>
      </w:r>
      <w:r w:rsidR="00D87634">
        <w:rPr>
          <w:rFonts w:cs="Arial"/>
          <w:iCs/>
        </w:rPr>
        <w:t>many proteins we filtered out from total proteins.</w:t>
      </w:r>
      <w:r w:rsidR="006E6B4A">
        <w:rPr>
          <w:rFonts w:cs="Arial"/>
          <w:iCs/>
        </w:rPr>
        <w:t xml:space="preserve">  Since fecal proteomes are highly varied by patients as is shown in chapter 4, we applied rigorous thresholds to </w:t>
      </w:r>
      <w:r w:rsidR="009A13F4">
        <w:rPr>
          <w:rFonts w:cs="Arial"/>
          <w:iCs/>
        </w:rPr>
        <w:t xml:space="preserve">exclude out potential false positives.  </w:t>
      </w:r>
      <w:r w:rsidR="00A878B2">
        <w:rPr>
          <w:rFonts w:cs="Arial"/>
          <w:iCs/>
        </w:rPr>
        <w:t xml:space="preserve">Cohen’s </w:t>
      </w:r>
      <w:r w:rsidR="00A878B2" w:rsidRPr="00A878B2">
        <w:rPr>
          <w:rFonts w:cs="Arial"/>
          <w:i/>
          <w:iCs/>
        </w:rPr>
        <w:t>w</w:t>
      </w:r>
      <w:r w:rsidR="00A878B2">
        <w:rPr>
          <w:rFonts w:cs="Arial"/>
          <w:iCs/>
        </w:rPr>
        <w:t xml:space="preserve"> was calculated by selfea R package used in chapter 3 and 4.</w:t>
      </w:r>
    </w:p>
    <w:p w14:paraId="0B495F08" w14:textId="77777777" w:rsidR="00516886" w:rsidRDefault="00516886">
      <w:pPr>
        <w:jc w:val="left"/>
        <w:rPr>
          <w:rFonts w:cs="Arial"/>
          <w:iCs/>
        </w:rPr>
      </w:pPr>
      <w:r>
        <w:rPr>
          <w:rFonts w:cs="Arial"/>
          <w:iCs/>
        </w:rPr>
        <w:br w:type="page"/>
      </w:r>
    </w:p>
    <w:p w14:paraId="041B48B0" w14:textId="77777777" w:rsidR="00516886" w:rsidRDefault="00516886" w:rsidP="00516886">
      <w:pPr>
        <w:keepNext/>
        <w:spacing w:line="480" w:lineRule="auto"/>
      </w:pPr>
      <w:r>
        <w:rPr>
          <w:rFonts w:ascii="Helvetica" w:hAnsi="Helvetica" w:cs="Helvetica"/>
          <w:noProof/>
        </w:rPr>
        <w:lastRenderedPageBreak/>
        <w:drawing>
          <wp:inline distT="0" distB="0" distL="0" distR="0" wp14:anchorId="26E66B21" wp14:editId="4AC5F56D">
            <wp:extent cx="5486400" cy="4186845"/>
            <wp:effectExtent l="0" t="0" r="0" b="4445"/>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6400" cy="4186845"/>
                    </a:xfrm>
                    <a:prstGeom prst="rect">
                      <a:avLst/>
                    </a:prstGeom>
                    <a:noFill/>
                    <a:ln>
                      <a:noFill/>
                    </a:ln>
                  </pic:spPr>
                </pic:pic>
              </a:graphicData>
            </a:graphic>
          </wp:inline>
        </w:drawing>
      </w:r>
    </w:p>
    <w:p w14:paraId="14CBFE34" w14:textId="035983B6" w:rsidR="006E6B4A" w:rsidRDefault="00516886" w:rsidP="00516886">
      <w:pPr>
        <w:pStyle w:val="Caption"/>
        <w:rPr>
          <w:b w:val="0"/>
        </w:rPr>
      </w:pPr>
      <w:bookmarkStart w:id="117" w:name="_Toc296333129"/>
      <w:r>
        <w:t xml:space="preserve">Figure </w:t>
      </w:r>
      <w:fldSimple w:instr=" SEQ Figure \* ARABIC ">
        <w:r w:rsidR="002B3E83">
          <w:rPr>
            <w:noProof/>
          </w:rPr>
          <w:t>36</w:t>
        </w:r>
      </w:fldSimple>
      <w:r w:rsidR="00573464">
        <w:t xml:space="preserve"> Protein scatter plot of diet proteome comparison.  </w:t>
      </w:r>
      <w:r w:rsidR="00573464">
        <w:rPr>
          <w:b w:val="0"/>
        </w:rPr>
        <w:t xml:space="preserve">Green dots mean insignificant microbial proteins, and red dots are insignificant human proteins.  </w:t>
      </w:r>
      <w:r w:rsidR="005B269D">
        <w:rPr>
          <w:b w:val="0"/>
        </w:rPr>
        <w:t xml:space="preserve">Significant proteins are colored as purple (significant microbial) and blue (significant human).  </w:t>
      </w:r>
      <w:r w:rsidR="009D2749">
        <w:rPr>
          <w:b w:val="0"/>
        </w:rPr>
        <w:t xml:space="preserve">Since we used rigorous thresholds to make the expected number of false positive below 1, almost all the visible spots were excluded by two </w:t>
      </w:r>
      <w:r w:rsidR="00EF420C">
        <w:rPr>
          <w:b w:val="0"/>
        </w:rPr>
        <w:t>lines (</w:t>
      </w:r>
      <w:r w:rsidR="009D2749">
        <w:rPr>
          <w:b w:val="0"/>
        </w:rPr>
        <w:t xml:space="preserve">FDR threshold (= 0.0001) horizontal line and Cohen’s </w:t>
      </w:r>
      <w:r w:rsidR="009D2749" w:rsidRPr="003F1C82">
        <w:rPr>
          <w:b w:val="0"/>
          <w:i/>
        </w:rPr>
        <w:t>w</w:t>
      </w:r>
      <w:r w:rsidR="009D2749">
        <w:rPr>
          <w:b w:val="0"/>
        </w:rPr>
        <w:t xml:space="preserve"> (= 1.</w:t>
      </w:r>
      <w:r w:rsidR="003F1C82">
        <w:rPr>
          <w:b w:val="0"/>
        </w:rPr>
        <w:t>0258) vertical line</w:t>
      </w:r>
      <w:r w:rsidR="00EF420C">
        <w:rPr>
          <w:b w:val="0"/>
        </w:rPr>
        <w:t>)</w:t>
      </w:r>
      <w:r w:rsidR="003F1C82">
        <w:rPr>
          <w:b w:val="0"/>
        </w:rPr>
        <w:t>.</w:t>
      </w:r>
      <w:bookmarkEnd w:id="117"/>
      <w:r w:rsidR="003F1C82">
        <w:rPr>
          <w:b w:val="0"/>
        </w:rPr>
        <w:t xml:space="preserve">  </w:t>
      </w:r>
    </w:p>
    <w:p w14:paraId="1C1E8D39" w14:textId="77777777" w:rsidR="006E6B4A" w:rsidRDefault="006E6B4A">
      <w:pPr>
        <w:jc w:val="left"/>
        <w:rPr>
          <w:bCs/>
          <w:szCs w:val="20"/>
        </w:rPr>
      </w:pPr>
      <w:r>
        <w:rPr>
          <w:b/>
        </w:rPr>
        <w:br w:type="page"/>
      </w:r>
    </w:p>
    <w:p w14:paraId="7C9AB571" w14:textId="77777777" w:rsidR="006E6B4A" w:rsidRPr="00EF420C" w:rsidRDefault="006E6B4A" w:rsidP="006E6B4A">
      <w:pPr>
        <w:pStyle w:val="Heading3"/>
      </w:pPr>
      <w:bookmarkStart w:id="118" w:name="_Toc296333757"/>
      <w:r>
        <w:lastRenderedPageBreak/>
        <w:t>Functional analysis using FAM</w:t>
      </w:r>
      <w:bookmarkEnd w:id="118"/>
    </w:p>
    <w:p w14:paraId="2C9B9879" w14:textId="6C532C4C" w:rsidR="00A878B2" w:rsidRDefault="00A878B2" w:rsidP="004D015E">
      <w:pPr>
        <w:spacing w:line="480" w:lineRule="auto"/>
        <w:rPr>
          <w:rFonts w:cs="Arial"/>
        </w:rPr>
      </w:pPr>
      <w:r>
        <w:rPr>
          <w:rFonts w:cs="Arial"/>
        </w:rPr>
        <w:tab/>
      </w:r>
      <w:r w:rsidR="002E51BE">
        <w:rPr>
          <w:rFonts w:cs="Arial"/>
        </w:rPr>
        <w:t xml:space="preserve">Functional </w:t>
      </w:r>
      <w:r w:rsidR="00BE358D">
        <w:rPr>
          <w:rFonts w:cs="Arial"/>
        </w:rPr>
        <w:t>analysis of diet proteomes was</w:t>
      </w:r>
      <w:r w:rsidR="002E51BE">
        <w:rPr>
          <w:rFonts w:cs="Arial"/>
        </w:rPr>
        <w:t xml:space="preserve"> conducted by using FAM.  </w:t>
      </w:r>
      <w:r w:rsidR="0059430A">
        <w:rPr>
          <w:rFonts w:cs="Arial"/>
        </w:rPr>
        <w:t xml:space="preserve">For this study, we used KEGG pathway analysis for human proteins and COG terms for microbial proteins.  Even though relatively small </w:t>
      </w:r>
      <w:r w:rsidR="00BE358D">
        <w:rPr>
          <w:rFonts w:cs="Arial"/>
        </w:rPr>
        <w:t>number of human proteins was</w:t>
      </w:r>
      <w:r w:rsidR="0059430A">
        <w:rPr>
          <w:rFonts w:cs="Arial"/>
        </w:rPr>
        <w:t xml:space="preserve"> identified in the diet proteome, we analyzed their functional chara</w:t>
      </w:r>
      <w:r w:rsidR="00BE358D">
        <w:rPr>
          <w:rFonts w:cs="Arial"/>
        </w:rPr>
        <w:t xml:space="preserve">cteristics.  </w:t>
      </w:r>
      <w:r w:rsidR="00160D2D">
        <w:rPr>
          <w:rFonts w:cs="Arial"/>
        </w:rPr>
        <w:t xml:space="preserve">Since we are interested in microbial changes caused by different RS amount, </w:t>
      </w:r>
      <w:r w:rsidR="00A26BE3">
        <w:rPr>
          <w:rFonts w:cs="Arial"/>
        </w:rPr>
        <w:t>COG terms were exciting results.</w:t>
      </w:r>
    </w:p>
    <w:p w14:paraId="1CF03AD8" w14:textId="77777777" w:rsidR="00977D0D" w:rsidRDefault="00A26BE3" w:rsidP="004D015E">
      <w:pPr>
        <w:spacing w:line="480" w:lineRule="auto"/>
        <w:rPr>
          <w:rFonts w:cs="Arial"/>
        </w:rPr>
      </w:pPr>
      <w:r>
        <w:rPr>
          <w:rFonts w:cs="Arial"/>
        </w:rPr>
        <w:tab/>
        <w:t xml:space="preserve">First, we analyzed human proteins in the diet proteome using KEGG pathways.  </w:t>
      </w:r>
      <w:r w:rsidR="00941781">
        <w:rPr>
          <w:rFonts w:cs="Arial"/>
        </w:rPr>
        <w:t xml:space="preserve">FAM was employed to get reliable results using enrichment test and significance test.  </w:t>
      </w:r>
      <w:r w:rsidR="006B5B4A">
        <w:rPr>
          <w:rFonts w:cs="Arial"/>
        </w:rPr>
        <w:t>Enrichment test was carried out via Fisher’s exact test</w:t>
      </w:r>
      <w:r w:rsidR="00190B4E">
        <w:rPr>
          <w:rFonts w:cs="Arial"/>
        </w:rPr>
        <w:t>.  F</w:t>
      </w:r>
      <w:r w:rsidR="006B5B4A">
        <w:rPr>
          <w:rFonts w:cs="Arial"/>
        </w:rPr>
        <w:t xml:space="preserve">or quantitative comparison GLMM NB model and Cohen’s </w:t>
      </w:r>
      <w:r w:rsidR="006B5B4A" w:rsidRPr="006B5B4A">
        <w:rPr>
          <w:rFonts w:cs="Arial"/>
          <w:i/>
        </w:rPr>
        <w:t>w</w:t>
      </w:r>
      <w:r w:rsidR="006B5B4A">
        <w:rPr>
          <w:rFonts w:cs="Arial"/>
        </w:rPr>
        <w:t xml:space="preserve"> were applied.</w:t>
      </w:r>
      <w:r w:rsidR="00BA3986">
        <w:rPr>
          <w:rFonts w:cs="Arial"/>
        </w:rPr>
        <w:t xml:space="preserve">  </w:t>
      </w:r>
      <w:r w:rsidR="00B94B7D">
        <w:rPr>
          <w:rFonts w:cs="Arial"/>
        </w:rPr>
        <w:t xml:space="preserve">Also, SC transferring from member proteins to KEGG pathways </w:t>
      </w:r>
      <w:r w:rsidR="009B1763">
        <w:rPr>
          <w:rFonts w:cs="Arial"/>
        </w:rPr>
        <w:t>was</w:t>
      </w:r>
      <w:r w:rsidR="00B94B7D">
        <w:rPr>
          <w:rFonts w:cs="Arial"/>
        </w:rPr>
        <w:t xml:space="preserve"> done for human proteins of diet metaproteome.  </w:t>
      </w:r>
      <w:r w:rsidR="00BA3986">
        <w:rPr>
          <w:rFonts w:cs="Arial"/>
        </w:rPr>
        <w:t>We downloaded up-to-date NCBI BioSystems DB</w:t>
      </w:r>
      <w:r w:rsidR="00293C76">
        <w:rPr>
          <w:rFonts w:cs="Arial"/>
        </w:rPr>
        <w:t>.  All the p-values from t</w:t>
      </w:r>
      <w:r w:rsidR="00190B4E">
        <w:rPr>
          <w:rFonts w:cs="Arial"/>
        </w:rPr>
        <w:t xml:space="preserve">wo tests were adjusted by FDR.  FDR thresholds of two tests were 0.05 and minimum Cohen’s w was </w:t>
      </w:r>
      <w:r w:rsidR="008A3347">
        <w:rPr>
          <w:rFonts w:cs="Arial"/>
        </w:rPr>
        <w:t>0.6</w:t>
      </w:r>
      <w:r w:rsidR="00C9092C">
        <w:rPr>
          <w:rFonts w:cs="Arial"/>
        </w:rPr>
        <w:t>336 for 80% statistical power that i</w:t>
      </w:r>
      <w:r w:rsidR="00F97EE8">
        <w:rPr>
          <w:rFonts w:cs="Arial"/>
        </w:rPr>
        <w:t xml:space="preserve">s generally recommended level.  </w:t>
      </w:r>
    </w:p>
    <w:p w14:paraId="2CA1B7BB" w14:textId="239DB431" w:rsidR="00B94B7D" w:rsidRDefault="00F97EE8" w:rsidP="003F5025">
      <w:pPr>
        <w:spacing w:line="480" w:lineRule="auto"/>
        <w:ind w:firstLine="720"/>
        <w:rPr>
          <w:rFonts w:cs="Arial"/>
        </w:rPr>
      </w:pPr>
      <w:r>
        <w:rPr>
          <w:rFonts w:cs="Arial"/>
        </w:rPr>
        <w:t>With these probability and ES filters, we could get 20 significant KEGG pathways</w:t>
      </w:r>
      <w:r w:rsidR="00530F47">
        <w:rPr>
          <w:rFonts w:cs="Arial"/>
        </w:rPr>
        <w:t xml:space="preserve"> (Fig. 37)</w:t>
      </w:r>
      <w:r w:rsidR="000A1FB1">
        <w:rPr>
          <w:rFonts w:cs="Arial"/>
        </w:rPr>
        <w:t xml:space="preserve">.  </w:t>
      </w:r>
      <w:r w:rsidR="004F14EA">
        <w:rPr>
          <w:rFonts w:cs="Arial"/>
        </w:rPr>
        <w:t>HIF-1 signaling pathway, biosynthesis of amino acids, galactose metabolism, central carbon m</w:t>
      </w:r>
      <w:r w:rsidR="009B1763">
        <w:rPr>
          <w:rFonts w:cs="Arial"/>
        </w:rPr>
        <w:t>etabolism in cancer, proteasome and</w:t>
      </w:r>
      <w:r w:rsidR="004F14EA">
        <w:rPr>
          <w:rFonts w:cs="Arial"/>
        </w:rPr>
        <w:t xml:space="preserve"> </w:t>
      </w:r>
      <w:r w:rsidR="009B1763">
        <w:rPr>
          <w:rFonts w:cs="Arial"/>
        </w:rPr>
        <w:t>i</w:t>
      </w:r>
      <w:r w:rsidR="00B5705B">
        <w:rPr>
          <w:rFonts w:cs="Arial"/>
        </w:rPr>
        <w:t>mmunoproteasome were enriched almost only in LRS.  In other diets, HRS and baseline, these were not expressed.  Since proteasome and immunoproteasome are related to defense from microbial proteins, we speculate that innate immune system was turned on against increased species in LRS diets.</w:t>
      </w:r>
      <w:r w:rsidR="00EB2A5F">
        <w:rPr>
          <w:rFonts w:cs="Arial"/>
        </w:rPr>
        <w:t xml:space="preserve"> </w:t>
      </w:r>
      <w:r w:rsidR="004B6A96">
        <w:rPr>
          <w:rFonts w:cs="Arial"/>
        </w:rPr>
        <w:br w:type="page"/>
      </w:r>
    </w:p>
    <w:p w14:paraId="3C18590A" w14:textId="77777777" w:rsidR="00B94B7D" w:rsidRDefault="00B94B7D" w:rsidP="00B94B7D">
      <w:pPr>
        <w:keepNext/>
        <w:jc w:val="left"/>
      </w:pPr>
      <w:r>
        <w:rPr>
          <w:noProof/>
        </w:rPr>
        <w:lastRenderedPageBreak/>
        <w:drawing>
          <wp:inline distT="0" distB="0" distL="0" distR="0" wp14:anchorId="1199D4B1" wp14:editId="524AF50A">
            <wp:extent cx="5486400" cy="4798476"/>
            <wp:effectExtent l="0" t="0" r="25400" b="2794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E06BF94" w14:textId="01A59994" w:rsidR="00B94B7D" w:rsidRPr="00B94B7D" w:rsidRDefault="00B94B7D" w:rsidP="000F0CAB">
      <w:pPr>
        <w:pStyle w:val="Caption"/>
        <w:rPr>
          <w:rFonts w:cs="Arial"/>
          <w:b w:val="0"/>
        </w:rPr>
      </w:pPr>
      <w:bookmarkStart w:id="119" w:name="_Toc296333130"/>
      <w:r>
        <w:t xml:space="preserve">Figure </w:t>
      </w:r>
      <w:fldSimple w:instr=" SEQ Figure \* ARABIC ">
        <w:r w:rsidR="002B3E83">
          <w:rPr>
            <w:noProof/>
          </w:rPr>
          <w:t>37</w:t>
        </w:r>
      </w:fldSimple>
      <w:r w:rsidRPr="00B94B7D">
        <w:t xml:space="preserve"> Stacked bar graphs of accumulated spectral counts of 20 significant KEGG pathways</w:t>
      </w:r>
      <w:r w:rsidRPr="00B94B7D">
        <w:rPr>
          <w:b w:val="0"/>
        </w:rPr>
        <w:t>.  Y-axis is KEGG pathway and X-axis is percentage of a</w:t>
      </w:r>
      <w:r w:rsidR="000F0CAB">
        <w:rPr>
          <w:b w:val="0"/>
        </w:rPr>
        <w:t>ccumulated spectral counts of 2A (baseline)</w:t>
      </w:r>
      <w:r w:rsidRPr="00B94B7D">
        <w:rPr>
          <w:b w:val="0"/>
        </w:rPr>
        <w:t>, HRS and LRS samples.</w:t>
      </w:r>
      <w:r w:rsidR="000F0CAB">
        <w:rPr>
          <w:b w:val="0"/>
        </w:rPr>
        <w:t xml:space="preserve">  Blue-colored bar is sum of spectral counts in baseline diet.  Red-colored bar means expression level (sum of spectral counts) in HRS.  Green bars are from sum of expression level in LRS.</w:t>
      </w:r>
      <w:bookmarkEnd w:id="119"/>
    </w:p>
    <w:p w14:paraId="28F10F6C" w14:textId="77777777" w:rsidR="00B94B7D" w:rsidRDefault="00B94B7D">
      <w:pPr>
        <w:jc w:val="left"/>
        <w:rPr>
          <w:rFonts w:cs="Arial"/>
        </w:rPr>
      </w:pPr>
    </w:p>
    <w:p w14:paraId="7A0442DF" w14:textId="77777777" w:rsidR="008F7781" w:rsidRDefault="0039516E" w:rsidP="003F5025">
      <w:pPr>
        <w:spacing w:line="480" w:lineRule="auto"/>
        <w:ind w:firstLine="720"/>
        <w:rPr>
          <w:rFonts w:cs="Arial"/>
        </w:rPr>
      </w:pPr>
      <w:r>
        <w:rPr>
          <w:rFonts w:cs="Arial"/>
        </w:rPr>
        <w:br w:type="page"/>
      </w:r>
    </w:p>
    <w:p w14:paraId="3CC401AA" w14:textId="1F7A5A75" w:rsidR="003F5025" w:rsidRDefault="003F5025" w:rsidP="001A18E4">
      <w:pPr>
        <w:spacing w:line="480" w:lineRule="auto"/>
        <w:rPr>
          <w:rFonts w:cs="Arial"/>
        </w:rPr>
      </w:pPr>
      <w:r>
        <w:rPr>
          <w:rFonts w:cs="Arial"/>
        </w:rPr>
        <w:lastRenderedPageBreak/>
        <w:t xml:space="preserve">Interestingly, digestion-related pathways were enriched in both of LRS and HRS, such as glycolysis, fructose and mannose metabolism, </w:t>
      </w:r>
      <w:r w:rsidR="008F7781">
        <w:rPr>
          <w:rFonts w:cs="Arial"/>
        </w:rPr>
        <w:t xml:space="preserve">carbon metabolism, pentose phosphate pathway and glucogenesis.  </w:t>
      </w:r>
      <w:r w:rsidR="008E5E52">
        <w:rPr>
          <w:rFonts w:cs="Arial"/>
        </w:rPr>
        <w:t xml:space="preserve">This may be human body response to changed diets from baseline.  </w:t>
      </w:r>
      <w:r w:rsidR="009D40DF">
        <w:rPr>
          <w:rFonts w:cs="Arial"/>
        </w:rPr>
        <w:t>Insulin signaling pathway and starch and sucrose metabolism were enriched in HRS.  These means that uptake of glucose was not efficient in HRS because high amount of RS in HRS cannot be digested and absorbed by small intestine.  Therefore, these were expressed higher than other diet types.</w:t>
      </w:r>
    </w:p>
    <w:p w14:paraId="73CECD62" w14:textId="77777777" w:rsidR="00F61B43" w:rsidRDefault="002676CC" w:rsidP="001A18E4">
      <w:pPr>
        <w:spacing w:line="480" w:lineRule="auto"/>
        <w:rPr>
          <w:rFonts w:cs="Arial"/>
        </w:rPr>
      </w:pPr>
      <w:r>
        <w:rPr>
          <w:rFonts w:cs="Arial"/>
        </w:rPr>
        <w:tab/>
        <w:t xml:space="preserve">COG </w:t>
      </w:r>
      <w:r w:rsidR="00CC7D23">
        <w:rPr>
          <w:rFonts w:cs="Arial"/>
        </w:rPr>
        <w:t xml:space="preserve">analysis was achieved by employing FAM.  </w:t>
      </w:r>
      <w:r w:rsidR="001A18E4">
        <w:rPr>
          <w:rFonts w:cs="Arial"/>
        </w:rPr>
        <w:t>For this study we employed FAM’</w:t>
      </w:r>
      <w:r w:rsidR="00423316">
        <w:rPr>
          <w:rFonts w:cs="Arial"/>
        </w:rPr>
        <w:t xml:space="preserve">s </w:t>
      </w:r>
      <w:r w:rsidR="007866C8">
        <w:rPr>
          <w:rFonts w:cs="Arial"/>
        </w:rPr>
        <w:t>quantitative</w:t>
      </w:r>
      <w:r w:rsidR="00423316">
        <w:rPr>
          <w:rFonts w:cs="Arial"/>
        </w:rPr>
        <w:t xml:space="preserve"> test only because of time.  </w:t>
      </w:r>
      <w:r w:rsidR="002932E2">
        <w:rPr>
          <w:rFonts w:cs="Arial"/>
        </w:rPr>
        <w:t xml:space="preserve">Since diet metaproteomics used metagenome, more than several million sequences in </w:t>
      </w:r>
      <w:r w:rsidR="007866C8">
        <w:rPr>
          <w:rFonts w:cs="Arial"/>
        </w:rPr>
        <w:t>protein DB.  To conduct the enrichment test, we have to run PSI-BLAST of more than million sequences, which means that it takes too much long time</w:t>
      </w:r>
      <w:r w:rsidR="002F6995">
        <w:rPr>
          <w:rFonts w:cs="Arial"/>
        </w:rPr>
        <w:t xml:space="preserve"> about 50 days</w:t>
      </w:r>
      <w:r w:rsidR="007866C8">
        <w:rPr>
          <w:rFonts w:cs="Arial"/>
        </w:rPr>
        <w:t xml:space="preserve"> in Newton.  </w:t>
      </w:r>
      <w:r w:rsidR="00023485">
        <w:rPr>
          <w:rFonts w:cs="Arial"/>
        </w:rPr>
        <w:t xml:space="preserve">This is critical disadvantage of QFAM.  QFAM analyzes highly complicated and very large metaproteomics data, so it requires high level of computing power.  Unfortunately, Newton could not afford </w:t>
      </w:r>
      <w:r w:rsidR="00F61B43">
        <w:rPr>
          <w:rFonts w:cs="Arial"/>
        </w:rPr>
        <w:t xml:space="preserve">to </w:t>
      </w:r>
      <w:r w:rsidR="00023485">
        <w:rPr>
          <w:rFonts w:cs="Arial"/>
        </w:rPr>
        <w:t xml:space="preserve">run this type of big data in a </w:t>
      </w:r>
      <w:r w:rsidR="00F61B43">
        <w:rPr>
          <w:rFonts w:cs="Arial"/>
        </w:rPr>
        <w:t>reasonable</w:t>
      </w:r>
      <w:r w:rsidR="00023485">
        <w:rPr>
          <w:rFonts w:cs="Arial"/>
        </w:rPr>
        <w:t xml:space="preserve"> time.  </w:t>
      </w:r>
      <w:r w:rsidR="007866C8">
        <w:rPr>
          <w:rFonts w:cs="Arial"/>
        </w:rPr>
        <w:t xml:space="preserve">Therefore, we used arbitrary threshold instead of the enrichment test.  </w:t>
      </w:r>
    </w:p>
    <w:p w14:paraId="70D7DAEA" w14:textId="2EC33DFB" w:rsidR="0093776B" w:rsidRDefault="00F61B43" w:rsidP="001A18E4">
      <w:pPr>
        <w:spacing w:line="480" w:lineRule="auto"/>
        <w:rPr>
          <w:rFonts w:eastAsia="Times New Roman" w:cs="Arial"/>
          <w:color w:val="000000"/>
        </w:rPr>
      </w:pPr>
      <w:r>
        <w:rPr>
          <w:rFonts w:cs="Arial"/>
        </w:rPr>
        <w:tab/>
      </w:r>
      <w:r w:rsidR="00D36C8A">
        <w:rPr>
          <w:rFonts w:cs="Arial"/>
        </w:rPr>
        <w:t xml:space="preserve">We transferred SC of member proteins to COG terms and constructed GLMM NB model for COG terms.  Also, Cohen’s </w:t>
      </w:r>
      <w:r w:rsidR="00D36C8A" w:rsidRPr="00D36C8A">
        <w:rPr>
          <w:rFonts w:cs="Arial"/>
          <w:i/>
        </w:rPr>
        <w:t>w</w:t>
      </w:r>
      <w:r w:rsidR="00D36C8A">
        <w:rPr>
          <w:rFonts w:cs="Arial"/>
        </w:rPr>
        <w:t xml:space="preserve"> for COG terms </w:t>
      </w:r>
      <w:r w:rsidR="00F44A04">
        <w:rPr>
          <w:rFonts w:cs="Arial"/>
        </w:rPr>
        <w:t>was</w:t>
      </w:r>
      <w:r w:rsidR="00D36C8A">
        <w:rPr>
          <w:rFonts w:cs="Arial"/>
        </w:rPr>
        <w:t xml:space="preserve"> computed for quantitative analysis using </w:t>
      </w:r>
      <w:r w:rsidR="00EC15D6">
        <w:rPr>
          <w:rFonts w:cs="Arial"/>
        </w:rPr>
        <w:t>QAM</w:t>
      </w:r>
      <w:r w:rsidR="00D36C8A">
        <w:rPr>
          <w:rFonts w:cs="Arial"/>
        </w:rPr>
        <w:t xml:space="preserve">.  </w:t>
      </w:r>
      <w:r w:rsidR="00F44A04">
        <w:rPr>
          <w:rFonts w:cs="Arial"/>
        </w:rPr>
        <w:t xml:space="preserve">P-values were adjusted by FDR.  FDR threshold of GLMM NB model was 0.001 and minimum Cohen’s </w:t>
      </w:r>
      <w:r w:rsidR="00F44A04" w:rsidRPr="000D4452">
        <w:rPr>
          <w:rFonts w:cs="Arial"/>
          <w:i/>
        </w:rPr>
        <w:t>w</w:t>
      </w:r>
      <w:r w:rsidR="00F44A04">
        <w:rPr>
          <w:rFonts w:cs="Arial"/>
        </w:rPr>
        <w:t xml:space="preserve"> for 80% statistical power was 0.9051.  </w:t>
      </w:r>
      <w:r w:rsidR="000D4452">
        <w:rPr>
          <w:rFonts w:cs="Arial"/>
        </w:rPr>
        <w:t xml:space="preserve">On top of GLMM NB model, we applied arbitrary </w:t>
      </w:r>
      <w:r w:rsidR="000D4452" w:rsidRPr="00240582">
        <w:rPr>
          <w:rFonts w:cs="Arial"/>
        </w:rPr>
        <w:lastRenderedPageBreak/>
        <w:t>threshold for COG terms</w:t>
      </w:r>
      <w:r w:rsidR="00B25988" w:rsidRPr="00240582">
        <w:rPr>
          <w:rFonts w:cs="Arial"/>
        </w:rPr>
        <w:t xml:space="preserve"> by the nu</w:t>
      </w:r>
      <w:r w:rsidR="00E744D2" w:rsidRPr="00240582">
        <w:rPr>
          <w:rFonts w:cs="Arial"/>
        </w:rPr>
        <w:t xml:space="preserve">mber of member proteins (&gt; 2).  </w:t>
      </w:r>
      <w:r w:rsidR="000D4452" w:rsidRPr="00240582">
        <w:rPr>
          <w:rFonts w:cs="Arial"/>
        </w:rPr>
        <w:t xml:space="preserve">With these thresholds, we </w:t>
      </w:r>
      <w:r w:rsidR="00E744D2" w:rsidRPr="00240582">
        <w:rPr>
          <w:rFonts w:cs="Arial"/>
        </w:rPr>
        <w:t xml:space="preserve">could have </w:t>
      </w:r>
      <w:r w:rsidR="00920619" w:rsidRPr="00240582">
        <w:rPr>
          <w:rFonts w:cs="Arial"/>
        </w:rPr>
        <w:t xml:space="preserve">166 significant COG terms </w:t>
      </w:r>
      <w:r w:rsidR="00BA45BF" w:rsidRPr="00240582">
        <w:rPr>
          <w:rFonts w:cs="Arial"/>
        </w:rPr>
        <w:t>(Table 21).</w:t>
      </w:r>
      <w:r w:rsidR="00DE4C71" w:rsidRPr="00240582">
        <w:rPr>
          <w:rFonts w:cs="Arial"/>
        </w:rPr>
        <w:t xml:space="preserve">  </w:t>
      </w:r>
      <w:r w:rsidR="008E30EA" w:rsidRPr="00240582">
        <w:rPr>
          <w:rFonts w:cs="Arial"/>
        </w:rPr>
        <w:t xml:space="preserve">Also, heat-map of significant 166 COGs was drawn by using QFAM’s R graphic library (Fig. 38).  </w:t>
      </w:r>
      <w:r w:rsidR="00DE4C71" w:rsidRPr="00240582">
        <w:rPr>
          <w:rFonts w:cs="Arial"/>
        </w:rPr>
        <w:t xml:space="preserve">Energy generation and digestion related COG terms were enriched in baseline diet, such as </w:t>
      </w:r>
      <w:r w:rsidR="00DE4C71" w:rsidRPr="00240582">
        <w:rPr>
          <w:rFonts w:eastAsia="Times New Roman" w:cs="Arial"/>
          <w:color w:val="000000"/>
        </w:rPr>
        <w:t>COG03808, COG01775 and COG01748</w:t>
      </w:r>
      <w:r w:rsidR="00240582">
        <w:rPr>
          <w:rFonts w:eastAsia="Times New Roman" w:cs="Arial"/>
          <w:color w:val="000000"/>
        </w:rPr>
        <w:t xml:space="preserve"> (Table 21 and Fig. 38)</w:t>
      </w:r>
      <w:r w:rsidR="00DE4C71" w:rsidRPr="00240582">
        <w:rPr>
          <w:rFonts w:eastAsia="Times New Roman" w:cs="Arial"/>
          <w:color w:val="000000"/>
        </w:rPr>
        <w:t>.  Also</w:t>
      </w:r>
      <w:r w:rsidR="007527DD">
        <w:rPr>
          <w:rFonts w:eastAsia="Times New Roman" w:cs="Arial"/>
          <w:color w:val="000000"/>
        </w:rPr>
        <w:t>,</w:t>
      </w:r>
      <w:r w:rsidR="00DE4C71" w:rsidRPr="00240582">
        <w:rPr>
          <w:rFonts w:eastAsia="Times New Roman" w:cs="Arial"/>
          <w:color w:val="000000"/>
        </w:rPr>
        <w:t xml:space="preserve"> </w:t>
      </w:r>
      <w:r w:rsidR="00D23545" w:rsidRPr="00240582">
        <w:rPr>
          <w:rFonts w:eastAsia="Times New Roman" w:cs="Arial"/>
          <w:color w:val="000000"/>
        </w:rPr>
        <w:t>ribosomal COGs were significantly enriched, such as COG00261 and COG00238</w:t>
      </w:r>
      <w:r w:rsidR="00240582">
        <w:rPr>
          <w:rFonts w:eastAsia="Times New Roman" w:cs="Arial"/>
          <w:color w:val="000000"/>
        </w:rPr>
        <w:t xml:space="preserve"> </w:t>
      </w:r>
      <w:r w:rsidR="007527DD">
        <w:rPr>
          <w:rFonts w:eastAsia="Times New Roman" w:cs="Arial"/>
          <w:color w:val="000000"/>
        </w:rPr>
        <w:t>(Table 21</w:t>
      </w:r>
      <w:r w:rsidR="00240582">
        <w:rPr>
          <w:rFonts w:eastAsia="Times New Roman" w:cs="Arial"/>
          <w:color w:val="000000"/>
        </w:rPr>
        <w:t>)</w:t>
      </w:r>
      <w:r w:rsidR="007527DD">
        <w:rPr>
          <w:rFonts w:eastAsia="Times New Roman" w:cs="Arial"/>
          <w:color w:val="000000"/>
        </w:rPr>
        <w:t>.   We speculate hat microbiome is growing with baseline diet, considering significantly enriched translation and DNA re</w:t>
      </w:r>
      <w:r w:rsidR="00B202BD">
        <w:rPr>
          <w:rFonts w:eastAsia="Times New Roman" w:cs="Arial"/>
          <w:color w:val="000000"/>
        </w:rPr>
        <w:t>plication COG terms (Table 21).</w:t>
      </w:r>
    </w:p>
    <w:p w14:paraId="6AF1005A" w14:textId="63CA7069" w:rsidR="0093776B" w:rsidRPr="00240582" w:rsidRDefault="00B202BD" w:rsidP="006B44E6">
      <w:pPr>
        <w:spacing w:line="480" w:lineRule="auto"/>
        <w:rPr>
          <w:rFonts w:cs="Arial"/>
        </w:rPr>
      </w:pPr>
      <w:r>
        <w:rPr>
          <w:rFonts w:eastAsia="Times New Roman" w:cs="Arial"/>
          <w:color w:val="000000"/>
        </w:rPr>
        <w:tab/>
      </w:r>
      <w:r w:rsidR="00870907">
        <w:rPr>
          <w:rFonts w:eastAsia="Times New Roman" w:cs="Arial"/>
          <w:color w:val="000000"/>
        </w:rPr>
        <w:t xml:space="preserve">COG terms analysis in LRS and HRS diets give us insight speculating changes caused by </w:t>
      </w:r>
      <w:r w:rsidR="00E07688">
        <w:rPr>
          <w:rFonts w:eastAsia="Times New Roman" w:cs="Arial"/>
          <w:color w:val="000000"/>
        </w:rPr>
        <w:t xml:space="preserve">RS.  </w:t>
      </w:r>
      <w:r>
        <w:rPr>
          <w:rFonts w:eastAsia="Times New Roman" w:cs="Arial"/>
          <w:color w:val="000000"/>
        </w:rPr>
        <w:t xml:space="preserve">In LRS diet, microbes in human gastrointestinal track are not quite different from baseline.  </w:t>
      </w:r>
      <w:r w:rsidR="00493B20">
        <w:rPr>
          <w:rFonts w:eastAsia="Times New Roman" w:cs="Arial"/>
          <w:color w:val="000000"/>
        </w:rPr>
        <w:t>Energy generation (</w:t>
      </w:r>
      <w:r w:rsidR="00493B20" w:rsidRPr="00493B20">
        <w:rPr>
          <w:rFonts w:eastAsia="Times New Roman" w:cs="Arial"/>
          <w:color w:val="000000"/>
        </w:rPr>
        <w:t>COG00716</w:t>
      </w:r>
      <w:r w:rsidR="00493B20">
        <w:rPr>
          <w:rFonts w:eastAsia="Times New Roman" w:cs="Arial"/>
          <w:color w:val="000000"/>
        </w:rPr>
        <w:t xml:space="preserve">, </w:t>
      </w:r>
      <w:r w:rsidR="00493B20" w:rsidRPr="00493B20">
        <w:rPr>
          <w:rFonts w:eastAsia="Times New Roman" w:cs="Arial"/>
          <w:color w:val="000000"/>
        </w:rPr>
        <w:t>COG01013</w:t>
      </w:r>
      <w:r w:rsidR="00493B20">
        <w:rPr>
          <w:rFonts w:eastAsia="Times New Roman" w:cs="Arial"/>
          <w:color w:val="000000"/>
        </w:rPr>
        <w:t xml:space="preserve">, </w:t>
      </w:r>
      <w:r w:rsidR="00493B20" w:rsidRPr="00493B20">
        <w:rPr>
          <w:rFonts w:eastAsia="Times New Roman" w:cs="Arial"/>
          <w:color w:val="000000"/>
        </w:rPr>
        <w:t>COG01951</w:t>
      </w:r>
      <w:r w:rsidR="00493B20">
        <w:rPr>
          <w:rFonts w:eastAsia="Times New Roman" w:cs="Arial"/>
          <w:color w:val="000000"/>
        </w:rPr>
        <w:t xml:space="preserve">, </w:t>
      </w:r>
      <w:r w:rsidR="00493B20" w:rsidRPr="00493B20">
        <w:rPr>
          <w:rFonts w:eastAsia="Times New Roman" w:cs="Arial"/>
          <w:color w:val="000000"/>
        </w:rPr>
        <w:t>COG00554</w:t>
      </w:r>
      <w:r w:rsidR="00493B20">
        <w:rPr>
          <w:rFonts w:eastAsia="Times New Roman" w:cs="Arial"/>
          <w:color w:val="000000"/>
        </w:rPr>
        <w:t xml:space="preserve"> and </w:t>
      </w:r>
      <w:r w:rsidR="00493B20" w:rsidRPr="00493B20">
        <w:rPr>
          <w:rFonts w:eastAsia="Times New Roman" w:cs="Arial"/>
          <w:color w:val="000000"/>
        </w:rPr>
        <w:t>COG01805</w:t>
      </w:r>
      <w:r w:rsidR="00493B20">
        <w:rPr>
          <w:rFonts w:eastAsia="Times New Roman" w:cs="Arial"/>
          <w:color w:val="000000"/>
        </w:rPr>
        <w:t>) is activated and digesting nutrients, such as amino acids, carbohydrates, lipid metabolism, are turned on similar to baseline (</w:t>
      </w:r>
      <w:r w:rsidR="00E87C21">
        <w:rPr>
          <w:rFonts w:eastAsia="Times New Roman" w:cs="Arial"/>
          <w:color w:val="000000"/>
        </w:rPr>
        <w:t xml:space="preserve">Table 21 and Fig. 38).  However, </w:t>
      </w:r>
      <w:r w:rsidR="00B07508">
        <w:rPr>
          <w:rFonts w:eastAsia="Times New Roman" w:cs="Arial"/>
          <w:color w:val="000000"/>
        </w:rPr>
        <w:t>microbes seem</w:t>
      </w:r>
      <w:r w:rsidR="00E87C21">
        <w:rPr>
          <w:rFonts w:eastAsia="Times New Roman" w:cs="Arial"/>
          <w:color w:val="000000"/>
        </w:rPr>
        <w:t xml:space="preserve"> to try to changed nutrients by expressing appropriate proteins and post-translational modifications (COG00060, </w:t>
      </w:r>
      <w:r w:rsidR="00E87C21" w:rsidRPr="00E87C21">
        <w:rPr>
          <w:rFonts w:eastAsia="Times New Roman" w:cs="Arial"/>
          <w:color w:val="000000"/>
        </w:rPr>
        <w:t>COG00254</w:t>
      </w:r>
      <w:r w:rsidR="00E87C21">
        <w:rPr>
          <w:rFonts w:eastAsia="Times New Roman" w:cs="Arial"/>
          <w:color w:val="000000"/>
        </w:rPr>
        <w:t xml:space="preserve">, </w:t>
      </w:r>
      <w:r w:rsidR="00E87C21" w:rsidRPr="00E87C21">
        <w:rPr>
          <w:rFonts w:eastAsia="Times New Roman" w:cs="Arial"/>
          <w:color w:val="000000"/>
        </w:rPr>
        <w:t>COG00124</w:t>
      </w:r>
      <w:r w:rsidR="00E87C21">
        <w:rPr>
          <w:rFonts w:eastAsia="Times New Roman" w:cs="Arial"/>
          <w:color w:val="000000"/>
        </w:rPr>
        <w:t xml:space="preserve">, </w:t>
      </w:r>
      <w:r w:rsidR="00E87C21" w:rsidRPr="00E87C21">
        <w:rPr>
          <w:rFonts w:eastAsia="Times New Roman" w:cs="Arial"/>
          <w:color w:val="000000"/>
        </w:rPr>
        <w:t>COG00621</w:t>
      </w:r>
      <w:r w:rsidR="00E87C21">
        <w:rPr>
          <w:rFonts w:eastAsia="Times New Roman" w:cs="Arial"/>
          <w:color w:val="000000"/>
        </w:rPr>
        <w:t xml:space="preserve">, </w:t>
      </w:r>
      <w:r w:rsidR="00E87C21" w:rsidRPr="00E87C21">
        <w:rPr>
          <w:rFonts w:eastAsia="Times New Roman" w:cs="Arial"/>
          <w:color w:val="000000"/>
        </w:rPr>
        <w:t>COG00525</w:t>
      </w:r>
      <w:r w:rsidR="00E87C21">
        <w:rPr>
          <w:rFonts w:eastAsia="Times New Roman" w:cs="Arial"/>
          <w:color w:val="000000"/>
        </w:rPr>
        <w:t xml:space="preserve"> and </w:t>
      </w:r>
      <w:r w:rsidR="00E87C21" w:rsidRPr="00E87C21">
        <w:rPr>
          <w:rFonts w:eastAsia="Times New Roman" w:cs="Arial"/>
          <w:color w:val="000000"/>
        </w:rPr>
        <w:t>COG01438</w:t>
      </w:r>
      <w:r w:rsidR="00E87C21">
        <w:rPr>
          <w:rFonts w:eastAsia="Times New Roman" w:cs="Arial"/>
          <w:color w:val="000000"/>
        </w:rPr>
        <w:t xml:space="preserve"> for transcription and translation and </w:t>
      </w:r>
      <w:r w:rsidR="00E87C21" w:rsidRPr="00E87C21">
        <w:rPr>
          <w:rFonts w:eastAsia="Times New Roman" w:cs="Arial"/>
          <w:color w:val="000000"/>
        </w:rPr>
        <w:t>COG00760</w:t>
      </w:r>
      <w:r w:rsidR="00E87C21">
        <w:rPr>
          <w:rFonts w:eastAsia="Times New Roman" w:cs="Arial"/>
          <w:color w:val="000000"/>
        </w:rPr>
        <w:t xml:space="preserve">, </w:t>
      </w:r>
      <w:r w:rsidR="00E87C21" w:rsidRPr="00E87C21">
        <w:rPr>
          <w:rFonts w:eastAsia="Times New Roman" w:cs="Arial"/>
          <w:color w:val="000000"/>
        </w:rPr>
        <w:t>COG00484</w:t>
      </w:r>
      <w:r w:rsidR="00E87C21">
        <w:rPr>
          <w:rFonts w:eastAsia="Times New Roman" w:cs="Arial"/>
          <w:color w:val="000000"/>
        </w:rPr>
        <w:t xml:space="preserve">, </w:t>
      </w:r>
      <w:r w:rsidR="00E87C21" w:rsidRPr="00E87C21">
        <w:rPr>
          <w:rFonts w:eastAsia="Times New Roman" w:cs="Arial"/>
          <w:color w:val="000000"/>
        </w:rPr>
        <w:t>COG00691</w:t>
      </w:r>
      <w:r w:rsidR="00E87C21">
        <w:rPr>
          <w:rFonts w:eastAsia="Times New Roman" w:cs="Arial"/>
          <w:color w:val="000000"/>
        </w:rPr>
        <w:t xml:space="preserve">, </w:t>
      </w:r>
      <w:r w:rsidR="00E87C21" w:rsidRPr="00E87C21">
        <w:rPr>
          <w:rFonts w:eastAsia="Times New Roman" w:cs="Arial"/>
          <w:color w:val="000000"/>
        </w:rPr>
        <w:t>COG01066</w:t>
      </w:r>
      <w:r w:rsidR="00E87C21">
        <w:rPr>
          <w:rFonts w:eastAsia="Times New Roman" w:cs="Arial"/>
          <w:color w:val="000000"/>
        </w:rPr>
        <w:t xml:space="preserve"> and </w:t>
      </w:r>
      <w:r w:rsidR="00E87C21" w:rsidRPr="00E87C21">
        <w:rPr>
          <w:rFonts w:eastAsia="Times New Roman" w:cs="Arial"/>
          <w:color w:val="000000"/>
        </w:rPr>
        <w:t>COG00740</w:t>
      </w:r>
      <w:r w:rsidR="00E87C21">
        <w:rPr>
          <w:rFonts w:eastAsia="Times New Roman" w:cs="Arial"/>
          <w:color w:val="000000"/>
        </w:rPr>
        <w:t xml:space="preserve"> for post-translational modifications).  </w:t>
      </w:r>
      <w:r w:rsidR="00B07508">
        <w:rPr>
          <w:rFonts w:eastAsia="Times New Roman" w:cs="Arial"/>
          <w:color w:val="000000"/>
        </w:rPr>
        <w:t>Interestingly, cell motility COG terms are started being expressed from LRS diets (</w:t>
      </w:r>
      <w:r w:rsidR="00B07508" w:rsidRPr="00B07508">
        <w:rPr>
          <w:rFonts w:eastAsia="Times New Roman" w:cs="Arial"/>
          <w:color w:val="000000"/>
        </w:rPr>
        <w:t>COG01360</w:t>
      </w:r>
      <w:r w:rsidR="00B07508">
        <w:rPr>
          <w:rFonts w:eastAsia="Times New Roman" w:cs="Arial"/>
          <w:color w:val="000000"/>
        </w:rPr>
        <w:t xml:space="preserve"> and </w:t>
      </w:r>
      <w:r w:rsidR="00B07508" w:rsidRPr="00B07508">
        <w:rPr>
          <w:rFonts w:eastAsia="Times New Roman" w:cs="Arial"/>
          <w:color w:val="000000"/>
        </w:rPr>
        <w:t>COG01749</w:t>
      </w:r>
      <w:r w:rsidR="00B07508">
        <w:rPr>
          <w:rFonts w:eastAsia="Times New Roman" w:cs="Arial"/>
          <w:color w:val="000000"/>
        </w:rPr>
        <w:t xml:space="preserve">), which </w:t>
      </w:r>
      <w:r w:rsidR="000B06D5">
        <w:rPr>
          <w:rFonts w:eastAsia="Times New Roman" w:cs="Arial"/>
          <w:color w:val="000000"/>
        </w:rPr>
        <w:t>mean</w:t>
      </w:r>
      <w:r w:rsidR="00B07508">
        <w:rPr>
          <w:rFonts w:eastAsia="Times New Roman" w:cs="Arial"/>
          <w:color w:val="000000"/>
        </w:rPr>
        <w:t xml:space="preserve"> that microbes </w:t>
      </w:r>
      <w:r w:rsidR="000B06D5">
        <w:rPr>
          <w:rFonts w:eastAsia="Times New Roman" w:cs="Arial"/>
          <w:color w:val="000000"/>
        </w:rPr>
        <w:t>may</w:t>
      </w:r>
      <w:r w:rsidR="00B07508">
        <w:rPr>
          <w:rFonts w:eastAsia="Times New Roman" w:cs="Arial"/>
          <w:color w:val="000000"/>
        </w:rPr>
        <w:t xml:space="preserve"> </w:t>
      </w:r>
      <w:r w:rsidR="000B06D5">
        <w:rPr>
          <w:rFonts w:eastAsia="Times New Roman" w:cs="Arial"/>
          <w:color w:val="000000"/>
        </w:rPr>
        <w:t xml:space="preserve">be </w:t>
      </w:r>
      <w:r w:rsidR="00B07508">
        <w:rPr>
          <w:rFonts w:eastAsia="Times New Roman" w:cs="Arial"/>
          <w:color w:val="000000"/>
        </w:rPr>
        <w:t>mov</w:t>
      </w:r>
      <w:r w:rsidR="000B06D5">
        <w:rPr>
          <w:rFonts w:eastAsia="Times New Roman" w:cs="Arial"/>
          <w:color w:val="000000"/>
        </w:rPr>
        <w:t>ing into changed environment</w:t>
      </w:r>
      <w:r w:rsidR="006B44E6">
        <w:rPr>
          <w:rFonts w:eastAsia="Times New Roman" w:cs="Arial"/>
          <w:color w:val="000000"/>
        </w:rPr>
        <w:t xml:space="preserve"> (Table 21)</w:t>
      </w:r>
      <w:r w:rsidR="000B06D5">
        <w:rPr>
          <w:rFonts w:eastAsia="Times New Roman" w:cs="Arial"/>
          <w:color w:val="000000"/>
        </w:rPr>
        <w:t xml:space="preserve">.  </w:t>
      </w:r>
      <w:r w:rsidR="006B44E6">
        <w:rPr>
          <w:rFonts w:eastAsia="Times New Roman" w:cs="Arial"/>
          <w:color w:val="000000"/>
        </w:rPr>
        <w:t>Also, cell wall biogenesis is turned on from LRS</w:t>
      </w:r>
      <w:r w:rsidR="00807305">
        <w:rPr>
          <w:rFonts w:eastAsia="Times New Roman" w:cs="Arial"/>
          <w:color w:val="000000"/>
        </w:rPr>
        <w:t xml:space="preserve"> (Table 21 and Fig. 38).</w:t>
      </w:r>
      <w:r w:rsidR="0093776B" w:rsidRPr="00240582">
        <w:rPr>
          <w:rFonts w:cs="Arial"/>
        </w:rPr>
        <w:br w:type="page"/>
      </w:r>
    </w:p>
    <w:p w14:paraId="33A23F9C" w14:textId="64EB3943" w:rsidR="0093776B" w:rsidRDefault="0093776B" w:rsidP="0093776B">
      <w:pPr>
        <w:pStyle w:val="Caption"/>
        <w:keepNext/>
      </w:pPr>
      <w:bookmarkStart w:id="120" w:name="_Toc296333093"/>
      <w:r>
        <w:lastRenderedPageBreak/>
        <w:t xml:space="preserve">Table </w:t>
      </w:r>
      <w:fldSimple w:instr=" SEQ Table \* ARABIC ">
        <w:r>
          <w:rPr>
            <w:noProof/>
          </w:rPr>
          <w:t>21</w:t>
        </w:r>
      </w:fldSimple>
      <w:r>
        <w:t xml:space="preserve"> 166 significant COG terms in different diets.</w:t>
      </w:r>
      <w:r w:rsidR="00602003">
        <w:t xml:space="preserve"> </w:t>
      </w:r>
      <w:r w:rsidR="00602003" w:rsidRPr="00602003">
        <w:rPr>
          <w:b w:val="0"/>
        </w:rPr>
        <w:t xml:space="preserve"> COG</w:t>
      </w:r>
      <w:r w:rsidR="00602003">
        <w:rPr>
          <w:b w:val="0"/>
        </w:rPr>
        <w:t xml:space="preserve"> Func.: COG broad function single digit symbol.  </w:t>
      </w:r>
      <w:r w:rsidR="00D23545">
        <w:rPr>
          <w:b w:val="0"/>
        </w:rPr>
        <w:t>Related diets are</w:t>
      </w:r>
      <w:r w:rsidR="00602003">
        <w:rPr>
          <w:b w:val="0"/>
        </w:rPr>
        <w:t xml:space="preserve"> categorized by expression level in three diets.</w:t>
      </w:r>
      <w:bookmarkEnd w:id="120"/>
    </w:p>
    <w:tbl>
      <w:tblPr>
        <w:tblStyle w:val="TableClassic1"/>
        <w:tblW w:w="8856" w:type="dxa"/>
        <w:tblLayout w:type="fixed"/>
        <w:tblLook w:val="04A0" w:firstRow="1" w:lastRow="0" w:firstColumn="1" w:lastColumn="0" w:noHBand="0" w:noVBand="1"/>
      </w:tblPr>
      <w:tblGrid>
        <w:gridCol w:w="1278"/>
        <w:gridCol w:w="1080"/>
        <w:gridCol w:w="4590"/>
        <w:gridCol w:w="810"/>
        <w:gridCol w:w="1098"/>
      </w:tblGrid>
      <w:tr w:rsidR="00DE4C71" w:rsidRPr="00DE4C71" w14:paraId="0BB350C2" w14:textId="77777777" w:rsidTr="00D2354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1A88959" w14:textId="77777777" w:rsidR="00DE4C71" w:rsidRPr="00DE4C71" w:rsidRDefault="00DE4C71" w:rsidP="00DE4C71">
            <w:pPr>
              <w:jc w:val="center"/>
              <w:rPr>
                <w:rFonts w:ascii="Calibri" w:eastAsia="Times New Roman" w:hAnsi="Calibri"/>
                <w:bCs/>
                <w:color w:val="000000"/>
              </w:rPr>
            </w:pPr>
            <w:r w:rsidRPr="00DE4C71">
              <w:rPr>
                <w:rFonts w:ascii="Calibri" w:eastAsia="Times New Roman" w:hAnsi="Calibri"/>
                <w:bCs/>
                <w:color w:val="000000"/>
              </w:rPr>
              <w:t>COG ID</w:t>
            </w:r>
          </w:p>
        </w:tc>
        <w:tc>
          <w:tcPr>
            <w:tcW w:w="1080" w:type="dxa"/>
            <w:noWrap/>
            <w:hideMark/>
          </w:tcPr>
          <w:p w14:paraId="19A9FFF7" w14:textId="77777777" w:rsidR="00DE4C71" w:rsidRPr="00DE4C71" w:rsidRDefault="00DE4C71" w:rsidP="00DE4C7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bCs/>
                <w:color w:val="000000"/>
              </w:rPr>
            </w:pPr>
            <w:r w:rsidRPr="00DE4C71">
              <w:rPr>
                <w:rFonts w:ascii="Calibri" w:eastAsia="Times New Roman" w:hAnsi="Calibri"/>
                <w:bCs/>
                <w:color w:val="000000"/>
              </w:rPr>
              <w:t># of Proteins</w:t>
            </w:r>
          </w:p>
        </w:tc>
        <w:tc>
          <w:tcPr>
            <w:tcW w:w="4590" w:type="dxa"/>
            <w:noWrap/>
            <w:hideMark/>
          </w:tcPr>
          <w:p w14:paraId="29CD5809" w14:textId="77777777" w:rsidR="00DE4C71" w:rsidRPr="00DE4C71" w:rsidRDefault="00DE4C71" w:rsidP="00DE4C7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Description</w:t>
            </w:r>
          </w:p>
        </w:tc>
        <w:tc>
          <w:tcPr>
            <w:tcW w:w="810" w:type="dxa"/>
            <w:noWrap/>
            <w:hideMark/>
          </w:tcPr>
          <w:p w14:paraId="45B718AD" w14:textId="15DC6D1C" w:rsidR="00DE4C71" w:rsidRPr="00DE4C71" w:rsidRDefault="00DE4C71" w:rsidP="00DE4C7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bCs/>
                <w:color w:val="000000"/>
              </w:rPr>
            </w:pPr>
            <w:r w:rsidRPr="00DE4C71">
              <w:rPr>
                <w:rFonts w:ascii="Calibri" w:eastAsia="Times New Roman" w:hAnsi="Calibri"/>
                <w:bCs/>
                <w:color w:val="000000"/>
              </w:rPr>
              <w:t>COG Func</w:t>
            </w:r>
            <w:r>
              <w:rPr>
                <w:rFonts w:ascii="Calibri" w:eastAsia="Times New Roman" w:hAnsi="Calibri"/>
                <w:bCs/>
                <w:color w:val="000000"/>
              </w:rPr>
              <w:t>.</w:t>
            </w:r>
          </w:p>
        </w:tc>
        <w:tc>
          <w:tcPr>
            <w:tcW w:w="1098" w:type="dxa"/>
            <w:noWrap/>
            <w:hideMark/>
          </w:tcPr>
          <w:p w14:paraId="1C3A82A9" w14:textId="77777777" w:rsidR="00DE4C71" w:rsidRPr="00DE4C71" w:rsidRDefault="00DE4C71" w:rsidP="00DE4C7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bCs/>
                <w:color w:val="000000"/>
              </w:rPr>
            </w:pPr>
            <w:r w:rsidRPr="00DE4C71">
              <w:rPr>
                <w:rFonts w:ascii="Calibri" w:eastAsia="Times New Roman" w:hAnsi="Calibri"/>
                <w:bCs/>
                <w:color w:val="000000"/>
              </w:rPr>
              <w:t>Related diets</w:t>
            </w:r>
          </w:p>
        </w:tc>
      </w:tr>
      <w:tr w:rsidR="00DE4C71" w:rsidRPr="00DE4C71" w14:paraId="3BA668D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92DE14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COG03808</w:t>
            </w:r>
          </w:p>
        </w:tc>
        <w:tc>
          <w:tcPr>
            <w:tcW w:w="1080" w:type="dxa"/>
            <w:noWrap/>
            <w:hideMark/>
          </w:tcPr>
          <w:p w14:paraId="7027CFC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158</w:t>
            </w:r>
          </w:p>
        </w:tc>
        <w:tc>
          <w:tcPr>
            <w:tcW w:w="4590" w:type="dxa"/>
            <w:noWrap/>
            <w:hideMark/>
          </w:tcPr>
          <w:p w14:paraId="425B230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Inorganic pyrophosphatase</w:t>
            </w:r>
          </w:p>
        </w:tc>
        <w:tc>
          <w:tcPr>
            <w:tcW w:w="810" w:type="dxa"/>
            <w:noWrap/>
            <w:hideMark/>
          </w:tcPr>
          <w:p w14:paraId="3D5B37E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6F7D796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A2CE82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A11AC0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COG01748</w:t>
            </w:r>
          </w:p>
        </w:tc>
        <w:tc>
          <w:tcPr>
            <w:tcW w:w="1080" w:type="dxa"/>
            <w:noWrap/>
            <w:hideMark/>
          </w:tcPr>
          <w:p w14:paraId="1301FFF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13</w:t>
            </w:r>
          </w:p>
        </w:tc>
        <w:tc>
          <w:tcPr>
            <w:tcW w:w="4590" w:type="dxa"/>
            <w:noWrap/>
            <w:hideMark/>
          </w:tcPr>
          <w:p w14:paraId="4EC52B7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Saccharopine dehydrogenase and related proteins</w:t>
            </w:r>
          </w:p>
        </w:tc>
        <w:tc>
          <w:tcPr>
            <w:tcW w:w="810" w:type="dxa"/>
            <w:noWrap/>
            <w:hideMark/>
          </w:tcPr>
          <w:p w14:paraId="7D20C59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6D4A65B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7110DCD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7D430A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COG01775</w:t>
            </w:r>
          </w:p>
        </w:tc>
        <w:tc>
          <w:tcPr>
            <w:tcW w:w="1080" w:type="dxa"/>
            <w:noWrap/>
            <w:hideMark/>
          </w:tcPr>
          <w:p w14:paraId="725B983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12</w:t>
            </w:r>
          </w:p>
        </w:tc>
        <w:tc>
          <w:tcPr>
            <w:tcW w:w="4590" w:type="dxa"/>
            <w:noWrap/>
            <w:hideMark/>
          </w:tcPr>
          <w:p w14:paraId="3EEB412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Benzoyl-CoA reductase/2-hydroxyglutaryl-CoA dehydratase subunit; BcrC/BadD/HgdB</w:t>
            </w:r>
          </w:p>
        </w:tc>
        <w:tc>
          <w:tcPr>
            <w:tcW w:w="810" w:type="dxa"/>
            <w:noWrap/>
            <w:hideMark/>
          </w:tcPr>
          <w:p w14:paraId="622E966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304C100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00356D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EF5630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COG00040</w:t>
            </w:r>
          </w:p>
        </w:tc>
        <w:tc>
          <w:tcPr>
            <w:tcW w:w="1080" w:type="dxa"/>
            <w:noWrap/>
            <w:hideMark/>
          </w:tcPr>
          <w:p w14:paraId="16E4B02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5E45986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ATP phosphoribosyltransferase</w:t>
            </w:r>
          </w:p>
        </w:tc>
        <w:tc>
          <w:tcPr>
            <w:tcW w:w="810" w:type="dxa"/>
            <w:noWrap/>
            <w:hideMark/>
          </w:tcPr>
          <w:p w14:paraId="2EF3E2D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5D52E40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01B01E5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B27053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COG00006</w:t>
            </w:r>
          </w:p>
        </w:tc>
        <w:tc>
          <w:tcPr>
            <w:tcW w:w="1080" w:type="dxa"/>
            <w:noWrap/>
            <w:hideMark/>
          </w:tcPr>
          <w:p w14:paraId="1300E98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250B96E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Xaa-Pro aminopeptidase</w:t>
            </w:r>
          </w:p>
        </w:tc>
        <w:tc>
          <w:tcPr>
            <w:tcW w:w="810" w:type="dxa"/>
            <w:noWrap/>
            <w:hideMark/>
          </w:tcPr>
          <w:p w14:paraId="48A8812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03702E6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6C43BE0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C881CE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COG01027</w:t>
            </w:r>
          </w:p>
        </w:tc>
        <w:tc>
          <w:tcPr>
            <w:tcW w:w="1080" w:type="dxa"/>
            <w:noWrap/>
            <w:hideMark/>
          </w:tcPr>
          <w:p w14:paraId="6CC8F5E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748F5E2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Aspartate ammonia-lyase</w:t>
            </w:r>
          </w:p>
        </w:tc>
        <w:tc>
          <w:tcPr>
            <w:tcW w:w="810" w:type="dxa"/>
            <w:noWrap/>
            <w:hideMark/>
          </w:tcPr>
          <w:p w14:paraId="3B1D303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69D0045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7791ED6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DDDB10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COG00176</w:t>
            </w:r>
          </w:p>
        </w:tc>
        <w:tc>
          <w:tcPr>
            <w:tcW w:w="1080" w:type="dxa"/>
            <w:noWrap/>
            <w:hideMark/>
          </w:tcPr>
          <w:p w14:paraId="3CDDA3C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9</w:t>
            </w:r>
          </w:p>
        </w:tc>
        <w:tc>
          <w:tcPr>
            <w:tcW w:w="4590" w:type="dxa"/>
            <w:noWrap/>
            <w:hideMark/>
          </w:tcPr>
          <w:p w14:paraId="1DE0C65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Transaldolase</w:t>
            </w:r>
          </w:p>
        </w:tc>
        <w:tc>
          <w:tcPr>
            <w:tcW w:w="810" w:type="dxa"/>
            <w:noWrap/>
            <w:hideMark/>
          </w:tcPr>
          <w:p w14:paraId="532692A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09D6268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6AD8D1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44D5DC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COG02160</w:t>
            </w:r>
          </w:p>
        </w:tc>
        <w:tc>
          <w:tcPr>
            <w:tcW w:w="1080" w:type="dxa"/>
            <w:noWrap/>
            <w:hideMark/>
          </w:tcPr>
          <w:p w14:paraId="1712D77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48E17B2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L-arabinose isomerase</w:t>
            </w:r>
          </w:p>
        </w:tc>
        <w:tc>
          <w:tcPr>
            <w:tcW w:w="810" w:type="dxa"/>
            <w:noWrap/>
            <w:hideMark/>
          </w:tcPr>
          <w:p w14:paraId="0D3D549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04E3EAA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77FA170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B0A7A5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COG03693</w:t>
            </w:r>
          </w:p>
        </w:tc>
        <w:tc>
          <w:tcPr>
            <w:tcW w:w="1080" w:type="dxa"/>
            <w:noWrap/>
            <w:hideMark/>
          </w:tcPr>
          <w:p w14:paraId="1C03D39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59D910F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Beta-1;4-xylanase</w:t>
            </w:r>
          </w:p>
        </w:tc>
        <w:tc>
          <w:tcPr>
            <w:tcW w:w="810" w:type="dxa"/>
            <w:noWrap/>
            <w:hideMark/>
          </w:tcPr>
          <w:p w14:paraId="776D782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3DA82E0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1A3F899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051937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COG01830</w:t>
            </w:r>
          </w:p>
        </w:tc>
        <w:tc>
          <w:tcPr>
            <w:tcW w:w="1080" w:type="dxa"/>
            <w:noWrap/>
            <w:hideMark/>
          </w:tcPr>
          <w:p w14:paraId="64936A9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066CF05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DhnA-type fructose-1;6-bisphosphate aldolase and related enzymes</w:t>
            </w:r>
          </w:p>
        </w:tc>
        <w:tc>
          <w:tcPr>
            <w:tcW w:w="810" w:type="dxa"/>
            <w:noWrap/>
            <w:hideMark/>
          </w:tcPr>
          <w:p w14:paraId="1C4CBFA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47621EA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6DDA9D4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28F6A2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COG02893</w:t>
            </w:r>
          </w:p>
        </w:tc>
        <w:tc>
          <w:tcPr>
            <w:tcW w:w="1080" w:type="dxa"/>
            <w:noWrap/>
            <w:hideMark/>
          </w:tcPr>
          <w:p w14:paraId="22E77E3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25E27C2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Phosphotransferase system; mannose/fructose-specific component IIA</w:t>
            </w:r>
          </w:p>
        </w:tc>
        <w:tc>
          <w:tcPr>
            <w:tcW w:w="810" w:type="dxa"/>
            <w:noWrap/>
            <w:hideMark/>
          </w:tcPr>
          <w:p w14:paraId="7CC161B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21CDC3B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708C8C0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6D1479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COG01482</w:t>
            </w:r>
          </w:p>
        </w:tc>
        <w:tc>
          <w:tcPr>
            <w:tcW w:w="1080" w:type="dxa"/>
            <w:noWrap/>
            <w:hideMark/>
          </w:tcPr>
          <w:p w14:paraId="55B399A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61AB85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Phosphomannose isomerase</w:t>
            </w:r>
          </w:p>
        </w:tc>
        <w:tc>
          <w:tcPr>
            <w:tcW w:w="810" w:type="dxa"/>
            <w:noWrap/>
            <w:hideMark/>
          </w:tcPr>
          <w:p w14:paraId="2A1EDA8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7CB2C06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3EF088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AE3F8F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COG03345</w:t>
            </w:r>
          </w:p>
        </w:tc>
        <w:tc>
          <w:tcPr>
            <w:tcW w:w="1080" w:type="dxa"/>
            <w:noWrap/>
            <w:hideMark/>
          </w:tcPr>
          <w:p w14:paraId="76D356F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4BC8B9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Alpha-galactosidase</w:t>
            </w:r>
          </w:p>
        </w:tc>
        <w:tc>
          <w:tcPr>
            <w:tcW w:w="810" w:type="dxa"/>
            <w:noWrap/>
            <w:hideMark/>
          </w:tcPr>
          <w:p w14:paraId="7043E08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77091EC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0B95C50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426A7C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COG02022</w:t>
            </w:r>
          </w:p>
        </w:tc>
        <w:tc>
          <w:tcPr>
            <w:tcW w:w="1080" w:type="dxa"/>
            <w:noWrap/>
            <w:hideMark/>
          </w:tcPr>
          <w:p w14:paraId="09FECEB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F4C10AE"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enzyme of thiazole biosynthesis</w:t>
            </w:r>
          </w:p>
        </w:tc>
        <w:tc>
          <w:tcPr>
            <w:tcW w:w="810" w:type="dxa"/>
            <w:noWrap/>
            <w:hideMark/>
          </w:tcPr>
          <w:p w14:paraId="7428956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53F8D1C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275C5A7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BB3397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COG00447</w:t>
            </w:r>
          </w:p>
        </w:tc>
        <w:tc>
          <w:tcPr>
            <w:tcW w:w="1080" w:type="dxa"/>
            <w:noWrap/>
            <w:hideMark/>
          </w:tcPr>
          <w:p w14:paraId="75B0410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5BA94B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Dihydroxynaphthoic acid synthase</w:t>
            </w:r>
          </w:p>
        </w:tc>
        <w:tc>
          <w:tcPr>
            <w:tcW w:w="810" w:type="dxa"/>
            <w:noWrap/>
            <w:hideMark/>
          </w:tcPr>
          <w:p w14:paraId="61E8D45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3C2660C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608480F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D0821D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COG01260</w:t>
            </w:r>
          </w:p>
        </w:tc>
        <w:tc>
          <w:tcPr>
            <w:tcW w:w="1080" w:type="dxa"/>
            <w:noWrap/>
            <w:hideMark/>
          </w:tcPr>
          <w:p w14:paraId="5C07D47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336E56A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Myo-inositol-1-phosphate synthase</w:t>
            </w:r>
          </w:p>
        </w:tc>
        <w:tc>
          <w:tcPr>
            <w:tcW w:w="810" w:type="dxa"/>
            <w:noWrap/>
            <w:hideMark/>
          </w:tcPr>
          <w:p w14:paraId="2B004AA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453D6CD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1209E4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653706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COG01022</w:t>
            </w:r>
          </w:p>
        </w:tc>
        <w:tc>
          <w:tcPr>
            <w:tcW w:w="1080" w:type="dxa"/>
            <w:noWrap/>
            <w:hideMark/>
          </w:tcPr>
          <w:p w14:paraId="5A0CB50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3489A68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Long-chain acyl-CoA synthetases (AMP-forming)</w:t>
            </w:r>
          </w:p>
        </w:tc>
        <w:tc>
          <w:tcPr>
            <w:tcW w:w="810" w:type="dxa"/>
            <w:noWrap/>
            <w:hideMark/>
          </w:tcPr>
          <w:p w14:paraId="1FC78DB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4593C60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1647C68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B6522A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COG02030</w:t>
            </w:r>
          </w:p>
        </w:tc>
        <w:tc>
          <w:tcPr>
            <w:tcW w:w="1080" w:type="dxa"/>
            <w:noWrap/>
            <w:hideMark/>
          </w:tcPr>
          <w:p w14:paraId="21EF02C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949BF3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Acyl dehydratase</w:t>
            </w:r>
          </w:p>
        </w:tc>
        <w:tc>
          <w:tcPr>
            <w:tcW w:w="810" w:type="dxa"/>
            <w:noWrap/>
            <w:hideMark/>
          </w:tcPr>
          <w:p w14:paraId="4D38982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0F32432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2C6339F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A96FC5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COG00261</w:t>
            </w:r>
          </w:p>
        </w:tc>
        <w:tc>
          <w:tcPr>
            <w:tcW w:w="1080" w:type="dxa"/>
            <w:noWrap/>
            <w:hideMark/>
          </w:tcPr>
          <w:p w14:paraId="6D5B2EE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35</w:t>
            </w:r>
          </w:p>
        </w:tc>
        <w:tc>
          <w:tcPr>
            <w:tcW w:w="4590" w:type="dxa"/>
            <w:noWrap/>
            <w:hideMark/>
          </w:tcPr>
          <w:p w14:paraId="5E24496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Ribosomal protein L21</w:t>
            </w:r>
          </w:p>
        </w:tc>
        <w:tc>
          <w:tcPr>
            <w:tcW w:w="810" w:type="dxa"/>
            <w:noWrap/>
            <w:hideMark/>
          </w:tcPr>
          <w:p w14:paraId="3122139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03569A1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DDA7C3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5B3234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COG00238</w:t>
            </w:r>
          </w:p>
        </w:tc>
        <w:tc>
          <w:tcPr>
            <w:tcW w:w="1080" w:type="dxa"/>
            <w:noWrap/>
            <w:hideMark/>
          </w:tcPr>
          <w:p w14:paraId="745E1CC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25</w:t>
            </w:r>
          </w:p>
        </w:tc>
        <w:tc>
          <w:tcPr>
            <w:tcW w:w="4590" w:type="dxa"/>
            <w:noWrap/>
            <w:hideMark/>
          </w:tcPr>
          <w:p w14:paraId="59822BF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Ribosomal protein S18</w:t>
            </w:r>
          </w:p>
        </w:tc>
        <w:tc>
          <w:tcPr>
            <w:tcW w:w="810" w:type="dxa"/>
            <w:noWrap/>
            <w:hideMark/>
          </w:tcPr>
          <w:p w14:paraId="71DCCB4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3E6FB0B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D9F769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1DB7AB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COG00188</w:t>
            </w:r>
          </w:p>
        </w:tc>
        <w:tc>
          <w:tcPr>
            <w:tcW w:w="1080" w:type="dxa"/>
            <w:noWrap/>
            <w:hideMark/>
          </w:tcPr>
          <w:p w14:paraId="7BFF44D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21</w:t>
            </w:r>
          </w:p>
        </w:tc>
        <w:tc>
          <w:tcPr>
            <w:tcW w:w="4590" w:type="dxa"/>
            <w:noWrap/>
            <w:hideMark/>
          </w:tcPr>
          <w:p w14:paraId="0B01238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Type IIA topoisomerase (DNA gyrase/topo II; topoisomerase IV); A subunit</w:t>
            </w:r>
          </w:p>
        </w:tc>
        <w:tc>
          <w:tcPr>
            <w:tcW w:w="810" w:type="dxa"/>
            <w:noWrap/>
            <w:hideMark/>
          </w:tcPr>
          <w:p w14:paraId="45BCE50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w:t>
            </w:r>
          </w:p>
        </w:tc>
        <w:tc>
          <w:tcPr>
            <w:tcW w:w="1098" w:type="dxa"/>
            <w:noWrap/>
            <w:hideMark/>
          </w:tcPr>
          <w:p w14:paraId="7AAC435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17B94C5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9950B3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COG01918</w:t>
            </w:r>
          </w:p>
        </w:tc>
        <w:tc>
          <w:tcPr>
            <w:tcW w:w="1080" w:type="dxa"/>
            <w:noWrap/>
            <w:hideMark/>
          </w:tcPr>
          <w:p w14:paraId="55DC3C0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21</w:t>
            </w:r>
          </w:p>
        </w:tc>
        <w:tc>
          <w:tcPr>
            <w:tcW w:w="4590" w:type="dxa"/>
            <w:noWrap/>
            <w:hideMark/>
          </w:tcPr>
          <w:p w14:paraId="7CF8E7A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Fe2+ transport system protein A</w:t>
            </w:r>
          </w:p>
        </w:tc>
        <w:tc>
          <w:tcPr>
            <w:tcW w:w="810" w:type="dxa"/>
            <w:noWrap/>
            <w:hideMark/>
          </w:tcPr>
          <w:p w14:paraId="73DD156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038B72A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425E30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AB2E59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COG00523</w:t>
            </w:r>
          </w:p>
        </w:tc>
        <w:tc>
          <w:tcPr>
            <w:tcW w:w="1080" w:type="dxa"/>
            <w:noWrap/>
            <w:hideMark/>
          </w:tcPr>
          <w:p w14:paraId="7C1DF9D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21</w:t>
            </w:r>
          </w:p>
        </w:tc>
        <w:tc>
          <w:tcPr>
            <w:tcW w:w="4590" w:type="dxa"/>
            <w:noWrap/>
            <w:hideMark/>
          </w:tcPr>
          <w:p w14:paraId="2505905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Putative GTPases (G3E family)</w:t>
            </w:r>
          </w:p>
        </w:tc>
        <w:tc>
          <w:tcPr>
            <w:tcW w:w="810" w:type="dxa"/>
            <w:noWrap/>
            <w:hideMark/>
          </w:tcPr>
          <w:p w14:paraId="617FCD3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7EEFE4B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41C8B2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C832CF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COG02406</w:t>
            </w:r>
          </w:p>
        </w:tc>
        <w:tc>
          <w:tcPr>
            <w:tcW w:w="1080" w:type="dxa"/>
            <w:noWrap/>
            <w:hideMark/>
          </w:tcPr>
          <w:p w14:paraId="5F615DD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10</w:t>
            </w:r>
          </w:p>
        </w:tc>
        <w:tc>
          <w:tcPr>
            <w:tcW w:w="4590" w:type="dxa"/>
            <w:noWrap/>
            <w:hideMark/>
          </w:tcPr>
          <w:p w14:paraId="3559037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Protein distantly related to bacterial ferritins</w:t>
            </w:r>
          </w:p>
        </w:tc>
        <w:tc>
          <w:tcPr>
            <w:tcW w:w="810" w:type="dxa"/>
            <w:noWrap/>
            <w:hideMark/>
          </w:tcPr>
          <w:p w14:paraId="32E63B8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4586815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B96C5A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613E30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COG03937</w:t>
            </w:r>
          </w:p>
        </w:tc>
        <w:tc>
          <w:tcPr>
            <w:tcW w:w="1080" w:type="dxa"/>
            <w:noWrap/>
            <w:hideMark/>
          </w:tcPr>
          <w:p w14:paraId="23F9B81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3E194DA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6BC5226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04C6041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CB968A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228C04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COG01217</w:t>
            </w:r>
          </w:p>
        </w:tc>
        <w:tc>
          <w:tcPr>
            <w:tcW w:w="1080" w:type="dxa"/>
            <w:noWrap/>
            <w:hideMark/>
          </w:tcPr>
          <w:p w14:paraId="10662BC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25</w:t>
            </w:r>
          </w:p>
        </w:tc>
        <w:tc>
          <w:tcPr>
            <w:tcW w:w="4590" w:type="dxa"/>
            <w:noWrap/>
            <w:hideMark/>
          </w:tcPr>
          <w:p w14:paraId="3AA9668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membrane GTPase involved in stress response</w:t>
            </w:r>
          </w:p>
        </w:tc>
        <w:tc>
          <w:tcPr>
            <w:tcW w:w="810" w:type="dxa"/>
            <w:noWrap/>
            <w:hideMark/>
          </w:tcPr>
          <w:p w14:paraId="0FCF139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w:t>
            </w:r>
          </w:p>
        </w:tc>
        <w:tc>
          <w:tcPr>
            <w:tcW w:w="1098" w:type="dxa"/>
            <w:noWrap/>
            <w:hideMark/>
          </w:tcPr>
          <w:p w14:paraId="162FA42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94945C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FEF90A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lastRenderedPageBreak/>
              <w:t>COG01702</w:t>
            </w:r>
          </w:p>
        </w:tc>
        <w:tc>
          <w:tcPr>
            <w:tcW w:w="1080" w:type="dxa"/>
            <w:noWrap/>
            <w:hideMark/>
          </w:tcPr>
          <w:p w14:paraId="148D17E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03DBE75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Phosphate starvation-inducible protein PhoH; predicted ATPase</w:t>
            </w:r>
          </w:p>
        </w:tc>
        <w:tc>
          <w:tcPr>
            <w:tcW w:w="810" w:type="dxa"/>
            <w:noWrap/>
            <w:hideMark/>
          </w:tcPr>
          <w:p w14:paraId="2645F0C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w:t>
            </w:r>
          </w:p>
        </w:tc>
        <w:tc>
          <w:tcPr>
            <w:tcW w:w="1098" w:type="dxa"/>
            <w:noWrap/>
            <w:hideMark/>
          </w:tcPr>
          <w:p w14:paraId="6433FBA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50FDA32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B079C0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COG03706</w:t>
            </w:r>
          </w:p>
        </w:tc>
        <w:tc>
          <w:tcPr>
            <w:tcW w:w="1080" w:type="dxa"/>
            <w:noWrap/>
            <w:hideMark/>
          </w:tcPr>
          <w:p w14:paraId="7DFA324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0267B74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Response regulator containing a CheY-like receiver domain and a GGDEF domain</w:t>
            </w:r>
          </w:p>
        </w:tc>
        <w:tc>
          <w:tcPr>
            <w:tcW w:w="810" w:type="dxa"/>
            <w:noWrap/>
            <w:hideMark/>
          </w:tcPr>
          <w:p w14:paraId="5FEF887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w:t>
            </w:r>
          </w:p>
        </w:tc>
        <w:tc>
          <w:tcPr>
            <w:tcW w:w="1098" w:type="dxa"/>
            <w:noWrap/>
            <w:hideMark/>
          </w:tcPr>
          <w:p w14:paraId="0354383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38F003D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D68A46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COG00317</w:t>
            </w:r>
          </w:p>
        </w:tc>
        <w:tc>
          <w:tcPr>
            <w:tcW w:w="1080" w:type="dxa"/>
            <w:noWrap/>
            <w:hideMark/>
          </w:tcPr>
          <w:p w14:paraId="2276D0D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9</w:t>
            </w:r>
          </w:p>
        </w:tc>
        <w:tc>
          <w:tcPr>
            <w:tcW w:w="4590" w:type="dxa"/>
            <w:noWrap/>
            <w:hideMark/>
          </w:tcPr>
          <w:p w14:paraId="43378DE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Guanosine polyphosphate pyrophosphohydrolases/synthetases</w:t>
            </w:r>
          </w:p>
        </w:tc>
        <w:tc>
          <w:tcPr>
            <w:tcW w:w="810" w:type="dxa"/>
            <w:noWrap/>
            <w:hideMark/>
          </w:tcPr>
          <w:p w14:paraId="454B5B5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TK</w:t>
            </w:r>
          </w:p>
        </w:tc>
        <w:tc>
          <w:tcPr>
            <w:tcW w:w="1098" w:type="dxa"/>
            <w:noWrap/>
            <w:hideMark/>
          </w:tcPr>
          <w:p w14:paraId="76FBE79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Baseline</w:t>
            </w:r>
          </w:p>
        </w:tc>
      </w:tr>
      <w:tr w:rsidR="00DE4C71" w:rsidRPr="00DE4C71" w14:paraId="1BF18FD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AD0184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COG00342</w:t>
            </w:r>
          </w:p>
        </w:tc>
        <w:tc>
          <w:tcPr>
            <w:tcW w:w="1080" w:type="dxa"/>
            <w:noWrap/>
            <w:hideMark/>
          </w:tcPr>
          <w:p w14:paraId="4C417A4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28</w:t>
            </w:r>
          </w:p>
        </w:tc>
        <w:tc>
          <w:tcPr>
            <w:tcW w:w="4590" w:type="dxa"/>
            <w:noWrap/>
            <w:hideMark/>
          </w:tcPr>
          <w:p w14:paraId="06FD892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Preprotein translocase subunit SecD</w:t>
            </w:r>
          </w:p>
        </w:tc>
        <w:tc>
          <w:tcPr>
            <w:tcW w:w="810" w:type="dxa"/>
            <w:noWrap/>
            <w:hideMark/>
          </w:tcPr>
          <w:p w14:paraId="47838B5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w:t>
            </w:r>
          </w:p>
        </w:tc>
        <w:tc>
          <w:tcPr>
            <w:tcW w:w="1098" w:type="dxa"/>
            <w:noWrap/>
            <w:hideMark/>
          </w:tcPr>
          <w:p w14:paraId="1C84565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A71F9C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D27059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COG00716</w:t>
            </w:r>
          </w:p>
        </w:tc>
        <w:tc>
          <w:tcPr>
            <w:tcW w:w="1080" w:type="dxa"/>
            <w:noWrap/>
            <w:hideMark/>
          </w:tcPr>
          <w:p w14:paraId="7D0E425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51</w:t>
            </w:r>
          </w:p>
        </w:tc>
        <w:tc>
          <w:tcPr>
            <w:tcW w:w="4590" w:type="dxa"/>
            <w:noWrap/>
            <w:hideMark/>
          </w:tcPr>
          <w:p w14:paraId="27136D8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Flavodoxins</w:t>
            </w:r>
          </w:p>
        </w:tc>
        <w:tc>
          <w:tcPr>
            <w:tcW w:w="810" w:type="dxa"/>
            <w:noWrap/>
            <w:hideMark/>
          </w:tcPr>
          <w:p w14:paraId="2F5CB16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120D7C9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0A1241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18865B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COG01013</w:t>
            </w:r>
          </w:p>
        </w:tc>
        <w:tc>
          <w:tcPr>
            <w:tcW w:w="1080" w:type="dxa"/>
            <w:noWrap/>
            <w:hideMark/>
          </w:tcPr>
          <w:p w14:paraId="18B210B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20</w:t>
            </w:r>
          </w:p>
        </w:tc>
        <w:tc>
          <w:tcPr>
            <w:tcW w:w="4590" w:type="dxa"/>
            <w:noWrap/>
            <w:hideMark/>
          </w:tcPr>
          <w:p w14:paraId="0237249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Pyruvate:ferredoxin oxidoreductase and related 2-oxoacid:ferredoxin oxidoreductases; beta subunit</w:t>
            </w:r>
          </w:p>
        </w:tc>
        <w:tc>
          <w:tcPr>
            <w:tcW w:w="810" w:type="dxa"/>
            <w:noWrap/>
            <w:hideMark/>
          </w:tcPr>
          <w:p w14:paraId="1883FAA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1A3439F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C68783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0F2019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COG01951</w:t>
            </w:r>
          </w:p>
        </w:tc>
        <w:tc>
          <w:tcPr>
            <w:tcW w:w="1080" w:type="dxa"/>
            <w:noWrap/>
            <w:hideMark/>
          </w:tcPr>
          <w:p w14:paraId="7F32B32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5710923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Tartrate dehydratase alpha subunit/Fumarate hydratase class I; N-terminal domain</w:t>
            </w:r>
          </w:p>
        </w:tc>
        <w:tc>
          <w:tcPr>
            <w:tcW w:w="810" w:type="dxa"/>
            <w:noWrap/>
            <w:hideMark/>
          </w:tcPr>
          <w:p w14:paraId="31C67CA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26A82A3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734D7CA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ED9AA7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COG00554</w:t>
            </w:r>
          </w:p>
        </w:tc>
        <w:tc>
          <w:tcPr>
            <w:tcW w:w="1080" w:type="dxa"/>
            <w:noWrap/>
            <w:hideMark/>
          </w:tcPr>
          <w:p w14:paraId="2F6D0C5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5803F1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Glycerol kinase</w:t>
            </w:r>
          </w:p>
        </w:tc>
        <w:tc>
          <w:tcPr>
            <w:tcW w:w="810" w:type="dxa"/>
            <w:noWrap/>
            <w:hideMark/>
          </w:tcPr>
          <w:p w14:paraId="240190D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6B1DDA5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0206D6E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EB46FC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COG01805</w:t>
            </w:r>
          </w:p>
        </w:tc>
        <w:tc>
          <w:tcPr>
            <w:tcW w:w="1080" w:type="dxa"/>
            <w:noWrap/>
            <w:hideMark/>
          </w:tcPr>
          <w:p w14:paraId="6B31266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79AC95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Na+-transporting NADH:ubiquinone oxidoreductase; subunit NqrB</w:t>
            </w:r>
          </w:p>
        </w:tc>
        <w:tc>
          <w:tcPr>
            <w:tcW w:w="810" w:type="dxa"/>
            <w:noWrap/>
            <w:hideMark/>
          </w:tcPr>
          <w:p w14:paraId="682A973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44F83B4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0DF0458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B6F3A0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COG00347</w:t>
            </w:r>
          </w:p>
        </w:tc>
        <w:tc>
          <w:tcPr>
            <w:tcW w:w="1080" w:type="dxa"/>
            <w:noWrap/>
            <w:hideMark/>
          </w:tcPr>
          <w:p w14:paraId="5511FDC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31</w:t>
            </w:r>
          </w:p>
        </w:tc>
        <w:tc>
          <w:tcPr>
            <w:tcW w:w="4590" w:type="dxa"/>
            <w:noWrap/>
            <w:hideMark/>
          </w:tcPr>
          <w:p w14:paraId="2E41A6F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Nitrogen regulatory protein PII</w:t>
            </w:r>
          </w:p>
        </w:tc>
        <w:tc>
          <w:tcPr>
            <w:tcW w:w="810" w:type="dxa"/>
            <w:noWrap/>
            <w:hideMark/>
          </w:tcPr>
          <w:p w14:paraId="27AF2C3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0641308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F042F2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5A7F74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COG00436</w:t>
            </w:r>
          </w:p>
        </w:tc>
        <w:tc>
          <w:tcPr>
            <w:tcW w:w="1080" w:type="dxa"/>
            <w:noWrap/>
            <w:hideMark/>
          </w:tcPr>
          <w:p w14:paraId="27C6313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10</w:t>
            </w:r>
          </w:p>
        </w:tc>
        <w:tc>
          <w:tcPr>
            <w:tcW w:w="4590" w:type="dxa"/>
            <w:noWrap/>
            <w:hideMark/>
          </w:tcPr>
          <w:p w14:paraId="795ADD5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Aspartate/tyrosine/aromatic aminotransferase</w:t>
            </w:r>
          </w:p>
        </w:tc>
        <w:tc>
          <w:tcPr>
            <w:tcW w:w="810" w:type="dxa"/>
            <w:noWrap/>
            <w:hideMark/>
          </w:tcPr>
          <w:p w14:paraId="2DE9AAE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784DE2D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40F2BF5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E924F2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COG00076</w:t>
            </w:r>
          </w:p>
        </w:tc>
        <w:tc>
          <w:tcPr>
            <w:tcW w:w="1080" w:type="dxa"/>
            <w:noWrap/>
            <w:hideMark/>
          </w:tcPr>
          <w:p w14:paraId="0DF440E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E6B73D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Glutamate decarboxylase and related PLP-dependent proteins</w:t>
            </w:r>
          </w:p>
        </w:tc>
        <w:tc>
          <w:tcPr>
            <w:tcW w:w="810" w:type="dxa"/>
            <w:noWrap/>
            <w:hideMark/>
          </w:tcPr>
          <w:p w14:paraId="2B475A8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6B6947C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724CFF6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BA3026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COG00175</w:t>
            </w:r>
          </w:p>
        </w:tc>
        <w:tc>
          <w:tcPr>
            <w:tcW w:w="1080" w:type="dxa"/>
            <w:noWrap/>
            <w:hideMark/>
          </w:tcPr>
          <w:p w14:paraId="77A04A8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B5771A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3'-phosphoadenosine 5'-phosphosulfate sulfotransferase (PAPS reductase)/FAD synthetase and related enzymes</w:t>
            </w:r>
          </w:p>
        </w:tc>
        <w:tc>
          <w:tcPr>
            <w:tcW w:w="810" w:type="dxa"/>
            <w:noWrap/>
            <w:hideMark/>
          </w:tcPr>
          <w:p w14:paraId="44B033C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EH</w:t>
            </w:r>
          </w:p>
        </w:tc>
        <w:tc>
          <w:tcPr>
            <w:tcW w:w="1098" w:type="dxa"/>
            <w:noWrap/>
            <w:hideMark/>
          </w:tcPr>
          <w:p w14:paraId="36BFAC9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2EA804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EEE4D5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COG00444</w:t>
            </w:r>
          </w:p>
        </w:tc>
        <w:tc>
          <w:tcPr>
            <w:tcW w:w="1080" w:type="dxa"/>
            <w:noWrap/>
            <w:hideMark/>
          </w:tcPr>
          <w:p w14:paraId="6719A41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DB9345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dipeptide/oligopeptide/nickel transport system; ATPase component</w:t>
            </w:r>
          </w:p>
        </w:tc>
        <w:tc>
          <w:tcPr>
            <w:tcW w:w="810" w:type="dxa"/>
            <w:noWrap/>
            <w:hideMark/>
          </w:tcPr>
          <w:p w14:paraId="2519BE9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EP</w:t>
            </w:r>
          </w:p>
        </w:tc>
        <w:tc>
          <w:tcPr>
            <w:tcW w:w="1098" w:type="dxa"/>
            <w:noWrap/>
            <w:hideMark/>
          </w:tcPr>
          <w:p w14:paraId="67B2015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D59772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94838E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COG01102</w:t>
            </w:r>
          </w:p>
        </w:tc>
        <w:tc>
          <w:tcPr>
            <w:tcW w:w="1080" w:type="dxa"/>
            <w:noWrap/>
            <w:hideMark/>
          </w:tcPr>
          <w:p w14:paraId="12BBBB3B"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470A7A9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Cytidylate kinase</w:t>
            </w:r>
          </w:p>
        </w:tc>
        <w:tc>
          <w:tcPr>
            <w:tcW w:w="810" w:type="dxa"/>
            <w:noWrap/>
            <w:hideMark/>
          </w:tcPr>
          <w:p w14:paraId="780D902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3B6002D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98972A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C3BE6F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COG00395</w:t>
            </w:r>
          </w:p>
        </w:tc>
        <w:tc>
          <w:tcPr>
            <w:tcW w:w="1080" w:type="dxa"/>
            <w:noWrap/>
            <w:hideMark/>
          </w:tcPr>
          <w:p w14:paraId="41191BC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10</w:t>
            </w:r>
          </w:p>
        </w:tc>
        <w:tc>
          <w:tcPr>
            <w:tcW w:w="4590" w:type="dxa"/>
            <w:noWrap/>
            <w:hideMark/>
          </w:tcPr>
          <w:p w14:paraId="7B4C618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sugar transport system; permease component</w:t>
            </w:r>
          </w:p>
        </w:tc>
        <w:tc>
          <w:tcPr>
            <w:tcW w:w="810" w:type="dxa"/>
            <w:noWrap/>
            <w:hideMark/>
          </w:tcPr>
          <w:p w14:paraId="3C46AB5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7E28426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B8AD4F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8FFE10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COG03534</w:t>
            </w:r>
          </w:p>
        </w:tc>
        <w:tc>
          <w:tcPr>
            <w:tcW w:w="1080" w:type="dxa"/>
            <w:noWrap/>
            <w:hideMark/>
          </w:tcPr>
          <w:p w14:paraId="6B67E4F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0BC8A0E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Alpha-L-arabinofuranosidase</w:t>
            </w:r>
          </w:p>
        </w:tc>
        <w:tc>
          <w:tcPr>
            <w:tcW w:w="810" w:type="dxa"/>
            <w:noWrap/>
            <w:hideMark/>
          </w:tcPr>
          <w:p w14:paraId="2AD122B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342DC92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28C519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81965A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COG02376</w:t>
            </w:r>
          </w:p>
        </w:tc>
        <w:tc>
          <w:tcPr>
            <w:tcW w:w="1080" w:type="dxa"/>
            <w:noWrap/>
            <w:hideMark/>
          </w:tcPr>
          <w:p w14:paraId="015E2BB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14BFAFD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Dihydroxyacetone kinase</w:t>
            </w:r>
          </w:p>
        </w:tc>
        <w:tc>
          <w:tcPr>
            <w:tcW w:w="810" w:type="dxa"/>
            <w:noWrap/>
            <w:hideMark/>
          </w:tcPr>
          <w:p w14:paraId="18C8E8C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6E97D9D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1F0192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C22556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COG01440</w:t>
            </w:r>
          </w:p>
        </w:tc>
        <w:tc>
          <w:tcPr>
            <w:tcW w:w="1080" w:type="dxa"/>
            <w:noWrap/>
            <w:hideMark/>
          </w:tcPr>
          <w:p w14:paraId="7C3465C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0131773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Phosphotransferase system cellobiose-specific component IIB</w:t>
            </w:r>
          </w:p>
        </w:tc>
        <w:tc>
          <w:tcPr>
            <w:tcW w:w="810" w:type="dxa"/>
            <w:noWrap/>
            <w:hideMark/>
          </w:tcPr>
          <w:p w14:paraId="61B7061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4571986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6C35D3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302E64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COG03669</w:t>
            </w:r>
          </w:p>
        </w:tc>
        <w:tc>
          <w:tcPr>
            <w:tcW w:w="1080" w:type="dxa"/>
            <w:noWrap/>
            <w:hideMark/>
          </w:tcPr>
          <w:p w14:paraId="0149399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7132283E"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Alpha-L-fucosidase</w:t>
            </w:r>
          </w:p>
        </w:tc>
        <w:tc>
          <w:tcPr>
            <w:tcW w:w="810" w:type="dxa"/>
            <w:noWrap/>
            <w:hideMark/>
          </w:tcPr>
          <w:p w14:paraId="2C3ED80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01F31D9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9ADDD7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FDC9AC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COG01904</w:t>
            </w:r>
          </w:p>
        </w:tc>
        <w:tc>
          <w:tcPr>
            <w:tcW w:w="1080" w:type="dxa"/>
            <w:noWrap/>
            <w:hideMark/>
          </w:tcPr>
          <w:p w14:paraId="7D2B3FF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7F4238C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Glucuronate isomerase</w:t>
            </w:r>
          </w:p>
        </w:tc>
        <w:tc>
          <w:tcPr>
            <w:tcW w:w="810" w:type="dxa"/>
            <w:noWrap/>
            <w:hideMark/>
          </w:tcPr>
          <w:p w14:paraId="2A88235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43C0E21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1EFC93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E1569D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COG03717</w:t>
            </w:r>
          </w:p>
        </w:tc>
        <w:tc>
          <w:tcPr>
            <w:tcW w:w="1080" w:type="dxa"/>
            <w:noWrap/>
            <w:hideMark/>
          </w:tcPr>
          <w:p w14:paraId="168AD1A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69A888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5-keto 4-deoxyuronate isomerase</w:t>
            </w:r>
          </w:p>
        </w:tc>
        <w:tc>
          <w:tcPr>
            <w:tcW w:w="810" w:type="dxa"/>
            <w:noWrap/>
            <w:hideMark/>
          </w:tcPr>
          <w:p w14:paraId="5174831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7DD6510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05C7FC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7083CD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COG00413</w:t>
            </w:r>
          </w:p>
        </w:tc>
        <w:tc>
          <w:tcPr>
            <w:tcW w:w="1080" w:type="dxa"/>
            <w:noWrap/>
            <w:hideMark/>
          </w:tcPr>
          <w:p w14:paraId="621304D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12</w:t>
            </w:r>
          </w:p>
        </w:tc>
        <w:tc>
          <w:tcPr>
            <w:tcW w:w="4590" w:type="dxa"/>
            <w:noWrap/>
            <w:hideMark/>
          </w:tcPr>
          <w:p w14:paraId="0EAD3B7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Ketopantoate hydroxymethyltransferase</w:t>
            </w:r>
          </w:p>
        </w:tc>
        <w:tc>
          <w:tcPr>
            <w:tcW w:w="810" w:type="dxa"/>
            <w:noWrap/>
            <w:hideMark/>
          </w:tcPr>
          <w:p w14:paraId="26CF272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741D3A8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4EA3011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79ECAA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COG01429</w:t>
            </w:r>
          </w:p>
        </w:tc>
        <w:tc>
          <w:tcPr>
            <w:tcW w:w="1080" w:type="dxa"/>
            <w:noWrap/>
            <w:hideMark/>
          </w:tcPr>
          <w:p w14:paraId="41D0A4C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7C4E772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Cobalamin biosynthesis protein CobN and related Mg-chelatases</w:t>
            </w:r>
          </w:p>
        </w:tc>
        <w:tc>
          <w:tcPr>
            <w:tcW w:w="810" w:type="dxa"/>
            <w:noWrap/>
            <w:hideMark/>
          </w:tcPr>
          <w:p w14:paraId="693D0B1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65DF9D5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3921A4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E6DD94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COG00452</w:t>
            </w:r>
          </w:p>
        </w:tc>
        <w:tc>
          <w:tcPr>
            <w:tcW w:w="1080" w:type="dxa"/>
            <w:noWrap/>
            <w:hideMark/>
          </w:tcPr>
          <w:p w14:paraId="373621C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32BBDCF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Phosphopantothenoylcysteine synthetase/decarboxylase</w:t>
            </w:r>
          </w:p>
        </w:tc>
        <w:tc>
          <w:tcPr>
            <w:tcW w:w="810" w:type="dxa"/>
            <w:noWrap/>
            <w:hideMark/>
          </w:tcPr>
          <w:p w14:paraId="6C17BBC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658AA96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DCF0B6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707F12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lastRenderedPageBreak/>
              <w:t>COG00161</w:t>
            </w:r>
          </w:p>
        </w:tc>
        <w:tc>
          <w:tcPr>
            <w:tcW w:w="1080" w:type="dxa"/>
            <w:noWrap/>
            <w:hideMark/>
          </w:tcPr>
          <w:p w14:paraId="36BB8F0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46AF74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Adenosylmethionine-8-amino-7-oxononanoate aminotransferase</w:t>
            </w:r>
          </w:p>
        </w:tc>
        <w:tc>
          <w:tcPr>
            <w:tcW w:w="810" w:type="dxa"/>
            <w:noWrap/>
            <w:hideMark/>
          </w:tcPr>
          <w:p w14:paraId="269D42A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7A139F3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AEBA86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AF5E20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COG00007</w:t>
            </w:r>
          </w:p>
        </w:tc>
        <w:tc>
          <w:tcPr>
            <w:tcW w:w="1080" w:type="dxa"/>
            <w:noWrap/>
            <w:hideMark/>
          </w:tcPr>
          <w:p w14:paraId="75EC544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669CA7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Uroporphyrinogen-III methylase</w:t>
            </w:r>
          </w:p>
        </w:tc>
        <w:tc>
          <w:tcPr>
            <w:tcW w:w="810" w:type="dxa"/>
            <w:noWrap/>
            <w:hideMark/>
          </w:tcPr>
          <w:p w14:paraId="2389D4C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79B4DF6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7269B9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DA8F2A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COG00214</w:t>
            </w:r>
          </w:p>
        </w:tc>
        <w:tc>
          <w:tcPr>
            <w:tcW w:w="1080" w:type="dxa"/>
            <w:noWrap/>
            <w:hideMark/>
          </w:tcPr>
          <w:p w14:paraId="4571CC1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39AF0C2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Pyridoxine biosynthesis enzyme</w:t>
            </w:r>
          </w:p>
        </w:tc>
        <w:tc>
          <w:tcPr>
            <w:tcW w:w="810" w:type="dxa"/>
            <w:noWrap/>
            <w:hideMark/>
          </w:tcPr>
          <w:p w14:paraId="0B7336A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5E04546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DEF0D4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F2B646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COG01024</w:t>
            </w:r>
          </w:p>
        </w:tc>
        <w:tc>
          <w:tcPr>
            <w:tcW w:w="1080" w:type="dxa"/>
            <w:noWrap/>
            <w:hideMark/>
          </w:tcPr>
          <w:p w14:paraId="4EB7322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15</w:t>
            </w:r>
          </w:p>
        </w:tc>
        <w:tc>
          <w:tcPr>
            <w:tcW w:w="4590" w:type="dxa"/>
            <w:noWrap/>
            <w:hideMark/>
          </w:tcPr>
          <w:p w14:paraId="650D177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Enoyl-CoA hydratase/carnithine racemase</w:t>
            </w:r>
          </w:p>
        </w:tc>
        <w:tc>
          <w:tcPr>
            <w:tcW w:w="810" w:type="dxa"/>
            <w:noWrap/>
            <w:hideMark/>
          </w:tcPr>
          <w:p w14:paraId="4249A9F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1F092C2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BC89B2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6DD89C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COG02185</w:t>
            </w:r>
          </w:p>
        </w:tc>
        <w:tc>
          <w:tcPr>
            <w:tcW w:w="1080" w:type="dxa"/>
            <w:noWrap/>
            <w:hideMark/>
          </w:tcPr>
          <w:p w14:paraId="4BFC66F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13</w:t>
            </w:r>
          </w:p>
        </w:tc>
        <w:tc>
          <w:tcPr>
            <w:tcW w:w="4590" w:type="dxa"/>
            <w:noWrap/>
            <w:hideMark/>
          </w:tcPr>
          <w:p w14:paraId="2D072EB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Methylmalonyl-CoA mutase; C-terminal domain/subunit (cobalamin-binding)</w:t>
            </w:r>
          </w:p>
        </w:tc>
        <w:tc>
          <w:tcPr>
            <w:tcW w:w="810" w:type="dxa"/>
            <w:noWrap/>
            <w:hideMark/>
          </w:tcPr>
          <w:p w14:paraId="07979DD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5E8EEA8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66FB4E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9F4298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COG01788</w:t>
            </w:r>
          </w:p>
        </w:tc>
        <w:tc>
          <w:tcPr>
            <w:tcW w:w="1080" w:type="dxa"/>
            <w:noWrap/>
            <w:hideMark/>
          </w:tcPr>
          <w:p w14:paraId="36E96F5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346133E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Acyl CoA:acetate/3-ketoacid CoA transferase; alpha subunit</w:t>
            </w:r>
          </w:p>
        </w:tc>
        <w:tc>
          <w:tcPr>
            <w:tcW w:w="810" w:type="dxa"/>
            <w:noWrap/>
            <w:hideMark/>
          </w:tcPr>
          <w:p w14:paraId="1010C97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6F0E661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5EAF7F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67D055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COG00332</w:t>
            </w:r>
          </w:p>
        </w:tc>
        <w:tc>
          <w:tcPr>
            <w:tcW w:w="1080" w:type="dxa"/>
            <w:noWrap/>
            <w:hideMark/>
          </w:tcPr>
          <w:p w14:paraId="1543F17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A9347E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3-oxoacyl-[acyl-carrier-protein] synthase III</w:t>
            </w:r>
          </w:p>
        </w:tc>
        <w:tc>
          <w:tcPr>
            <w:tcW w:w="810" w:type="dxa"/>
            <w:noWrap/>
            <w:hideMark/>
          </w:tcPr>
          <w:p w14:paraId="2F3A7BC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71AB5BB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7A68126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23883D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COG00060</w:t>
            </w:r>
          </w:p>
        </w:tc>
        <w:tc>
          <w:tcPr>
            <w:tcW w:w="1080" w:type="dxa"/>
            <w:noWrap/>
            <w:hideMark/>
          </w:tcPr>
          <w:p w14:paraId="3D26D4A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15</w:t>
            </w:r>
          </w:p>
        </w:tc>
        <w:tc>
          <w:tcPr>
            <w:tcW w:w="4590" w:type="dxa"/>
            <w:noWrap/>
            <w:hideMark/>
          </w:tcPr>
          <w:p w14:paraId="15B7F23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Isoleucyl-tRNA synthetase</w:t>
            </w:r>
          </w:p>
        </w:tc>
        <w:tc>
          <w:tcPr>
            <w:tcW w:w="810" w:type="dxa"/>
            <w:noWrap/>
            <w:hideMark/>
          </w:tcPr>
          <w:p w14:paraId="4CD3032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562C3E8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E1FB5F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596738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COG00254</w:t>
            </w:r>
          </w:p>
        </w:tc>
        <w:tc>
          <w:tcPr>
            <w:tcW w:w="1080" w:type="dxa"/>
            <w:noWrap/>
            <w:hideMark/>
          </w:tcPr>
          <w:p w14:paraId="77D9C20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77F4654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Ribosomal protein L31</w:t>
            </w:r>
          </w:p>
        </w:tc>
        <w:tc>
          <w:tcPr>
            <w:tcW w:w="810" w:type="dxa"/>
            <w:noWrap/>
            <w:hideMark/>
          </w:tcPr>
          <w:p w14:paraId="75DEF2A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050F7C4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5E1748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19590F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COG00124</w:t>
            </w:r>
          </w:p>
        </w:tc>
        <w:tc>
          <w:tcPr>
            <w:tcW w:w="1080" w:type="dxa"/>
            <w:noWrap/>
            <w:hideMark/>
          </w:tcPr>
          <w:p w14:paraId="41E7165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5950F3C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Histidyl-tRNA synthetase</w:t>
            </w:r>
          </w:p>
        </w:tc>
        <w:tc>
          <w:tcPr>
            <w:tcW w:w="810" w:type="dxa"/>
            <w:noWrap/>
            <w:hideMark/>
          </w:tcPr>
          <w:p w14:paraId="11A5E46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2438109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4938C9D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53F582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COG00621</w:t>
            </w:r>
          </w:p>
        </w:tc>
        <w:tc>
          <w:tcPr>
            <w:tcW w:w="1080" w:type="dxa"/>
            <w:noWrap/>
            <w:hideMark/>
          </w:tcPr>
          <w:p w14:paraId="6A266B9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EFB923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2-methylthioadenine synthetase</w:t>
            </w:r>
          </w:p>
        </w:tc>
        <w:tc>
          <w:tcPr>
            <w:tcW w:w="810" w:type="dxa"/>
            <w:noWrap/>
            <w:hideMark/>
          </w:tcPr>
          <w:p w14:paraId="742557E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57AAA99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3F0538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2A3271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COG00525</w:t>
            </w:r>
          </w:p>
        </w:tc>
        <w:tc>
          <w:tcPr>
            <w:tcW w:w="1080" w:type="dxa"/>
            <w:noWrap/>
            <w:hideMark/>
          </w:tcPr>
          <w:p w14:paraId="681FD18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7B72ED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Valyl-tRNA synthetase</w:t>
            </w:r>
          </w:p>
        </w:tc>
        <w:tc>
          <w:tcPr>
            <w:tcW w:w="810" w:type="dxa"/>
            <w:noWrap/>
            <w:hideMark/>
          </w:tcPr>
          <w:p w14:paraId="398DE54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13A1741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0FCBDF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5C1377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COG01438</w:t>
            </w:r>
          </w:p>
        </w:tc>
        <w:tc>
          <w:tcPr>
            <w:tcW w:w="1080" w:type="dxa"/>
            <w:noWrap/>
            <w:hideMark/>
          </w:tcPr>
          <w:p w14:paraId="0079866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12603C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Arginine repressor</w:t>
            </w:r>
          </w:p>
        </w:tc>
        <w:tc>
          <w:tcPr>
            <w:tcW w:w="810" w:type="dxa"/>
            <w:noWrap/>
            <w:hideMark/>
          </w:tcPr>
          <w:p w14:paraId="3A6B7B0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K</w:t>
            </w:r>
          </w:p>
        </w:tc>
        <w:tc>
          <w:tcPr>
            <w:tcW w:w="1098" w:type="dxa"/>
            <w:noWrap/>
            <w:hideMark/>
          </w:tcPr>
          <w:p w14:paraId="485C88E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C8DFC8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B10817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COG02885</w:t>
            </w:r>
          </w:p>
        </w:tc>
        <w:tc>
          <w:tcPr>
            <w:tcW w:w="1080" w:type="dxa"/>
            <w:noWrap/>
            <w:hideMark/>
          </w:tcPr>
          <w:p w14:paraId="6343E98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25</w:t>
            </w:r>
          </w:p>
        </w:tc>
        <w:tc>
          <w:tcPr>
            <w:tcW w:w="4590" w:type="dxa"/>
            <w:noWrap/>
            <w:hideMark/>
          </w:tcPr>
          <w:p w14:paraId="3F61DEF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Outer membrane protein and related peptidoglycan-associated (lipo)proteins</w:t>
            </w:r>
          </w:p>
        </w:tc>
        <w:tc>
          <w:tcPr>
            <w:tcW w:w="810" w:type="dxa"/>
            <w:noWrap/>
            <w:hideMark/>
          </w:tcPr>
          <w:p w14:paraId="28B29EA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677DB4C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D1B62E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E1DC20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COG00860</w:t>
            </w:r>
          </w:p>
        </w:tc>
        <w:tc>
          <w:tcPr>
            <w:tcW w:w="1080" w:type="dxa"/>
            <w:noWrap/>
            <w:hideMark/>
          </w:tcPr>
          <w:p w14:paraId="66A8569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30F8BFE"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N-acetylmuramoyl-L-alanine amidase</w:t>
            </w:r>
          </w:p>
        </w:tc>
        <w:tc>
          <w:tcPr>
            <w:tcW w:w="810" w:type="dxa"/>
            <w:noWrap/>
            <w:hideMark/>
          </w:tcPr>
          <w:p w14:paraId="667A69A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01336E4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BC9335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EAD229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COG00773</w:t>
            </w:r>
          </w:p>
        </w:tc>
        <w:tc>
          <w:tcPr>
            <w:tcW w:w="1080" w:type="dxa"/>
            <w:noWrap/>
            <w:hideMark/>
          </w:tcPr>
          <w:p w14:paraId="2314B97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D1BA15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UDP-N-acetylmuramate-alanine ligase</w:t>
            </w:r>
          </w:p>
        </w:tc>
        <w:tc>
          <w:tcPr>
            <w:tcW w:w="810" w:type="dxa"/>
            <w:noWrap/>
            <w:hideMark/>
          </w:tcPr>
          <w:p w14:paraId="58099B6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039A916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49E2729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0C2CA3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COG02089</w:t>
            </w:r>
          </w:p>
        </w:tc>
        <w:tc>
          <w:tcPr>
            <w:tcW w:w="1080" w:type="dxa"/>
            <w:noWrap/>
            <w:hideMark/>
          </w:tcPr>
          <w:p w14:paraId="5BD5BD9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31D6F02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Sialic acid synthase</w:t>
            </w:r>
          </w:p>
        </w:tc>
        <w:tc>
          <w:tcPr>
            <w:tcW w:w="810" w:type="dxa"/>
            <w:noWrap/>
            <w:hideMark/>
          </w:tcPr>
          <w:p w14:paraId="1DC78E5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0BAB68D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2CCEB9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F52432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COG01360</w:t>
            </w:r>
          </w:p>
        </w:tc>
        <w:tc>
          <w:tcPr>
            <w:tcW w:w="1080" w:type="dxa"/>
            <w:noWrap/>
            <w:hideMark/>
          </w:tcPr>
          <w:p w14:paraId="61E6E92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12</w:t>
            </w:r>
          </w:p>
        </w:tc>
        <w:tc>
          <w:tcPr>
            <w:tcW w:w="4590" w:type="dxa"/>
            <w:noWrap/>
            <w:hideMark/>
          </w:tcPr>
          <w:p w14:paraId="728BBA5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Flagellar motor protein</w:t>
            </w:r>
          </w:p>
        </w:tc>
        <w:tc>
          <w:tcPr>
            <w:tcW w:w="810" w:type="dxa"/>
            <w:noWrap/>
            <w:hideMark/>
          </w:tcPr>
          <w:p w14:paraId="75794DE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w:t>
            </w:r>
          </w:p>
        </w:tc>
        <w:tc>
          <w:tcPr>
            <w:tcW w:w="1098" w:type="dxa"/>
            <w:noWrap/>
            <w:hideMark/>
          </w:tcPr>
          <w:p w14:paraId="49AED27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7FF8DF3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A76907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COG01749</w:t>
            </w:r>
          </w:p>
        </w:tc>
        <w:tc>
          <w:tcPr>
            <w:tcW w:w="1080" w:type="dxa"/>
            <w:noWrap/>
            <w:hideMark/>
          </w:tcPr>
          <w:p w14:paraId="5191F1B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9</w:t>
            </w:r>
          </w:p>
        </w:tc>
        <w:tc>
          <w:tcPr>
            <w:tcW w:w="4590" w:type="dxa"/>
            <w:noWrap/>
            <w:hideMark/>
          </w:tcPr>
          <w:p w14:paraId="66F1C47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Flagellar hook protein FlgE</w:t>
            </w:r>
          </w:p>
        </w:tc>
        <w:tc>
          <w:tcPr>
            <w:tcW w:w="810" w:type="dxa"/>
            <w:noWrap/>
            <w:hideMark/>
          </w:tcPr>
          <w:p w14:paraId="640A75F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w:t>
            </w:r>
          </w:p>
        </w:tc>
        <w:tc>
          <w:tcPr>
            <w:tcW w:w="1098" w:type="dxa"/>
            <w:noWrap/>
            <w:hideMark/>
          </w:tcPr>
          <w:p w14:paraId="005CB78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0034FF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99793B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COG00760</w:t>
            </w:r>
          </w:p>
        </w:tc>
        <w:tc>
          <w:tcPr>
            <w:tcW w:w="1080" w:type="dxa"/>
            <w:noWrap/>
            <w:hideMark/>
          </w:tcPr>
          <w:p w14:paraId="170B138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1EF8C41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Parvulin-like peptidyl-prolyl isomerase</w:t>
            </w:r>
          </w:p>
        </w:tc>
        <w:tc>
          <w:tcPr>
            <w:tcW w:w="810" w:type="dxa"/>
            <w:noWrap/>
            <w:hideMark/>
          </w:tcPr>
          <w:p w14:paraId="48865F1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65FC02C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6CF73F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A1F1E4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COG00484</w:t>
            </w:r>
          </w:p>
        </w:tc>
        <w:tc>
          <w:tcPr>
            <w:tcW w:w="1080" w:type="dxa"/>
            <w:noWrap/>
            <w:hideMark/>
          </w:tcPr>
          <w:p w14:paraId="46DA67E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43D20E3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DnaJ-class molecular chaperone with C-terminal Zn finger domain</w:t>
            </w:r>
          </w:p>
        </w:tc>
        <w:tc>
          <w:tcPr>
            <w:tcW w:w="810" w:type="dxa"/>
            <w:noWrap/>
            <w:hideMark/>
          </w:tcPr>
          <w:p w14:paraId="6C79593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06611E2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BD3962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FA1DAB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COG00691</w:t>
            </w:r>
          </w:p>
        </w:tc>
        <w:tc>
          <w:tcPr>
            <w:tcW w:w="1080" w:type="dxa"/>
            <w:noWrap/>
            <w:hideMark/>
          </w:tcPr>
          <w:p w14:paraId="2F4FCF6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3D5970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tmRNA-binding protein</w:t>
            </w:r>
          </w:p>
        </w:tc>
        <w:tc>
          <w:tcPr>
            <w:tcW w:w="810" w:type="dxa"/>
            <w:noWrap/>
            <w:hideMark/>
          </w:tcPr>
          <w:p w14:paraId="5410199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08B1E61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3525AD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F33512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COG01066</w:t>
            </w:r>
          </w:p>
        </w:tc>
        <w:tc>
          <w:tcPr>
            <w:tcW w:w="1080" w:type="dxa"/>
            <w:noWrap/>
            <w:hideMark/>
          </w:tcPr>
          <w:p w14:paraId="1EBDCF0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72BB919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ATP-dependent serine protease</w:t>
            </w:r>
          </w:p>
        </w:tc>
        <w:tc>
          <w:tcPr>
            <w:tcW w:w="810" w:type="dxa"/>
            <w:noWrap/>
            <w:hideMark/>
          </w:tcPr>
          <w:p w14:paraId="20CE009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19FA531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0A615FF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973E0D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COG00740</w:t>
            </w:r>
          </w:p>
        </w:tc>
        <w:tc>
          <w:tcPr>
            <w:tcW w:w="1080" w:type="dxa"/>
            <w:noWrap/>
            <w:hideMark/>
          </w:tcPr>
          <w:p w14:paraId="6D867AA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5B1CB9A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Protease subunit of ATP-dependent Clp proteases</w:t>
            </w:r>
          </w:p>
        </w:tc>
        <w:tc>
          <w:tcPr>
            <w:tcW w:w="810" w:type="dxa"/>
            <w:noWrap/>
            <w:hideMark/>
          </w:tcPr>
          <w:p w14:paraId="780C0DA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OU</w:t>
            </w:r>
          </w:p>
        </w:tc>
        <w:tc>
          <w:tcPr>
            <w:tcW w:w="1098" w:type="dxa"/>
            <w:noWrap/>
            <w:hideMark/>
          </w:tcPr>
          <w:p w14:paraId="0175419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27BA90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4AB967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COG01116</w:t>
            </w:r>
          </w:p>
        </w:tc>
        <w:tc>
          <w:tcPr>
            <w:tcW w:w="1080" w:type="dxa"/>
            <w:noWrap/>
            <w:hideMark/>
          </w:tcPr>
          <w:p w14:paraId="55B7613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7719CD1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nitrate/sulfonate/bicarbonate transport system; ATPase component</w:t>
            </w:r>
          </w:p>
        </w:tc>
        <w:tc>
          <w:tcPr>
            <w:tcW w:w="810" w:type="dxa"/>
            <w:noWrap/>
            <w:hideMark/>
          </w:tcPr>
          <w:p w14:paraId="33DD5E6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4E7B125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007DD2E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D0FB94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COG01160</w:t>
            </w:r>
          </w:p>
        </w:tc>
        <w:tc>
          <w:tcPr>
            <w:tcW w:w="1080" w:type="dxa"/>
            <w:noWrap/>
            <w:hideMark/>
          </w:tcPr>
          <w:p w14:paraId="1F437C7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7B0A800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GTPases</w:t>
            </w:r>
          </w:p>
        </w:tc>
        <w:tc>
          <w:tcPr>
            <w:tcW w:w="810" w:type="dxa"/>
            <w:noWrap/>
            <w:hideMark/>
          </w:tcPr>
          <w:p w14:paraId="5CDE591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590DC65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2C2A8EE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6112B6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COG00312</w:t>
            </w:r>
          </w:p>
        </w:tc>
        <w:tc>
          <w:tcPr>
            <w:tcW w:w="1080" w:type="dxa"/>
            <w:noWrap/>
            <w:hideMark/>
          </w:tcPr>
          <w:p w14:paraId="0BBB0AC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219A2D9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Zn-dependent proteases and their inactivated homologs</w:t>
            </w:r>
          </w:p>
        </w:tc>
        <w:tc>
          <w:tcPr>
            <w:tcW w:w="810" w:type="dxa"/>
            <w:noWrap/>
            <w:hideMark/>
          </w:tcPr>
          <w:p w14:paraId="32D2FE6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6375758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5A37CF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7B97CC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COG02872</w:t>
            </w:r>
          </w:p>
        </w:tc>
        <w:tc>
          <w:tcPr>
            <w:tcW w:w="1080" w:type="dxa"/>
            <w:noWrap/>
            <w:hideMark/>
          </w:tcPr>
          <w:p w14:paraId="21F59D7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6A7962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metal-dependent hydrolases related to alanyl-tRNA synthetase HxxxH domain</w:t>
            </w:r>
          </w:p>
        </w:tc>
        <w:tc>
          <w:tcPr>
            <w:tcW w:w="810" w:type="dxa"/>
            <w:noWrap/>
            <w:hideMark/>
          </w:tcPr>
          <w:p w14:paraId="46385CE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7B5060E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768AF6F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BFD651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COG04716</w:t>
            </w:r>
          </w:p>
        </w:tc>
        <w:tc>
          <w:tcPr>
            <w:tcW w:w="1080" w:type="dxa"/>
            <w:noWrap/>
            <w:hideMark/>
          </w:tcPr>
          <w:p w14:paraId="431C3C5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26</w:t>
            </w:r>
          </w:p>
        </w:tc>
        <w:tc>
          <w:tcPr>
            <w:tcW w:w="4590" w:type="dxa"/>
            <w:noWrap/>
            <w:hideMark/>
          </w:tcPr>
          <w:p w14:paraId="2D446BF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Myosin-crossreactive antigen</w:t>
            </w:r>
          </w:p>
        </w:tc>
        <w:tc>
          <w:tcPr>
            <w:tcW w:w="810" w:type="dxa"/>
            <w:noWrap/>
            <w:hideMark/>
          </w:tcPr>
          <w:p w14:paraId="34EEB4B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44972C4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C9322D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C32152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COG04198</w:t>
            </w:r>
          </w:p>
        </w:tc>
        <w:tc>
          <w:tcPr>
            <w:tcW w:w="1080" w:type="dxa"/>
            <w:noWrap/>
            <w:hideMark/>
          </w:tcPr>
          <w:p w14:paraId="3862AA3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19</w:t>
            </w:r>
          </w:p>
        </w:tc>
        <w:tc>
          <w:tcPr>
            <w:tcW w:w="4590" w:type="dxa"/>
            <w:noWrap/>
            <w:hideMark/>
          </w:tcPr>
          <w:p w14:paraId="3C292ED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12F7AC2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429516A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303C523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3AC7CF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COG04260</w:t>
            </w:r>
          </w:p>
        </w:tc>
        <w:tc>
          <w:tcPr>
            <w:tcW w:w="1080" w:type="dxa"/>
            <w:noWrap/>
            <w:hideMark/>
          </w:tcPr>
          <w:p w14:paraId="6B42776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6FEA9CC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Putative virion core protein (lumpy skin disease virus)</w:t>
            </w:r>
          </w:p>
        </w:tc>
        <w:tc>
          <w:tcPr>
            <w:tcW w:w="810" w:type="dxa"/>
            <w:noWrap/>
            <w:hideMark/>
          </w:tcPr>
          <w:p w14:paraId="168E594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6E04264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1A62CEC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52A263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lastRenderedPageBreak/>
              <w:t>COG00393</w:t>
            </w:r>
          </w:p>
        </w:tc>
        <w:tc>
          <w:tcPr>
            <w:tcW w:w="1080" w:type="dxa"/>
            <w:noWrap/>
            <w:hideMark/>
          </w:tcPr>
          <w:p w14:paraId="0D084AC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122A268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761538F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2737952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63364A6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BA312D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COG04475</w:t>
            </w:r>
          </w:p>
        </w:tc>
        <w:tc>
          <w:tcPr>
            <w:tcW w:w="1080" w:type="dxa"/>
            <w:noWrap/>
            <w:hideMark/>
          </w:tcPr>
          <w:p w14:paraId="1A17841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133293F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1662192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4C6BEB7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5B8FE7E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4D1B83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COG02013</w:t>
            </w:r>
          </w:p>
        </w:tc>
        <w:tc>
          <w:tcPr>
            <w:tcW w:w="1080" w:type="dxa"/>
            <w:noWrap/>
            <w:hideMark/>
          </w:tcPr>
          <w:p w14:paraId="6C94416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E9D4A0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432DF17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5494626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LRS</w:t>
            </w:r>
          </w:p>
        </w:tc>
      </w:tr>
      <w:tr w:rsidR="00DE4C71" w:rsidRPr="00DE4C71" w14:paraId="0148DB9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AC064A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COG02197</w:t>
            </w:r>
          </w:p>
        </w:tc>
        <w:tc>
          <w:tcPr>
            <w:tcW w:w="1080" w:type="dxa"/>
            <w:noWrap/>
            <w:hideMark/>
          </w:tcPr>
          <w:p w14:paraId="01E15AEB"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3D69A87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Response regulator containing a CheY-like receiver domain and an HTH DNA-binding domain</w:t>
            </w:r>
          </w:p>
        </w:tc>
        <w:tc>
          <w:tcPr>
            <w:tcW w:w="810" w:type="dxa"/>
            <w:noWrap/>
            <w:hideMark/>
          </w:tcPr>
          <w:p w14:paraId="19708E7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TK</w:t>
            </w:r>
          </w:p>
        </w:tc>
        <w:tc>
          <w:tcPr>
            <w:tcW w:w="1098" w:type="dxa"/>
            <w:noWrap/>
            <w:hideMark/>
          </w:tcPr>
          <w:p w14:paraId="0E161C5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360DEE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31C0D7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COG00039</w:t>
            </w:r>
          </w:p>
        </w:tc>
        <w:tc>
          <w:tcPr>
            <w:tcW w:w="1080" w:type="dxa"/>
            <w:noWrap/>
            <w:hideMark/>
          </w:tcPr>
          <w:p w14:paraId="463E36A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26</w:t>
            </w:r>
          </w:p>
        </w:tc>
        <w:tc>
          <w:tcPr>
            <w:tcW w:w="4590" w:type="dxa"/>
            <w:noWrap/>
            <w:hideMark/>
          </w:tcPr>
          <w:p w14:paraId="5BC3531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Malate/lactate dehydrogenases</w:t>
            </w:r>
          </w:p>
        </w:tc>
        <w:tc>
          <w:tcPr>
            <w:tcW w:w="810" w:type="dxa"/>
            <w:noWrap/>
            <w:hideMark/>
          </w:tcPr>
          <w:p w14:paraId="6F58BDC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3A755C4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065ED2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65389E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COG01456</w:t>
            </w:r>
          </w:p>
        </w:tc>
        <w:tc>
          <w:tcPr>
            <w:tcW w:w="1080" w:type="dxa"/>
            <w:noWrap/>
            <w:hideMark/>
          </w:tcPr>
          <w:p w14:paraId="7DDF0C4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70E809F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CO dehydrogenase/acetyl-CoA synthase gamma subunit (corrinoid Fe-S protein)</w:t>
            </w:r>
          </w:p>
        </w:tc>
        <w:tc>
          <w:tcPr>
            <w:tcW w:w="810" w:type="dxa"/>
            <w:noWrap/>
            <w:hideMark/>
          </w:tcPr>
          <w:p w14:paraId="10D4204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34E716E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A9D17E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14830E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COG03426</w:t>
            </w:r>
          </w:p>
        </w:tc>
        <w:tc>
          <w:tcPr>
            <w:tcW w:w="1080" w:type="dxa"/>
            <w:noWrap/>
            <w:hideMark/>
          </w:tcPr>
          <w:p w14:paraId="49892D8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2EA3F6C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Butyrate kinase</w:t>
            </w:r>
          </w:p>
        </w:tc>
        <w:tc>
          <w:tcPr>
            <w:tcW w:w="810" w:type="dxa"/>
            <w:noWrap/>
            <w:hideMark/>
          </w:tcPr>
          <w:p w14:paraId="633DE1D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580ECB6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239873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7AA3C8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COG00778</w:t>
            </w:r>
          </w:p>
        </w:tc>
        <w:tc>
          <w:tcPr>
            <w:tcW w:w="1080" w:type="dxa"/>
            <w:noWrap/>
            <w:hideMark/>
          </w:tcPr>
          <w:p w14:paraId="28E0D17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53CFEA6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Nitroreductase</w:t>
            </w:r>
          </w:p>
        </w:tc>
        <w:tc>
          <w:tcPr>
            <w:tcW w:w="810" w:type="dxa"/>
            <w:noWrap/>
            <w:hideMark/>
          </w:tcPr>
          <w:p w14:paraId="6A60C2D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1D1FA63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F346E4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404478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COG03288</w:t>
            </w:r>
          </w:p>
        </w:tc>
        <w:tc>
          <w:tcPr>
            <w:tcW w:w="1080" w:type="dxa"/>
            <w:noWrap/>
            <w:hideMark/>
          </w:tcPr>
          <w:p w14:paraId="4337FE7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562B37C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NAD/NADP transhydrogenase alpha subunit</w:t>
            </w:r>
          </w:p>
        </w:tc>
        <w:tc>
          <w:tcPr>
            <w:tcW w:w="810" w:type="dxa"/>
            <w:noWrap/>
            <w:hideMark/>
          </w:tcPr>
          <w:p w14:paraId="5307F83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73C9C91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4BB14F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9770AB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COG00479</w:t>
            </w:r>
          </w:p>
        </w:tc>
        <w:tc>
          <w:tcPr>
            <w:tcW w:w="1080" w:type="dxa"/>
            <w:noWrap/>
            <w:hideMark/>
          </w:tcPr>
          <w:p w14:paraId="26E3949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03C7DA2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Succinate dehydrogenase/fumarate reductase; Fe-S protein subunit</w:t>
            </w:r>
          </w:p>
        </w:tc>
        <w:tc>
          <w:tcPr>
            <w:tcW w:w="810" w:type="dxa"/>
            <w:noWrap/>
            <w:hideMark/>
          </w:tcPr>
          <w:p w14:paraId="250871E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5006175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B107B5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8201AD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COG00711</w:t>
            </w:r>
          </w:p>
        </w:tc>
        <w:tc>
          <w:tcPr>
            <w:tcW w:w="1080" w:type="dxa"/>
            <w:noWrap/>
            <w:hideMark/>
          </w:tcPr>
          <w:p w14:paraId="32B1FB5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7104785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F0F1-type ATP synthase; subunit b</w:t>
            </w:r>
          </w:p>
        </w:tc>
        <w:tc>
          <w:tcPr>
            <w:tcW w:w="810" w:type="dxa"/>
            <w:noWrap/>
            <w:hideMark/>
          </w:tcPr>
          <w:p w14:paraId="5389C13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66C5BDD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042A6B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258356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COG00371</w:t>
            </w:r>
          </w:p>
        </w:tc>
        <w:tc>
          <w:tcPr>
            <w:tcW w:w="1080" w:type="dxa"/>
            <w:noWrap/>
            <w:hideMark/>
          </w:tcPr>
          <w:p w14:paraId="1D04D1B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CEDF62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Glycerol dehydrogenase and related enzymes</w:t>
            </w:r>
          </w:p>
        </w:tc>
        <w:tc>
          <w:tcPr>
            <w:tcW w:w="810" w:type="dxa"/>
            <w:noWrap/>
            <w:hideMark/>
          </w:tcPr>
          <w:p w14:paraId="300A0BF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w:t>
            </w:r>
          </w:p>
        </w:tc>
        <w:tc>
          <w:tcPr>
            <w:tcW w:w="1098" w:type="dxa"/>
            <w:noWrap/>
            <w:hideMark/>
          </w:tcPr>
          <w:p w14:paraId="0C7ADB7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AEEAFE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803B58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COG00031</w:t>
            </w:r>
          </w:p>
        </w:tc>
        <w:tc>
          <w:tcPr>
            <w:tcW w:w="1080" w:type="dxa"/>
            <w:noWrap/>
            <w:hideMark/>
          </w:tcPr>
          <w:p w14:paraId="41586C4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20</w:t>
            </w:r>
          </w:p>
        </w:tc>
        <w:tc>
          <w:tcPr>
            <w:tcW w:w="4590" w:type="dxa"/>
            <w:noWrap/>
            <w:hideMark/>
          </w:tcPr>
          <w:p w14:paraId="783E2D5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Cysteine synthase</w:t>
            </w:r>
          </w:p>
        </w:tc>
        <w:tc>
          <w:tcPr>
            <w:tcW w:w="810" w:type="dxa"/>
            <w:noWrap/>
            <w:hideMark/>
          </w:tcPr>
          <w:p w14:paraId="045F3FA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551893E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74B086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1DFFAF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COG03643</w:t>
            </w:r>
          </w:p>
        </w:tc>
        <w:tc>
          <w:tcPr>
            <w:tcW w:w="1080" w:type="dxa"/>
            <w:noWrap/>
            <w:hideMark/>
          </w:tcPr>
          <w:p w14:paraId="28AC278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13</w:t>
            </w:r>
          </w:p>
        </w:tc>
        <w:tc>
          <w:tcPr>
            <w:tcW w:w="4590" w:type="dxa"/>
            <w:noWrap/>
            <w:hideMark/>
          </w:tcPr>
          <w:p w14:paraId="6F7556A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Glutamate formiminotransferase</w:t>
            </w:r>
          </w:p>
        </w:tc>
        <w:tc>
          <w:tcPr>
            <w:tcW w:w="810" w:type="dxa"/>
            <w:noWrap/>
            <w:hideMark/>
          </w:tcPr>
          <w:p w14:paraId="038A6B7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70494E3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CB7D01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48DF85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COG02873</w:t>
            </w:r>
          </w:p>
        </w:tc>
        <w:tc>
          <w:tcPr>
            <w:tcW w:w="1080" w:type="dxa"/>
            <w:noWrap/>
            <w:hideMark/>
          </w:tcPr>
          <w:p w14:paraId="757BE4E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13</w:t>
            </w:r>
          </w:p>
        </w:tc>
        <w:tc>
          <w:tcPr>
            <w:tcW w:w="4590" w:type="dxa"/>
            <w:noWrap/>
            <w:hideMark/>
          </w:tcPr>
          <w:p w14:paraId="2D0A96C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O-acetylhomoserine sulfhydrylase</w:t>
            </w:r>
          </w:p>
        </w:tc>
        <w:tc>
          <w:tcPr>
            <w:tcW w:w="810" w:type="dxa"/>
            <w:noWrap/>
            <w:hideMark/>
          </w:tcPr>
          <w:p w14:paraId="0A47A7D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79FF930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D7B777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2B7529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COG00527</w:t>
            </w:r>
          </w:p>
        </w:tc>
        <w:tc>
          <w:tcPr>
            <w:tcW w:w="1080" w:type="dxa"/>
            <w:noWrap/>
            <w:hideMark/>
          </w:tcPr>
          <w:p w14:paraId="1DE7EF8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9</w:t>
            </w:r>
          </w:p>
        </w:tc>
        <w:tc>
          <w:tcPr>
            <w:tcW w:w="4590" w:type="dxa"/>
            <w:noWrap/>
            <w:hideMark/>
          </w:tcPr>
          <w:p w14:paraId="65DBE56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Aspartokinases</w:t>
            </w:r>
          </w:p>
        </w:tc>
        <w:tc>
          <w:tcPr>
            <w:tcW w:w="810" w:type="dxa"/>
            <w:noWrap/>
            <w:hideMark/>
          </w:tcPr>
          <w:p w14:paraId="3FFB98F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32276C8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6C3DDA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4A31D2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COG00747</w:t>
            </w:r>
          </w:p>
        </w:tc>
        <w:tc>
          <w:tcPr>
            <w:tcW w:w="1080" w:type="dxa"/>
            <w:noWrap/>
            <w:hideMark/>
          </w:tcPr>
          <w:p w14:paraId="30A2EE0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7591B87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dipeptide transport system; periplasmic component</w:t>
            </w:r>
          </w:p>
        </w:tc>
        <w:tc>
          <w:tcPr>
            <w:tcW w:w="810" w:type="dxa"/>
            <w:noWrap/>
            <w:hideMark/>
          </w:tcPr>
          <w:p w14:paraId="725D883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0940673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7C21A55"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31C20F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COG00140</w:t>
            </w:r>
          </w:p>
        </w:tc>
        <w:tc>
          <w:tcPr>
            <w:tcW w:w="1080" w:type="dxa"/>
            <w:noWrap/>
            <w:hideMark/>
          </w:tcPr>
          <w:p w14:paraId="092AA6B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444B5ACE"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Phosphoribosyl-ATP pyrophosphohydrolase</w:t>
            </w:r>
          </w:p>
        </w:tc>
        <w:tc>
          <w:tcPr>
            <w:tcW w:w="810" w:type="dxa"/>
            <w:noWrap/>
            <w:hideMark/>
          </w:tcPr>
          <w:p w14:paraId="19E768E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5DAF439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B09280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C78F41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COG01362</w:t>
            </w:r>
          </w:p>
        </w:tc>
        <w:tc>
          <w:tcPr>
            <w:tcW w:w="1080" w:type="dxa"/>
            <w:noWrap/>
            <w:hideMark/>
          </w:tcPr>
          <w:p w14:paraId="2739D01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6FF07D6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Aspartyl aminopeptidase</w:t>
            </w:r>
          </w:p>
        </w:tc>
        <w:tc>
          <w:tcPr>
            <w:tcW w:w="810" w:type="dxa"/>
            <w:noWrap/>
            <w:hideMark/>
          </w:tcPr>
          <w:p w14:paraId="7807FF6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65DF1A8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8B1648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951417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COG00410</w:t>
            </w:r>
          </w:p>
        </w:tc>
        <w:tc>
          <w:tcPr>
            <w:tcW w:w="1080" w:type="dxa"/>
            <w:noWrap/>
            <w:hideMark/>
          </w:tcPr>
          <w:p w14:paraId="6D4AA4B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639ECD4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branched-chain amino acid transport systems; ATPase component</w:t>
            </w:r>
          </w:p>
        </w:tc>
        <w:tc>
          <w:tcPr>
            <w:tcW w:w="810" w:type="dxa"/>
            <w:noWrap/>
            <w:hideMark/>
          </w:tcPr>
          <w:p w14:paraId="5E374A3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0A26AC6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B8687D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86B73B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COG00160</w:t>
            </w:r>
          </w:p>
        </w:tc>
        <w:tc>
          <w:tcPr>
            <w:tcW w:w="1080" w:type="dxa"/>
            <w:noWrap/>
            <w:hideMark/>
          </w:tcPr>
          <w:p w14:paraId="6D428B3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CE4B4F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4-aminobutyrate aminotransferase and related aminotransferases</w:t>
            </w:r>
          </w:p>
        </w:tc>
        <w:tc>
          <w:tcPr>
            <w:tcW w:w="810" w:type="dxa"/>
            <w:noWrap/>
            <w:hideMark/>
          </w:tcPr>
          <w:p w14:paraId="5CFF7A3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50006DF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28BA43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3166CB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COG00106</w:t>
            </w:r>
          </w:p>
        </w:tc>
        <w:tc>
          <w:tcPr>
            <w:tcW w:w="1080" w:type="dxa"/>
            <w:noWrap/>
            <w:hideMark/>
          </w:tcPr>
          <w:p w14:paraId="7E5697D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B0C767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Phosphoribosylformimino-5-aminoimidazole carboxamide ribonucleotide (ProFAR) isomerase</w:t>
            </w:r>
          </w:p>
        </w:tc>
        <w:tc>
          <w:tcPr>
            <w:tcW w:w="810" w:type="dxa"/>
            <w:noWrap/>
            <w:hideMark/>
          </w:tcPr>
          <w:p w14:paraId="0828846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w:t>
            </w:r>
          </w:p>
        </w:tc>
        <w:tc>
          <w:tcPr>
            <w:tcW w:w="1098" w:type="dxa"/>
            <w:noWrap/>
            <w:hideMark/>
          </w:tcPr>
          <w:p w14:paraId="156D05F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6C33A4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22680C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COG00252</w:t>
            </w:r>
          </w:p>
        </w:tc>
        <w:tc>
          <w:tcPr>
            <w:tcW w:w="1080" w:type="dxa"/>
            <w:noWrap/>
            <w:hideMark/>
          </w:tcPr>
          <w:p w14:paraId="6A274D1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00C5AD2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L-asparaginase/archaeal Glu-tRNAGln amidotransferase subunit D</w:t>
            </w:r>
          </w:p>
        </w:tc>
        <w:tc>
          <w:tcPr>
            <w:tcW w:w="810" w:type="dxa"/>
            <w:noWrap/>
            <w:hideMark/>
          </w:tcPr>
          <w:p w14:paraId="3A8F4D7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EJ</w:t>
            </w:r>
          </w:p>
        </w:tc>
        <w:tc>
          <w:tcPr>
            <w:tcW w:w="1098" w:type="dxa"/>
            <w:noWrap/>
            <w:hideMark/>
          </w:tcPr>
          <w:p w14:paraId="269B817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E091D8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A9F938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COG00145</w:t>
            </w:r>
          </w:p>
        </w:tc>
        <w:tc>
          <w:tcPr>
            <w:tcW w:w="1080" w:type="dxa"/>
            <w:noWrap/>
            <w:hideMark/>
          </w:tcPr>
          <w:p w14:paraId="56EB84C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4526F8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N-methylhydantoinase A/acetone carboxylase; beta subunit</w:t>
            </w:r>
          </w:p>
        </w:tc>
        <w:tc>
          <w:tcPr>
            <w:tcW w:w="810" w:type="dxa"/>
            <w:noWrap/>
            <w:hideMark/>
          </w:tcPr>
          <w:p w14:paraId="098DA40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EQ</w:t>
            </w:r>
          </w:p>
        </w:tc>
        <w:tc>
          <w:tcPr>
            <w:tcW w:w="1098" w:type="dxa"/>
            <w:noWrap/>
            <w:hideMark/>
          </w:tcPr>
          <w:p w14:paraId="19DB52E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696993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EBE65D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COG03185</w:t>
            </w:r>
          </w:p>
        </w:tc>
        <w:tc>
          <w:tcPr>
            <w:tcW w:w="1080" w:type="dxa"/>
            <w:noWrap/>
            <w:hideMark/>
          </w:tcPr>
          <w:p w14:paraId="3955998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10</w:t>
            </w:r>
          </w:p>
        </w:tc>
        <w:tc>
          <w:tcPr>
            <w:tcW w:w="4590" w:type="dxa"/>
            <w:noWrap/>
            <w:hideMark/>
          </w:tcPr>
          <w:p w14:paraId="23EEF71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4-hydroxyphenylpyruvate dioxygenase and related hemolysins</w:t>
            </w:r>
          </w:p>
        </w:tc>
        <w:tc>
          <w:tcPr>
            <w:tcW w:w="810" w:type="dxa"/>
            <w:noWrap/>
            <w:hideMark/>
          </w:tcPr>
          <w:p w14:paraId="218A895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ER</w:t>
            </w:r>
          </w:p>
        </w:tc>
        <w:tc>
          <w:tcPr>
            <w:tcW w:w="1098" w:type="dxa"/>
            <w:noWrap/>
            <w:hideMark/>
          </w:tcPr>
          <w:p w14:paraId="5AC3DA3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8A0B1B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A809FC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COG00274</w:t>
            </w:r>
          </w:p>
        </w:tc>
        <w:tc>
          <w:tcPr>
            <w:tcW w:w="1080" w:type="dxa"/>
            <w:noWrap/>
            <w:hideMark/>
          </w:tcPr>
          <w:p w14:paraId="337E9C7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1B454EC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Deoxyribose-phosphate aldolase</w:t>
            </w:r>
          </w:p>
        </w:tc>
        <w:tc>
          <w:tcPr>
            <w:tcW w:w="810" w:type="dxa"/>
            <w:noWrap/>
            <w:hideMark/>
          </w:tcPr>
          <w:p w14:paraId="4CEC286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1AD781F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D857E7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7CDEDE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COG00504</w:t>
            </w:r>
          </w:p>
        </w:tc>
        <w:tc>
          <w:tcPr>
            <w:tcW w:w="1080" w:type="dxa"/>
            <w:noWrap/>
            <w:hideMark/>
          </w:tcPr>
          <w:p w14:paraId="222BA00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7EA673A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CTP synthase (UTP-ammonia lyase)</w:t>
            </w:r>
          </w:p>
        </w:tc>
        <w:tc>
          <w:tcPr>
            <w:tcW w:w="810" w:type="dxa"/>
            <w:noWrap/>
            <w:hideMark/>
          </w:tcPr>
          <w:p w14:paraId="52B06C7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553F03E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6AF8F3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552B63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COG00035</w:t>
            </w:r>
          </w:p>
        </w:tc>
        <w:tc>
          <w:tcPr>
            <w:tcW w:w="1080" w:type="dxa"/>
            <w:noWrap/>
            <w:hideMark/>
          </w:tcPr>
          <w:p w14:paraId="41251AF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4789794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Uracil phosphoribosyltransferase</w:t>
            </w:r>
          </w:p>
        </w:tc>
        <w:tc>
          <w:tcPr>
            <w:tcW w:w="810" w:type="dxa"/>
            <w:noWrap/>
            <w:hideMark/>
          </w:tcPr>
          <w:p w14:paraId="7FFDC3E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4551301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E07BC3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8152FA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lastRenderedPageBreak/>
              <w:t>COG00027</w:t>
            </w:r>
          </w:p>
        </w:tc>
        <w:tc>
          <w:tcPr>
            <w:tcW w:w="1080" w:type="dxa"/>
            <w:noWrap/>
            <w:hideMark/>
          </w:tcPr>
          <w:p w14:paraId="4FD2063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4746339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Formate-dependent phosphoribosylglycinamide formyltransferase (GAR transformylase)</w:t>
            </w:r>
          </w:p>
        </w:tc>
        <w:tc>
          <w:tcPr>
            <w:tcW w:w="810" w:type="dxa"/>
            <w:noWrap/>
            <w:hideMark/>
          </w:tcPr>
          <w:p w14:paraId="6B35209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7030DFD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DC93FE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9CCF2C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COG03363</w:t>
            </w:r>
          </w:p>
        </w:tc>
        <w:tc>
          <w:tcPr>
            <w:tcW w:w="1080" w:type="dxa"/>
            <w:noWrap/>
            <w:hideMark/>
          </w:tcPr>
          <w:p w14:paraId="368ACA3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057C2E2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Archaeal IMP cyclohydrolase</w:t>
            </w:r>
          </w:p>
        </w:tc>
        <w:tc>
          <w:tcPr>
            <w:tcW w:w="810" w:type="dxa"/>
            <w:noWrap/>
            <w:hideMark/>
          </w:tcPr>
          <w:p w14:paraId="0803019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7660772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E01253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CA58E9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COG00150</w:t>
            </w:r>
          </w:p>
        </w:tc>
        <w:tc>
          <w:tcPr>
            <w:tcW w:w="1080" w:type="dxa"/>
            <w:noWrap/>
            <w:hideMark/>
          </w:tcPr>
          <w:p w14:paraId="565CBCBB"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3EC1256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Phosphoribosylaminoimidazole (AIR) synthetase</w:t>
            </w:r>
          </w:p>
        </w:tc>
        <w:tc>
          <w:tcPr>
            <w:tcW w:w="810" w:type="dxa"/>
            <w:noWrap/>
            <w:hideMark/>
          </w:tcPr>
          <w:p w14:paraId="12C4C79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2229F0A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8755FF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CFE32F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COG00152</w:t>
            </w:r>
          </w:p>
        </w:tc>
        <w:tc>
          <w:tcPr>
            <w:tcW w:w="1080" w:type="dxa"/>
            <w:noWrap/>
            <w:hideMark/>
          </w:tcPr>
          <w:p w14:paraId="4EF6AC4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683B617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Phosphoribosylaminoimidazolesuccinocarboxamide (SAICAR) synthase</w:t>
            </w:r>
          </w:p>
        </w:tc>
        <w:tc>
          <w:tcPr>
            <w:tcW w:w="810" w:type="dxa"/>
            <w:noWrap/>
            <w:hideMark/>
          </w:tcPr>
          <w:p w14:paraId="4916742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7D740F2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0B0722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9EEA39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COG00167</w:t>
            </w:r>
          </w:p>
        </w:tc>
        <w:tc>
          <w:tcPr>
            <w:tcW w:w="1080" w:type="dxa"/>
            <w:noWrap/>
            <w:hideMark/>
          </w:tcPr>
          <w:p w14:paraId="530718D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251F94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Dihydroorotate dehydrogenase</w:t>
            </w:r>
          </w:p>
        </w:tc>
        <w:tc>
          <w:tcPr>
            <w:tcW w:w="810" w:type="dxa"/>
            <w:noWrap/>
            <w:hideMark/>
          </w:tcPr>
          <w:p w14:paraId="2DD40F1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3B532B4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F9B9A4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C1710F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COG00284</w:t>
            </w:r>
          </w:p>
        </w:tc>
        <w:tc>
          <w:tcPr>
            <w:tcW w:w="1080" w:type="dxa"/>
            <w:noWrap/>
            <w:hideMark/>
          </w:tcPr>
          <w:p w14:paraId="6BF2975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4A3DD9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Orotidine-5'-phosphate decarboxylase</w:t>
            </w:r>
          </w:p>
        </w:tc>
        <w:tc>
          <w:tcPr>
            <w:tcW w:w="810" w:type="dxa"/>
            <w:noWrap/>
            <w:hideMark/>
          </w:tcPr>
          <w:p w14:paraId="2D7A013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w:t>
            </w:r>
          </w:p>
        </w:tc>
        <w:tc>
          <w:tcPr>
            <w:tcW w:w="1098" w:type="dxa"/>
            <w:noWrap/>
            <w:hideMark/>
          </w:tcPr>
          <w:p w14:paraId="3C8E714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4E2429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F79D966"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COG01109</w:t>
            </w:r>
          </w:p>
        </w:tc>
        <w:tc>
          <w:tcPr>
            <w:tcW w:w="1080" w:type="dxa"/>
            <w:noWrap/>
            <w:hideMark/>
          </w:tcPr>
          <w:p w14:paraId="10960ED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14</w:t>
            </w:r>
          </w:p>
        </w:tc>
        <w:tc>
          <w:tcPr>
            <w:tcW w:w="4590" w:type="dxa"/>
            <w:noWrap/>
            <w:hideMark/>
          </w:tcPr>
          <w:p w14:paraId="67C3764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Phosphomannomutase</w:t>
            </w:r>
          </w:p>
        </w:tc>
        <w:tc>
          <w:tcPr>
            <w:tcW w:w="810" w:type="dxa"/>
            <w:noWrap/>
            <w:hideMark/>
          </w:tcPr>
          <w:p w14:paraId="509DD33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51BCD91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2CCBAA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720996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COG01080</w:t>
            </w:r>
          </w:p>
        </w:tc>
        <w:tc>
          <w:tcPr>
            <w:tcW w:w="1080" w:type="dxa"/>
            <w:noWrap/>
            <w:hideMark/>
          </w:tcPr>
          <w:p w14:paraId="08A8FCE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12</w:t>
            </w:r>
          </w:p>
        </w:tc>
        <w:tc>
          <w:tcPr>
            <w:tcW w:w="4590" w:type="dxa"/>
            <w:noWrap/>
            <w:hideMark/>
          </w:tcPr>
          <w:p w14:paraId="55F9E0A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Phosphoenolpyruvate-protein kinase (PTS system EI component in bacteria)</w:t>
            </w:r>
          </w:p>
        </w:tc>
        <w:tc>
          <w:tcPr>
            <w:tcW w:w="810" w:type="dxa"/>
            <w:noWrap/>
            <w:hideMark/>
          </w:tcPr>
          <w:p w14:paraId="6E2C919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3ED9C0F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222476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321098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COG02190</w:t>
            </w:r>
          </w:p>
        </w:tc>
        <w:tc>
          <w:tcPr>
            <w:tcW w:w="1080" w:type="dxa"/>
            <w:noWrap/>
            <w:hideMark/>
          </w:tcPr>
          <w:p w14:paraId="65778C1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3645EE2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Phosphotransferase system IIA components</w:t>
            </w:r>
          </w:p>
        </w:tc>
        <w:tc>
          <w:tcPr>
            <w:tcW w:w="810" w:type="dxa"/>
            <w:noWrap/>
            <w:hideMark/>
          </w:tcPr>
          <w:p w14:paraId="33CD1C1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5EBA74D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608746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81B3E8B"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COG03957</w:t>
            </w:r>
          </w:p>
        </w:tc>
        <w:tc>
          <w:tcPr>
            <w:tcW w:w="1080" w:type="dxa"/>
            <w:noWrap/>
            <w:hideMark/>
          </w:tcPr>
          <w:p w14:paraId="783B56C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177DDD6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Phosphoketolase</w:t>
            </w:r>
          </w:p>
        </w:tc>
        <w:tc>
          <w:tcPr>
            <w:tcW w:w="810" w:type="dxa"/>
            <w:noWrap/>
            <w:hideMark/>
          </w:tcPr>
          <w:p w14:paraId="52A4684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08404E4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A33F24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D6769F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COG01820</w:t>
            </w:r>
          </w:p>
        </w:tc>
        <w:tc>
          <w:tcPr>
            <w:tcW w:w="1080" w:type="dxa"/>
            <w:noWrap/>
            <w:hideMark/>
          </w:tcPr>
          <w:p w14:paraId="7359FA6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5DE940E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N-acetylglucosamine-6-phosphate deacetylase</w:t>
            </w:r>
          </w:p>
        </w:tc>
        <w:tc>
          <w:tcPr>
            <w:tcW w:w="810" w:type="dxa"/>
            <w:noWrap/>
            <w:hideMark/>
          </w:tcPr>
          <w:p w14:paraId="586BA9F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356476F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7118E5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5E3BD1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COG01523</w:t>
            </w:r>
          </w:p>
        </w:tc>
        <w:tc>
          <w:tcPr>
            <w:tcW w:w="1080" w:type="dxa"/>
            <w:noWrap/>
            <w:hideMark/>
          </w:tcPr>
          <w:p w14:paraId="6CD9962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726374D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Type II secretory pathway; pullulanase PulA and related glycosidases</w:t>
            </w:r>
          </w:p>
        </w:tc>
        <w:tc>
          <w:tcPr>
            <w:tcW w:w="810" w:type="dxa"/>
            <w:noWrap/>
            <w:hideMark/>
          </w:tcPr>
          <w:p w14:paraId="6C857DE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583C944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6038F1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78F311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COG00698</w:t>
            </w:r>
          </w:p>
        </w:tc>
        <w:tc>
          <w:tcPr>
            <w:tcW w:w="1080" w:type="dxa"/>
            <w:noWrap/>
            <w:hideMark/>
          </w:tcPr>
          <w:p w14:paraId="7B5B3F1B"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7690E36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Ribose 5-phosphate isomerase RpiB</w:t>
            </w:r>
          </w:p>
        </w:tc>
        <w:tc>
          <w:tcPr>
            <w:tcW w:w="810" w:type="dxa"/>
            <w:noWrap/>
            <w:hideMark/>
          </w:tcPr>
          <w:p w14:paraId="2F708BC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0BB0504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66F1A4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195A8D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COG01638</w:t>
            </w:r>
          </w:p>
        </w:tc>
        <w:tc>
          <w:tcPr>
            <w:tcW w:w="1080" w:type="dxa"/>
            <w:noWrap/>
            <w:hideMark/>
          </w:tcPr>
          <w:p w14:paraId="757B3C7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13CC4EF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TRAP-type C4-dicarboxylate transport system; periplasmic component</w:t>
            </w:r>
          </w:p>
        </w:tc>
        <w:tc>
          <w:tcPr>
            <w:tcW w:w="810" w:type="dxa"/>
            <w:noWrap/>
            <w:hideMark/>
          </w:tcPr>
          <w:p w14:paraId="1FFE458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w:t>
            </w:r>
          </w:p>
        </w:tc>
        <w:tc>
          <w:tcPr>
            <w:tcW w:w="1098" w:type="dxa"/>
            <w:noWrap/>
            <w:hideMark/>
          </w:tcPr>
          <w:p w14:paraId="78BF1AA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3AC15A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F4F7E3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COG00054</w:t>
            </w:r>
          </w:p>
        </w:tc>
        <w:tc>
          <w:tcPr>
            <w:tcW w:w="1080" w:type="dxa"/>
            <w:noWrap/>
            <w:hideMark/>
          </w:tcPr>
          <w:p w14:paraId="27A8EF5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16F20E9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Riboflavin synthase beta-chain</w:t>
            </w:r>
          </w:p>
        </w:tc>
        <w:tc>
          <w:tcPr>
            <w:tcW w:w="810" w:type="dxa"/>
            <w:noWrap/>
            <w:hideMark/>
          </w:tcPr>
          <w:p w14:paraId="5F2726C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w:t>
            </w:r>
          </w:p>
        </w:tc>
        <w:tc>
          <w:tcPr>
            <w:tcW w:w="1098" w:type="dxa"/>
            <w:noWrap/>
            <w:hideMark/>
          </w:tcPr>
          <w:p w14:paraId="7C076B4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A1DF16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BC6A53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COG00511</w:t>
            </w:r>
          </w:p>
        </w:tc>
        <w:tc>
          <w:tcPr>
            <w:tcW w:w="1080" w:type="dxa"/>
            <w:noWrap/>
            <w:hideMark/>
          </w:tcPr>
          <w:p w14:paraId="4EBD261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496C1F6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Biotin carboxyl carrier protein</w:t>
            </w:r>
          </w:p>
        </w:tc>
        <w:tc>
          <w:tcPr>
            <w:tcW w:w="810" w:type="dxa"/>
            <w:noWrap/>
            <w:hideMark/>
          </w:tcPr>
          <w:p w14:paraId="53FD3F0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3566F6F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1A8305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9C387D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COG00245</w:t>
            </w:r>
          </w:p>
        </w:tc>
        <w:tc>
          <w:tcPr>
            <w:tcW w:w="1080" w:type="dxa"/>
            <w:noWrap/>
            <w:hideMark/>
          </w:tcPr>
          <w:p w14:paraId="5D3F012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551BD19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2C-methyl-D-erythritol 2;4-cyclodiphosphate synthase</w:t>
            </w:r>
          </w:p>
        </w:tc>
        <w:tc>
          <w:tcPr>
            <w:tcW w:w="810" w:type="dxa"/>
            <w:noWrap/>
            <w:hideMark/>
          </w:tcPr>
          <w:p w14:paraId="27437B7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w:t>
            </w:r>
          </w:p>
        </w:tc>
        <w:tc>
          <w:tcPr>
            <w:tcW w:w="1098" w:type="dxa"/>
            <w:noWrap/>
            <w:hideMark/>
          </w:tcPr>
          <w:p w14:paraId="62E3A11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245E2D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C5482C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COG00304</w:t>
            </w:r>
          </w:p>
        </w:tc>
        <w:tc>
          <w:tcPr>
            <w:tcW w:w="1080" w:type="dxa"/>
            <w:noWrap/>
            <w:hideMark/>
          </w:tcPr>
          <w:p w14:paraId="1129029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6D54A0C9"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3-oxoacyl-(acyl-carrier-protein) synthase</w:t>
            </w:r>
          </w:p>
        </w:tc>
        <w:tc>
          <w:tcPr>
            <w:tcW w:w="810" w:type="dxa"/>
            <w:noWrap/>
            <w:hideMark/>
          </w:tcPr>
          <w:p w14:paraId="62A921A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IQ</w:t>
            </w:r>
          </w:p>
        </w:tc>
        <w:tc>
          <w:tcPr>
            <w:tcW w:w="1098" w:type="dxa"/>
            <w:noWrap/>
            <w:hideMark/>
          </w:tcPr>
          <w:p w14:paraId="0D7BD27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24E0D2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E1B3F9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COG00233</w:t>
            </w:r>
          </w:p>
        </w:tc>
        <w:tc>
          <w:tcPr>
            <w:tcW w:w="1080" w:type="dxa"/>
            <w:noWrap/>
            <w:hideMark/>
          </w:tcPr>
          <w:p w14:paraId="66648C7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17</w:t>
            </w:r>
          </w:p>
        </w:tc>
        <w:tc>
          <w:tcPr>
            <w:tcW w:w="4590" w:type="dxa"/>
            <w:noWrap/>
            <w:hideMark/>
          </w:tcPr>
          <w:p w14:paraId="3A6E1CB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Ribosome recycling factor</w:t>
            </w:r>
          </w:p>
        </w:tc>
        <w:tc>
          <w:tcPr>
            <w:tcW w:w="810" w:type="dxa"/>
            <w:noWrap/>
            <w:hideMark/>
          </w:tcPr>
          <w:p w14:paraId="2D5107C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18A5237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68CA8A9"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75A8BB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COG01534</w:t>
            </w:r>
          </w:p>
        </w:tc>
        <w:tc>
          <w:tcPr>
            <w:tcW w:w="1080" w:type="dxa"/>
            <w:noWrap/>
            <w:hideMark/>
          </w:tcPr>
          <w:p w14:paraId="47AEFEC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1F71694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RNA-binding protein containing KH domain; possibly ribosomal protein</w:t>
            </w:r>
          </w:p>
        </w:tc>
        <w:tc>
          <w:tcPr>
            <w:tcW w:w="810" w:type="dxa"/>
            <w:noWrap/>
            <w:hideMark/>
          </w:tcPr>
          <w:p w14:paraId="5CE0466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22F971B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226BB41"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D2F4F2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COG00255</w:t>
            </w:r>
          </w:p>
        </w:tc>
        <w:tc>
          <w:tcPr>
            <w:tcW w:w="1080" w:type="dxa"/>
            <w:noWrap/>
            <w:hideMark/>
          </w:tcPr>
          <w:p w14:paraId="4AFCA3B9"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921C32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Ribosomal protein L29</w:t>
            </w:r>
          </w:p>
        </w:tc>
        <w:tc>
          <w:tcPr>
            <w:tcW w:w="810" w:type="dxa"/>
            <w:noWrap/>
            <w:hideMark/>
          </w:tcPr>
          <w:p w14:paraId="7F488BE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1D2CFE5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BE7C74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2EA906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COG01190</w:t>
            </w:r>
          </w:p>
        </w:tc>
        <w:tc>
          <w:tcPr>
            <w:tcW w:w="1080" w:type="dxa"/>
            <w:noWrap/>
            <w:hideMark/>
          </w:tcPr>
          <w:p w14:paraId="7BB3309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45CC56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Lysyl-tRNA synthetase (class II)</w:t>
            </w:r>
          </w:p>
        </w:tc>
        <w:tc>
          <w:tcPr>
            <w:tcW w:w="810" w:type="dxa"/>
            <w:noWrap/>
            <w:hideMark/>
          </w:tcPr>
          <w:p w14:paraId="160E3DE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J</w:t>
            </w:r>
          </w:p>
        </w:tc>
        <w:tc>
          <w:tcPr>
            <w:tcW w:w="1098" w:type="dxa"/>
            <w:noWrap/>
            <w:hideMark/>
          </w:tcPr>
          <w:p w14:paraId="3B69FBA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7BBE45C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5D4BC9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COG00568</w:t>
            </w:r>
          </w:p>
        </w:tc>
        <w:tc>
          <w:tcPr>
            <w:tcW w:w="1080" w:type="dxa"/>
            <w:noWrap/>
            <w:hideMark/>
          </w:tcPr>
          <w:p w14:paraId="3D52F57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28</w:t>
            </w:r>
          </w:p>
        </w:tc>
        <w:tc>
          <w:tcPr>
            <w:tcW w:w="4590" w:type="dxa"/>
            <w:noWrap/>
            <w:hideMark/>
          </w:tcPr>
          <w:p w14:paraId="32A0D56A"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DNA-directed RNA polymerase; sigma subunit (sigma70/sigma32)</w:t>
            </w:r>
          </w:p>
        </w:tc>
        <w:tc>
          <w:tcPr>
            <w:tcW w:w="810" w:type="dxa"/>
            <w:noWrap/>
            <w:hideMark/>
          </w:tcPr>
          <w:p w14:paraId="5F2819E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K</w:t>
            </w:r>
          </w:p>
        </w:tc>
        <w:tc>
          <w:tcPr>
            <w:tcW w:w="1098" w:type="dxa"/>
            <w:noWrap/>
            <w:hideMark/>
          </w:tcPr>
          <w:p w14:paraId="207676F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319692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D87ED0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COG01158</w:t>
            </w:r>
          </w:p>
        </w:tc>
        <w:tc>
          <w:tcPr>
            <w:tcW w:w="1080" w:type="dxa"/>
            <w:noWrap/>
            <w:hideMark/>
          </w:tcPr>
          <w:p w14:paraId="729C608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18</w:t>
            </w:r>
          </w:p>
        </w:tc>
        <w:tc>
          <w:tcPr>
            <w:tcW w:w="4590" w:type="dxa"/>
            <w:noWrap/>
            <w:hideMark/>
          </w:tcPr>
          <w:p w14:paraId="7430367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Transcription termination factor</w:t>
            </w:r>
          </w:p>
        </w:tc>
        <w:tc>
          <w:tcPr>
            <w:tcW w:w="810" w:type="dxa"/>
            <w:noWrap/>
            <w:hideMark/>
          </w:tcPr>
          <w:p w14:paraId="78A582C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K</w:t>
            </w:r>
          </w:p>
        </w:tc>
        <w:tc>
          <w:tcPr>
            <w:tcW w:w="1098" w:type="dxa"/>
            <w:noWrap/>
            <w:hideMark/>
          </w:tcPr>
          <w:p w14:paraId="00965A7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BDB8BC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0E4333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COG00781</w:t>
            </w:r>
          </w:p>
        </w:tc>
        <w:tc>
          <w:tcPr>
            <w:tcW w:w="1080" w:type="dxa"/>
            <w:noWrap/>
            <w:hideMark/>
          </w:tcPr>
          <w:p w14:paraId="6D8EC5B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1943430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Transcription termination factor</w:t>
            </w:r>
          </w:p>
        </w:tc>
        <w:tc>
          <w:tcPr>
            <w:tcW w:w="810" w:type="dxa"/>
            <w:noWrap/>
            <w:hideMark/>
          </w:tcPr>
          <w:p w14:paraId="446E268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K</w:t>
            </w:r>
          </w:p>
        </w:tc>
        <w:tc>
          <w:tcPr>
            <w:tcW w:w="1098" w:type="dxa"/>
            <w:noWrap/>
            <w:hideMark/>
          </w:tcPr>
          <w:p w14:paraId="50C7CBA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238038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08DEBD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COG04775</w:t>
            </w:r>
          </w:p>
        </w:tc>
        <w:tc>
          <w:tcPr>
            <w:tcW w:w="1080" w:type="dxa"/>
            <w:noWrap/>
            <w:hideMark/>
          </w:tcPr>
          <w:p w14:paraId="6F9C964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7</w:t>
            </w:r>
          </w:p>
        </w:tc>
        <w:tc>
          <w:tcPr>
            <w:tcW w:w="4590" w:type="dxa"/>
            <w:noWrap/>
            <w:hideMark/>
          </w:tcPr>
          <w:p w14:paraId="653EFEF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Outer membrane protein/protective antigen OMA87</w:t>
            </w:r>
          </w:p>
        </w:tc>
        <w:tc>
          <w:tcPr>
            <w:tcW w:w="810" w:type="dxa"/>
            <w:noWrap/>
            <w:hideMark/>
          </w:tcPr>
          <w:p w14:paraId="3CC7E7E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5C1950A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0D3CC2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9EC9C0D"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COG04932</w:t>
            </w:r>
          </w:p>
        </w:tc>
        <w:tc>
          <w:tcPr>
            <w:tcW w:w="1080" w:type="dxa"/>
            <w:noWrap/>
            <w:hideMark/>
          </w:tcPr>
          <w:p w14:paraId="152B6D2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3E0811A4"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outer membrane protein</w:t>
            </w:r>
          </w:p>
        </w:tc>
        <w:tc>
          <w:tcPr>
            <w:tcW w:w="810" w:type="dxa"/>
            <w:noWrap/>
            <w:hideMark/>
          </w:tcPr>
          <w:p w14:paraId="5699A68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5F97779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DEB94F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84C988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COG00438</w:t>
            </w:r>
          </w:p>
        </w:tc>
        <w:tc>
          <w:tcPr>
            <w:tcW w:w="1080" w:type="dxa"/>
            <w:noWrap/>
            <w:hideMark/>
          </w:tcPr>
          <w:p w14:paraId="5D84B6D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4766D4E8"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Glycosyltransferase</w:t>
            </w:r>
          </w:p>
        </w:tc>
        <w:tc>
          <w:tcPr>
            <w:tcW w:w="810" w:type="dxa"/>
            <w:noWrap/>
            <w:hideMark/>
          </w:tcPr>
          <w:p w14:paraId="4F02A5B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339C4AB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6AEF838"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1BEA7F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COG01209</w:t>
            </w:r>
          </w:p>
        </w:tc>
        <w:tc>
          <w:tcPr>
            <w:tcW w:w="1080" w:type="dxa"/>
            <w:noWrap/>
            <w:hideMark/>
          </w:tcPr>
          <w:p w14:paraId="2A3D84B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15195B3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dTDP-glucose pyrophosphorylase</w:t>
            </w:r>
          </w:p>
        </w:tc>
        <w:tc>
          <w:tcPr>
            <w:tcW w:w="810" w:type="dxa"/>
            <w:noWrap/>
            <w:hideMark/>
          </w:tcPr>
          <w:p w14:paraId="08CD14B1"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3E9F774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43EF17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1753CA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COG00793</w:t>
            </w:r>
          </w:p>
        </w:tc>
        <w:tc>
          <w:tcPr>
            <w:tcW w:w="1080" w:type="dxa"/>
            <w:noWrap/>
            <w:hideMark/>
          </w:tcPr>
          <w:p w14:paraId="09A3E6D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6FDBDE0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Periplasmic protease</w:t>
            </w:r>
          </w:p>
        </w:tc>
        <w:tc>
          <w:tcPr>
            <w:tcW w:w="810" w:type="dxa"/>
            <w:noWrap/>
            <w:hideMark/>
          </w:tcPr>
          <w:p w14:paraId="60E2D8E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w:t>
            </w:r>
          </w:p>
        </w:tc>
        <w:tc>
          <w:tcPr>
            <w:tcW w:w="1098" w:type="dxa"/>
            <w:noWrap/>
            <w:hideMark/>
          </w:tcPr>
          <w:p w14:paraId="79A6EF8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616171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DC1644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lastRenderedPageBreak/>
              <w:t>COG00643</w:t>
            </w:r>
          </w:p>
        </w:tc>
        <w:tc>
          <w:tcPr>
            <w:tcW w:w="1080" w:type="dxa"/>
            <w:noWrap/>
            <w:hideMark/>
          </w:tcPr>
          <w:p w14:paraId="0F30C4AC"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19</w:t>
            </w:r>
          </w:p>
        </w:tc>
        <w:tc>
          <w:tcPr>
            <w:tcW w:w="4590" w:type="dxa"/>
            <w:noWrap/>
            <w:hideMark/>
          </w:tcPr>
          <w:p w14:paraId="5CF5BBE5"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Chemotaxis protein histidine kinase and related kinases</w:t>
            </w:r>
          </w:p>
        </w:tc>
        <w:tc>
          <w:tcPr>
            <w:tcW w:w="810" w:type="dxa"/>
            <w:noWrap/>
            <w:hideMark/>
          </w:tcPr>
          <w:p w14:paraId="5A362FF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NT</w:t>
            </w:r>
          </w:p>
        </w:tc>
        <w:tc>
          <w:tcPr>
            <w:tcW w:w="1098" w:type="dxa"/>
            <w:noWrap/>
            <w:hideMark/>
          </w:tcPr>
          <w:p w14:paraId="6BDBB0A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E880C7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881C95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COG00840</w:t>
            </w:r>
          </w:p>
        </w:tc>
        <w:tc>
          <w:tcPr>
            <w:tcW w:w="1080" w:type="dxa"/>
            <w:noWrap/>
            <w:hideMark/>
          </w:tcPr>
          <w:p w14:paraId="2615061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9</w:t>
            </w:r>
          </w:p>
        </w:tc>
        <w:tc>
          <w:tcPr>
            <w:tcW w:w="4590" w:type="dxa"/>
            <w:noWrap/>
            <w:hideMark/>
          </w:tcPr>
          <w:p w14:paraId="0F9755E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Methyl-accepting chemotaxis protein</w:t>
            </w:r>
          </w:p>
        </w:tc>
        <w:tc>
          <w:tcPr>
            <w:tcW w:w="810" w:type="dxa"/>
            <w:noWrap/>
            <w:hideMark/>
          </w:tcPr>
          <w:p w14:paraId="3BC8606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NT</w:t>
            </w:r>
          </w:p>
        </w:tc>
        <w:tc>
          <w:tcPr>
            <w:tcW w:w="1098" w:type="dxa"/>
            <w:noWrap/>
            <w:hideMark/>
          </w:tcPr>
          <w:p w14:paraId="1128350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77BA18F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45200E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COG01450</w:t>
            </w:r>
          </w:p>
        </w:tc>
        <w:tc>
          <w:tcPr>
            <w:tcW w:w="1080" w:type="dxa"/>
            <w:noWrap/>
            <w:hideMark/>
          </w:tcPr>
          <w:p w14:paraId="68FA4E9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65A54C5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Type II secretory pathway; component PulD</w:t>
            </w:r>
          </w:p>
        </w:tc>
        <w:tc>
          <w:tcPr>
            <w:tcW w:w="810" w:type="dxa"/>
            <w:noWrap/>
            <w:hideMark/>
          </w:tcPr>
          <w:p w14:paraId="116FB2B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NU</w:t>
            </w:r>
          </w:p>
        </w:tc>
        <w:tc>
          <w:tcPr>
            <w:tcW w:w="1098" w:type="dxa"/>
            <w:noWrap/>
            <w:hideMark/>
          </w:tcPr>
          <w:p w14:paraId="052857B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B81336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95D985F"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COG00576</w:t>
            </w:r>
          </w:p>
        </w:tc>
        <w:tc>
          <w:tcPr>
            <w:tcW w:w="1080" w:type="dxa"/>
            <w:noWrap/>
            <w:hideMark/>
          </w:tcPr>
          <w:p w14:paraId="56AB5518"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05EC58B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Molecular chaperone GrpE (heat shock protein)</w:t>
            </w:r>
          </w:p>
        </w:tc>
        <w:tc>
          <w:tcPr>
            <w:tcW w:w="810" w:type="dxa"/>
            <w:noWrap/>
            <w:hideMark/>
          </w:tcPr>
          <w:p w14:paraId="5714BDB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51BE459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B0F768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69D1BE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COG02077</w:t>
            </w:r>
          </w:p>
        </w:tc>
        <w:tc>
          <w:tcPr>
            <w:tcW w:w="1080" w:type="dxa"/>
            <w:noWrap/>
            <w:hideMark/>
          </w:tcPr>
          <w:p w14:paraId="04445CF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4DAE2BF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Peroxiredoxin</w:t>
            </w:r>
          </w:p>
        </w:tc>
        <w:tc>
          <w:tcPr>
            <w:tcW w:w="810" w:type="dxa"/>
            <w:noWrap/>
            <w:hideMark/>
          </w:tcPr>
          <w:p w14:paraId="2DD8A4B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O</w:t>
            </w:r>
          </w:p>
        </w:tc>
        <w:tc>
          <w:tcPr>
            <w:tcW w:w="1098" w:type="dxa"/>
            <w:noWrap/>
            <w:hideMark/>
          </w:tcPr>
          <w:p w14:paraId="6B33534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17AE84D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B42224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COG00735</w:t>
            </w:r>
          </w:p>
        </w:tc>
        <w:tc>
          <w:tcPr>
            <w:tcW w:w="1080" w:type="dxa"/>
            <w:noWrap/>
            <w:hideMark/>
          </w:tcPr>
          <w:p w14:paraId="032A01D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7D948AB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Fe2+/Zn2+ uptake regulation proteins</w:t>
            </w:r>
          </w:p>
        </w:tc>
        <w:tc>
          <w:tcPr>
            <w:tcW w:w="810" w:type="dxa"/>
            <w:noWrap/>
            <w:hideMark/>
          </w:tcPr>
          <w:p w14:paraId="469A558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29CF7B0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B744D2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D2C18A2"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COG01117</w:t>
            </w:r>
          </w:p>
        </w:tc>
        <w:tc>
          <w:tcPr>
            <w:tcW w:w="1080" w:type="dxa"/>
            <w:noWrap/>
            <w:hideMark/>
          </w:tcPr>
          <w:p w14:paraId="3FB9CC7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55E6450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phosphate transport system; ATPase component</w:t>
            </w:r>
          </w:p>
        </w:tc>
        <w:tc>
          <w:tcPr>
            <w:tcW w:w="810" w:type="dxa"/>
            <w:noWrap/>
            <w:hideMark/>
          </w:tcPr>
          <w:p w14:paraId="7DF3F0A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1264AE0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15492CB"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7BFD2F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COG00004</w:t>
            </w:r>
          </w:p>
        </w:tc>
        <w:tc>
          <w:tcPr>
            <w:tcW w:w="1080" w:type="dxa"/>
            <w:noWrap/>
            <w:hideMark/>
          </w:tcPr>
          <w:p w14:paraId="150E123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7DEC8B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Ammonia permease</w:t>
            </w:r>
          </w:p>
        </w:tc>
        <w:tc>
          <w:tcPr>
            <w:tcW w:w="810" w:type="dxa"/>
            <w:noWrap/>
            <w:hideMark/>
          </w:tcPr>
          <w:p w14:paraId="18C7C9F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439AB66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29F415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490358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COG00226</w:t>
            </w:r>
          </w:p>
        </w:tc>
        <w:tc>
          <w:tcPr>
            <w:tcW w:w="1080" w:type="dxa"/>
            <w:noWrap/>
            <w:hideMark/>
          </w:tcPr>
          <w:p w14:paraId="6B61AC2B"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1D16D5B3"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ABC-type phosphate transport system; periplasmic component</w:t>
            </w:r>
          </w:p>
        </w:tc>
        <w:tc>
          <w:tcPr>
            <w:tcW w:w="810" w:type="dxa"/>
            <w:noWrap/>
            <w:hideMark/>
          </w:tcPr>
          <w:p w14:paraId="1010F30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7548BD9E"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BA6E293"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299C86C"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COG00704</w:t>
            </w:r>
          </w:p>
        </w:tc>
        <w:tc>
          <w:tcPr>
            <w:tcW w:w="1080" w:type="dxa"/>
            <w:noWrap/>
            <w:hideMark/>
          </w:tcPr>
          <w:p w14:paraId="50AAA4B6"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3D7DC3EB"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Phosphate uptake regulator</w:t>
            </w:r>
          </w:p>
        </w:tc>
        <w:tc>
          <w:tcPr>
            <w:tcW w:w="810" w:type="dxa"/>
            <w:noWrap/>
            <w:hideMark/>
          </w:tcPr>
          <w:p w14:paraId="1CD1D42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w:t>
            </w:r>
          </w:p>
        </w:tc>
        <w:tc>
          <w:tcPr>
            <w:tcW w:w="1098" w:type="dxa"/>
            <w:noWrap/>
            <w:hideMark/>
          </w:tcPr>
          <w:p w14:paraId="38C3D3F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D83AC6F"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5C4EFE5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COG02368</w:t>
            </w:r>
          </w:p>
        </w:tc>
        <w:tc>
          <w:tcPr>
            <w:tcW w:w="1080" w:type="dxa"/>
            <w:noWrap/>
            <w:hideMark/>
          </w:tcPr>
          <w:p w14:paraId="5D7F25E4"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71DD8C1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Aromatic ring hydroxylase</w:t>
            </w:r>
          </w:p>
        </w:tc>
        <w:tc>
          <w:tcPr>
            <w:tcW w:w="810" w:type="dxa"/>
            <w:noWrap/>
            <w:hideMark/>
          </w:tcPr>
          <w:p w14:paraId="5B536C20"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Q</w:t>
            </w:r>
          </w:p>
        </w:tc>
        <w:tc>
          <w:tcPr>
            <w:tcW w:w="1098" w:type="dxa"/>
            <w:noWrap/>
            <w:hideMark/>
          </w:tcPr>
          <w:p w14:paraId="2A67DC8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D6BF7D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6F7B2185"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COG00714</w:t>
            </w:r>
          </w:p>
        </w:tc>
        <w:tc>
          <w:tcPr>
            <w:tcW w:w="1080" w:type="dxa"/>
            <w:noWrap/>
            <w:hideMark/>
          </w:tcPr>
          <w:p w14:paraId="61C1ED9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17</w:t>
            </w:r>
          </w:p>
        </w:tc>
        <w:tc>
          <w:tcPr>
            <w:tcW w:w="4590" w:type="dxa"/>
            <w:noWrap/>
            <w:hideMark/>
          </w:tcPr>
          <w:p w14:paraId="67C59B7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MoxR-like ATPases</w:t>
            </w:r>
          </w:p>
        </w:tc>
        <w:tc>
          <w:tcPr>
            <w:tcW w:w="810" w:type="dxa"/>
            <w:noWrap/>
            <w:hideMark/>
          </w:tcPr>
          <w:p w14:paraId="22E91E1C"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6434ECC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F2DAC1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20ED3E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COG01837</w:t>
            </w:r>
          </w:p>
        </w:tc>
        <w:tc>
          <w:tcPr>
            <w:tcW w:w="1080" w:type="dxa"/>
            <w:noWrap/>
            <w:hideMark/>
          </w:tcPr>
          <w:p w14:paraId="5DE35F77"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76D2345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RNA-binding protein (contains KH domain)</w:t>
            </w:r>
          </w:p>
        </w:tc>
        <w:tc>
          <w:tcPr>
            <w:tcW w:w="810" w:type="dxa"/>
            <w:noWrap/>
            <w:hideMark/>
          </w:tcPr>
          <w:p w14:paraId="792DEA5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71838FB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497113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6308A6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COG01461</w:t>
            </w:r>
          </w:p>
        </w:tc>
        <w:tc>
          <w:tcPr>
            <w:tcW w:w="1080" w:type="dxa"/>
            <w:noWrap/>
            <w:hideMark/>
          </w:tcPr>
          <w:p w14:paraId="3F3AA8A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8</w:t>
            </w:r>
          </w:p>
        </w:tc>
        <w:tc>
          <w:tcPr>
            <w:tcW w:w="4590" w:type="dxa"/>
            <w:noWrap/>
            <w:hideMark/>
          </w:tcPr>
          <w:p w14:paraId="4863CAE1"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kinase related to dihydroxyacetone kinase</w:t>
            </w:r>
          </w:p>
        </w:tc>
        <w:tc>
          <w:tcPr>
            <w:tcW w:w="810" w:type="dxa"/>
            <w:noWrap/>
            <w:hideMark/>
          </w:tcPr>
          <w:p w14:paraId="376B01E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1F344DB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BDCB1C7"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27B7439"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COG01878</w:t>
            </w:r>
          </w:p>
        </w:tc>
        <w:tc>
          <w:tcPr>
            <w:tcW w:w="1080" w:type="dxa"/>
            <w:noWrap/>
            <w:hideMark/>
          </w:tcPr>
          <w:p w14:paraId="75266600"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5D24102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metal-dependent hydrolase</w:t>
            </w:r>
          </w:p>
        </w:tc>
        <w:tc>
          <w:tcPr>
            <w:tcW w:w="810" w:type="dxa"/>
            <w:noWrap/>
            <w:hideMark/>
          </w:tcPr>
          <w:p w14:paraId="4B8C6F4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6595B8B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513CE3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C9D02F3"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COG01159</w:t>
            </w:r>
          </w:p>
        </w:tc>
        <w:tc>
          <w:tcPr>
            <w:tcW w:w="1080" w:type="dxa"/>
            <w:noWrap/>
            <w:hideMark/>
          </w:tcPr>
          <w:p w14:paraId="4E86EE1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2968723F"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GTPase</w:t>
            </w:r>
          </w:p>
        </w:tc>
        <w:tc>
          <w:tcPr>
            <w:tcW w:w="810" w:type="dxa"/>
            <w:noWrap/>
            <w:hideMark/>
          </w:tcPr>
          <w:p w14:paraId="26F3B3D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R</w:t>
            </w:r>
          </w:p>
        </w:tc>
        <w:tc>
          <w:tcPr>
            <w:tcW w:w="1098" w:type="dxa"/>
            <w:noWrap/>
            <w:hideMark/>
          </w:tcPr>
          <w:p w14:paraId="6E4696CB"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C879A7A"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03DB50E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COG04864</w:t>
            </w:r>
          </w:p>
        </w:tc>
        <w:tc>
          <w:tcPr>
            <w:tcW w:w="1080" w:type="dxa"/>
            <w:noWrap/>
            <w:hideMark/>
          </w:tcPr>
          <w:p w14:paraId="0FBA77FF"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16</w:t>
            </w:r>
          </w:p>
        </w:tc>
        <w:tc>
          <w:tcPr>
            <w:tcW w:w="4590" w:type="dxa"/>
            <w:noWrap/>
            <w:hideMark/>
          </w:tcPr>
          <w:p w14:paraId="7F9A2436"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576C1CC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6998231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3B82D9DE"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93E01BA"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COG02268</w:t>
            </w:r>
          </w:p>
        </w:tc>
        <w:tc>
          <w:tcPr>
            <w:tcW w:w="1080" w:type="dxa"/>
            <w:noWrap/>
            <w:hideMark/>
          </w:tcPr>
          <w:p w14:paraId="6AD51A61"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13</w:t>
            </w:r>
          </w:p>
        </w:tc>
        <w:tc>
          <w:tcPr>
            <w:tcW w:w="4590" w:type="dxa"/>
            <w:noWrap/>
            <w:hideMark/>
          </w:tcPr>
          <w:p w14:paraId="0C61E4F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2299969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79332E4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4E0BBD0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5ECFA8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COG00217</w:t>
            </w:r>
          </w:p>
        </w:tc>
        <w:tc>
          <w:tcPr>
            <w:tcW w:w="1080" w:type="dxa"/>
            <w:noWrap/>
            <w:hideMark/>
          </w:tcPr>
          <w:p w14:paraId="0F5407EE"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11</w:t>
            </w:r>
          </w:p>
        </w:tc>
        <w:tc>
          <w:tcPr>
            <w:tcW w:w="4590" w:type="dxa"/>
            <w:noWrap/>
            <w:hideMark/>
          </w:tcPr>
          <w:p w14:paraId="25C0E4BE"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7414181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41ED776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70F17756"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335ECDD8"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COG01624</w:t>
            </w:r>
          </w:p>
        </w:tc>
        <w:tc>
          <w:tcPr>
            <w:tcW w:w="1080" w:type="dxa"/>
            <w:noWrap/>
            <w:hideMark/>
          </w:tcPr>
          <w:p w14:paraId="570BA25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745F0F3C"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7DD85CC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706BC1A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1FF4FA4"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A7C23B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COG01917</w:t>
            </w:r>
          </w:p>
        </w:tc>
        <w:tc>
          <w:tcPr>
            <w:tcW w:w="1080" w:type="dxa"/>
            <w:noWrap/>
            <w:hideMark/>
          </w:tcPr>
          <w:p w14:paraId="0772041D"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5</w:t>
            </w:r>
          </w:p>
        </w:tc>
        <w:tc>
          <w:tcPr>
            <w:tcW w:w="4590" w:type="dxa"/>
            <w:noWrap/>
            <w:hideMark/>
          </w:tcPr>
          <w:p w14:paraId="3C1472A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 contains double-stranded beta-helix domain</w:t>
            </w:r>
          </w:p>
        </w:tc>
        <w:tc>
          <w:tcPr>
            <w:tcW w:w="810" w:type="dxa"/>
            <w:noWrap/>
            <w:hideMark/>
          </w:tcPr>
          <w:p w14:paraId="77801BC7"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08B6A5B2"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9C431D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1A9F2657"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COG01302</w:t>
            </w:r>
          </w:p>
        </w:tc>
        <w:tc>
          <w:tcPr>
            <w:tcW w:w="1080" w:type="dxa"/>
            <w:noWrap/>
            <w:hideMark/>
          </w:tcPr>
          <w:p w14:paraId="668E9053"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0643AD40"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6D5A35B5"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38CB4934"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043D947D"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6B82EA4"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COG02859</w:t>
            </w:r>
          </w:p>
        </w:tc>
        <w:tc>
          <w:tcPr>
            <w:tcW w:w="1080" w:type="dxa"/>
            <w:noWrap/>
            <w:hideMark/>
          </w:tcPr>
          <w:p w14:paraId="02E20BE5"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34EEFA2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4EFF7938"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39DA3C0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265B9630"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49763EE0"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COG04702</w:t>
            </w:r>
          </w:p>
        </w:tc>
        <w:tc>
          <w:tcPr>
            <w:tcW w:w="1080" w:type="dxa"/>
            <w:noWrap/>
            <w:hideMark/>
          </w:tcPr>
          <w:p w14:paraId="5856EB7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4</w:t>
            </w:r>
          </w:p>
        </w:tc>
        <w:tc>
          <w:tcPr>
            <w:tcW w:w="4590" w:type="dxa"/>
            <w:noWrap/>
            <w:hideMark/>
          </w:tcPr>
          <w:p w14:paraId="1993469D"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conserved protein</w:t>
            </w:r>
          </w:p>
        </w:tc>
        <w:tc>
          <w:tcPr>
            <w:tcW w:w="810" w:type="dxa"/>
            <w:noWrap/>
            <w:hideMark/>
          </w:tcPr>
          <w:p w14:paraId="4208B27A"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62B3CA0F"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5E79A9EC"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229D8921"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COG03976</w:t>
            </w:r>
          </w:p>
        </w:tc>
        <w:tc>
          <w:tcPr>
            <w:tcW w:w="1080" w:type="dxa"/>
            <w:noWrap/>
            <w:hideMark/>
          </w:tcPr>
          <w:p w14:paraId="10A27ABA"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3</w:t>
            </w:r>
          </w:p>
        </w:tc>
        <w:tc>
          <w:tcPr>
            <w:tcW w:w="4590" w:type="dxa"/>
            <w:noWrap/>
            <w:hideMark/>
          </w:tcPr>
          <w:p w14:paraId="444AECD7"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Uncharacterized protein conserved in bacteria</w:t>
            </w:r>
          </w:p>
        </w:tc>
        <w:tc>
          <w:tcPr>
            <w:tcW w:w="810" w:type="dxa"/>
            <w:noWrap/>
            <w:hideMark/>
          </w:tcPr>
          <w:p w14:paraId="096CC196"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S</w:t>
            </w:r>
          </w:p>
        </w:tc>
        <w:tc>
          <w:tcPr>
            <w:tcW w:w="1098" w:type="dxa"/>
            <w:noWrap/>
            <w:hideMark/>
          </w:tcPr>
          <w:p w14:paraId="2C4B43ED"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r w:rsidR="00DE4C71" w:rsidRPr="00DE4C71" w14:paraId="6316FD62" w14:textId="77777777" w:rsidTr="00D23545">
        <w:trPr>
          <w:trHeight w:val="300"/>
        </w:trPr>
        <w:tc>
          <w:tcPr>
            <w:cnfStyle w:val="001000000000" w:firstRow="0" w:lastRow="0" w:firstColumn="1" w:lastColumn="0" w:oddVBand="0" w:evenVBand="0" w:oddHBand="0" w:evenHBand="0" w:firstRowFirstColumn="0" w:firstRowLastColumn="0" w:lastRowFirstColumn="0" w:lastRowLastColumn="0"/>
            <w:tcW w:w="1278" w:type="dxa"/>
            <w:noWrap/>
            <w:hideMark/>
          </w:tcPr>
          <w:p w14:paraId="7C789FDE" w14:textId="77777777" w:rsidR="00DE4C71" w:rsidRPr="00DE4C71" w:rsidRDefault="00DE4C71" w:rsidP="00DE4C71">
            <w:pPr>
              <w:jc w:val="center"/>
              <w:rPr>
                <w:rFonts w:ascii="Calibri" w:eastAsia="Times New Roman" w:hAnsi="Calibri"/>
                <w:color w:val="000000"/>
              </w:rPr>
            </w:pPr>
            <w:r w:rsidRPr="00DE4C71">
              <w:rPr>
                <w:rFonts w:ascii="Calibri" w:eastAsia="Times New Roman" w:hAnsi="Calibri"/>
                <w:color w:val="000000"/>
              </w:rPr>
              <w:t>COG01875</w:t>
            </w:r>
          </w:p>
        </w:tc>
        <w:tc>
          <w:tcPr>
            <w:tcW w:w="1080" w:type="dxa"/>
            <w:noWrap/>
            <w:hideMark/>
          </w:tcPr>
          <w:p w14:paraId="3A99FF62" w14:textId="77777777" w:rsidR="00DE4C71" w:rsidRPr="00DE4C71" w:rsidRDefault="00DE4C71" w:rsidP="00DE4C71">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6</w:t>
            </w:r>
          </w:p>
        </w:tc>
        <w:tc>
          <w:tcPr>
            <w:tcW w:w="4590" w:type="dxa"/>
            <w:noWrap/>
            <w:hideMark/>
          </w:tcPr>
          <w:p w14:paraId="40E736A2" w14:textId="77777777" w:rsidR="00DE4C71" w:rsidRPr="00DE4C71" w:rsidRDefault="00DE4C71" w:rsidP="00DE4C71">
            <w:pPr>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Predicted ATPase related to phosphate starvation-inducible protein PhoH</w:t>
            </w:r>
          </w:p>
        </w:tc>
        <w:tc>
          <w:tcPr>
            <w:tcW w:w="810" w:type="dxa"/>
            <w:noWrap/>
            <w:hideMark/>
          </w:tcPr>
          <w:p w14:paraId="0127AB23"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T</w:t>
            </w:r>
          </w:p>
        </w:tc>
        <w:tc>
          <w:tcPr>
            <w:tcW w:w="1098" w:type="dxa"/>
            <w:noWrap/>
            <w:hideMark/>
          </w:tcPr>
          <w:p w14:paraId="69DD1FB9" w14:textId="77777777" w:rsidR="00DE4C71" w:rsidRPr="00DE4C71" w:rsidRDefault="00DE4C71" w:rsidP="00DE4C7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rPr>
            </w:pPr>
            <w:r w:rsidRPr="00DE4C71">
              <w:rPr>
                <w:rFonts w:ascii="Calibri" w:eastAsia="Times New Roman" w:hAnsi="Calibri"/>
                <w:color w:val="000000"/>
              </w:rPr>
              <w:t>HRS</w:t>
            </w:r>
          </w:p>
        </w:tc>
      </w:tr>
    </w:tbl>
    <w:p w14:paraId="32657046" w14:textId="77777777" w:rsidR="002B3E83" w:rsidRDefault="002B3E83" w:rsidP="001A18E4">
      <w:pPr>
        <w:spacing w:line="480" w:lineRule="auto"/>
        <w:rPr>
          <w:rFonts w:cs="Arial"/>
        </w:rPr>
      </w:pPr>
    </w:p>
    <w:p w14:paraId="37DC7331" w14:textId="77777777" w:rsidR="002B3E83" w:rsidRDefault="002B3E83">
      <w:pPr>
        <w:jc w:val="left"/>
        <w:rPr>
          <w:rFonts w:cs="Arial"/>
        </w:rPr>
      </w:pPr>
      <w:r>
        <w:rPr>
          <w:rFonts w:cs="Arial"/>
        </w:rPr>
        <w:br w:type="page"/>
      </w:r>
    </w:p>
    <w:p w14:paraId="731E11AE" w14:textId="77777777" w:rsidR="002B3E83" w:rsidRDefault="002B3E83" w:rsidP="002B3E83">
      <w:pPr>
        <w:keepNext/>
        <w:spacing w:line="480" w:lineRule="auto"/>
      </w:pPr>
      <w:r>
        <w:rPr>
          <w:rFonts w:cs="Arial"/>
          <w:noProof/>
        </w:rPr>
        <w:lastRenderedPageBreak/>
        <w:drawing>
          <wp:inline distT="0" distB="0" distL="0" distR="0" wp14:anchorId="68AA8BAF" wp14:editId="2F60AA44">
            <wp:extent cx="3580765" cy="7955280"/>
            <wp:effectExtent l="0" t="0" r="63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8.jpg"/>
                    <pic:cNvPicPr/>
                  </pic:nvPicPr>
                  <pic:blipFill>
                    <a:blip r:embed="rId69">
                      <a:extLst>
                        <a:ext uri="{28A0092B-C50C-407E-A947-70E740481C1C}">
                          <a14:useLocalDpi xmlns:a14="http://schemas.microsoft.com/office/drawing/2010/main" val="0"/>
                        </a:ext>
                      </a:extLst>
                    </a:blip>
                    <a:stretch>
                      <a:fillRect/>
                    </a:stretch>
                  </pic:blipFill>
                  <pic:spPr>
                    <a:xfrm>
                      <a:off x="0" y="0"/>
                      <a:ext cx="3580765" cy="7955280"/>
                    </a:xfrm>
                    <a:prstGeom prst="rect">
                      <a:avLst/>
                    </a:prstGeom>
                  </pic:spPr>
                </pic:pic>
              </a:graphicData>
            </a:graphic>
          </wp:inline>
        </w:drawing>
      </w:r>
    </w:p>
    <w:p w14:paraId="63993B2B" w14:textId="33976439" w:rsidR="002B3E83" w:rsidRPr="002B3E83" w:rsidRDefault="002B3E83" w:rsidP="002B3E83">
      <w:pPr>
        <w:pStyle w:val="Caption"/>
        <w:rPr>
          <w:b w:val="0"/>
        </w:rPr>
      </w:pPr>
      <w:bookmarkStart w:id="121" w:name="_Toc296333131"/>
      <w:r>
        <w:lastRenderedPageBreak/>
        <w:t xml:space="preserve">Figure </w:t>
      </w:r>
      <w:fldSimple w:instr=" SEQ Figure \* ARABIC ">
        <w:r>
          <w:rPr>
            <w:noProof/>
          </w:rPr>
          <w:t>38</w:t>
        </w:r>
      </w:fldSimple>
      <w:r>
        <w:t xml:space="preserve"> Heat-map of significant 166 COG terms.  </w:t>
      </w:r>
      <w:r>
        <w:rPr>
          <w:b w:val="0"/>
        </w:rPr>
        <w:t>We standardized sum of transf</w:t>
      </w:r>
      <w:r w:rsidR="00122DB5">
        <w:rPr>
          <w:b w:val="0"/>
        </w:rPr>
        <w:t xml:space="preserve">erred SC of each of COG terms.  Deeper steel-blue color means higher expression level in diet metaproteome.  </w:t>
      </w:r>
      <w:r w:rsidR="00680979">
        <w:rPr>
          <w:b w:val="0"/>
        </w:rPr>
        <w:t>COG terms are clustered by their expression pattern and broad functional term.</w:t>
      </w:r>
      <w:bookmarkEnd w:id="121"/>
    </w:p>
    <w:p w14:paraId="3CE78BB8" w14:textId="395ED0CE" w:rsidR="002229D5" w:rsidRDefault="003F5025" w:rsidP="00333BBC">
      <w:pPr>
        <w:spacing w:line="480" w:lineRule="auto"/>
        <w:rPr>
          <w:rFonts w:cs="Arial"/>
        </w:rPr>
      </w:pPr>
      <w:r>
        <w:rPr>
          <w:rFonts w:cs="Arial"/>
        </w:rPr>
        <w:br w:type="page"/>
      </w:r>
      <w:r w:rsidR="006B44E6">
        <w:rPr>
          <w:rFonts w:cs="Arial"/>
        </w:rPr>
        <w:lastRenderedPageBreak/>
        <w:t xml:space="preserve">In HRS, energy production and uptake of changed nutrients are similarly expressed to LRS and baseline.  However, </w:t>
      </w:r>
      <w:r w:rsidR="002229D5">
        <w:rPr>
          <w:rFonts w:cs="Arial"/>
        </w:rPr>
        <w:t>cell wall and envelope biogenesis is turned on so that microbes may need to defense themselves from increase of competing or host immune system (</w:t>
      </w:r>
      <w:r w:rsidR="002229D5" w:rsidRPr="002229D5">
        <w:rPr>
          <w:rFonts w:cs="Arial"/>
        </w:rPr>
        <w:t>COG04775</w:t>
      </w:r>
      <w:r w:rsidR="002229D5">
        <w:rPr>
          <w:rFonts w:cs="Arial"/>
        </w:rPr>
        <w:t xml:space="preserve">, </w:t>
      </w:r>
      <w:r w:rsidR="002229D5" w:rsidRPr="002229D5">
        <w:rPr>
          <w:rFonts w:cs="Arial"/>
        </w:rPr>
        <w:t>COG04932</w:t>
      </w:r>
      <w:r w:rsidR="002229D5">
        <w:rPr>
          <w:rFonts w:cs="Arial"/>
        </w:rPr>
        <w:t xml:space="preserve">, </w:t>
      </w:r>
      <w:r w:rsidR="002229D5" w:rsidRPr="002229D5">
        <w:rPr>
          <w:rFonts w:cs="Arial"/>
        </w:rPr>
        <w:t>COG00438</w:t>
      </w:r>
      <w:r w:rsidR="002229D5">
        <w:rPr>
          <w:rFonts w:cs="Arial"/>
        </w:rPr>
        <w:t xml:space="preserve">, </w:t>
      </w:r>
      <w:r w:rsidR="002229D5" w:rsidRPr="002229D5">
        <w:rPr>
          <w:rFonts w:cs="Arial"/>
        </w:rPr>
        <w:t>COG01209</w:t>
      </w:r>
      <w:r w:rsidR="002229D5">
        <w:rPr>
          <w:rFonts w:cs="Arial"/>
        </w:rPr>
        <w:t xml:space="preserve"> and </w:t>
      </w:r>
      <w:r w:rsidR="002229D5" w:rsidRPr="002229D5">
        <w:rPr>
          <w:rFonts w:cs="Arial"/>
        </w:rPr>
        <w:t>COG00793</w:t>
      </w:r>
      <w:r w:rsidR="002229D5">
        <w:rPr>
          <w:rFonts w:cs="Arial"/>
        </w:rPr>
        <w:t>).  Likewise to LRS, microbes are trying to express and modify appropriate proteins in order to adapt to the changed environment, high amount of RS (</w:t>
      </w:r>
      <w:r w:rsidR="002229D5" w:rsidRPr="002229D5">
        <w:rPr>
          <w:rFonts w:cs="Arial"/>
        </w:rPr>
        <w:t>COG00233</w:t>
      </w:r>
      <w:r w:rsidR="002229D5">
        <w:rPr>
          <w:rFonts w:cs="Arial"/>
        </w:rPr>
        <w:t xml:space="preserve">, </w:t>
      </w:r>
      <w:r w:rsidR="002229D5" w:rsidRPr="002229D5">
        <w:rPr>
          <w:rFonts w:cs="Arial"/>
        </w:rPr>
        <w:t>COG01534</w:t>
      </w:r>
      <w:r w:rsidR="002229D5">
        <w:rPr>
          <w:rFonts w:cs="Arial"/>
        </w:rPr>
        <w:t xml:space="preserve">, </w:t>
      </w:r>
      <w:r w:rsidR="002229D5" w:rsidRPr="002229D5">
        <w:rPr>
          <w:rFonts w:cs="Arial"/>
        </w:rPr>
        <w:t>COG00255</w:t>
      </w:r>
      <w:r w:rsidR="002229D5">
        <w:rPr>
          <w:rFonts w:cs="Arial"/>
        </w:rPr>
        <w:t xml:space="preserve"> and </w:t>
      </w:r>
      <w:r w:rsidR="002229D5" w:rsidRPr="002229D5">
        <w:rPr>
          <w:rFonts w:cs="Arial"/>
        </w:rPr>
        <w:t>COG01190</w:t>
      </w:r>
      <w:r w:rsidR="002229D5">
        <w:rPr>
          <w:rFonts w:cs="Arial"/>
        </w:rPr>
        <w:t xml:space="preserve"> for translation, </w:t>
      </w:r>
      <w:r w:rsidR="002229D5" w:rsidRPr="002229D5">
        <w:rPr>
          <w:rFonts w:cs="Arial"/>
        </w:rPr>
        <w:t>COG00568</w:t>
      </w:r>
      <w:r w:rsidR="002229D5">
        <w:rPr>
          <w:rFonts w:cs="Arial"/>
        </w:rPr>
        <w:t xml:space="preserve">, </w:t>
      </w:r>
      <w:r w:rsidR="002229D5" w:rsidRPr="002229D5">
        <w:rPr>
          <w:rFonts w:cs="Arial"/>
        </w:rPr>
        <w:t>COG01158</w:t>
      </w:r>
      <w:r w:rsidR="002229D5">
        <w:rPr>
          <w:rFonts w:cs="Arial"/>
        </w:rPr>
        <w:t xml:space="preserve"> and </w:t>
      </w:r>
      <w:r w:rsidR="002229D5" w:rsidRPr="002229D5">
        <w:rPr>
          <w:rFonts w:cs="Arial"/>
        </w:rPr>
        <w:t>COG00781</w:t>
      </w:r>
      <w:r w:rsidR="002229D5">
        <w:rPr>
          <w:rFonts w:cs="Arial"/>
        </w:rPr>
        <w:t xml:space="preserve"> for transcription and COG00576 and </w:t>
      </w:r>
      <w:r w:rsidR="002229D5" w:rsidRPr="002229D5">
        <w:rPr>
          <w:rFonts w:cs="Arial"/>
        </w:rPr>
        <w:t>COG02077</w:t>
      </w:r>
      <w:r w:rsidR="002229D5">
        <w:rPr>
          <w:rFonts w:cs="Arial"/>
        </w:rPr>
        <w:t xml:space="preserve"> for post-translational modification).  Interestingly, HRS also has significantly enriched cell motility COG terms like LRS.  This may mean that microbes were moving toward new energy source or seeking reduced pre-existing nutrients</w:t>
      </w:r>
      <w:r w:rsidR="00333BBC">
        <w:rPr>
          <w:rFonts w:cs="Arial"/>
        </w:rPr>
        <w:t xml:space="preserve"> (</w:t>
      </w:r>
      <w:r w:rsidR="00333BBC" w:rsidRPr="00333BBC">
        <w:rPr>
          <w:rFonts w:cs="Arial"/>
        </w:rPr>
        <w:t>COG00643</w:t>
      </w:r>
      <w:r w:rsidR="00333BBC">
        <w:rPr>
          <w:rFonts w:cs="Arial"/>
        </w:rPr>
        <w:t xml:space="preserve">, </w:t>
      </w:r>
      <w:r w:rsidR="00333BBC" w:rsidRPr="00333BBC">
        <w:rPr>
          <w:rFonts w:cs="Arial"/>
        </w:rPr>
        <w:t>COG00840</w:t>
      </w:r>
      <w:r w:rsidR="00333BBC">
        <w:rPr>
          <w:rFonts w:cs="Arial"/>
        </w:rPr>
        <w:t xml:space="preserve"> and </w:t>
      </w:r>
      <w:r w:rsidR="00333BBC" w:rsidRPr="00333BBC">
        <w:rPr>
          <w:rFonts w:cs="Arial"/>
        </w:rPr>
        <w:t>COG01450</w:t>
      </w:r>
      <w:r w:rsidR="00333BBC">
        <w:rPr>
          <w:rFonts w:cs="Arial"/>
        </w:rPr>
        <w:t>)</w:t>
      </w:r>
      <w:r w:rsidR="002229D5">
        <w:rPr>
          <w:rFonts w:cs="Arial"/>
        </w:rPr>
        <w:t xml:space="preserve">.  </w:t>
      </w:r>
    </w:p>
    <w:p w14:paraId="1A4B5688" w14:textId="77777777" w:rsidR="002B1303" w:rsidRDefault="002B1303" w:rsidP="00333BBC">
      <w:pPr>
        <w:spacing w:line="480" w:lineRule="auto"/>
        <w:rPr>
          <w:rFonts w:cs="Arial"/>
        </w:rPr>
      </w:pPr>
    </w:p>
    <w:p w14:paraId="3A388536" w14:textId="39FFE971" w:rsidR="007852AF" w:rsidRDefault="007852AF" w:rsidP="007852AF">
      <w:pPr>
        <w:pStyle w:val="Heading2"/>
      </w:pPr>
      <w:bookmarkStart w:id="122" w:name="_Toc296333758"/>
      <w:r>
        <w:t>Conclusion</w:t>
      </w:r>
      <w:bookmarkEnd w:id="122"/>
    </w:p>
    <w:p w14:paraId="429A848E" w14:textId="77777777" w:rsidR="003C542B" w:rsidRPr="003C542B" w:rsidRDefault="003C542B" w:rsidP="003C542B"/>
    <w:p w14:paraId="6180BBD1" w14:textId="77777777" w:rsidR="00284059" w:rsidRDefault="003C542B" w:rsidP="002E2660">
      <w:pPr>
        <w:spacing w:line="480" w:lineRule="auto"/>
        <w:ind w:firstLine="720"/>
        <w:rPr>
          <w:rFonts w:cs="Arial"/>
        </w:rPr>
      </w:pPr>
      <w:r>
        <w:rPr>
          <w:rFonts w:cs="Arial"/>
        </w:rPr>
        <w:t xml:space="preserve">We could identify 57,398 proteins from 24 MS runs (8 patients * 3 diets).  Of 57,398 proteins, 56,295 were from microbiome and 1,103 were host human proteins.  This seriously unequal </w:t>
      </w:r>
      <w:r w:rsidR="00320AEF">
        <w:rPr>
          <w:rFonts w:cs="Arial"/>
        </w:rPr>
        <w:t xml:space="preserve">protein identification is caused by employing indirect methods and metagenome.  </w:t>
      </w:r>
      <w:r w:rsidR="007D426B">
        <w:rPr>
          <w:rFonts w:cs="Arial"/>
        </w:rPr>
        <w:t xml:space="preserve">Those two could dramatically increase the number </w:t>
      </w:r>
      <w:r w:rsidR="00890156">
        <w:rPr>
          <w:rFonts w:cs="Arial"/>
        </w:rPr>
        <w:t xml:space="preserve">of </w:t>
      </w:r>
      <w:r w:rsidR="007D426B">
        <w:rPr>
          <w:rFonts w:cs="Arial"/>
        </w:rPr>
        <w:t>identified microbial proteins that are main targets of this study.</w:t>
      </w:r>
      <w:r w:rsidR="00890156">
        <w:rPr>
          <w:rFonts w:cs="Arial"/>
        </w:rPr>
        <w:t xml:space="preserve">  </w:t>
      </w:r>
    </w:p>
    <w:p w14:paraId="5534E8C2" w14:textId="775BF4F3" w:rsidR="00284059" w:rsidRDefault="00302E6E" w:rsidP="00EE7453">
      <w:pPr>
        <w:spacing w:line="480" w:lineRule="auto"/>
        <w:ind w:firstLine="720"/>
        <w:rPr>
          <w:rFonts w:cs="Arial"/>
        </w:rPr>
      </w:pPr>
      <w:r>
        <w:rPr>
          <w:rFonts w:cs="Arial"/>
        </w:rPr>
        <w:t xml:space="preserve">With this successful protein identification, we constructed GLMM-NB model to compare </w:t>
      </w:r>
      <w:r w:rsidR="002E2660">
        <w:rPr>
          <w:rFonts w:cs="Arial"/>
        </w:rPr>
        <w:t xml:space="preserve">diet metaproteomes.  </w:t>
      </w:r>
      <w:r w:rsidR="001D14E7">
        <w:rPr>
          <w:rFonts w:cs="Arial"/>
        </w:rPr>
        <w:t xml:space="preserve">Since the experiment design is based on cross over and fecal proteome is highly varied even within same group, we </w:t>
      </w:r>
      <w:r w:rsidR="001D14E7">
        <w:rPr>
          <w:rFonts w:cs="Arial"/>
        </w:rPr>
        <w:lastRenderedPageBreak/>
        <w:t xml:space="preserve">selected GLMM model by setting patients as random effect and diet types as fixed effect.  NB is employed as null distribution of GLMM model because NB is effective to analyze count type data, such as spectrum counting of the diet metaproteome.  </w:t>
      </w:r>
      <w:r w:rsidR="004B1F83">
        <w:rPr>
          <w:rFonts w:cs="Arial"/>
        </w:rPr>
        <w:t xml:space="preserve">On top of GLMM NB model, Cohen’s </w:t>
      </w:r>
      <w:r w:rsidR="004B1F83" w:rsidRPr="004B1F83">
        <w:rPr>
          <w:rFonts w:cs="Arial"/>
          <w:i/>
        </w:rPr>
        <w:t>w</w:t>
      </w:r>
      <w:r w:rsidR="004B1F83">
        <w:rPr>
          <w:rFonts w:cs="Arial"/>
        </w:rPr>
        <w:t xml:space="preserve"> was combined to enhance statistical power of hypothesis tests.  </w:t>
      </w:r>
      <w:r w:rsidR="00284059">
        <w:rPr>
          <w:rFonts w:cs="Arial"/>
        </w:rPr>
        <w:t>This GLMM NB model</w:t>
      </w:r>
      <w:r w:rsidR="00E37915">
        <w:rPr>
          <w:rFonts w:cs="Arial"/>
        </w:rPr>
        <w:t xml:space="preserve"> and Cohen’s </w:t>
      </w:r>
      <w:r w:rsidR="00E37915" w:rsidRPr="00E37915">
        <w:rPr>
          <w:rFonts w:cs="Arial"/>
          <w:i/>
        </w:rPr>
        <w:t>w</w:t>
      </w:r>
      <w:r w:rsidR="00284059">
        <w:rPr>
          <w:rFonts w:cs="Arial"/>
        </w:rPr>
        <w:t xml:space="preserve"> </w:t>
      </w:r>
      <w:r w:rsidR="00E37915">
        <w:rPr>
          <w:rFonts w:cs="Arial"/>
        </w:rPr>
        <w:t>could provide reliable statistical comparisons and were</w:t>
      </w:r>
      <w:r w:rsidR="00284059">
        <w:rPr>
          <w:rFonts w:cs="Arial"/>
        </w:rPr>
        <w:t xml:space="preserve"> used for finding significantly changed proteins and functional analysis of the diet metaproteome.</w:t>
      </w:r>
      <w:r w:rsidR="004B1F83">
        <w:rPr>
          <w:rFonts w:cs="Arial"/>
        </w:rPr>
        <w:t xml:space="preserve">  </w:t>
      </w:r>
      <w:r w:rsidR="00E37915">
        <w:rPr>
          <w:rFonts w:cs="Arial"/>
        </w:rPr>
        <w:t xml:space="preserve">We could find </w:t>
      </w:r>
      <w:r w:rsidR="00EE7453">
        <w:rPr>
          <w:rFonts w:cs="Arial"/>
          <w:iCs/>
        </w:rPr>
        <w:t xml:space="preserve">7,113 </w:t>
      </w:r>
      <w:r w:rsidR="00EE7453">
        <w:rPr>
          <w:rFonts w:cs="Arial"/>
        </w:rPr>
        <w:t>significantly changed proteins (</w:t>
      </w:r>
      <w:r w:rsidR="00EE7453">
        <w:rPr>
          <w:rFonts w:cs="Arial"/>
          <w:iCs/>
        </w:rPr>
        <w:t>94 from human and 7,018 from microbiome and metagenome)</w:t>
      </w:r>
      <w:r w:rsidR="00EE7453" w:rsidRPr="00E4129D">
        <w:rPr>
          <w:rFonts w:cs="Arial"/>
          <w:iCs/>
        </w:rPr>
        <w:t>.  These significant proteins were picked by 0.0001 FDR and 1.0258 Cohen’s w</w:t>
      </w:r>
    </w:p>
    <w:p w14:paraId="04DB6900" w14:textId="16C63577" w:rsidR="00A4761A" w:rsidRDefault="00A4761A" w:rsidP="002E2660">
      <w:pPr>
        <w:spacing w:line="480" w:lineRule="auto"/>
        <w:ind w:firstLine="720"/>
        <w:rPr>
          <w:rFonts w:cs="Arial"/>
        </w:rPr>
      </w:pPr>
      <w:r>
        <w:rPr>
          <w:rFonts w:cs="Arial"/>
        </w:rPr>
        <w:t xml:space="preserve">Functional analysis of the diet metaproteoe provided </w:t>
      </w:r>
      <w:r w:rsidR="004723EF">
        <w:rPr>
          <w:rFonts w:cs="Arial"/>
        </w:rPr>
        <w:t>understanding of change</w:t>
      </w:r>
      <w:r w:rsidR="00C50098">
        <w:rPr>
          <w:rFonts w:cs="Arial"/>
        </w:rPr>
        <w:t>s</w:t>
      </w:r>
      <w:r w:rsidR="004723EF">
        <w:rPr>
          <w:rFonts w:cs="Arial"/>
        </w:rPr>
        <w:t xml:space="preserve"> </w:t>
      </w:r>
      <w:r w:rsidR="00C50098">
        <w:rPr>
          <w:rFonts w:cs="Arial"/>
        </w:rPr>
        <w:t xml:space="preserve">in </w:t>
      </w:r>
      <w:r w:rsidR="004723EF">
        <w:rPr>
          <w:rFonts w:cs="Arial"/>
        </w:rPr>
        <w:t xml:space="preserve">human and microbial community.  </w:t>
      </w:r>
      <w:r w:rsidR="002D2D0F">
        <w:rPr>
          <w:rFonts w:cs="Arial"/>
        </w:rPr>
        <w:t xml:space="preserve">KEGG pathway analysis showed that functional changes of host are immune response and glucose uptake.  COG analysis told that microbial community also had changes in energy generation, gene and protein expression and cell motility.  </w:t>
      </w:r>
      <w:r w:rsidR="0046579C">
        <w:rPr>
          <w:rFonts w:cs="Arial"/>
        </w:rPr>
        <w:t xml:space="preserve">As RS is increased, </w:t>
      </w:r>
      <w:r w:rsidR="00E45AB1">
        <w:rPr>
          <w:rFonts w:cs="Arial"/>
        </w:rPr>
        <w:t>new species is growing rapidly, so existing microbes in the community prepared cell wall and envelop against changed environment.</w:t>
      </w:r>
    </w:p>
    <w:p w14:paraId="2A25FC0D" w14:textId="5A3398C1" w:rsidR="006B44E6" w:rsidRDefault="007852AF" w:rsidP="00EC4E8D">
      <w:pPr>
        <w:spacing w:line="480" w:lineRule="auto"/>
        <w:ind w:firstLine="720"/>
        <w:rPr>
          <w:rFonts w:cs="Arial"/>
        </w:rPr>
      </w:pPr>
      <w:r>
        <w:rPr>
          <w:rFonts w:cs="Arial"/>
        </w:rPr>
        <w:t xml:space="preserve">Diet metaproteome is highly complicated and very huge data.  </w:t>
      </w:r>
      <w:r w:rsidR="001302EC">
        <w:rPr>
          <w:rFonts w:cs="Arial"/>
        </w:rPr>
        <w:t xml:space="preserve">However, </w:t>
      </w:r>
      <w:r>
        <w:rPr>
          <w:rFonts w:cs="Arial"/>
        </w:rPr>
        <w:t>QFAM could appropriately analyze t</w:t>
      </w:r>
      <w:r w:rsidR="00D8282C">
        <w:rPr>
          <w:rFonts w:cs="Arial"/>
        </w:rPr>
        <w:t xml:space="preserve">he generated metaproteome and could give exciting insights about functional changes in human host and microbes.  </w:t>
      </w:r>
      <w:r w:rsidR="001302EC">
        <w:rPr>
          <w:rFonts w:cs="Arial"/>
        </w:rPr>
        <w:t xml:space="preserve">In spite of high variance within fecal replicates, GLMM NB and Cohen’s </w:t>
      </w:r>
      <w:r w:rsidR="001302EC" w:rsidRPr="001302EC">
        <w:rPr>
          <w:rFonts w:cs="Arial"/>
          <w:i/>
        </w:rPr>
        <w:t>w</w:t>
      </w:r>
      <w:r w:rsidR="001302EC">
        <w:rPr>
          <w:rFonts w:cs="Arial"/>
        </w:rPr>
        <w:t xml:space="preserve"> could rigorously compared and gave interesting and reliable analysis results.</w:t>
      </w:r>
    </w:p>
    <w:p w14:paraId="63E912BA" w14:textId="77777777" w:rsidR="003F5025" w:rsidRDefault="003F5025" w:rsidP="001A18E4">
      <w:pPr>
        <w:spacing w:line="480" w:lineRule="auto"/>
        <w:rPr>
          <w:rFonts w:cs="Arial"/>
        </w:rPr>
      </w:pPr>
    </w:p>
    <w:p w14:paraId="6D9B0E9B" w14:textId="23CDD30A" w:rsidR="00236E6D" w:rsidRPr="004030F5" w:rsidRDefault="00236E6D" w:rsidP="000A35F6">
      <w:pPr>
        <w:pStyle w:val="Heading1"/>
        <w:jc w:val="center"/>
        <w:rPr>
          <w:rFonts w:cs="Arial"/>
        </w:rPr>
      </w:pPr>
      <w:bookmarkStart w:id="123" w:name="_Toc296333759"/>
      <w:r w:rsidRPr="004030F5">
        <w:rPr>
          <w:rFonts w:cs="Arial"/>
        </w:rPr>
        <w:lastRenderedPageBreak/>
        <w:t>CHAPTER V</w:t>
      </w:r>
      <w:r w:rsidR="00F7354F">
        <w:rPr>
          <w:rFonts w:cs="Arial"/>
        </w:rPr>
        <w:t>I</w:t>
      </w:r>
      <w:r w:rsidR="000A35F6" w:rsidRPr="004030F5">
        <w:rPr>
          <w:rFonts w:cs="Arial"/>
        </w:rPr>
        <w:br/>
      </w:r>
      <w:r w:rsidR="003D63DF" w:rsidRPr="004030F5">
        <w:rPr>
          <w:rFonts w:cs="Arial"/>
        </w:rPr>
        <w:t>Conclusions</w:t>
      </w:r>
      <w:bookmarkEnd w:id="123"/>
    </w:p>
    <w:p w14:paraId="7F9C1AE2" w14:textId="77777777" w:rsidR="00B840E3" w:rsidRPr="004030F5" w:rsidRDefault="00B840E3" w:rsidP="000A35F6">
      <w:pPr>
        <w:spacing w:line="480" w:lineRule="auto"/>
        <w:rPr>
          <w:rFonts w:cs="Arial"/>
        </w:rPr>
      </w:pPr>
    </w:p>
    <w:p w14:paraId="4AA5F30B" w14:textId="39F476B0" w:rsidR="00B840E3" w:rsidRPr="004030F5" w:rsidRDefault="00956B2F" w:rsidP="00E61F24">
      <w:pPr>
        <w:pStyle w:val="Heading2"/>
      </w:pPr>
      <w:bookmarkStart w:id="124" w:name="_Toc296333760"/>
      <w:r>
        <w:t>Significance of QFAM in metaproteomics analysis tools</w:t>
      </w:r>
      <w:bookmarkEnd w:id="124"/>
      <w:r w:rsidR="00B840E3" w:rsidRPr="004030F5">
        <w:t xml:space="preserve"> </w:t>
      </w:r>
    </w:p>
    <w:p w14:paraId="615601EE" w14:textId="77777777" w:rsidR="00E61F24" w:rsidRDefault="00E61F24" w:rsidP="000A35F6">
      <w:pPr>
        <w:spacing w:line="480" w:lineRule="auto"/>
        <w:rPr>
          <w:rFonts w:cs="Arial"/>
        </w:rPr>
      </w:pPr>
    </w:p>
    <w:p w14:paraId="6EF8712D" w14:textId="47B63C4B" w:rsidR="00B840E3" w:rsidRPr="004030F5" w:rsidRDefault="00B840E3" w:rsidP="000A35F6">
      <w:pPr>
        <w:spacing w:line="480" w:lineRule="auto"/>
        <w:rPr>
          <w:rFonts w:cs="Arial"/>
        </w:rPr>
      </w:pPr>
      <w:r w:rsidRPr="004030F5">
        <w:rPr>
          <w:rFonts w:cs="Arial"/>
        </w:rPr>
        <w:t>Asdfasdfasdfasdf</w:t>
      </w:r>
    </w:p>
    <w:p w14:paraId="708C378F" w14:textId="77777777" w:rsidR="00236E6D" w:rsidRPr="004030F5" w:rsidRDefault="00236E6D" w:rsidP="000A35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14:paraId="2E3235BA" w14:textId="46D3BC6E" w:rsidR="00B840E3" w:rsidRPr="004030F5" w:rsidRDefault="00B840E3" w:rsidP="00E61F24">
      <w:pPr>
        <w:pStyle w:val="Heading2"/>
      </w:pPr>
      <w:bookmarkStart w:id="125" w:name="_Toc296333761"/>
      <w:r w:rsidRPr="004030F5">
        <w:t>Future direction</w:t>
      </w:r>
      <w:r w:rsidR="006D4A86">
        <w:t xml:space="preserve"> of QFAM</w:t>
      </w:r>
      <w:bookmarkEnd w:id="125"/>
    </w:p>
    <w:p w14:paraId="3B9502DE" w14:textId="77777777" w:rsidR="00E61F24" w:rsidRDefault="00E61F24" w:rsidP="000A35F6">
      <w:pPr>
        <w:spacing w:line="480" w:lineRule="auto"/>
        <w:rPr>
          <w:rFonts w:cs="Arial"/>
        </w:rPr>
      </w:pPr>
    </w:p>
    <w:p w14:paraId="4A8AD7E6" w14:textId="1DC68730" w:rsidR="000A35F6" w:rsidRPr="004030F5" w:rsidRDefault="000A35F6" w:rsidP="000A35F6">
      <w:pPr>
        <w:spacing w:line="480" w:lineRule="auto"/>
        <w:rPr>
          <w:rFonts w:cs="Arial"/>
        </w:rPr>
      </w:pPr>
      <w:r w:rsidRPr="004030F5">
        <w:rPr>
          <w:rFonts w:cs="Arial"/>
        </w:rPr>
        <w:t>A</w:t>
      </w:r>
      <w:r w:rsidR="00B840E3" w:rsidRPr="004030F5">
        <w:rPr>
          <w:rFonts w:cs="Arial"/>
        </w:rPr>
        <w:t>sdfasdfasdfsadf</w:t>
      </w:r>
    </w:p>
    <w:p w14:paraId="670E59AF" w14:textId="4B895EAE" w:rsidR="008F60C3" w:rsidRPr="004030F5" w:rsidRDefault="008F60C3" w:rsidP="00E83C7D">
      <w:pPr>
        <w:rPr>
          <w:rFonts w:cs="Arial"/>
        </w:rPr>
      </w:pPr>
      <w:r w:rsidRPr="004030F5">
        <w:rPr>
          <w:rFonts w:cs="Arial"/>
        </w:rPr>
        <w:br w:type="page"/>
      </w:r>
    </w:p>
    <w:p w14:paraId="2C938902" w14:textId="77777777" w:rsidR="008F60C3" w:rsidRPr="004030F5" w:rsidRDefault="008F60C3" w:rsidP="003E7750">
      <w:pPr>
        <w:pStyle w:val="StyleHeading1Centered"/>
        <w:spacing w:line="480" w:lineRule="auto"/>
        <w:rPr>
          <w:rFonts w:cs="Arial"/>
        </w:rPr>
      </w:pPr>
    </w:p>
    <w:p w14:paraId="32FBE3ED" w14:textId="77777777" w:rsidR="008F60C3" w:rsidRPr="004030F5" w:rsidRDefault="008F60C3" w:rsidP="003E7750">
      <w:pPr>
        <w:pStyle w:val="StyleHeading1Centered"/>
        <w:spacing w:line="480" w:lineRule="auto"/>
        <w:rPr>
          <w:rFonts w:cs="Arial"/>
        </w:rPr>
      </w:pPr>
    </w:p>
    <w:p w14:paraId="0463B88B" w14:textId="77777777" w:rsidR="008F60C3" w:rsidRPr="004030F5" w:rsidRDefault="008F60C3" w:rsidP="003E7750">
      <w:pPr>
        <w:pStyle w:val="StyleHeading1Centered"/>
        <w:spacing w:line="480" w:lineRule="auto"/>
        <w:rPr>
          <w:rFonts w:cs="Arial"/>
        </w:rPr>
      </w:pPr>
    </w:p>
    <w:p w14:paraId="00AB5DE1" w14:textId="77777777" w:rsidR="008F60C3" w:rsidRPr="004030F5" w:rsidRDefault="008F60C3" w:rsidP="003E7750">
      <w:pPr>
        <w:pStyle w:val="StyleHeading1Centered"/>
        <w:spacing w:line="480" w:lineRule="auto"/>
        <w:rPr>
          <w:rFonts w:cs="Arial"/>
        </w:rPr>
      </w:pPr>
    </w:p>
    <w:p w14:paraId="493D28C0" w14:textId="77777777" w:rsidR="008F60C3" w:rsidRPr="004030F5" w:rsidRDefault="008F60C3" w:rsidP="003E7750">
      <w:pPr>
        <w:pStyle w:val="StyleHeading1Centered"/>
        <w:spacing w:line="480" w:lineRule="auto"/>
        <w:rPr>
          <w:rFonts w:cs="Arial"/>
        </w:rPr>
      </w:pPr>
    </w:p>
    <w:p w14:paraId="4A512771" w14:textId="77777777" w:rsidR="008F60C3" w:rsidRPr="004030F5" w:rsidRDefault="008F60C3" w:rsidP="003E7750">
      <w:pPr>
        <w:pStyle w:val="StyleHeading1Centered"/>
        <w:spacing w:line="480" w:lineRule="auto"/>
        <w:rPr>
          <w:rFonts w:cs="Arial"/>
        </w:rPr>
      </w:pPr>
    </w:p>
    <w:p w14:paraId="2662E940" w14:textId="77777777" w:rsidR="008F60C3" w:rsidRPr="004030F5" w:rsidRDefault="008F60C3" w:rsidP="003E7750">
      <w:pPr>
        <w:pStyle w:val="StyleHeading1Centered"/>
        <w:spacing w:line="480" w:lineRule="auto"/>
        <w:rPr>
          <w:rFonts w:cs="Arial"/>
        </w:rPr>
      </w:pPr>
    </w:p>
    <w:p w14:paraId="3B9B15DD" w14:textId="77777777" w:rsidR="008F60C3" w:rsidRPr="004030F5" w:rsidRDefault="008F60C3" w:rsidP="003E7750">
      <w:pPr>
        <w:pStyle w:val="StyleHeading1Centered"/>
        <w:spacing w:line="480" w:lineRule="auto"/>
        <w:rPr>
          <w:rFonts w:cs="Arial"/>
        </w:rPr>
      </w:pPr>
    </w:p>
    <w:p w14:paraId="47A2A26A" w14:textId="77777777" w:rsidR="008F60C3" w:rsidRPr="004030F5" w:rsidRDefault="008F60C3" w:rsidP="003E7750">
      <w:pPr>
        <w:pStyle w:val="StyleHeading1Centered"/>
        <w:spacing w:line="480" w:lineRule="auto"/>
        <w:rPr>
          <w:rFonts w:cs="Arial"/>
        </w:rPr>
      </w:pPr>
    </w:p>
    <w:p w14:paraId="1252125F" w14:textId="77777777" w:rsidR="00236E6D" w:rsidRPr="004030F5" w:rsidRDefault="00236E6D" w:rsidP="003E7750">
      <w:pPr>
        <w:pStyle w:val="StyleHeading1Centered"/>
        <w:spacing w:line="480" w:lineRule="auto"/>
        <w:rPr>
          <w:rFonts w:cs="Arial"/>
        </w:rPr>
      </w:pPr>
      <w:bookmarkStart w:id="126" w:name="_Toc296333762"/>
      <w:r w:rsidRPr="004030F5">
        <w:rPr>
          <w:rFonts w:cs="Arial"/>
        </w:rPr>
        <w:t>LIST OF REFERENCES</w:t>
      </w:r>
      <w:bookmarkEnd w:id="126"/>
    </w:p>
    <w:p w14:paraId="367AB216" w14:textId="77777777" w:rsidR="00B840E3" w:rsidRPr="004030F5" w:rsidRDefault="00B840E3"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sz w:val="28"/>
          <w:szCs w:val="28"/>
        </w:rPr>
      </w:pPr>
    </w:p>
    <w:p w14:paraId="06FDFAF2" w14:textId="6FFF76BA" w:rsidR="00460779"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sidRPr="004030F5">
        <w:rPr>
          <w:rFonts w:cs="Arial"/>
          <w:sz w:val="28"/>
          <w:szCs w:val="28"/>
        </w:rPr>
        <w:br w:type="page"/>
      </w:r>
    </w:p>
    <w:p w14:paraId="7723544B" w14:textId="77777777" w:rsidR="0042295E" w:rsidRPr="0042295E" w:rsidRDefault="00460779" w:rsidP="0042295E">
      <w:pPr>
        <w:pStyle w:val="EndNoteBibliography"/>
        <w:ind w:left="720" w:hanging="720"/>
        <w:rPr>
          <w:noProof/>
        </w:rPr>
      </w:pPr>
      <w:r w:rsidRPr="004030F5">
        <w:rPr>
          <w:rFonts w:cs="Arial"/>
        </w:rPr>
        <w:lastRenderedPageBreak/>
        <w:fldChar w:fldCharType="begin"/>
      </w:r>
      <w:r w:rsidRPr="004030F5">
        <w:rPr>
          <w:rFonts w:cs="Arial"/>
        </w:rPr>
        <w:instrText xml:space="preserve"> ADDIN EN.REFLIST </w:instrText>
      </w:r>
      <w:r w:rsidRPr="004030F5">
        <w:rPr>
          <w:rFonts w:cs="Arial"/>
        </w:rPr>
        <w:fldChar w:fldCharType="separate"/>
      </w:r>
      <w:r w:rsidR="0042295E" w:rsidRPr="0042295E">
        <w:rPr>
          <w:noProof/>
        </w:rPr>
        <w:t>1. Pieper R, Huang S-T, Suh M-J (2014) Proteomics and Metaproteomics. Encyclopedia of Metagenomics: Springer. pp. 1-11.</w:t>
      </w:r>
    </w:p>
    <w:p w14:paraId="56737944" w14:textId="77777777" w:rsidR="0042295E" w:rsidRPr="0042295E" w:rsidRDefault="0042295E" w:rsidP="0042295E">
      <w:pPr>
        <w:pStyle w:val="EndNoteBibliography"/>
        <w:ind w:left="720" w:hanging="720"/>
        <w:rPr>
          <w:noProof/>
        </w:rPr>
      </w:pPr>
      <w:r w:rsidRPr="0042295E">
        <w:rPr>
          <w:noProof/>
        </w:rPr>
        <w:t>2. Aerni SJ, Sirota M (2014) A Bioinformatics Guide for Molecular Biologists: Cold Spring Harbor Laboratory Press.</w:t>
      </w:r>
    </w:p>
    <w:p w14:paraId="14C8EABA" w14:textId="77777777" w:rsidR="0042295E" w:rsidRPr="0042295E" w:rsidRDefault="0042295E" w:rsidP="0042295E">
      <w:pPr>
        <w:pStyle w:val="EndNoteBibliography"/>
        <w:ind w:left="720" w:hanging="720"/>
        <w:rPr>
          <w:noProof/>
        </w:rPr>
      </w:pPr>
      <w:r w:rsidRPr="0042295E">
        <w:rPr>
          <w:noProof/>
        </w:rPr>
        <w:t>3. Wilmes P, Bond PL (2004) The application of two</w:t>
      </w:r>
      <w:r w:rsidRPr="0042295E">
        <w:rPr>
          <w:rFonts w:ascii="Noteworthy Bold" w:hAnsi="Noteworthy Bold" w:cs="Noteworthy Bold"/>
          <w:noProof/>
        </w:rPr>
        <w:t>‐</w:t>
      </w:r>
      <w:r w:rsidRPr="0042295E">
        <w:rPr>
          <w:noProof/>
        </w:rPr>
        <w:t>dimensional polyacrylamide gel electrophoresis and downstream analyses to a mixed community of prokaryotic microorganisms. Environmental Microbiology 6: 911-920.</w:t>
      </w:r>
    </w:p>
    <w:p w14:paraId="309547C3" w14:textId="77777777" w:rsidR="0042295E" w:rsidRPr="0042295E" w:rsidRDefault="0042295E" w:rsidP="0042295E">
      <w:pPr>
        <w:pStyle w:val="EndNoteBibliography"/>
        <w:ind w:left="720" w:hanging="720"/>
        <w:rPr>
          <w:noProof/>
        </w:rPr>
      </w:pPr>
      <w:r w:rsidRPr="0042295E">
        <w:rPr>
          <w:noProof/>
        </w:rPr>
        <w:t>4. Tanca A, Palomba A, Pisanu S, Deligios M, Fraumene C, et al. (2014) A straightforward and efficient analytical pipeline for metaproteome characterization. Microbiome 2: 1-16.</w:t>
      </w:r>
    </w:p>
    <w:p w14:paraId="6645F5C7" w14:textId="77777777" w:rsidR="0042295E" w:rsidRPr="0042295E" w:rsidRDefault="0042295E" w:rsidP="0042295E">
      <w:pPr>
        <w:pStyle w:val="EndNoteBibliography"/>
        <w:ind w:left="720" w:hanging="720"/>
        <w:rPr>
          <w:noProof/>
        </w:rPr>
      </w:pPr>
      <w:r w:rsidRPr="0042295E">
        <w:rPr>
          <w:noProof/>
        </w:rPr>
        <w:t>5. Ram RJ, VerBerkmoes NC, Thelen MP, Tyson GW, Baker BJ, et al. (2005) Community proteomics of a natural microbial biofilm. Science 308: 1915-1920.</w:t>
      </w:r>
    </w:p>
    <w:p w14:paraId="10751A29" w14:textId="77777777" w:rsidR="0042295E" w:rsidRPr="0042295E" w:rsidRDefault="0042295E" w:rsidP="0042295E">
      <w:pPr>
        <w:pStyle w:val="EndNoteBibliography"/>
        <w:ind w:left="720" w:hanging="720"/>
        <w:rPr>
          <w:noProof/>
        </w:rPr>
      </w:pPr>
      <w:r w:rsidRPr="0042295E">
        <w:rPr>
          <w:noProof/>
        </w:rPr>
        <w:t>6. Lacerda CM, Choe LH, Reardon KF (2007) Metaproteomic analysis of a bacterial community response to cadmium exposure. Journal of proteome research 6: 1145-1152.</w:t>
      </w:r>
    </w:p>
    <w:p w14:paraId="01E62E10" w14:textId="77777777" w:rsidR="0042295E" w:rsidRPr="0042295E" w:rsidRDefault="0042295E" w:rsidP="0042295E">
      <w:pPr>
        <w:pStyle w:val="EndNoteBibliography"/>
        <w:ind w:left="720" w:hanging="720"/>
        <w:rPr>
          <w:noProof/>
        </w:rPr>
      </w:pPr>
      <w:r w:rsidRPr="0042295E">
        <w:rPr>
          <w:noProof/>
        </w:rPr>
        <w:t>7. Powell MJ, Sutton JN, Del Castillo CE, Timperman AT (2005) Marine proteomics: generation of sequence tags for dissolved proteins in seawater using tandem mass spectrometry. Marine chemistry 95: 183-198.</w:t>
      </w:r>
    </w:p>
    <w:p w14:paraId="6F9F69E5" w14:textId="77777777" w:rsidR="0042295E" w:rsidRPr="0042295E" w:rsidRDefault="0042295E" w:rsidP="0042295E">
      <w:pPr>
        <w:pStyle w:val="EndNoteBibliography"/>
        <w:ind w:left="720" w:hanging="720"/>
        <w:rPr>
          <w:noProof/>
        </w:rPr>
      </w:pPr>
      <w:r w:rsidRPr="0042295E">
        <w:rPr>
          <w:noProof/>
        </w:rPr>
        <w:t>8. Schulze WX, Gleixner G, Kaiser K, Guggenberger G, Mann M, et al. (2005) A proteomic fingerprint of dissolved organic carbon and of soil particles. Oecologia 142: 335-343.</w:t>
      </w:r>
    </w:p>
    <w:p w14:paraId="2D2350E3" w14:textId="77777777" w:rsidR="0042295E" w:rsidRPr="0042295E" w:rsidRDefault="0042295E" w:rsidP="0042295E">
      <w:pPr>
        <w:pStyle w:val="EndNoteBibliography"/>
        <w:ind w:left="720" w:hanging="720"/>
        <w:rPr>
          <w:noProof/>
        </w:rPr>
      </w:pPr>
      <w:r w:rsidRPr="0042295E">
        <w:rPr>
          <w:noProof/>
        </w:rPr>
        <w:t>9. Hultman J, Waldrop MP, Mackelprang R, David MM, McFarland J, et al. (2015) Multi-omics of permafrost, active layer and thermokarst bog soil microbiomes. Nature.</w:t>
      </w:r>
    </w:p>
    <w:p w14:paraId="4B5C02C9" w14:textId="77777777" w:rsidR="0042295E" w:rsidRPr="0042295E" w:rsidRDefault="0042295E" w:rsidP="0042295E">
      <w:pPr>
        <w:pStyle w:val="EndNoteBibliography"/>
        <w:ind w:left="720" w:hanging="720"/>
        <w:rPr>
          <w:noProof/>
        </w:rPr>
      </w:pPr>
      <w:r w:rsidRPr="0042295E">
        <w:rPr>
          <w:noProof/>
        </w:rPr>
        <w:t>10. Xiong W, Abraham P, Li Z, Pan C, Hettich RL (2015) Microbial metaproteomics for characterizing the range of metabolic functions and activities of human gut microbiota. Proteomics.</w:t>
      </w:r>
    </w:p>
    <w:p w14:paraId="4319E9EC" w14:textId="77777777" w:rsidR="0042295E" w:rsidRPr="0042295E" w:rsidRDefault="0042295E" w:rsidP="0042295E">
      <w:pPr>
        <w:pStyle w:val="EndNoteBibliography"/>
        <w:ind w:left="720" w:hanging="720"/>
        <w:rPr>
          <w:noProof/>
        </w:rPr>
      </w:pPr>
      <w:r w:rsidRPr="0042295E">
        <w:rPr>
          <w:noProof/>
        </w:rPr>
        <w:t>11. Lichtman JS, Marcobal A, Sonnenburg JL, Elias JE (2013) Host-centric proteomics of stool: a novel strategy focused on intestinal responses to the gut microbiota. Molecular &amp; Cellular Proteomics 12: 3310-3318.</w:t>
      </w:r>
    </w:p>
    <w:p w14:paraId="5F161BB3" w14:textId="77777777" w:rsidR="0042295E" w:rsidRPr="0042295E" w:rsidRDefault="0042295E" w:rsidP="0042295E">
      <w:pPr>
        <w:pStyle w:val="EndNoteBibliography"/>
        <w:ind w:left="720" w:hanging="720"/>
        <w:rPr>
          <w:noProof/>
        </w:rPr>
      </w:pPr>
      <w:r w:rsidRPr="0042295E">
        <w:rPr>
          <w:noProof/>
        </w:rPr>
        <w:t>12. Yates JR, Ruse CI, Nakorchevsky A (2009) Proteomics by mass spectrometry: approaches, advances, and applications. Annual review of biomedical engineering 11: 49-79.</w:t>
      </w:r>
    </w:p>
    <w:p w14:paraId="7F9FB4D2" w14:textId="77777777" w:rsidR="0042295E" w:rsidRPr="0042295E" w:rsidRDefault="0042295E" w:rsidP="0042295E">
      <w:pPr>
        <w:pStyle w:val="EndNoteBibliography"/>
        <w:ind w:left="720" w:hanging="720"/>
        <w:rPr>
          <w:noProof/>
        </w:rPr>
      </w:pPr>
      <w:r w:rsidRPr="0042295E">
        <w:rPr>
          <w:noProof/>
        </w:rPr>
        <w:t>13. VerBerkmoes NC, Denef VJ, Hettich RL, Banfield JF (2009) Systems biology: functional analysis of natural microbial consortia using community proteomics. Nature Reviews Microbiology 7: 196-205.</w:t>
      </w:r>
    </w:p>
    <w:p w14:paraId="5E358613" w14:textId="77777777" w:rsidR="0042295E" w:rsidRPr="0042295E" w:rsidRDefault="0042295E" w:rsidP="0042295E">
      <w:pPr>
        <w:pStyle w:val="EndNoteBibliography"/>
        <w:ind w:left="720" w:hanging="720"/>
        <w:rPr>
          <w:noProof/>
        </w:rPr>
      </w:pPr>
      <w:r w:rsidRPr="0042295E">
        <w:rPr>
          <w:noProof/>
        </w:rPr>
        <w:t>14. Goodwin RJ, Lang AM, Allingham H, Borén M, Pitt AR (2010) Stopping the clock on proteomic degradation by heat treatment at the point of tissue excision. Proteomics 10: 1751-1761.</w:t>
      </w:r>
    </w:p>
    <w:p w14:paraId="6936410E" w14:textId="77777777" w:rsidR="0042295E" w:rsidRPr="0042295E" w:rsidRDefault="0042295E" w:rsidP="0042295E">
      <w:pPr>
        <w:pStyle w:val="EndNoteBibliography"/>
        <w:ind w:left="720" w:hanging="720"/>
        <w:rPr>
          <w:noProof/>
        </w:rPr>
      </w:pPr>
      <w:r w:rsidRPr="0042295E">
        <w:rPr>
          <w:noProof/>
        </w:rPr>
        <w:t>15. Hettich RL, Pan C, Chourey K, Giannone RJ (2013) Metaproteomics: harnessing the power of high performance mass spectrometry to identify the suite of proteins that control metabolic activities in microbial communities. Analytical chemistry 85: 4203-4214.</w:t>
      </w:r>
    </w:p>
    <w:p w14:paraId="14F6C6EB" w14:textId="77777777" w:rsidR="0042295E" w:rsidRPr="0042295E" w:rsidRDefault="0042295E" w:rsidP="0042295E">
      <w:pPr>
        <w:pStyle w:val="EndNoteBibliography"/>
        <w:ind w:left="720" w:hanging="720"/>
        <w:rPr>
          <w:noProof/>
        </w:rPr>
      </w:pPr>
      <w:r w:rsidRPr="0042295E">
        <w:rPr>
          <w:noProof/>
        </w:rPr>
        <w:lastRenderedPageBreak/>
        <w:t>16. Wiśniewski JR, Zougman A, Nagaraj N, Mann M (2009) Universal sample preparation method for proteome analysis. Nature methods 6: 359-362.</w:t>
      </w:r>
    </w:p>
    <w:p w14:paraId="78B45EF9" w14:textId="77777777" w:rsidR="0042295E" w:rsidRPr="0042295E" w:rsidRDefault="0042295E" w:rsidP="0042295E">
      <w:pPr>
        <w:pStyle w:val="EndNoteBibliography"/>
        <w:ind w:left="720" w:hanging="720"/>
        <w:rPr>
          <w:noProof/>
        </w:rPr>
      </w:pPr>
      <w:r w:rsidRPr="0042295E">
        <w:rPr>
          <w:noProof/>
        </w:rPr>
        <w:t>17. Sharma R, Dill BD, Chourey K, Shah M, VerBerkmoes NC, et al. (2012) Coupling a detergent lysis/cleanup methodology with intact protein fractionation for enhanced proteome characterization. Journal of proteome research 11: 6008-6018.</w:t>
      </w:r>
    </w:p>
    <w:p w14:paraId="06B5731C" w14:textId="77777777" w:rsidR="0042295E" w:rsidRPr="0042295E" w:rsidRDefault="0042295E" w:rsidP="0042295E">
      <w:pPr>
        <w:pStyle w:val="EndNoteBibliography"/>
        <w:ind w:left="720" w:hanging="720"/>
        <w:rPr>
          <w:noProof/>
        </w:rPr>
      </w:pPr>
      <w:r w:rsidRPr="0042295E">
        <w:rPr>
          <w:noProof/>
        </w:rPr>
        <w:t>18. Monera OD, Kay CM, Hodges RS (1994) Protein denaturation with guanidine hydrochloride or urea provides a different estimate of stability depending on the contributions of electrostatic interactions. Protein Science 3: 1984-1991.</w:t>
      </w:r>
    </w:p>
    <w:p w14:paraId="7E340B2C" w14:textId="3777FDA6" w:rsidR="0042295E" w:rsidRPr="0042295E" w:rsidRDefault="0042295E" w:rsidP="0042295E">
      <w:pPr>
        <w:pStyle w:val="EndNoteBibliography"/>
        <w:ind w:left="720" w:hanging="720"/>
        <w:rPr>
          <w:noProof/>
        </w:rPr>
      </w:pPr>
      <w:r w:rsidRPr="0042295E">
        <w:rPr>
          <w:noProof/>
        </w:rPr>
        <w:t xml:space="preserve">19. Saveliev S, Engel L, Strauss E, Jones R, Rosenblatt M (2007) The Advantages to Using Arg-C, Elastase, Thermolysin and Pepsin for Protein Analysis. pp. Available from: </w:t>
      </w:r>
      <w:hyperlink r:id="rId70" w:history="1">
        <w:r w:rsidRPr="0042295E">
          <w:rPr>
            <w:rStyle w:val="Hyperlink"/>
            <w:rFonts w:ascii="Arial" w:hAnsi="Arial"/>
            <w:noProof/>
          </w:rPr>
          <w:t>http://www.promega.com/resources/pubhub/the-advantages-to-using-arg-c-elastase-thermolysin-and-pepsin-for-protein-analysis/</w:t>
        </w:r>
      </w:hyperlink>
      <w:r w:rsidRPr="0042295E">
        <w:rPr>
          <w:noProof/>
        </w:rPr>
        <w:t>.</w:t>
      </w:r>
    </w:p>
    <w:p w14:paraId="10734CFC" w14:textId="77777777" w:rsidR="0042295E" w:rsidRPr="0042295E" w:rsidRDefault="0042295E" w:rsidP="0042295E">
      <w:pPr>
        <w:pStyle w:val="EndNoteBibliography"/>
        <w:ind w:left="720" w:hanging="720"/>
        <w:rPr>
          <w:noProof/>
        </w:rPr>
      </w:pPr>
      <w:r w:rsidRPr="0042295E">
        <w:rPr>
          <w:noProof/>
        </w:rPr>
        <w:t>20. Wu C, Tran JC, Zamdborg L, Durbin KR, Li M, et al. (2012) A protease for'middle-down'proteomics. Nature methods 9: 822-824.</w:t>
      </w:r>
    </w:p>
    <w:p w14:paraId="49904D73" w14:textId="77777777" w:rsidR="0042295E" w:rsidRPr="0042295E" w:rsidRDefault="0042295E" w:rsidP="0042295E">
      <w:pPr>
        <w:pStyle w:val="EndNoteBibliography"/>
        <w:ind w:left="720" w:hanging="720"/>
        <w:rPr>
          <w:noProof/>
        </w:rPr>
      </w:pPr>
      <w:r w:rsidRPr="0042295E">
        <w:rPr>
          <w:noProof/>
        </w:rPr>
        <w:t>21. Cannon J, Lohnes K, Wynne C, Wang Y, Edwards N, et al. (2010) High-throughput middle-down analysis using an orbitrap. Journal of proteome research 9: 3886-3890.</w:t>
      </w:r>
    </w:p>
    <w:p w14:paraId="2CAB7A2C" w14:textId="77777777" w:rsidR="0042295E" w:rsidRPr="0042295E" w:rsidRDefault="0042295E" w:rsidP="0042295E">
      <w:pPr>
        <w:pStyle w:val="EndNoteBibliography"/>
        <w:ind w:left="720" w:hanging="720"/>
        <w:rPr>
          <w:noProof/>
        </w:rPr>
      </w:pPr>
      <w:r w:rsidRPr="0042295E">
        <w:rPr>
          <w:noProof/>
        </w:rPr>
        <w:t>22. Zhou H, Ning Z, E. Starr A, Abu-Farha M, Figeys D (2011) Advancements in top-down proteomics. Analytical chemistry 84: 720-734.</w:t>
      </w:r>
    </w:p>
    <w:p w14:paraId="7D28CC70" w14:textId="77777777" w:rsidR="0042295E" w:rsidRPr="0042295E" w:rsidRDefault="0042295E" w:rsidP="0042295E">
      <w:pPr>
        <w:pStyle w:val="EndNoteBibliography"/>
        <w:ind w:left="720" w:hanging="720"/>
        <w:rPr>
          <w:noProof/>
        </w:rPr>
      </w:pPr>
      <w:r w:rsidRPr="0042295E">
        <w:rPr>
          <w:noProof/>
        </w:rPr>
        <w:t>23. Cox J, Mann M (2008) MaxQuant enables high peptide identification rates, individualized ppb-range mass accuracies and proteome-wide protein quantification. Nature biotechnology 26: 1367-1372.</w:t>
      </w:r>
    </w:p>
    <w:p w14:paraId="3F8E621D" w14:textId="77777777" w:rsidR="0042295E" w:rsidRPr="0042295E" w:rsidRDefault="0042295E" w:rsidP="0042295E">
      <w:pPr>
        <w:pStyle w:val="EndNoteBibliography"/>
        <w:ind w:left="720" w:hanging="720"/>
        <w:rPr>
          <w:noProof/>
        </w:rPr>
      </w:pPr>
      <w:r w:rsidRPr="0042295E">
        <w:rPr>
          <w:noProof/>
        </w:rPr>
        <w:t>24. Quenzer T, Robinson J, Bolanios B, Milgram E, Greig M. Automated accurate mass analysis using FTICR mass spectrometry; 2002.</w:t>
      </w:r>
    </w:p>
    <w:p w14:paraId="2169CADC" w14:textId="77777777" w:rsidR="0042295E" w:rsidRPr="0042295E" w:rsidRDefault="0042295E" w:rsidP="0042295E">
      <w:pPr>
        <w:pStyle w:val="EndNoteBibliography"/>
        <w:ind w:left="720" w:hanging="720"/>
        <w:rPr>
          <w:noProof/>
        </w:rPr>
      </w:pPr>
      <w:r w:rsidRPr="0042295E">
        <w:rPr>
          <w:noProof/>
        </w:rPr>
        <w:t>25. Egertson JD, Kuehn A, Merrihew GE, Bateman NW, MacLean BX, et al. (2013) Multiplexed MS/MS for improved data-independent acquisition. Nature methods 10: 744-746.</w:t>
      </w:r>
    </w:p>
    <w:p w14:paraId="4710CD4F" w14:textId="77777777" w:rsidR="0042295E" w:rsidRPr="0042295E" w:rsidRDefault="0042295E" w:rsidP="0042295E">
      <w:pPr>
        <w:pStyle w:val="EndNoteBibliography"/>
        <w:ind w:left="720" w:hanging="720"/>
        <w:rPr>
          <w:noProof/>
        </w:rPr>
      </w:pPr>
      <w:r w:rsidRPr="0042295E">
        <w:rPr>
          <w:noProof/>
        </w:rPr>
        <w:t>26. Michalski A, Cox J, Mann M (2011) More than 100,000 detectable peptide species elute in single shotgun proteomics runs but the majority is inaccessible to data-dependent LC− MS/MS. Journal of proteome research 10: 1785-1793.</w:t>
      </w:r>
    </w:p>
    <w:p w14:paraId="04D249E7" w14:textId="77777777" w:rsidR="0042295E" w:rsidRPr="0042295E" w:rsidRDefault="0042295E" w:rsidP="0042295E">
      <w:pPr>
        <w:pStyle w:val="EndNoteBibliography"/>
        <w:ind w:left="720" w:hanging="720"/>
        <w:rPr>
          <w:noProof/>
        </w:rPr>
      </w:pPr>
      <w:r w:rsidRPr="0042295E">
        <w:rPr>
          <w:noProof/>
        </w:rPr>
        <w:t>27. Purvine S, Yi EC, Goodlett DR (2003) Shotgun collision</w:t>
      </w:r>
      <w:r w:rsidRPr="0042295E">
        <w:rPr>
          <w:rFonts w:ascii="Noteworthy Bold" w:hAnsi="Noteworthy Bold" w:cs="Noteworthy Bold"/>
          <w:noProof/>
        </w:rPr>
        <w:t>‐</w:t>
      </w:r>
      <w:r w:rsidRPr="0042295E">
        <w:rPr>
          <w:noProof/>
        </w:rPr>
        <w:t>induced dissociation of peptides using a time of flight mass analyzer. Proteomics 3: 847-850.</w:t>
      </w:r>
    </w:p>
    <w:p w14:paraId="0E0F8A7C" w14:textId="77777777" w:rsidR="0042295E" w:rsidRPr="0042295E" w:rsidRDefault="0042295E" w:rsidP="0042295E">
      <w:pPr>
        <w:pStyle w:val="EndNoteBibliography"/>
        <w:ind w:left="720" w:hanging="720"/>
        <w:rPr>
          <w:noProof/>
        </w:rPr>
      </w:pPr>
      <w:r w:rsidRPr="0042295E">
        <w:rPr>
          <w:noProof/>
        </w:rPr>
        <w:t>28. Myung S, Lee YJ, Moon MH, Taraszka J, Sowell R, et al. (2003) Development of high-sensitivity ion trap ion mobility spectrometry time-of-flight techniques: a high-throughput nano-LC-IMS-TOF separation of peptides arising from a Drosophila protein extract. Analytical chemistry 75: 5137-5145.</w:t>
      </w:r>
    </w:p>
    <w:p w14:paraId="56C96F7F" w14:textId="77777777" w:rsidR="0042295E" w:rsidRPr="0042295E" w:rsidRDefault="0042295E" w:rsidP="0042295E">
      <w:pPr>
        <w:pStyle w:val="EndNoteBibliography"/>
        <w:ind w:left="720" w:hanging="720"/>
        <w:rPr>
          <w:noProof/>
        </w:rPr>
      </w:pPr>
      <w:r w:rsidRPr="0042295E">
        <w:rPr>
          <w:noProof/>
        </w:rPr>
        <w:t>29. Venable JD, Dong M-Q, Wohlschlegel J, Dillin A, Yates JR (2004) Automated approach for quantitative analysis of complex peptide mixtures from tandem mass spectra. Nature methods 1: 39-45.</w:t>
      </w:r>
    </w:p>
    <w:p w14:paraId="5F5634D3" w14:textId="77777777" w:rsidR="0042295E" w:rsidRPr="0042295E" w:rsidRDefault="0042295E" w:rsidP="0042295E">
      <w:pPr>
        <w:pStyle w:val="EndNoteBibliography"/>
        <w:ind w:left="720" w:hanging="720"/>
        <w:rPr>
          <w:noProof/>
        </w:rPr>
      </w:pPr>
      <w:r w:rsidRPr="0042295E">
        <w:rPr>
          <w:noProof/>
        </w:rPr>
        <w:t>30. Panchaud A, Scherl A, Shaffer SA, von Haller PD, Kulasekara HD, et al. (2009) Precursor acquisition independent from ion count: how to dive deeper into the proteomics ocean. Analytical chemistry 81: 6481-6488.</w:t>
      </w:r>
    </w:p>
    <w:p w14:paraId="3A811954" w14:textId="77777777" w:rsidR="0042295E" w:rsidRPr="0042295E" w:rsidRDefault="0042295E" w:rsidP="0042295E">
      <w:pPr>
        <w:pStyle w:val="EndNoteBibliography"/>
        <w:ind w:left="720" w:hanging="720"/>
        <w:rPr>
          <w:noProof/>
        </w:rPr>
      </w:pPr>
      <w:r w:rsidRPr="0042295E">
        <w:rPr>
          <w:noProof/>
        </w:rPr>
        <w:lastRenderedPageBreak/>
        <w:t>31. Egertson JD, MacLean B, Johnson R, Xuan Y, MacCoss MJ (2015) Multiplexed peptide analysis using data-independent acquisition and Skyline. Nature protocols 10: 887-903.</w:t>
      </w:r>
    </w:p>
    <w:p w14:paraId="3AD548D8" w14:textId="77777777" w:rsidR="0042295E" w:rsidRPr="0042295E" w:rsidRDefault="0042295E" w:rsidP="0042295E">
      <w:pPr>
        <w:pStyle w:val="EndNoteBibliography"/>
        <w:ind w:left="720" w:hanging="720"/>
        <w:rPr>
          <w:noProof/>
        </w:rPr>
      </w:pPr>
      <w:r w:rsidRPr="0042295E">
        <w:rPr>
          <w:noProof/>
        </w:rPr>
        <w:t>32. MacLean B, Tomazela DM, Shulman N, Chambers M, Finney GL, et al. (2010) Skyline: an open source document editor for creating and analyzing targeted proteomics experiments. Bioinformatics 26: 966-968.</w:t>
      </w:r>
    </w:p>
    <w:p w14:paraId="3DC5F380" w14:textId="77777777" w:rsidR="0042295E" w:rsidRPr="0042295E" w:rsidRDefault="0042295E" w:rsidP="0042295E">
      <w:pPr>
        <w:pStyle w:val="EndNoteBibliography"/>
        <w:ind w:left="720" w:hanging="720"/>
        <w:rPr>
          <w:noProof/>
        </w:rPr>
      </w:pPr>
      <w:r w:rsidRPr="0042295E">
        <w:rPr>
          <w:noProof/>
        </w:rPr>
        <w:t>33. Röst HL, Rosenberger G, Navarro P, Gillet L, Miladinović SM, et al. (2014) OpenSWATH enables automated, targeted analysis of data-independent acquisition MS data. Nature biotechnology 32: 219-223.</w:t>
      </w:r>
    </w:p>
    <w:p w14:paraId="2807968E" w14:textId="77777777" w:rsidR="0042295E" w:rsidRPr="0042295E" w:rsidRDefault="0042295E" w:rsidP="0042295E">
      <w:pPr>
        <w:pStyle w:val="EndNoteBibliography"/>
        <w:ind w:left="720" w:hanging="720"/>
        <w:rPr>
          <w:noProof/>
        </w:rPr>
      </w:pPr>
      <w:r w:rsidRPr="0042295E">
        <w:rPr>
          <w:noProof/>
        </w:rPr>
        <w:t>34. Distler U, Kuharev J, Navarro P, Levin Y, Schild H, et al. (2014) Drift time-specific collision energies enable deep-coverage data-independent acquisition proteomics. Nature methods 11: 167-170.</w:t>
      </w:r>
    </w:p>
    <w:p w14:paraId="744311E3" w14:textId="77777777" w:rsidR="0042295E" w:rsidRPr="0042295E" w:rsidRDefault="0042295E" w:rsidP="0042295E">
      <w:pPr>
        <w:pStyle w:val="EndNoteBibliography"/>
        <w:ind w:left="720" w:hanging="720"/>
        <w:rPr>
          <w:noProof/>
        </w:rPr>
      </w:pPr>
      <w:r w:rsidRPr="0042295E">
        <w:rPr>
          <w:noProof/>
        </w:rPr>
        <w:t>35. Doerr A (2015) DIA mass spectrometry. Nature Methods 12: 35-35.</w:t>
      </w:r>
    </w:p>
    <w:p w14:paraId="713BFC8A" w14:textId="77777777" w:rsidR="0042295E" w:rsidRPr="0042295E" w:rsidRDefault="0042295E" w:rsidP="0042295E">
      <w:pPr>
        <w:pStyle w:val="EndNoteBibliography"/>
        <w:ind w:left="720" w:hanging="720"/>
        <w:rPr>
          <w:noProof/>
        </w:rPr>
      </w:pPr>
      <w:r w:rsidRPr="0042295E">
        <w:rPr>
          <w:noProof/>
        </w:rPr>
        <w:t>36. Bantscheff M, Schirle M, Sweetman G, Rick J, Kuster B (2007) Quantitative mass spectrometry in proteomics: a critical review. Analytical and bioanalytical chemistry 389: 1017-1031.</w:t>
      </w:r>
    </w:p>
    <w:p w14:paraId="1AA61D27" w14:textId="77777777" w:rsidR="0042295E" w:rsidRPr="0042295E" w:rsidRDefault="0042295E" w:rsidP="0042295E">
      <w:pPr>
        <w:pStyle w:val="EndNoteBibliography"/>
        <w:ind w:left="720" w:hanging="720"/>
        <w:rPr>
          <w:noProof/>
        </w:rPr>
      </w:pPr>
      <w:r w:rsidRPr="0042295E">
        <w:rPr>
          <w:noProof/>
        </w:rPr>
        <w:t>37. Ong S-E, Blagoev B, Kratchmarova I, Kristensen DB, Steen H, et al. (2002) Stable isotope labeling by amino acids in cell culture, SILAC, as a simple and accurate approach to expression proteomics. Molecular &amp; cellular proteomics 1: 376-386.</w:t>
      </w:r>
    </w:p>
    <w:p w14:paraId="2F70EE34" w14:textId="77777777" w:rsidR="0042295E" w:rsidRPr="0042295E" w:rsidRDefault="0042295E" w:rsidP="0042295E">
      <w:pPr>
        <w:pStyle w:val="EndNoteBibliography"/>
        <w:ind w:left="720" w:hanging="720"/>
        <w:rPr>
          <w:noProof/>
        </w:rPr>
      </w:pPr>
      <w:r w:rsidRPr="0042295E">
        <w:rPr>
          <w:noProof/>
        </w:rPr>
        <w:t>38. Gygi SP, Rist B, Gerber SA, Turecek F, Gelb MH, et al. (1999) Quantitative analysis of complex protein mixtures using isotope-coded affinity tags. Nature biotechnology 17: 994-999.</w:t>
      </w:r>
    </w:p>
    <w:p w14:paraId="753F098E" w14:textId="77777777" w:rsidR="0042295E" w:rsidRPr="0042295E" w:rsidRDefault="0042295E" w:rsidP="0042295E">
      <w:pPr>
        <w:pStyle w:val="EndNoteBibliography"/>
        <w:ind w:left="720" w:hanging="720"/>
        <w:rPr>
          <w:noProof/>
        </w:rPr>
      </w:pPr>
      <w:r w:rsidRPr="0042295E">
        <w:rPr>
          <w:noProof/>
        </w:rPr>
        <w:t>39. Ross PL, Huang YN, Marchese JN, Williamson B, Parker K, et al. (2004) Multiplexed protein quantitation in Saccharomyces cerevisiae using amine-reactive isobaric tagging reagents. Molecular &amp; cellular proteomics 3: 1154-1169.</w:t>
      </w:r>
    </w:p>
    <w:p w14:paraId="5EBC3099" w14:textId="77777777" w:rsidR="0042295E" w:rsidRPr="0042295E" w:rsidRDefault="0042295E" w:rsidP="0042295E">
      <w:pPr>
        <w:pStyle w:val="EndNoteBibliography"/>
        <w:ind w:left="720" w:hanging="720"/>
        <w:rPr>
          <w:noProof/>
        </w:rPr>
      </w:pPr>
      <w:r w:rsidRPr="0042295E">
        <w:rPr>
          <w:noProof/>
        </w:rPr>
        <w:t>40. Thompson A, Schäfer J, Kuhn K, Kienle S, Schwarz J, et al. (2003) Tandem mass tags: a novel quantification strategy for comparative analysis of complex protein mixtures by MS/MS. Analytical chemistry 75: 1895-1904.</w:t>
      </w:r>
    </w:p>
    <w:p w14:paraId="3C2A63E6" w14:textId="77777777" w:rsidR="0042295E" w:rsidRPr="0042295E" w:rsidRDefault="0042295E" w:rsidP="0042295E">
      <w:pPr>
        <w:pStyle w:val="EndNoteBibliography"/>
        <w:ind w:left="720" w:hanging="720"/>
        <w:rPr>
          <w:noProof/>
        </w:rPr>
      </w:pPr>
      <w:r w:rsidRPr="0042295E">
        <w:rPr>
          <w:noProof/>
        </w:rPr>
        <w:t>41. Belnap CP, Pan C, Denef VJ, Samatova NF, Hettich RL, et al. (2011) Quantitative proteomic analyses of the response of acidophilic microbial communities to different pH conditions. The ISME journal 5: 1152-1161.</w:t>
      </w:r>
    </w:p>
    <w:p w14:paraId="641ED9FA" w14:textId="77777777" w:rsidR="0042295E" w:rsidRPr="0042295E" w:rsidRDefault="0042295E" w:rsidP="0042295E">
      <w:pPr>
        <w:pStyle w:val="EndNoteBibliography"/>
        <w:ind w:left="720" w:hanging="720"/>
        <w:rPr>
          <w:noProof/>
        </w:rPr>
      </w:pPr>
      <w:r w:rsidRPr="0042295E">
        <w:rPr>
          <w:noProof/>
        </w:rPr>
        <w:t>42. Belnap CP, Pan C, VerBerkmoes NC, Power ME, Samatova NF, et al. (2010) Cultivation and quantitative proteomic analyses of acidophilic microbial communities. The ISME journal 4: 520-530.</w:t>
      </w:r>
    </w:p>
    <w:p w14:paraId="411BCF24" w14:textId="77777777" w:rsidR="0042295E" w:rsidRPr="0042295E" w:rsidRDefault="0042295E" w:rsidP="0042295E">
      <w:pPr>
        <w:pStyle w:val="EndNoteBibliography"/>
        <w:ind w:left="720" w:hanging="720"/>
        <w:rPr>
          <w:noProof/>
        </w:rPr>
      </w:pPr>
      <w:r w:rsidRPr="0042295E">
        <w:rPr>
          <w:noProof/>
        </w:rPr>
        <w:t>43. Pan C, Fischer CR, Hyatt D, Bowen BP, Hettich RL, et al. (2011) Quantitative tracking of isotope flows in proteomes of microbial communities. Molecular &amp; Cellular Proteomics 10: M110. 006049.</w:t>
      </w:r>
    </w:p>
    <w:p w14:paraId="758446BC" w14:textId="77777777" w:rsidR="0042295E" w:rsidRPr="0042295E" w:rsidRDefault="0042295E" w:rsidP="0042295E">
      <w:pPr>
        <w:pStyle w:val="EndNoteBibliography"/>
        <w:ind w:left="720" w:hanging="720"/>
        <w:rPr>
          <w:noProof/>
        </w:rPr>
      </w:pPr>
      <w:r w:rsidRPr="0042295E">
        <w:rPr>
          <w:noProof/>
        </w:rPr>
        <w:t>44. Taubert M, Jehmlich N, Vogt C, Richnow HH, Schmidt F, et al. (2011) Time resolved protein</w:t>
      </w:r>
      <w:r w:rsidRPr="0042295E">
        <w:rPr>
          <w:rFonts w:ascii="Noteworthy Bold" w:hAnsi="Noteworthy Bold" w:cs="Noteworthy Bold"/>
          <w:noProof/>
        </w:rPr>
        <w:t>‐</w:t>
      </w:r>
      <w:r w:rsidRPr="0042295E">
        <w:rPr>
          <w:noProof/>
        </w:rPr>
        <w:t>based stable isotope probing (Protein</w:t>
      </w:r>
      <w:r w:rsidRPr="0042295E">
        <w:rPr>
          <w:rFonts w:ascii="Noteworthy Bold" w:hAnsi="Noteworthy Bold" w:cs="Noteworthy Bold"/>
          <w:noProof/>
        </w:rPr>
        <w:t>‐</w:t>
      </w:r>
      <w:r w:rsidRPr="0042295E">
        <w:rPr>
          <w:noProof/>
        </w:rPr>
        <w:t>SIP) analysis allows quantification of induced proteins in substrate shift experiments. Proteomics 11: 2265-2274.</w:t>
      </w:r>
    </w:p>
    <w:p w14:paraId="32649D12" w14:textId="77777777" w:rsidR="0042295E" w:rsidRPr="0042295E" w:rsidRDefault="0042295E" w:rsidP="0042295E">
      <w:pPr>
        <w:pStyle w:val="EndNoteBibliography"/>
        <w:ind w:left="720" w:hanging="720"/>
        <w:rPr>
          <w:noProof/>
        </w:rPr>
      </w:pPr>
      <w:r w:rsidRPr="0042295E">
        <w:rPr>
          <w:noProof/>
        </w:rPr>
        <w:t>45. Pruitt KD, Tatusova T, Maglott DR (2007) NCBI reference sequences (RefSeq): a curated non-redundant sequence database of genomes, transcripts and proteins. Nucleic acids research 35: D61-D65.</w:t>
      </w:r>
    </w:p>
    <w:p w14:paraId="383B3563" w14:textId="77777777" w:rsidR="0042295E" w:rsidRPr="0042295E" w:rsidRDefault="0042295E" w:rsidP="0042295E">
      <w:pPr>
        <w:pStyle w:val="EndNoteBibliography"/>
        <w:ind w:left="720" w:hanging="720"/>
        <w:rPr>
          <w:noProof/>
        </w:rPr>
      </w:pPr>
      <w:r w:rsidRPr="0042295E">
        <w:rPr>
          <w:noProof/>
        </w:rPr>
        <w:lastRenderedPageBreak/>
        <w:t>46. Consortium U (2008) The universal protein resource (UniProt). Nucleic acids research 36: D190-D195.</w:t>
      </w:r>
    </w:p>
    <w:p w14:paraId="74CC8E32" w14:textId="77777777" w:rsidR="0042295E" w:rsidRPr="0042295E" w:rsidRDefault="0042295E" w:rsidP="0042295E">
      <w:pPr>
        <w:pStyle w:val="EndNoteBibliography"/>
        <w:ind w:left="720" w:hanging="720"/>
        <w:rPr>
          <w:noProof/>
        </w:rPr>
      </w:pPr>
      <w:r w:rsidRPr="0042295E">
        <w:rPr>
          <w:noProof/>
        </w:rPr>
        <w:t>47. Markowitz VM, Chen I-MA, Palaniappan K, Chu K, Szeto E, et al. (2012) IMG: the integrated microbial genomes database and comparative analysis system. Nucleic acids research 40: D115-D122.</w:t>
      </w:r>
    </w:p>
    <w:p w14:paraId="5C46FF29" w14:textId="77777777" w:rsidR="0042295E" w:rsidRPr="0042295E" w:rsidRDefault="0042295E" w:rsidP="0042295E">
      <w:pPr>
        <w:pStyle w:val="EndNoteBibliography"/>
        <w:ind w:left="720" w:hanging="720"/>
        <w:rPr>
          <w:noProof/>
        </w:rPr>
      </w:pPr>
      <w:r w:rsidRPr="0042295E">
        <w:rPr>
          <w:noProof/>
        </w:rPr>
        <w:t>48. Seidler J, Zinn N, Boehm ME, Lehmann WD (2010) De novo sequencing of peptides by MS/MS. Proteomics 10: 634-649.</w:t>
      </w:r>
    </w:p>
    <w:p w14:paraId="66AF8252" w14:textId="77777777" w:rsidR="0042295E" w:rsidRPr="0042295E" w:rsidRDefault="0042295E" w:rsidP="0042295E">
      <w:pPr>
        <w:pStyle w:val="EndNoteBibliography"/>
        <w:ind w:left="720" w:hanging="720"/>
        <w:rPr>
          <w:noProof/>
        </w:rPr>
      </w:pPr>
      <w:r w:rsidRPr="0042295E">
        <w:rPr>
          <w:noProof/>
        </w:rPr>
        <w:t>49. Eng JK, McCormack AL, Yates JR (1994) An approach to correlate tandem mass spectral data of peptides with amino acid sequences in a protein database. Journal of the American Society for Mass Spectrometry 5: 976-989.</w:t>
      </w:r>
    </w:p>
    <w:p w14:paraId="6F0278F3" w14:textId="77777777" w:rsidR="0042295E" w:rsidRPr="0042295E" w:rsidRDefault="0042295E" w:rsidP="0042295E">
      <w:pPr>
        <w:pStyle w:val="EndNoteBibliography"/>
        <w:ind w:left="720" w:hanging="720"/>
        <w:rPr>
          <w:noProof/>
        </w:rPr>
      </w:pPr>
      <w:r w:rsidRPr="0042295E">
        <w:rPr>
          <w:noProof/>
        </w:rPr>
        <w:t>50. Cottrell JS, London U (1999) Probability-based protein identification by searching sequence databases using mass spectrometry data. electrophoresis 20: 3551-3567.</w:t>
      </w:r>
    </w:p>
    <w:p w14:paraId="7359B24B" w14:textId="77777777" w:rsidR="0042295E" w:rsidRPr="0042295E" w:rsidRDefault="0042295E" w:rsidP="0042295E">
      <w:pPr>
        <w:pStyle w:val="EndNoteBibliography"/>
        <w:ind w:left="720" w:hanging="720"/>
        <w:rPr>
          <w:noProof/>
        </w:rPr>
      </w:pPr>
      <w:r w:rsidRPr="0042295E">
        <w:rPr>
          <w:noProof/>
        </w:rPr>
        <w:t>51. Craig R, Beavis RC (2004) TANDEM: matching proteins with tandem mass spectra. Bioinformatics 20: 1466-1467.</w:t>
      </w:r>
    </w:p>
    <w:p w14:paraId="1F58EC00" w14:textId="77777777" w:rsidR="0042295E" w:rsidRPr="0042295E" w:rsidRDefault="0042295E" w:rsidP="0042295E">
      <w:pPr>
        <w:pStyle w:val="EndNoteBibliography"/>
        <w:ind w:left="720" w:hanging="720"/>
        <w:rPr>
          <w:noProof/>
        </w:rPr>
      </w:pPr>
      <w:r w:rsidRPr="0042295E">
        <w:rPr>
          <w:noProof/>
        </w:rPr>
        <w:t>52. Geer LY, Markey SP, Kowalak JA, Wagner L, Xu M, et al. (2004) Open mass spectrometry search algorithm. Journal of proteome research 3: 958-964.</w:t>
      </w:r>
    </w:p>
    <w:p w14:paraId="09B703EE" w14:textId="77777777" w:rsidR="0042295E" w:rsidRPr="0042295E" w:rsidRDefault="0042295E" w:rsidP="0042295E">
      <w:pPr>
        <w:pStyle w:val="EndNoteBibliography"/>
        <w:ind w:left="720" w:hanging="720"/>
        <w:rPr>
          <w:noProof/>
        </w:rPr>
      </w:pPr>
      <w:r w:rsidRPr="0042295E">
        <w:rPr>
          <w:noProof/>
        </w:rPr>
        <w:t>53. Tabb DL, Fernando CG, Chambers MC (2007) MyriMatch: highly accurate tandem mass spectral peptide identification by multivariate hypergeometric analysis. Journal of proteome research 6: 654-661.</w:t>
      </w:r>
    </w:p>
    <w:p w14:paraId="264A97E9" w14:textId="77777777" w:rsidR="0042295E" w:rsidRPr="0042295E" w:rsidRDefault="0042295E" w:rsidP="0042295E">
      <w:pPr>
        <w:pStyle w:val="EndNoteBibliography"/>
        <w:ind w:left="720" w:hanging="720"/>
        <w:rPr>
          <w:noProof/>
        </w:rPr>
      </w:pPr>
      <w:r w:rsidRPr="0042295E">
        <w:rPr>
          <w:noProof/>
        </w:rPr>
        <w:t>54. Kim S, Pevzner PA (2014) MS-GF+ makes progress towards a universal database search tool for proteomics. Nature communications 5.</w:t>
      </w:r>
    </w:p>
    <w:p w14:paraId="1F06A06A" w14:textId="77777777" w:rsidR="0042295E" w:rsidRPr="0042295E" w:rsidRDefault="0042295E" w:rsidP="0042295E">
      <w:pPr>
        <w:pStyle w:val="EndNoteBibliography"/>
        <w:ind w:left="720" w:hanging="720"/>
        <w:rPr>
          <w:noProof/>
        </w:rPr>
      </w:pPr>
      <w:r w:rsidRPr="0042295E">
        <w:rPr>
          <w:noProof/>
        </w:rPr>
        <w:t>55. McHugh L, Arthur JW (2008) Computational methods for protein identification from mass spectrometry data. PLoS computational biology 4: e12.</w:t>
      </w:r>
    </w:p>
    <w:p w14:paraId="7B7142A2" w14:textId="77777777" w:rsidR="0042295E" w:rsidRPr="0042295E" w:rsidRDefault="0042295E" w:rsidP="0042295E">
      <w:pPr>
        <w:pStyle w:val="EndNoteBibliography"/>
        <w:ind w:left="720" w:hanging="720"/>
        <w:rPr>
          <w:noProof/>
        </w:rPr>
      </w:pPr>
      <w:r w:rsidRPr="0042295E">
        <w:rPr>
          <w:noProof/>
        </w:rPr>
        <w:t>56. Kim S, Gupta N, Bandeira N, Pevzner PA (2009) Spectral dictionaries integrating de novo peptide sequencing with database search of tandem mass spectra. Molecular &amp; Cellular Proteomics 8: 53-69.</w:t>
      </w:r>
    </w:p>
    <w:p w14:paraId="34224424" w14:textId="77777777" w:rsidR="0042295E" w:rsidRPr="0042295E" w:rsidRDefault="0042295E" w:rsidP="0042295E">
      <w:pPr>
        <w:pStyle w:val="EndNoteBibliography"/>
        <w:ind w:left="720" w:hanging="720"/>
        <w:rPr>
          <w:noProof/>
        </w:rPr>
      </w:pPr>
      <w:r w:rsidRPr="0042295E">
        <w:rPr>
          <w:noProof/>
        </w:rPr>
        <w:t>57. Bjornson RD, Carriero NJ, Colangelo C, Shifman M, Cheung K-H, et al. (2007) X!! Tandem, an improved method for running X! tandem in parallel on collections of commodity computers. The Journal of Proteome Research 7: 293-299.</w:t>
      </w:r>
    </w:p>
    <w:p w14:paraId="1BB00399" w14:textId="77777777" w:rsidR="0042295E" w:rsidRPr="0042295E" w:rsidRDefault="0042295E" w:rsidP="0042295E">
      <w:pPr>
        <w:pStyle w:val="EndNoteBibliography"/>
        <w:ind w:left="720" w:hanging="720"/>
        <w:rPr>
          <w:noProof/>
        </w:rPr>
      </w:pPr>
      <w:r w:rsidRPr="0042295E">
        <w:rPr>
          <w:noProof/>
        </w:rPr>
        <w:t>58. Mohammed Y, Mostovenko E, Henneman AA, Marissen RJ, Deelder AM, et al. (2012) Cloud parallel processing of tandem mass spectrometry based proteomics data. Journal of proteome research 11: 5101-5108.</w:t>
      </w:r>
    </w:p>
    <w:p w14:paraId="41A77E52" w14:textId="77777777" w:rsidR="0042295E" w:rsidRPr="0042295E" w:rsidRDefault="0042295E" w:rsidP="0042295E">
      <w:pPr>
        <w:pStyle w:val="EndNoteBibliography"/>
        <w:ind w:left="720" w:hanging="720"/>
        <w:rPr>
          <w:noProof/>
        </w:rPr>
      </w:pPr>
      <w:r w:rsidRPr="0042295E">
        <w:rPr>
          <w:noProof/>
        </w:rPr>
        <w:t>59. Elias JE, Gygi SP (2007) Target-decoy search strategy for increased confidence in large-scale protein identifications by mass spectrometry. Nature methods 4: 207-214.</w:t>
      </w:r>
    </w:p>
    <w:p w14:paraId="1B702987" w14:textId="77777777" w:rsidR="0042295E" w:rsidRPr="0042295E" w:rsidRDefault="0042295E" w:rsidP="0042295E">
      <w:pPr>
        <w:pStyle w:val="EndNoteBibliography"/>
        <w:ind w:left="720" w:hanging="720"/>
        <w:rPr>
          <w:noProof/>
        </w:rPr>
      </w:pPr>
      <w:r w:rsidRPr="0042295E">
        <w:rPr>
          <w:noProof/>
        </w:rPr>
        <w:t>60. Gupta N, Bandeira N, Keich U, Pevzner PA (2011) Target-decoy approach and false discovery rate: when things may go wrong. Journal of the American Society for Mass Spectrometry 22: 1111-1120.</w:t>
      </w:r>
    </w:p>
    <w:p w14:paraId="3F737D70" w14:textId="77777777" w:rsidR="0042295E" w:rsidRPr="0042295E" w:rsidRDefault="0042295E" w:rsidP="0042295E">
      <w:pPr>
        <w:pStyle w:val="EndNoteBibliography"/>
        <w:ind w:left="720" w:hanging="720"/>
        <w:rPr>
          <w:noProof/>
        </w:rPr>
      </w:pPr>
      <w:r w:rsidRPr="0042295E">
        <w:rPr>
          <w:noProof/>
        </w:rPr>
        <w:t>61. Craig R, Cortens J, Fenyo D, Beavis RC (2006) Using annotated peptide mass spectrum libraries for protein identification. Journal of proteome research 5: 1843-1849.</w:t>
      </w:r>
    </w:p>
    <w:p w14:paraId="32547250" w14:textId="77777777" w:rsidR="0042295E" w:rsidRPr="0042295E" w:rsidRDefault="0042295E" w:rsidP="0042295E">
      <w:pPr>
        <w:pStyle w:val="EndNoteBibliography"/>
        <w:ind w:left="720" w:hanging="720"/>
        <w:rPr>
          <w:noProof/>
        </w:rPr>
      </w:pPr>
      <w:r w:rsidRPr="0042295E">
        <w:rPr>
          <w:noProof/>
        </w:rPr>
        <w:t>62. Yen C-Y, Houel S, Ahn NG, Old WM (2011) Spectrum-to-spectrum searching using a proteome-wide spectral library. Molecular &amp; Cellular Proteomics 10: M111. 007666.</w:t>
      </w:r>
    </w:p>
    <w:p w14:paraId="1DF6212C" w14:textId="77777777" w:rsidR="0042295E" w:rsidRPr="0042295E" w:rsidRDefault="0042295E" w:rsidP="0042295E">
      <w:pPr>
        <w:pStyle w:val="EndNoteBibliography"/>
        <w:ind w:left="720" w:hanging="720"/>
        <w:rPr>
          <w:noProof/>
        </w:rPr>
      </w:pPr>
      <w:r w:rsidRPr="0042295E">
        <w:rPr>
          <w:noProof/>
        </w:rPr>
        <w:lastRenderedPageBreak/>
        <w:t>63. Dasari S, Chambers MC, Martinez MA, Carpenter KL, Ham A-JL, et al. (2012) Pepitome: evaluating improved spectral library search for identification complementarity and quality assessment. Journal of proteome research 11: 1686-1695.</w:t>
      </w:r>
    </w:p>
    <w:p w14:paraId="784CA59A" w14:textId="77777777" w:rsidR="0042295E" w:rsidRPr="0042295E" w:rsidRDefault="0042295E" w:rsidP="0042295E">
      <w:pPr>
        <w:pStyle w:val="EndNoteBibliography"/>
        <w:ind w:left="720" w:hanging="720"/>
        <w:rPr>
          <w:noProof/>
        </w:rPr>
      </w:pPr>
      <w:r w:rsidRPr="0042295E">
        <w:rPr>
          <w:noProof/>
        </w:rPr>
        <w:t>64. Tabb DL, McDonald WH, Yates JR (2002) DTASelect and Contrast: tools for assembling and comparing protein identifications from shotgun proteomics. Journal of proteome research 1: 21-26.</w:t>
      </w:r>
    </w:p>
    <w:p w14:paraId="3A3E0EEC" w14:textId="77777777" w:rsidR="0042295E" w:rsidRPr="0042295E" w:rsidRDefault="0042295E" w:rsidP="0042295E">
      <w:pPr>
        <w:pStyle w:val="EndNoteBibliography"/>
        <w:ind w:left="720" w:hanging="720"/>
        <w:rPr>
          <w:noProof/>
        </w:rPr>
      </w:pPr>
      <w:r w:rsidRPr="0042295E">
        <w:rPr>
          <w:noProof/>
        </w:rPr>
        <w:t>65. Keller A, Nesvizhskii AI, Kolker E, Aebersold R (2002) Empirical statistical model to estimate the accuracy of peptide identifications made by MS/MS and database search. Analytical chemistry 74: 5383-5392.</w:t>
      </w:r>
    </w:p>
    <w:p w14:paraId="1D6A79E9" w14:textId="77777777" w:rsidR="0042295E" w:rsidRPr="0042295E" w:rsidRDefault="0042295E" w:rsidP="0042295E">
      <w:pPr>
        <w:pStyle w:val="EndNoteBibliography"/>
        <w:ind w:left="720" w:hanging="720"/>
        <w:rPr>
          <w:noProof/>
        </w:rPr>
      </w:pPr>
      <w:r w:rsidRPr="0042295E">
        <w:rPr>
          <w:noProof/>
        </w:rPr>
        <w:t>66. Searle BC (2010) Scaffold: a bioinformatic tool for validating MS/MS</w:t>
      </w:r>
      <w:r w:rsidRPr="0042295E">
        <w:rPr>
          <w:rFonts w:ascii="Noteworthy Bold" w:hAnsi="Noteworthy Bold" w:cs="Noteworthy Bold"/>
          <w:noProof/>
        </w:rPr>
        <w:t>‐</w:t>
      </w:r>
      <w:r w:rsidRPr="0042295E">
        <w:rPr>
          <w:noProof/>
        </w:rPr>
        <w:t>based proteomic studies. Proteomics 10: 1265-1269.</w:t>
      </w:r>
    </w:p>
    <w:p w14:paraId="21B27ED8" w14:textId="77777777" w:rsidR="0042295E" w:rsidRPr="0042295E" w:rsidRDefault="0042295E" w:rsidP="0042295E">
      <w:pPr>
        <w:pStyle w:val="EndNoteBibliography"/>
        <w:ind w:left="720" w:hanging="720"/>
        <w:rPr>
          <w:noProof/>
        </w:rPr>
      </w:pPr>
      <w:r w:rsidRPr="0042295E">
        <w:rPr>
          <w:noProof/>
        </w:rPr>
        <w:t>67. Meyer-Arendt K, Old WM, Houel S, Renganathan K, Eichelberger B, et al. (2011) IsoformResolver: A peptide-centric algorithm for protein inference. Journal of proteome research 10: 3060-3075.</w:t>
      </w:r>
    </w:p>
    <w:p w14:paraId="675260F6" w14:textId="77777777" w:rsidR="0042295E" w:rsidRPr="0042295E" w:rsidRDefault="0042295E" w:rsidP="0042295E">
      <w:pPr>
        <w:pStyle w:val="EndNoteBibliography"/>
        <w:ind w:left="720" w:hanging="720"/>
        <w:rPr>
          <w:noProof/>
        </w:rPr>
      </w:pPr>
      <w:r w:rsidRPr="0042295E">
        <w:rPr>
          <w:noProof/>
        </w:rPr>
        <w:t>68. Zhang B, Chambers MC, Tabb DL (2007) Proteomic parsimony through bipartite graph analysis improves accuracy and transparency. Journal of proteome research 6: 3549-3557.</w:t>
      </w:r>
    </w:p>
    <w:p w14:paraId="6EA4D4DF" w14:textId="77777777" w:rsidR="0042295E" w:rsidRPr="0042295E" w:rsidRDefault="0042295E" w:rsidP="0042295E">
      <w:pPr>
        <w:pStyle w:val="EndNoteBibliography"/>
        <w:ind w:left="720" w:hanging="720"/>
        <w:rPr>
          <w:noProof/>
        </w:rPr>
      </w:pPr>
      <w:r w:rsidRPr="0042295E">
        <w:rPr>
          <w:noProof/>
        </w:rPr>
        <w:t>69. Käll L, Canterbury JD, Weston J, Noble WS, MacCoss MJ (2007) Semi-supervised learning for peptide identification from shotgun proteomics datasets. Nature methods 4: 923-925.</w:t>
      </w:r>
    </w:p>
    <w:p w14:paraId="0381D7AC" w14:textId="77777777" w:rsidR="0042295E" w:rsidRPr="0042295E" w:rsidRDefault="0042295E" w:rsidP="0042295E">
      <w:pPr>
        <w:pStyle w:val="EndNoteBibliography"/>
        <w:ind w:left="720" w:hanging="720"/>
        <w:rPr>
          <w:noProof/>
        </w:rPr>
      </w:pPr>
      <w:r w:rsidRPr="0042295E">
        <w:rPr>
          <w:noProof/>
        </w:rPr>
        <w:t>70. Mondav R, Woodcroft BJ, Kim E-H, McCalley CK, Hodgkins SB, et al. (2014) Discovery of a novel methanogen prevalent in thawing permafrost. Nature communications 5.</w:t>
      </w:r>
    </w:p>
    <w:p w14:paraId="6CC60FBD" w14:textId="77777777" w:rsidR="0042295E" w:rsidRPr="0042295E" w:rsidRDefault="0042295E" w:rsidP="0042295E">
      <w:pPr>
        <w:pStyle w:val="EndNoteBibliography"/>
        <w:ind w:left="720" w:hanging="720"/>
        <w:rPr>
          <w:noProof/>
        </w:rPr>
      </w:pPr>
      <w:r w:rsidRPr="0042295E">
        <w:rPr>
          <w:noProof/>
        </w:rPr>
        <w:t>71. Zhang Y, Wen Z, Washburn MP, Florens L (2010) Refinements to label free proteome quantitation: how to deal with peptides shared by multiple proteins. Analytical chemistry 82: 2272-2281.</w:t>
      </w:r>
    </w:p>
    <w:p w14:paraId="088E61AC" w14:textId="77777777" w:rsidR="0042295E" w:rsidRPr="0042295E" w:rsidRDefault="0042295E" w:rsidP="0042295E">
      <w:pPr>
        <w:pStyle w:val="EndNoteBibliography"/>
        <w:ind w:left="720" w:hanging="720"/>
        <w:rPr>
          <w:noProof/>
        </w:rPr>
      </w:pPr>
      <w:r w:rsidRPr="0042295E">
        <w:rPr>
          <w:noProof/>
        </w:rPr>
        <w:t>72. Zybailov B, Mosley AL, Sardiu ME, Coleman MK, Florens L, et al. (2006) Statistical Analysis of Membrane Proteome Expression Changes in Saccharomyces c erevisiae. Journal of proteome research 5: 2339-2347.</w:t>
      </w:r>
    </w:p>
    <w:p w14:paraId="644EF89B" w14:textId="77777777" w:rsidR="0042295E" w:rsidRPr="0042295E" w:rsidRDefault="0042295E" w:rsidP="0042295E">
      <w:pPr>
        <w:pStyle w:val="EndNoteBibliography"/>
        <w:ind w:left="720" w:hanging="720"/>
        <w:rPr>
          <w:noProof/>
        </w:rPr>
      </w:pPr>
      <w:r w:rsidRPr="0042295E">
        <w:rPr>
          <w:noProof/>
        </w:rPr>
        <w:t>73. Erickson AR, Cantarel BL, Lamendella R, Darzi Y, Mongodin EF, et al. (2012) Integrated metagenomics/metaproteomics reveals human host-microbiota signatures of Crohn's disease. PloS one 7: e49138.</w:t>
      </w:r>
    </w:p>
    <w:p w14:paraId="0FE093D7" w14:textId="77777777" w:rsidR="0042295E" w:rsidRPr="0042295E" w:rsidRDefault="0042295E" w:rsidP="0042295E">
      <w:pPr>
        <w:pStyle w:val="EndNoteBibliography"/>
        <w:ind w:left="720" w:hanging="720"/>
        <w:rPr>
          <w:noProof/>
        </w:rPr>
      </w:pPr>
      <w:r w:rsidRPr="0042295E">
        <w:rPr>
          <w:noProof/>
        </w:rPr>
        <w:t>74. Ishihama Y, Oda Y, Tabata T, Sato T, Nagasu T, et al. (2005) Exponentially modified protein abundance index (emPAI) for estimation of absolute protein amount in proteomics by the number of sequenced peptides per protein. Molecular &amp; Cellular Proteomics 4: 1265-1272.</w:t>
      </w:r>
    </w:p>
    <w:p w14:paraId="64CAD36F" w14:textId="77777777" w:rsidR="0042295E" w:rsidRPr="0042295E" w:rsidRDefault="0042295E" w:rsidP="0042295E">
      <w:pPr>
        <w:pStyle w:val="EndNoteBibliography"/>
        <w:ind w:left="720" w:hanging="720"/>
        <w:rPr>
          <w:noProof/>
        </w:rPr>
      </w:pPr>
      <w:r w:rsidRPr="0042295E">
        <w:rPr>
          <w:noProof/>
        </w:rPr>
        <w:t>75. Li M, Gray W, Zhang H, Chung CH, Billheimer D, et al. (2010) Comparative shotgun proteomics using spectral count data and quasi-likelihood modeling. Journal of proteome research 9: 4295-4305.</w:t>
      </w:r>
    </w:p>
    <w:p w14:paraId="54A7C6B4" w14:textId="77777777" w:rsidR="0042295E" w:rsidRPr="0042295E" w:rsidRDefault="0042295E" w:rsidP="0042295E">
      <w:pPr>
        <w:pStyle w:val="EndNoteBibliography"/>
        <w:ind w:left="720" w:hanging="720"/>
        <w:rPr>
          <w:noProof/>
        </w:rPr>
      </w:pPr>
      <w:r w:rsidRPr="0042295E">
        <w:rPr>
          <w:noProof/>
        </w:rPr>
        <w:t>76. Ltd Lr (2013) 1-way ANOVA lecture note. pp. https://statistics.laerd.com/statistical-guides/one-way-anova-statistical-guide-2.php.</w:t>
      </w:r>
    </w:p>
    <w:p w14:paraId="740C4078" w14:textId="77777777" w:rsidR="0042295E" w:rsidRPr="0042295E" w:rsidRDefault="0042295E" w:rsidP="0042295E">
      <w:pPr>
        <w:pStyle w:val="EndNoteBibliography"/>
        <w:ind w:left="720" w:hanging="720"/>
        <w:rPr>
          <w:noProof/>
        </w:rPr>
      </w:pPr>
      <w:r w:rsidRPr="0042295E">
        <w:rPr>
          <w:noProof/>
        </w:rPr>
        <w:lastRenderedPageBreak/>
        <w:t>77. Goecks J, Nekrutenko A, Taylor J (2010) Galaxy: a comprehensive approach for supporting accessible, reproducible, and transparent computational research in the life sciences. Genome Biol 11: R86.</w:t>
      </w:r>
    </w:p>
    <w:p w14:paraId="10439D3F" w14:textId="77777777" w:rsidR="0042295E" w:rsidRPr="0042295E" w:rsidRDefault="0042295E" w:rsidP="0042295E">
      <w:pPr>
        <w:pStyle w:val="EndNoteBibliography"/>
        <w:ind w:left="720" w:hanging="720"/>
        <w:rPr>
          <w:noProof/>
        </w:rPr>
      </w:pPr>
      <w:r w:rsidRPr="0042295E">
        <w:rPr>
          <w:noProof/>
        </w:rPr>
        <w:t>78. Muth T, Behne A, Heyer R, Kohrs F, Benndorf D, et al. (2015) The MetaProteomeAnalyzer: a powerful open-source software suite for metaproteomics data analysis and interpretation. Journal of proteome research 14: 1557-1565.</w:t>
      </w:r>
    </w:p>
    <w:p w14:paraId="40D5A0A6" w14:textId="77777777" w:rsidR="0042295E" w:rsidRPr="0042295E" w:rsidRDefault="0042295E" w:rsidP="0042295E">
      <w:pPr>
        <w:pStyle w:val="EndNoteBibliography"/>
        <w:ind w:left="720" w:hanging="720"/>
        <w:rPr>
          <w:noProof/>
        </w:rPr>
      </w:pPr>
      <w:r w:rsidRPr="0042295E">
        <w:rPr>
          <w:noProof/>
        </w:rPr>
        <w:t>79. Park CY, Klammer AA, Käll L, MacCoss MJ, Noble WS (2008) Rapid and accurate peptide identification from tandem mass spectra. Journal of proteome research 7: 3022-3027.</w:t>
      </w:r>
    </w:p>
    <w:p w14:paraId="653E3FA2" w14:textId="77777777" w:rsidR="0042295E" w:rsidRPr="0042295E" w:rsidRDefault="0042295E" w:rsidP="0042295E">
      <w:pPr>
        <w:pStyle w:val="EndNoteBibliography"/>
        <w:ind w:left="720" w:hanging="720"/>
        <w:rPr>
          <w:noProof/>
        </w:rPr>
      </w:pPr>
      <w:r w:rsidRPr="0042295E">
        <w:rPr>
          <w:noProof/>
        </w:rPr>
        <w:t>80. Tanner S, Shu H, Frank A, Wang L-C, Zandi E, et al. (2005) InsPecT: identification of posttranslationally modified peptides from tandem mass spectra. Analytical chemistry 77: 4626-4639.</w:t>
      </w:r>
    </w:p>
    <w:p w14:paraId="723E7B80" w14:textId="77777777" w:rsidR="0042295E" w:rsidRPr="0042295E" w:rsidRDefault="0042295E" w:rsidP="0042295E">
      <w:pPr>
        <w:pStyle w:val="EndNoteBibliography"/>
        <w:ind w:left="720" w:hanging="720"/>
        <w:rPr>
          <w:noProof/>
        </w:rPr>
      </w:pPr>
      <w:r w:rsidRPr="0042295E">
        <w:rPr>
          <w:noProof/>
        </w:rPr>
        <w:t>81. Kanehisa M, Goto S (2000) KEGG: kyoto encyclopedia of genes and genomes. Nucleic acids research 28: 27-30.</w:t>
      </w:r>
    </w:p>
    <w:p w14:paraId="51613DEF" w14:textId="77777777" w:rsidR="0042295E" w:rsidRPr="0042295E" w:rsidRDefault="0042295E" w:rsidP="0042295E">
      <w:pPr>
        <w:pStyle w:val="EndNoteBibliography"/>
        <w:ind w:left="720" w:hanging="720"/>
        <w:rPr>
          <w:noProof/>
        </w:rPr>
      </w:pPr>
      <w:r w:rsidRPr="0042295E">
        <w:rPr>
          <w:noProof/>
        </w:rPr>
        <w:t>82. Webb EC (1992) Enzyme nomenclature 1992. Recommendations of the Nomenclature Committee of the International Union of Biochemistry and Molecular Biology on the Nomenclature and Classification of Enzymes: Academic Press.</w:t>
      </w:r>
    </w:p>
    <w:p w14:paraId="66134235" w14:textId="77777777" w:rsidR="0042295E" w:rsidRPr="0042295E" w:rsidRDefault="0042295E" w:rsidP="0042295E">
      <w:pPr>
        <w:pStyle w:val="EndNoteBibliography"/>
        <w:ind w:left="720" w:hanging="720"/>
        <w:rPr>
          <w:noProof/>
        </w:rPr>
      </w:pPr>
      <w:r w:rsidRPr="0042295E">
        <w:rPr>
          <w:noProof/>
        </w:rPr>
        <w:t>83. Federhen S (2012) The NCBI taxonomy database. Nucleic acids research 40: D136-D143.</w:t>
      </w:r>
    </w:p>
    <w:p w14:paraId="0F24DF79" w14:textId="77777777" w:rsidR="0042295E" w:rsidRPr="0042295E" w:rsidRDefault="0042295E" w:rsidP="0042295E">
      <w:pPr>
        <w:pStyle w:val="EndNoteBibliography"/>
        <w:ind w:left="720" w:hanging="720"/>
        <w:rPr>
          <w:noProof/>
        </w:rPr>
      </w:pPr>
      <w:r w:rsidRPr="0042295E">
        <w:rPr>
          <w:noProof/>
        </w:rPr>
        <w:t>84. Geer LY, Marchler-Bauer A, Geer RC, Han L, He J, et al. (2009) The NCBI biosystems database. Nucleic acids research: gkp858.</w:t>
      </w:r>
    </w:p>
    <w:p w14:paraId="07794102" w14:textId="77777777" w:rsidR="0042295E" w:rsidRPr="0042295E" w:rsidRDefault="0042295E" w:rsidP="0042295E">
      <w:pPr>
        <w:pStyle w:val="EndNoteBibliography"/>
        <w:ind w:left="720" w:hanging="720"/>
        <w:rPr>
          <w:noProof/>
        </w:rPr>
      </w:pPr>
      <w:r w:rsidRPr="0042295E">
        <w:rPr>
          <w:noProof/>
        </w:rPr>
        <w:t>85. Tatusov RL, Koonin EV, Lipman DJ (1997) A genomic perspective on protein families. Science 278: 631-637.</w:t>
      </w:r>
    </w:p>
    <w:p w14:paraId="580E2CAF" w14:textId="77777777" w:rsidR="0042295E" w:rsidRPr="0042295E" w:rsidRDefault="0042295E" w:rsidP="0042295E">
      <w:pPr>
        <w:pStyle w:val="EndNoteBibliography"/>
        <w:ind w:left="720" w:hanging="720"/>
        <w:rPr>
          <w:noProof/>
        </w:rPr>
      </w:pPr>
      <w:r w:rsidRPr="0042295E">
        <w:rPr>
          <w:noProof/>
        </w:rPr>
        <w:t>86. Wickham H (2009) ggplot2: elegant graphics for data analysis: Springer Science &amp; Business Media.</w:t>
      </w:r>
    </w:p>
    <w:p w14:paraId="32A62837" w14:textId="77777777" w:rsidR="0042295E" w:rsidRPr="0042295E" w:rsidRDefault="0042295E" w:rsidP="0042295E">
      <w:pPr>
        <w:pStyle w:val="EndNoteBibliography"/>
        <w:ind w:left="720" w:hanging="720"/>
        <w:rPr>
          <w:noProof/>
        </w:rPr>
      </w:pPr>
      <w:r w:rsidRPr="0042295E">
        <w:rPr>
          <w:noProof/>
        </w:rPr>
        <w:t>87. Gross ML, Chen G, Pramanik B (2011) Protein and peptide mass spectrometry in drug discovery: John Wiley &amp; Sons.</w:t>
      </w:r>
    </w:p>
    <w:p w14:paraId="36B2CF49" w14:textId="77777777" w:rsidR="0042295E" w:rsidRPr="0042295E" w:rsidRDefault="0042295E" w:rsidP="0042295E">
      <w:pPr>
        <w:pStyle w:val="EndNoteBibliography"/>
        <w:ind w:left="720" w:hanging="720"/>
        <w:rPr>
          <w:noProof/>
        </w:rPr>
      </w:pPr>
      <w:r w:rsidRPr="0042295E">
        <w:rPr>
          <w:noProof/>
        </w:rPr>
        <w:t>88. Piehowski PD, Petyuk VA, Orton DJ, Xie F, Moore RJ, et al. (2013) Sources of technical variability in quantitative LC–MS proteomics: human brain tissue sample analysis. Journal of proteome research 12: 2128-2137.</w:t>
      </w:r>
    </w:p>
    <w:p w14:paraId="1BAEBFB8" w14:textId="77777777" w:rsidR="0042295E" w:rsidRPr="0042295E" w:rsidRDefault="0042295E" w:rsidP="0042295E">
      <w:pPr>
        <w:pStyle w:val="EndNoteBibliography"/>
        <w:ind w:left="720" w:hanging="720"/>
        <w:rPr>
          <w:noProof/>
        </w:rPr>
      </w:pPr>
      <w:r w:rsidRPr="0042295E">
        <w:rPr>
          <w:noProof/>
        </w:rPr>
        <w:t>89. Benjamini Y, Hochberg Y (1995) Controlling the false discovery rate: a practical and powerful approach to multiple testing. Journal of the Royal Statistical Society Series B (Methodological): 289-300.</w:t>
      </w:r>
    </w:p>
    <w:p w14:paraId="357D67A2" w14:textId="77777777" w:rsidR="0042295E" w:rsidRPr="0042295E" w:rsidRDefault="0042295E" w:rsidP="0042295E">
      <w:pPr>
        <w:pStyle w:val="EndNoteBibliography"/>
        <w:ind w:left="720" w:hanging="720"/>
        <w:rPr>
          <w:noProof/>
        </w:rPr>
      </w:pPr>
      <w:r w:rsidRPr="0042295E">
        <w:rPr>
          <w:noProof/>
        </w:rPr>
        <w:t>90. Khatri P, Sirota M, Butte AJ (2012) Ten years of pathway analysis: current approaches and outstanding challenges. PLoS Comput Biol 8: e1002375.</w:t>
      </w:r>
    </w:p>
    <w:p w14:paraId="636D0F7D" w14:textId="77777777" w:rsidR="0042295E" w:rsidRPr="0042295E" w:rsidRDefault="0042295E" w:rsidP="0042295E">
      <w:pPr>
        <w:pStyle w:val="EndNoteBibliography"/>
        <w:ind w:left="720" w:hanging="720"/>
        <w:rPr>
          <w:noProof/>
        </w:rPr>
      </w:pPr>
      <w:r w:rsidRPr="0042295E">
        <w:rPr>
          <w:noProof/>
        </w:rPr>
        <w:t>91. Caspi R, Altman T, Billington R, Dreher K, Foerster H, et al. (2014) The MetaCyc database of metabolic pathways and enzymes and the BioCyc collection of Pathway/Genome Databases. Nucleic acids research 42: D459-D471.</w:t>
      </w:r>
    </w:p>
    <w:p w14:paraId="59C1105E" w14:textId="77777777" w:rsidR="0042295E" w:rsidRPr="0042295E" w:rsidRDefault="0042295E" w:rsidP="0042295E">
      <w:pPr>
        <w:pStyle w:val="EndNoteBibliography"/>
        <w:ind w:left="720" w:hanging="720"/>
        <w:rPr>
          <w:noProof/>
        </w:rPr>
      </w:pPr>
      <w:r w:rsidRPr="0042295E">
        <w:rPr>
          <w:noProof/>
        </w:rPr>
        <w:t>92. Croft D, Mundo AF, Haw R, Milacic M, Weiser J, et al. (2014) The Reactome pathway knowledgebase. Nucleic acids research 42: D472-D477.</w:t>
      </w:r>
    </w:p>
    <w:p w14:paraId="66620CFE" w14:textId="77777777" w:rsidR="0042295E" w:rsidRPr="0042295E" w:rsidRDefault="0042295E" w:rsidP="0042295E">
      <w:pPr>
        <w:pStyle w:val="EndNoteBibliography"/>
        <w:ind w:left="720" w:hanging="720"/>
        <w:rPr>
          <w:noProof/>
        </w:rPr>
      </w:pPr>
      <w:r w:rsidRPr="0042295E">
        <w:rPr>
          <w:noProof/>
        </w:rPr>
        <w:t>93. Schaefer CF, Anthony K, Krupa S, Buchoff J, Day M, et al. (2009) PID: the pathway interaction database. Nucleic acids research 37: D674-D679.</w:t>
      </w:r>
    </w:p>
    <w:p w14:paraId="12EF416F" w14:textId="77777777" w:rsidR="0042295E" w:rsidRPr="0042295E" w:rsidRDefault="0042295E" w:rsidP="0042295E">
      <w:pPr>
        <w:pStyle w:val="EndNoteBibliography"/>
        <w:ind w:left="720" w:hanging="720"/>
        <w:rPr>
          <w:noProof/>
        </w:rPr>
      </w:pPr>
      <w:r w:rsidRPr="0042295E">
        <w:rPr>
          <w:noProof/>
        </w:rPr>
        <w:lastRenderedPageBreak/>
        <w:t>94. Ashburner M, Ball CA, Blake JA, Botstein D, Butler H, et al. (2000) Gene Ontology: tool for the unification of biology. Nature genetics 25: 25-29.</w:t>
      </w:r>
    </w:p>
    <w:p w14:paraId="2EF3DDC7" w14:textId="77777777" w:rsidR="0042295E" w:rsidRPr="0042295E" w:rsidRDefault="0042295E" w:rsidP="0042295E">
      <w:pPr>
        <w:pStyle w:val="EndNoteBibliography"/>
        <w:ind w:left="720" w:hanging="720"/>
        <w:rPr>
          <w:noProof/>
        </w:rPr>
      </w:pPr>
      <w:r w:rsidRPr="0042295E">
        <w:rPr>
          <w:noProof/>
        </w:rPr>
        <w:t>95. Maglott D, Ostell J, Pruitt KD, Tatusova T (2005) Entrez Gene: gene-centered information at NCBI. Nucleic acids research 33: D54-D58.</w:t>
      </w:r>
    </w:p>
    <w:p w14:paraId="18CD55C3" w14:textId="77777777" w:rsidR="0042295E" w:rsidRPr="0042295E" w:rsidRDefault="0042295E" w:rsidP="0042295E">
      <w:pPr>
        <w:pStyle w:val="EndNoteBibliography"/>
        <w:ind w:left="720" w:hanging="720"/>
        <w:rPr>
          <w:noProof/>
        </w:rPr>
      </w:pPr>
      <w:r w:rsidRPr="0042295E">
        <w:rPr>
          <w:noProof/>
        </w:rPr>
        <w:t>96. Pruitt KD, Maglott DR (2001) RefSeq and LocusLink: NCBI gene-centered resources. Nucleic acids research 29: 137-140.</w:t>
      </w:r>
    </w:p>
    <w:p w14:paraId="5C9649D4" w14:textId="77777777" w:rsidR="0042295E" w:rsidRPr="0042295E" w:rsidRDefault="0042295E" w:rsidP="0042295E">
      <w:pPr>
        <w:pStyle w:val="EndNoteBibliography"/>
        <w:ind w:left="720" w:hanging="720"/>
        <w:rPr>
          <w:noProof/>
        </w:rPr>
      </w:pPr>
      <w:r w:rsidRPr="0042295E">
        <w:rPr>
          <w:noProof/>
        </w:rPr>
        <w:t>97. Van Der Walt S, Colbert SC, Varoquaux G (2011) The NumPy array: a structure for efficient numerical computation. Computing in Science &amp; Engineering 13: 22-30.</w:t>
      </w:r>
    </w:p>
    <w:p w14:paraId="37FD4BBF" w14:textId="77777777" w:rsidR="0042295E" w:rsidRPr="0042295E" w:rsidRDefault="0042295E" w:rsidP="0042295E">
      <w:pPr>
        <w:pStyle w:val="EndNoteBibliography"/>
        <w:ind w:left="720" w:hanging="720"/>
        <w:rPr>
          <w:noProof/>
        </w:rPr>
      </w:pPr>
      <w:r w:rsidRPr="0042295E">
        <w:rPr>
          <w:noProof/>
        </w:rPr>
        <w:t>98. Jones E, Oliphant T, Peterson P (2014) {SciPy}: Open source scientific tools for {Python}.</w:t>
      </w:r>
    </w:p>
    <w:p w14:paraId="2DA7EAD2" w14:textId="77777777" w:rsidR="0042295E" w:rsidRPr="0042295E" w:rsidRDefault="0042295E" w:rsidP="0042295E">
      <w:pPr>
        <w:pStyle w:val="EndNoteBibliography"/>
        <w:ind w:left="720" w:hanging="720"/>
        <w:rPr>
          <w:noProof/>
        </w:rPr>
      </w:pPr>
      <w:r w:rsidRPr="0042295E">
        <w:rPr>
          <w:noProof/>
        </w:rPr>
        <w:t>99. Kristensen DM, Kannan L, Coleman MK, Wolf YI, Sorokin A, et al. (2010) A low-polynomial algorithm for assembling clusters of orthologous groups from intergenomic symmetric best matches. Bioinformatics 26: 1481-1487.</w:t>
      </w:r>
    </w:p>
    <w:p w14:paraId="1A165AC3" w14:textId="77777777" w:rsidR="0042295E" w:rsidRPr="0042295E" w:rsidRDefault="0042295E" w:rsidP="0042295E">
      <w:pPr>
        <w:pStyle w:val="EndNoteBibliography"/>
        <w:ind w:left="720" w:hanging="720"/>
        <w:rPr>
          <w:noProof/>
        </w:rPr>
      </w:pPr>
      <w:r w:rsidRPr="0042295E">
        <w:rPr>
          <w:noProof/>
        </w:rPr>
        <w:t>100. Marchler-Bauer A, Panchenko AR, Shoemaker BA, Thiessen PA, Geer LY, et al. (2002) CDD: a database of conserved domain alignments with links to domain three-dimensional structure. Nucleic acids research 30: 281-283.</w:t>
      </w:r>
    </w:p>
    <w:p w14:paraId="48CCD159" w14:textId="77777777" w:rsidR="0042295E" w:rsidRPr="0042295E" w:rsidRDefault="0042295E" w:rsidP="0042295E">
      <w:pPr>
        <w:pStyle w:val="EndNoteBibliography"/>
        <w:ind w:left="720" w:hanging="720"/>
        <w:rPr>
          <w:noProof/>
        </w:rPr>
      </w:pPr>
      <w:r w:rsidRPr="0042295E">
        <w:rPr>
          <w:noProof/>
        </w:rPr>
        <w:t>101. Altschul SF, Madden TL, Schäffer AA, Zhang J, Zhang Z, et al. (1997) Gapped BLAST and PSI-BLAST: a new generation of protein database search programs. Nucleic acids research 25: 3389-3402.</w:t>
      </w:r>
    </w:p>
    <w:p w14:paraId="263B427E" w14:textId="77777777" w:rsidR="0042295E" w:rsidRPr="0042295E" w:rsidRDefault="0042295E" w:rsidP="0042295E">
      <w:pPr>
        <w:pStyle w:val="EndNoteBibliography"/>
        <w:ind w:left="720" w:hanging="720"/>
        <w:rPr>
          <w:noProof/>
        </w:rPr>
      </w:pPr>
      <w:r w:rsidRPr="0042295E">
        <w:rPr>
          <w:noProof/>
        </w:rPr>
        <w:t>102. Halsey LG, Curran-Everett D, Vowler SL, Drummond GB (2015) The fickle P value generates irreproducible results. Nature methods 12: 179-185.</w:t>
      </w:r>
    </w:p>
    <w:p w14:paraId="0D8066A3" w14:textId="77777777" w:rsidR="0042295E" w:rsidRPr="0042295E" w:rsidRDefault="0042295E" w:rsidP="0042295E">
      <w:pPr>
        <w:pStyle w:val="EndNoteBibliography"/>
        <w:ind w:left="720" w:hanging="720"/>
        <w:rPr>
          <w:noProof/>
        </w:rPr>
      </w:pPr>
      <w:r w:rsidRPr="0042295E">
        <w:rPr>
          <w:noProof/>
        </w:rPr>
        <w:t>103. Button KS, Ioannidis JP, Mokrysz C, Nosek BA, Flint J, et al. (2013) Power failure: why small sample size undermines the reliability of neuroscience. Nature Reviews Neuroscience 14: 365-376.</w:t>
      </w:r>
    </w:p>
    <w:p w14:paraId="7C704C37" w14:textId="77777777" w:rsidR="0042295E" w:rsidRPr="0042295E" w:rsidRDefault="0042295E" w:rsidP="0042295E">
      <w:pPr>
        <w:pStyle w:val="EndNoteBibliography"/>
        <w:ind w:left="720" w:hanging="720"/>
        <w:rPr>
          <w:noProof/>
        </w:rPr>
      </w:pPr>
      <w:r w:rsidRPr="0042295E">
        <w:rPr>
          <w:noProof/>
        </w:rPr>
        <w:t>104. Sullivan GM, Feinn R (2012) Using effect size-or why the P value is not enough. Journal of graduate medical education 4: 279-282.</w:t>
      </w:r>
    </w:p>
    <w:p w14:paraId="2132F754" w14:textId="77777777" w:rsidR="0042295E" w:rsidRPr="0042295E" w:rsidRDefault="0042295E" w:rsidP="0042295E">
      <w:pPr>
        <w:pStyle w:val="EndNoteBibliography"/>
        <w:ind w:left="720" w:hanging="720"/>
        <w:rPr>
          <w:noProof/>
        </w:rPr>
      </w:pPr>
      <w:r w:rsidRPr="0042295E">
        <w:rPr>
          <w:noProof/>
        </w:rPr>
        <w:t>105. Gregori J, Villarreal L, Sánchez A, Baselga J, Villanueva J (2013) An effect size filter improves the reproducibility in spectral counting-based comparative proteomics. Journal of Proteomics 95: 55-65.</w:t>
      </w:r>
    </w:p>
    <w:p w14:paraId="1BEBECCC" w14:textId="77777777" w:rsidR="0042295E" w:rsidRPr="0042295E" w:rsidRDefault="0042295E" w:rsidP="0042295E">
      <w:pPr>
        <w:pStyle w:val="EndNoteBibliography"/>
        <w:ind w:left="720" w:hanging="720"/>
        <w:rPr>
          <w:noProof/>
        </w:rPr>
      </w:pPr>
      <w:r w:rsidRPr="0042295E">
        <w:rPr>
          <w:noProof/>
        </w:rPr>
        <w:t>106. Tusher VG, Tibshirani R, Chu G (2001) Significance analysis of microarrays applied to the ionizing radiation response. Proceedings of the National Academy of Sciences 98: 5116-5121.</w:t>
      </w:r>
    </w:p>
    <w:p w14:paraId="164C4D0A" w14:textId="10F61481" w:rsidR="0042295E" w:rsidRPr="0042295E" w:rsidRDefault="0042295E" w:rsidP="0042295E">
      <w:pPr>
        <w:pStyle w:val="EndNoteBibliography"/>
        <w:ind w:left="720" w:hanging="720"/>
        <w:rPr>
          <w:noProof/>
        </w:rPr>
      </w:pPr>
      <w:r w:rsidRPr="0042295E">
        <w:rPr>
          <w:noProof/>
        </w:rPr>
        <w:t xml:space="preserve">107. Gregori J, Sanchez A, Villanueva J (2013) msmsTests. Bioconductor. pp. msmsTests, </w:t>
      </w:r>
      <w:hyperlink r:id="rId71" w:history="1">
        <w:r w:rsidRPr="0042295E">
          <w:rPr>
            <w:rStyle w:val="Hyperlink"/>
            <w:rFonts w:ascii="Arial" w:hAnsi="Arial"/>
            <w:noProof/>
          </w:rPr>
          <w:t>http://www.bioconductor.org/packages/release/bioc/html/msmsTests.html</w:t>
        </w:r>
      </w:hyperlink>
      <w:r w:rsidRPr="0042295E">
        <w:rPr>
          <w:noProof/>
        </w:rPr>
        <w:t>.</w:t>
      </w:r>
    </w:p>
    <w:p w14:paraId="587832B5" w14:textId="4305CE9E" w:rsidR="0042295E" w:rsidRPr="0042295E" w:rsidRDefault="0042295E" w:rsidP="0042295E">
      <w:pPr>
        <w:pStyle w:val="EndNoteBibliography"/>
        <w:ind w:left="720" w:hanging="720"/>
        <w:rPr>
          <w:noProof/>
        </w:rPr>
      </w:pPr>
      <w:r w:rsidRPr="0042295E">
        <w:rPr>
          <w:noProof/>
        </w:rPr>
        <w:t xml:space="preserve">108. Kabacoff RI (2014) Power Analysis. Quick-R. pp. Power Analysis, </w:t>
      </w:r>
      <w:hyperlink r:id="rId72" w:history="1">
        <w:r w:rsidRPr="0042295E">
          <w:rPr>
            <w:rStyle w:val="Hyperlink"/>
            <w:rFonts w:ascii="Arial" w:hAnsi="Arial"/>
            <w:noProof/>
          </w:rPr>
          <w:t>http://www.statmethods.net/stats/power.html</w:t>
        </w:r>
      </w:hyperlink>
      <w:r w:rsidRPr="0042295E">
        <w:rPr>
          <w:noProof/>
        </w:rPr>
        <w:t>.</w:t>
      </w:r>
    </w:p>
    <w:p w14:paraId="6BC54EE9" w14:textId="77777777" w:rsidR="0042295E" w:rsidRPr="0042295E" w:rsidRDefault="0042295E" w:rsidP="0042295E">
      <w:pPr>
        <w:pStyle w:val="EndNoteBibliography"/>
        <w:ind w:left="720" w:hanging="720"/>
        <w:rPr>
          <w:noProof/>
        </w:rPr>
      </w:pPr>
      <w:r w:rsidRPr="0042295E">
        <w:rPr>
          <w:noProof/>
        </w:rPr>
        <w:t>109. Cohen J (2013) Statistical power analysis for the behavioral sciences: Academic press.</w:t>
      </w:r>
    </w:p>
    <w:p w14:paraId="62980CE2" w14:textId="77777777" w:rsidR="0042295E" w:rsidRPr="0042295E" w:rsidRDefault="0042295E" w:rsidP="0042295E">
      <w:pPr>
        <w:pStyle w:val="EndNoteBibliography"/>
        <w:ind w:left="720" w:hanging="720"/>
        <w:rPr>
          <w:noProof/>
        </w:rPr>
      </w:pPr>
      <w:r w:rsidRPr="0042295E">
        <w:rPr>
          <w:noProof/>
        </w:rPr>
        <w:t>110. Stephane Champely CE, Peter Dalgaard, Jeffrey Gill, Helios De Rosario (2015) R package 'pwr'. CRAN. pp. R package 'pwr' ver. 1.1-2, power analysis functions along the lines of Jacob Cohen.</w:t>
      </w:r>
    </w:p>
    <w:p w14:paraId="42A24044" w14:textId="2FE35AA7" w:rsidR="0042295E" w:rsidRPr="0042295E" w:rsidRDefault="0042295E" w:rsidP="0042295E">
      <w:pPr>
        <w:pStyle w:val="EndNoteBibliography"/>
        <w:ind w:left="720" w:hanging="720"/>
        <w:rPr>
          <w:noProof/>
        </w:rPr>
      </w:pPr>
      <w:r w:rsidRPr="0042295E">
        <w:rPr>
          <w:noProof/>
        </w:rPr>
        <w:t xml:space="preserve">111. Wikipedia (2014) Effect size. Wikipedia. pp. </w:t>
      </w:r>
      <w:hyperlink r:id="rId73" w:history="1">
        <w:r w:rsidRPr="0042295E">
          <w:rPr>
            <w:rStyle w:val="Hyperlink"/>
            <w:rFonts w:ascii="Arial" w:hAnsi="Arial"/>
            <w:noProof/>
          </w:rPr>
          <w:t>http://en.wikipedia.org/wiki/Effect_size</w:t>
        </w:r>
      </w:hyperlink>
      <w:r w:rsidRPr="0042295E">
        <w:rPr>
          <w:noProof/>
        </w:rPr>
        <w:t>.</w:t>
      </w:r>
    </w:p>
    <w:p w14:paraId="3910A320" w14:textId="77777777" w:rsidR="0042295E" w:rsidRPr="0042295E" w:rsidRDefault="0042295E" w:rsidP="0042295E">
      <w:pPr>
        <w:pStyle w:val="EndNoteBibliography"/>
        <w:ind w:left="720" w:hanging="720"/>
        <w:rPr>
          <w:noProof/>
        </w:rPr>
      </w:pPr>
      <w:r w:rsidRPr="0042295E">
        <w:rPr>
          <w:noProof/>
        </w:rPr>
        <w:lastRenderedPageBreak/>
        <w:t>112. Venables WN, Ripley BD (2002) Modern applied statistics with S: Springer Science &amp; Business Media.</w:t>
      </w:r>
    </w:p>
    <w:p w14:paraId="41448039" w14:textId="77777777" w:rsidR="0042295E" w:rsidRPr="0042295E" w:rsidRDefault="0042295E" w:rsidP="0042295E">
      <w:pPr>
        <w:pStyle w:val="EndNoteBibliography"/>
        <w:ind w:left="720" w:hanging="720"/>
        <w:rPr>
          <w:noProof/>
        </w:rPr>
      </w:pPr>
      <w:r w:rsidRPr="0042295E">
        <w:rPr>
          <w:noProof/>
        </w:rPr>
        <w:t>113. Cohen J (1990) Things I have learned (so far). American psychologist 45: 1304.</w:t>
      </w:r>
    </w:p>
    <w:p w14:paraId="111385EC" w14:textId="77777777" w:rsidR="0042295E" w:rsidRPr="0042295E" w:rsidRDefault="0042295E" w:rsidP="0042295E">
      <w:pPr>
        <w:pStyle w:val="EndNoteBibliography"/>
        <w:ind w:left="720" w:hanging="720"/>
        <w:rPr>
          <w:noProof/>
        </w:rPr>
      </w:pPr>
      <w:r w:rsidRPr="0042295E">
        <w:rPr>
          <w:noProof/>
        </w:rPr>
        <w:t>114. Cohen J (1992) A power primer. Psychological bulletin 112: 155.</w:t>
      </w:r>
    </w:p>
    <w:p w14:paraId="2B6A39B8" w14:textId="77777777" w:rsidR="0042295E" w:rsidRPr="0042295E" w:rsidRDefault="0042295E" w:rsidP="0042295E">
      <w:pPr>
        <w:pStyle w:val="EndNoteBibliography"/>
        <w:ind w:left="720" w:hanging="720"/>
        <w:rPr>
          <w:noProof/>
        </w:rPr>
      </w:pPr>
      <w:r w:rsidRPr="0042295E">
        <w:rPr>
          <w:noProof/>
        </w:rPr>
        <w:t>115. Ioannidis JP (2005) Why most published research findings are false. PLoS medicine 2: e124.</w:t>
      </w:r>
    </w:p>
    <w:p w14:paraId="707B7816" w14:textId="77777777" w:rsidR="0042295E" w:rsidRPr="0042295E" w:rsidRDefault="0042295E" w:rsidP="0042295E">
      <w:pPr>
        <w:pStyle w:val="EndNoteBibliography"/>
        <w:ind w:left="720" w:hanging="720"/>
        <w:rPr>
          <w:noProof/>
        </w:rPr>
      </w:pPr>
      <w:r w:rsidRPr="0042295E">
        <w:rPr>
          <w:noProof/>
        </w:rPr>
        <w:t>116. Choi H, Fermin D, Nesvizhskii AI (2008) Significance analysis of spectral count data in label-free shotgun proteomics. Molecular &amp; cellular proteomics 7: 2373-2385.</w:t>
      </w:r>
    </w:p>
    <w:p w14:paraId="5B332207" w14:textId="77777777" w:rsidR="0042295E" w:rsidRPr="0042295E" w:rsidRDefault="0042295E" w:rsidP="0042295E">
      <w:pPr>
        <w:pStyle w:val="EndNoteBibliography"/>
        <w:ind w:left="720" w:hanging="720"/>
        <w:rPr>
          <w:noProof/>
        </w:rPr>
      </w:pPr>
      <w:r w:rsidRPr="0042295E">
        <w:rPr>
          <w:noProof/>
        </w:rPr>
        <w:t>117. Claesson MJ, Jeffery IB, Conde S, Power SE, O’Connor EM, et al. (2012) Gut microbiota composition correlates with diet and health in the elderly. Nature 488: 178-184.</w:t>
      </w:r>
    </w:p>
    <w:p w14:paraId="003AF2AE" w14:textId="77777777" w:rsidR="0042295E" w:rsidRPr="0042295E" w:rsidRDefault="0042295E" w:rsidP="0042295E">
      <w:pPr>
        <w:pStyle w:val="EndNoteBibliography"/>
        <w:ind w:left="720" w:hanging="720"/>
        <w:rPr>
          <w:noProof/>
        </w:rPr>
      </w:pPr>
      <w:r w:rsidRPr="0042295E">
        <w:rPr>
          <w:noProof/>
        </w:rPr>
        <w:t>118. Pacheco AR, Curtis MM, Ritchie JM, Munera D, Waldor MK, et al. (2012) Fucose sensing regulates bacterial intestinal colonization. Nature 492: 113-117.</w:t>
      </w:r>
    </w:p>
    <w:p w14:paraId="4C496AB2" w14:textId="77777777" w:rsidR="0042295E" w:rsidRPr="0042295E" w:rsidRDefault="0042295E" w:rsidP="0042295E">
      <w:pPr>
        <w:pStyle w:val="EndNoteBibliography"/>
        <w:ind w:left="720" w:hanging="720"/>
        <w:rPr>
          <w:noProof/>
        </w:rPr>
      </w:pPr>
      <w:r w:rsidRPr="0042295E">
        <w:rPr>
          <w:noProof/>
        </w:rPr>
        <w:t>119. Jostins L, Ripke S, Weersma RK, Duerr RH, McGovern DP, et al. (2012) Host-microbe interactions have shaped the genetic architecture of inflammatory bowel disease. Nature 491: 119-124.</w:t>
      </w:r>
    </w:p>
    <w:p w14:paraId="05E1478E" w14:textId="77777777" w:rsidR="0042295E" w:rsidRPr="0042295E" w:rsidRDefault="0042295E" w:rsidP="0042295E">
      <w:pPr>
        <w:pStyle w:val="EndNoteBibliography"/>
        <w:ind w:left="720" w:hanging="720"/>
        <w:rPr>
          <w:noProof/>
        </w:rPr>
      </w:pPr>
      <w:r w:rsidRPr="0042295E">
        <w:rPr>
          <w:noProof/>
        </w:rPr>
        <w:t>120. Qin J, Li Y, Cai Z, Li S, Zhu J, et al. (2012) A metagenome-wide association study of gut microbiota in type 2 diabetes. Nature 490: 55-60.</w:t>
      </w:r>
    </w:p>
    <w:p w14:paraId="571394F0" w14:textId="77777777" w:rsidR="0042295E" w:rsidRPr="0042295E" w:rsidRDefault="0042295E" w:rsidP="0042295E">
      <w:pPr>
        <w:pStyle w:val="EndNoteBibliography"/>
        <w:ind w:left="720" w:hanging="720"/>
        <w:rPr>
          <w:noProof/>
        </w:rPr>
      </w:pPr>
      <w:r w:rsidRPr="0042295E">
        <w:rPr>
          <w:noProof/>
        </w:rPr>
        <w:t>121. Verberkmoes NC, Russell AL, Shah M, Godzik A, Rosenquist M, et al. (2009) Shotgun metaproteomics of the human distal gut microbiota. The ISME journal 3: 179-189.</w:t>
      </w:r>
    </w:p>
    <w:p w14:paraId="396092BA" w14:textId="77777777" w:rsidR="0042295E" w:rsidRPr="0042295E" w:rsidRDefault="0042295E" w:rsidP="0042295E">
      <w:pPr>
        <w:pStyle w:val="EndNoteBibliography"/>
        <w:ind w:left="720" w:hanging="720"/>
        <w:rPr>
          <w:noProof/>
        </w:rPr>
      </w:pPr>
      <w:r w:rsidRPr="0042295E">
        <w:rPr>
          <w:noProof/>
        </w:rPr>
        <w:t>122. Xiong W, Abraham PE, Li Z, Pan C, Hettich RL (2015) Microbial metaproteomics for characterizing the range of metabolic functions and activities of human gut microbiota. Proteomics.</w:t>
      </w:r>
    </w:p>
    <w:p w14:paraId="2A79ADE1" w14:textId="77777777" w:rsidR="0042295E" w:rsidRPr="0042295E" w:rsidRDefault="0042295E" w:rsidP="0042295E">
      <w:pPr>
        <w:pStyle w:val="EndNoteBibliography"/>
        <w:ind w:left="720" w:hanging="720"/>
        <w:rPr>
          <w:noProof/>
        </w:rPr>
      </w:pPr>
      <w:r w:rsidRPr="0042295E">
        <w:rPr>
          <w:noProof/>
        </w:rPr>
        <w:t>123. Fouts DE, Pieper R, Szpakowski S, Pohl H, Knoblach S, et al. (2012) Integrated next-generation sequencing of 16S rDNA and metaproteomics differentiate the healthy urine microbiome from asymptomatic bacteriuria in neuropathic bladder associated with spinal cord injury. J Transl Med 10: 174.</w:t>
      </w:r>
    </w:p>
    <w:p w14:paraId="20B99C48" w14:textId="77777777" w:rsidR="0042295E" w:rsidRPr="0042295E" w:rsidRDefault="0042295E" w:rsidP="0042295E">
      <w:pPr>
        <w:pStyle w:val="EndNoteBibliography"/>
        <w:ind w:left="720" w:hanging="720"/>
        <w:rPr>
          <w:noProof/>
        </w:rPr>
      </w:pPr>
      <w:r w:rsidRPr="0042295E">
        <w:rPr>
          <w:noProof/>
        </w:rPr>
        <w:t>124. Cohen J (1992) Statistical power analysis. Current directions in psychological science: 98-101.</w:t>
      </w:r>
    </w:p>
    <w:p w14:paraId="663E14A2" w14:textId="77777777" w:rsidR="0042295E" w:rsidRPr="0042295E" w:rsidRDefault="0042295E" w:rsidP="0042295E">
      <w:pPr>
        <w:pStyle w:val="EndNoteBibliography"/>
        <w:ind w:left="720" w:hanging="720"/>
        <w:rPr>
          <w:noProof/>
        </w:rPr>
      </w:pPr>
      <w:r w:rsidRPr="0042295E">
        <w:rPr>
          <w:noProof/>
        </w:rPr>
        <w:t>125. Tatusov RL, Natale DA, Garkavtsev IV, Tatusova TA, Shankavaram UT, et al. (2001) The COG database: new developments in phylogenetic classification of proteins from complete genomes. Nucleic acids research 29: 22-28.</w:t>
      </w:r>
    </w:p>
    <w:p w14:paraId="02082A6D" w14:textId="77777777" w:rsidR="0042295E" w:rsidRPr="0042295E" w:rsidRDefault="0042295E" w:rsidP="0042295E">
      <w:pPr>
        <w:pStyle w:val="EndNoteBibliography"/>
        <w:ind w:left="720" w:hanging="720"/>
        <w:rPr>
          <w:noProof/>
        </w:rPr>
      </w:pPr>
      <w:r w:rsidRPr="0042295E">
        <w:rPr>
          <w:noProof/>
        </w:rPr>
        <w:t>126. Madsen J, Mollenhauer J, Holmskov U (2010) Review: Gp-340/DMBT1 in mucosal innate immunity. Innate immunity 16: 160-167.</w:t>
      </w:r>
    </w:p>
    <w:p w14:paraId="42AABD6A" w14:textId="77777777" w:rsidR="0042295E" w:rsidRPr="0042295E" w:rsidRDefault="0042295E" w:rsidP="0042295E">
      <w:pPr>
        <w:pStyle w:val="EndNoteBibliography"/>
        <w:ind w:left="720" w:hanging="720"/>
        <w:rPr>
          <w:noProof/>
        </w:rPr>
      </w:pPr>
      <w:r w:rsidRPr="0042295E">
        <w:rPr>
          <w:noProof/>
        </w:rPr>
        <w:t>127. Verberkmoes NC, Russell AL, Shah M, Godzik A, Rosenquist M, et al. (2008) Shotgun metaproteomics of the human distal gut microbiota. The ISME journal 3: 179-189.</w:t>
      </w:r>
    </w:p>
    <w:p w14:paraId="6689DE10" w14:textId="77777777" w:rsidR="0042295E" w:rsidRPr="0042295E" w:rsidRDefault="0042295E" w:rsidP="0042295E">
      <w:pPr>
        <w:pStyle w:val="EndNoteBibliography"/>
        <w:ind w:left="720" w:hanging="720"/>
        <w:rPr>
          <w:noProof/>
        </w:rPr>
      </w:pPr>
      <w:r w:rsidRPr="0042295E">
        <w:rPr>
          <w:noProof/>
        </w:rPr>
        <w:t>128. Sun Y, Wright H, Janciauskiene S (2002) Glioma cell activation by Alzheimer's peptide Aβ 1–42, α 1-antichymotrypsin, and their mixture. Cellular and Molecular Life Sciences CMLS 59: 1734-1743.</w:t>
      </w:r>
    </w:p>
    <w:p w14:paraId="2384C2EF" w14:textId="77777777" w:rsidR="0042295E" w:rsidRPr="0042295E" w:rsidRDefault="0042295E" w:rsidP="0042295E">
      <w:pPr>
        <w:pStyle w:val="EndNoteBibliography"/>
        <w:ind w:left="720" w:hanging="720"/>
        <w:rPr>
          <w:noProof/>
        </w:rPr>
      </w:pPr>
      <w:r w:rsidRPr="0042295E">
        <w:rPr>
          <w:noProof/>
        </w:rPr>
        <w:t>129. Kim M-S, Pinto SM, Getnet D, Nirujogi RS, Manda SS, et al. (2014) A draft map of the human proteome. Nature 509: 575-581.</w:t>
      </w:r>
    </w:p>
    <w:p w14:paraId="0C07D9A2" w14:textId="77777777" w:rsidR="0042295E" w:rsidRPr="0042295E" w:rsidRDefault="0042295E" w:rsidP="0042295E">
      <w:pPr>
        <w:pStyle w:val="EndNoteBibliography"/>
        <w:ind w:left="720" w:hanging="720"/>
        <w:rPr>
          <w:noProof/>
        </w:rPr>
      </w:pPr>
      <w:r w:rsidRPr="0042295E">
        <w:rPr>
          <w:noProof/>
        </w:rPr>
        <w:lastRenderedPageBreak/>
        <w:t>130. Ortutay C, Vihinen M (2006) Immunome: a reference set of genes and proteins for systems biology of the human immune system. Cellular immunology 244: 87-89.</w:t>
      </w:r>
    </w:p>
    <w:p w14:paraId="6C892B44" w14:textId="77777777" w:rsidR="0042295E" w:rsidRPr="0042295E" w:rsidRDefault="0042295E" w:rsidP="0042295E">
      <w:pPr>
        <w:pStyle w:val="EndNoteBibliography"/>
        <w:ind w:left="720" w:hanging="720"/>
        <w:rPr>
          <w:noProof/>
        </w:rPr>
      </w:pPr>
      <w:r w:rsidRPr="0042295E">
        <w:rPr>
          <w:noProof/>
        </w:rPr>
        <w:t>131. Ortutay C, Siermala M, Vihinen M (2007) Molecular characterization of the immune system: emergence of proteins, processes, and domains. Immunogenetics 59: 333-348.</w:t>
      </w:r>
    </w:p>
    <w:p w14:paraId="710ED86A" w14:textId="77777777" w:rsidR="0042295E" w:rsidRPr="0042295E" w:rsidRDefault="0042295E" w:rsidP="0042295E">
      <w:pPr>
        <w:pStyle w:val="EndNoteBibliography"/>
        <w:ind w:left="720" w:hanging="720"/>
        <w:rPr>
          <w:noProof/>
        </w:rPr>
      </w:pPr>
      <w:r w:rsidRPr="0042295E">
        <w:rPr>
          <w:noProof/>
        </w:rPr>
        <w:t>132. Lynn DJ, Winsor GL, Chan C, Richard N, Laird MR, et al. (2008) InnateDB: facilitating systems</w:t>
      </w:r>
      <w:r w:rsidRPr="0042295E">
        <w:rPr>
          <w:rFonts w:ascii="Noteworthy Bold" w:hAnsi="Noteworthy Bold" w:cs="Noteworthy Bold"/>
          <w:noProof/>
        </w:rPr>
        <w:t>‐</w:t>
      </w:r>
      <w:r w:rsidRPr="0042295E">
        <w:rPr>
          <w:noProof/>
        </w:rPr>
        <w:t>level analyses of the mammalian innate immune response. Molecular systems biology 4.</w:t>
      </w:r>
    </w:p>
    <w:p w14:paraId="53F2626C" w14:textId="77777777" w:rsidR="0042295E" w:rsidRPr="0042295E" w:rsidRDefault="0042295E" w:rsidP="0042295E">
      <w:pPr>
        <w:pStyle w:val="EndNoteBibliography"/>
        <w:ind w:left="720" w:hanging="720"/>
        <w:rPr>
          <w:noProof/>
        </w:rPr>
      </w:pPr>
      <w:r w:rsidRPr="0042295E">
        <w:rPr>
          <w:noProof/>
        </w:rPr>
        <w:t>133. Diehl AD, Lee JA, Scheuermann RH, Blake JA (2007) Ontology development for biological systems: immunology. Bioinformatics 23: 913-915.</w:t>
      </w:r>
    </w:p>
    <w:p w14:paraId="3A439B66" w14:textId="77777777" w:rsidR="0042295E" w:rsidRPr="0042295E" w:rsidRDefault="0042295E" w:rsidP="0042295E">
      <w:pPr>
        <w:pStyle w:val="EndNoteBibliography"/>
        <w:ind w:left="720" w:hanging="720"/>
        <w:rPr>
          <w:noProof/>
        </w:rPr>
      </w:pPr>
      <w:r w:rsidRPr="0042295E">
        <w:rPr>
          <w:noProof/>
        </w:rPr>
        <w:t>134. Harada N, Iijima S, Kobayashi K, Yoshida T, Brown WR, et al. (1997) Human IgGFc binding protein (FcγBP) in colonic epithelial cells exhibits mucin-like structure. Journal of Biological Chemistry 272: 15232-15241.</w:t>
      </w:r>
    </w:p>
    <w:p w14:paraId="73298995" w14:textId="77777777" w:rsidR="0042295E" w:rsidRPr="0042295E" w:rsidRDefault="0042295E" w:rsidP="0042295E">
      <w:pPr>
        <w:pStyle w:val="EndNoteBibliography"/>
        <w:ind w:left="720" w:hanging="720"/>
        <w:rPr>
          <w:noProof/>
        </w:rPr>
      </w:pPr>
      <w:r w:rsidRPr="0042295E">
        <w:rPr>
          <w:noProof/>
        </w:rPr>
        <w:t>135. Johansson ME, Thomsson KA, Hansson GC (2009) Proteomic analyses of the two mucus layers of the colon barrier reveal that their main component, the Muc2 mucin, is strongly bound to the Fcgbp protein. Journal of proteome research 8: 3549-3557.</w:t>
      </w:r>
    </w:p>
    <w:p w14:paraId="01FEC70B" w14:textId="77777777" w:rsidR="0042295E" w:rsidRPr="0042295E" w:rsidRDefault="0042295E" w:rsidP="0042295E">
      <w:pPr>
        <w:pStyle w:val="EndNoteBibliography"/>
        <w:ind w:left="720" w:hanging="720"/>
        <w:rPr>
          <w:noProof/>
        </w:rPr>
      </w:pPr>
      <w:r w:rsidRPr="0042295E">
        <w:rPr>
          <w:noProof/>
        </w:rPr>
        <w:t>136. Velliyagounder K, Kaplan JB, Furgang D, Legarda D, Diamond G, et al. (2003) One of two human lactoferrin variants exhibits increased antibacterial and transcriptional activation activities and is associated with localized juvenile periodontitis. Infection and immunity 71: 6141-6147.</w:t>
      </w:r>
    </w:p>
    <w:p w14:paraId="77F568CF" w14:textId="77777777" w:rsidR="0042295E" w:rsidRPr="0042295E" w:rsidRDefault="0042295E" w:rsidP="0042295E">
      <w:pPr>
        <w:pStyle w:val="EndNoteBibliography"/>
        <w:ind w:left="720" w:hanging="720"/>
        <w:rPr>
          <w:noProof/>
        </w:rPr>
      </w:pPr>
      <w:r w:rsidRPr="0042295E">
        <w:rPr>
          <w:noProof/>
        </w:rPr>
        <w:t>137. Ando K, Hasegawa K, Shindo Ki, Furusawa T, Fujino T, et al. (2010) Human lactoferrin activates NF</w:t>
      </w:r>
      <w:r w:rsidRPr="0042295E">
        <w:rPr>
          <w:rFonts w:ascii="Noteworthy Bold" w:hAnsi="Noteworthy Bold" w:cs="Noteworthy Bold"/>
          <w:noProof/>
        </w:rPr>
        <w:t>‐</w:t>
      </w:r>
      <w:r w:rsidRPr="0042295E">
        <w:rPr>
          <w:noProof/>
        </w:rPr>
        <w:t>κB through the Toll</w:t>
      </w:r>
      <w:r w:rsidRPr="0042295E">
        <w:rPr>
          <w:rFonts w:ascii="Noteworthy Bold" w:hAnsi="Noteworthy Bold" w:cs="Noteworthy Bold"/>
          <w:noProof/>
        </w:rPr>
        <w:t>‐</w:t>
      </w:r>
      <w:r w:rsidRPr="0042295E">
        <w:rPr>
          <w:noProof/>
        </w:rPr>
        <w:t>like receptor 4 pathway while it interferes with the lipopolysaccharide</w:t>
      </w:r>
      <w:r w:rsidRPr="0042295E">
        <w:rPr>
          <w:rFonts w:ascii="Noteworthy Bold" w:hAnsi="Noteworthy Bold" w:cs="Noteworthy Bold"/>
          <w:noProof/>
        </w:rPr>
        <w:t>‐</w:t>
      </w:r>
      <w:r w:rsidRPr="0042295E">
        <w:rPr>
          <w:noProof/>
        </w:rPr>
        <w:t>stimulated TLR4 signaling. FEBS journal 277: 2051-2066.</w:t>
      </w:r>
    </w:p>
    <w:p w14:paraId="3E7188D2" w14:textId="77777777" w:rsidR="0042295E" w:rsidRPr="0042295E" w:rsidRDefault="0042295E" w:rsidP="0042295E">
      <w:pPr>
        <w:pStyle w:val="EndNoteBibliography"/>
        <w:ind w:left="720" w:hanging="720"/>
        <w:rPr>
          <w:noProof/>
        </w:rPr>
      </w:pPr>
      <w:r w:rsidRPr="0042295E">
        <w:rPr>
          <w:noProof/>
        </w:rPr>
        <w:t>138. Roth W, Kumar V, Beer H-D, Richter M, Wohlenberg C, et al. (2012) Keratin 1 maintains skin integrity and participates in an inflammatory network in skin through interleukin-18. Journal of cell science 125: 5269-5279.</w:t>
      </w:r>
    </w:p>
    <w:p w14:paraId="5E425CE7" w14:textId="77777777" w:rsidR="0042295E" w:rsidRPr="0042295E" w:rsidRDefault="0042295E" w:rsidP="0042295E">
      <w:pPr>
        <w:pStyle w:val="EndNoteBibliography"/>
        <w:ind w:left="720" w:hanging="720"/>
        <w:rPr>
          <w:noProof/>
        </w:rPr>
      </w:pPr>
      <w:r w:rsidRPr="0042295E">
        <w:rPr>
          <w:noProof/>
        </w:rPr>
        <w:t>139. Gebhardt C, Németh J, Angel P, Hess J (2006) S100A8 and S100A9 in inflammation and cancer. Biochemical pharmacology 72: 1622-1631.</w:t>
      </w:r>
    </w:p>
    <w:p w14:paraId="3CFA6DFA" w14:textId="77777777" w:rsidR="0042295E" w:rsidRPr="0042295E" w:rsidRDefault="0042295E" w:rsidP="0042295E">
      <w:pPr>
        <w:pStyle w:val="EndNoteBibliography"/>
        <w:ind w:left="720" w:hanging="720"/>
        <w:rPr>
          <w:noProof/>
        </w:rPr>
      </w:pPr>
      <w:r w:rsidRPr="0042295E">
        <w:rPr>
          <w:noProof/>
        </w:rPr>
        <w:t>140. Taheri M, Saragovi U, Fuks A, Makkerh J, Mort J, et al. (2000) Self recognition in the Ig superfamily Identification of precise subdomains in carcinoembryonic antigen required for intercellular adhesion. Journal of Biological Chemistry 275: 26935-26943.</w:t>
      </w:r>
    </w:p>
    <w:p w14:paraId="0823CD7F" w14:textId="77777777" w:rsidR="0042295E" w:rsidRPr="0042295E" w:rsidRDefault="0042295E" w:rsidP="0042295E">
      <w:pPr>
        <w:pStyle w:val="EndNoteBibliography"/>
        <w:ind w:left="720" w:hanging="720"/>
        <w:rPr>
          <w:noProof/>
        </w:rPr>
      </w:pPr>
      <w:r w:rsidRPr="0042295E">
        <w:rPr>
          <w:noProof/>
        </w:rPr>
        <w:t>141. Zhang B, VerBerkmoes NC, Langston MA, Uberbacher E, Hettich RL, et al. (2006) Detecting differential and correlated protein expression in label-free shotgun proteomics. Journal of proteome research 5: 2909-2918.</w:t>
      </w:r>
    </w:p>
    <w:p w14:paraId="496FCD3B" w14:textId="77777777" w:rsidR="0042295E" w:rsidRPr="0042295E" w:rsidRDefault="0042295E" w:rsidP="0042295E">
      <w:pPr>
        <w:pStyle w:val="EndNoteBibliography"/>
        <w:ind w:left="720" w:hanging="720"/>
        <w:rPr>
          <w:noProof/>
        </w:rPr>
      </w:pPr>
      <w:r w:rsidRPr="0042295E">
        <w:rPr>
          <w:noProof/>
        </w:rPr>
        <w:t>142. Yin Y, Yu G, Chen Y, Jiang S, Wang M, et al. (2012) Genome-wide transcriptome and proteome analysis on different developmental stages of Cordyceps militaris. PloS one 7: e51853.</w:t>
      </w:r>
    </w:p>
    <w:p w14:paraId="6F81BAF5" w14:textId="77777777" w:rsidR="0042295E" w:rsidRPr="0042295E" w:rsidRDefault="0042295E" w:rsidP="0042295E">
      <w:pPr>
        <w:pStyle w:val="EndNoteBibliography"/>
        <w:ind w:left="720" w:hanging="720"/>
        <w:rPr>
          <w:noProof/>
        </w:rPr>
      </w:pPr>
      <w:r w:rsidRPr="0042295E">
        <w:rPr>
          <w:noProof/>
        </w:rPr>
        <w:t>143. Zeng J, Liu Y, Liu W, Liu X, Liu F, et al. (2013) Integration of transcriptome, proteome and metabolism data reveals the alkaloids biosynthesis in Macleaya cordata and Macleaya microcarpa. PloS one 8: e53409.</w:t>
      </w:r>
    </w:p>
    <w:p w14:paraId="7530B6CC" w14:textId="77777777" w:rsidR="0042295E" w:rsidRPr="0042295E" w:rsidRDefault="0042295E" w:rsidP="0042295E">
      <w:pPr>
        <w:pStyle w:val="EndNoteBibliography"/>
        <w:ind w:left="720" w:hanging="720"/>
        <w:rPr>
          <w:noProof/>
        </w:rPr>
      </w:pPr>
      <w:r w:rsidRPr="0042295E">
        <w:rPr>
          <w:noProof/>
        </w:rPr>
        <w:lastRenderedPageBreak/>
        <w:t>144. Walker AW, Ince J, Duncan SH, Webster LM, Holtrop G, et al. (2011) Dominant and diet-responsive groups of bacteria within the human colonic microbiota. The ISME journal 5: 220-230.</w:t>
      </w:r>
    </w:p>
    <w:p w14:paraId="3F376646" w14:textId="77777777" w:rsidR="0042295E" w:rsidRPr="0042295E" w:rsidRDefault="0042295E" w:rsidP="0042295E">
      <w:pPr>
        <w:pStyle w:val="EndNoteBibliography"/>
        <w:ind w:left="720" w:hanging="720"/>
        <w:rPr>
          <w:noProof/>
        </w:rPr>
      </w:pPr>
      <w:r w:rsidRPr="0042295E">
        <w:rPr>
          <w:noProof/>
        </w:rPr>
        <w:t>145. Ley RE, Turnbaugh PJ, Klein S, Gordon JI (2006) Microbial ecology: human gut microbes associated with obesity. Nature 444: 1022-1023.</w:t>
      </w:r>
    </w:p>
    <w:p w14:paraId="18CA8A56" w14:textId="77777777" w:rsidR="0042295E" w:rsidRPr="0042295E" w:rsidRDefault="0042295E" w:rsidP="0042295E">
      <w:pPr>
        <w:pStyle w:val="EndNoteBibliography"/>
        <w:ind w:left="720" w:hanging="720"/>
        <w:rPr>
          <w:noProof/>
        </w:rPr>
      </w:pPr>
      <w:r w:rsidRPr="0042295E">
        <w:rPr>
          <w:noProof/>
        </w:rPr>
        <w:t>146. Turnbaugh PJ, Bäckhed F, Fulton L, Gordon JI (2008) Diet-induced obesity is linked to marked but reversible alterations in the mouse distal gut microbiome. Cell host &amp; microbe 3: 213-223.</w:t>
      </w:r>
    </w:p>
    <w:p w14:paraId="38633131" w14:textId="77777777" w:rsidR="0042295E" w:rsidRPr="0042295E" w:rsidRDefault="0042295E" w:rsidP="0042295E">
      <w:pPr>
        <w:pStyle w:val="EndNoteBibliography"/>
        <w:ind w:left="720" w:hanging="720"/>
        <w:rPr>
          <w:noProof/>
        </w:rPr>
      </w:pPr>
      <w:r w:rsidRPr="0042295E">
        <w:rPr>
          <w:noProof/>
        </w:rPr>
        <w:t>147. Walter J, Ley R (2011) The human gut microbiome: ecology and recent evolutionary changes. Annual review of microbiology 65: 411-429.</w:t>
      </w:r>
    </w:p>
    <w:p w14:paraId="282FF988" w14:textId="77777777" w:rsidR="0042295E" w:rsidRPr="0042295E" w:rsidRDefault="0042295E" w:rsidP="0042295E">
      <w:pPr>
        <w:pStyle w:val="EndNoteBibliography"/>
        <w:ind w:left="720" w:hanging="720"/>
        <w:rPr>
          <w:noProof/>
        </w:rPr>
      </w:pPr>
      <w:r w:rsidRPr="0042295E">
        <w:rPr>
          <w:noProof/>
        </w:rPr>
        <w:t>148. Englyst HN, Kingman S, Cummings J (1992) Classification and measurement of nutritionally important starch fractions. European journal of clinical nutrition 46: S33-50.</w:t>
      </w:r>
    </w:p>
    <w:p w14:paraId="7D99A1D9" w14:textId="77777777" w:rsidR="0042295E" w:rsidRPr="0042295E" w:rsidRDefault="0042295E" w:rsidP="0042295E">
      <w:pPr>
        <w:pStyle w:val="EndNoteBibliography"/>
        <w:ind w:left="720" w:hanging="720"/>
        <w:rPr>
          <w:noProof/>
        </w:rPr>
      </w:pPr>
      <w:r w:rsidRPr="0042295E">
        <w:rPr>
          <w:noProof/>
        </w:rPr>
        <w:t>149. Duncan SH, Belenguer A, Holtrop G, Johnstone AM, Flint HJ, et al. (2007) Reduced dietary intake of carbohydrates by obese subjects results in decreased concentrations of butyrate and butyrate-producing bacteria in feces. Applied and environmental microbiology 73: 1073-1078.</w:t>
      </w:r>
    </w:p>
    <w:p w14:paraId="36560A46" w14:textId="77777777" w:rsidR="0042295E" w:rsidRPr="0042295E" w:rsidRDefault="0042295E" w:rsidP="0042295E">
      <w:pPr>
        <w:pStyle w:val="EndNoteBibliography"/>
        <w:ind w:left="720" w:hanging="720"/>
        <w:rPr>
          <w:noProof/>
        </w:rPr>
      </w:pPr>
      <w:r w:rsidRPr="0042295E">
        <w:rPr>
          <w:noProof/>
        </w:rPr>
        <w:t>150. Martínez I, Kim J, Duffy PR, Schlegel VL, Walter J (2010) Resistant starches types 2 and 4 have differential effects on the composition of the fecal microbiota in human subjects. PloS one 5: e15046-e15046.</w:t>
      </w:r>
    </w:p>
    <w:p w14:paraId="14A7C55D" w14:textId="77777777" w:rsidR="0042295E" w:rsidRPr="0042295E" w:rsidRDefault="0042295E" w:rsidP="0042295E">
      <w:pPr>
        <w:pStyle w:val="EndNoteBibliography"/>
        <w:ind w:left="720" w:hanging="720"/>
        <w:rPr>
          <w:noProof/>
        </w:rPr>
      </w:pPr>
      <w:r w:rsidRPr="0042295E">
        <w:rPr>
          <w:noProof/>
        </w:rPr>
        <w:t>151. Abell GC, Cooke CM, Bennett CN, Conlon MA, McOrist AL (2008) Phylotypes related to Ruminococcus bromii are abundant in the large bowel of humans and increase in response to a diet high in resistant starch. FEMS microbiology ecology 66: 505-515.</w:t>
      </w:r>
    </w:p>
    <w:p w14:paraId="561F88FF" w14:textId="77777777" w:rsidR="0042295E" w:rsidRPr="0042295E" w:rsidRDefault="0042295E" w:rsidP="0042295E">
      <w:pPr>
        <w:pStyle w:val="EndNoteBibliography"/>
        <w:ind w:left="720" w:hanging="720"/>
        <w:rPr>
          <w:noProof/>
        </w:rPr>
      </w:pPr>
      <w:r w:rsidRPr="0042295E">
        <w:rPr>
          <w:noProof/>
        </w:rPr>
        <w:t>152. Leitch E, Walker AW, Duncan SH, Holtrop G, Flint HJ (2007) Selective colonization of insoluble substrates by human faecal bacteria. Environmental microbiology 9: 667-679.</w:t>
      </w:r>
    </w:p>
    <w:p w14:paraId="586DEE82" w14:textId="77777777" w:rsidR="0042295E" w:rsidRPr="0042295E" w:rsidRDefault="0042295E" w:rsidP="0042295E">
      <w:pPr>
        <w:pStyle w:val="EndNoteBibliography"/>
        <w:ind w:left="720" w:hanging="720"/>
        <w:rPr>
          <w:noProof/>
        </w:rPr>
      </w:pPr>
      <w:r w:rsidRPr="0042295E">
        <w:rPr>
          <w:noProof/>
        </w:rPr>
        <w:t>153. De Filippo C, Cavalieri D, Di Paola M, Ramazzotti M, Poullet JB, et al. (2010) Impact of diet in shaping gut microbiota revealed by a comparative study in children from Europe and rural Africa. Proceedings of the National Academy of Sciences 107: 14691-14696.</w:t>
      </w:r>
    </w:p>
    <w:p w14:paraId="6BD99831" w14:textId="77777777" w:rsidR="0042295E" w:rsidRPr="0042295E" w:rsidRDefault="0042295E" w:rsidP="0042295E">
      <w:pPr>
        <w:pStyle w:val="EndNoteBibliography"/>
        <w:ind w:left="720" w:hanging="720"/>
        <w:rPr>
          <w:noProof/>
        </w:rPr>
      </w:pPr>
      <w:r w:rsidRPr="0042295E">
        <w:rPr>
          <w:noProof/>
        </w:rPr>
        <w:t>154. Kuznetsova A, Brockhoff PB, Christensen RHB (2013) lmerTest: Tests for random and fixed effects for linear mixed effect models (lmer objects of lme4 package). R package version 2.</w:t>
      </w:r>
    </w:p>
    <w:p w14:paraId="55C217BB" w14:textId="77777777" w:rsidR="0042295E" w:rsidRPr="0042295E" w:rsidRDefault="0042295E" w:rsidP="0042295E">
      <w:pPr>
        <w:pStyle w:val="EndNoteBibliography"/>
        <w:ind w:left="720" w:hanging="720"/>
        <w:rPr>
          <w:noProof/>
        </w:rPr>
      </w:pPr>
      <w:r w:rsidRPr="0042295E">
        <w:rPr>
          <w:noProof/>
        </w:rPr>
        <w:t>155. Robinson MD, McCarthy DJ, Smyth GK (2010) edgeR: a Bioconductor package for differential expression analysis of digital gene expression data. Bioinformatics 26: 139-140.</w:t>
      </w:r>
    </w:p>
    <w:p w14:paraId="549C02AB" w14:textId="77777777" w:rsidR="0042295E" w:rsidRPr="0042295E" w:rsidRDefault="0042295E" w:rsidP="0042295E">
      <w:pPr>
        <w:pStyle w:val="EndNoteBibliography"/>
        <w:ind w:left="720" w:hanging="720"/>
        <w:rPr>
          <w:noProof/>
        </w:rPr>
      </w:pPr>
      <w:r w:rsidRPr="0042295E">
        <w:rPr>
          <w:noProof/>
        </w:rPr>
        <w:t>156. Anders S, Huber W (2010) Differential expression analysis for sequence count data. Genome biol 11: R106.</w:t>
      </w:r>
    </w:p>
    <w:p w14:paraId="73251F3C" w14:textId="12154245" w:rsidR="00236E6D" w:rsidRPr="004030F5" w:rsidRDefault="00460779"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r w:rsidRPr="004030F5">
        <w:rPr>
          <w:rFonts w:cs="Arial"/>
        </w:rPr>
        <w:fldChar w:fldCharType="end"/>
      </w:r>
      <w:r w:rsidR="00236E6D" w:rsidRPr="004030F5">
        <w:rPr>
          <w:rFonts w:cs="Arial"/>
        </w:rPr>
        <w:br w:type="page"/>
      </w:r>
    </w:p>
    <w:p w14:paraId="722C3469"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24E3847A"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475DF830"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7B07284B"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5CA1C3CC"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44E1615F"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15614172"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4F187447"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783194AB"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21214BE6" w14:textId="77777777" w:rsidR="00236E6D" w:rsidRPr="004030F5" w:rsidRDefault="00236E6D"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14:paraId="15698010" w14:textId="77777777" w:rsidR="00236E6D" w:rsidRPr="004030F5" w:rsidRDefault="00236E6D" w:rsidP="003E7750">
      <w:pPr>
        <w:pStyle w:val="StyleHeading1Centered"/>
        <w:spacing w:line="480" w:lineRule="auto"/>
        <w:rPr>
          <w:rFonts w:cs="Arial"/>
        </w:rPr>
      </w:pPr>
      <w:bookmarkStart w:id="127" w:name="_Toc296333763"/>
      <w:r w:rsidRPr="004030F5">
        <w:rPr>
          <w:rFonts w:cs="Arial"/>
        </w:rPr>
        <w:t>APPENDIX</w:t>
      </w:r>
      <w:bookmarkEnd w:id="127"/>
    </w:p>
    <w:p w14:paraId="0B62A08F" w14:textId="77777777" w:rsidR="000B0A40" w:rsidRPr="004030F5" w:rsidRDefault="000B0A40" w:rsidP="003E77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sidRPr="004030F5">
        <w:rPr>
          <w:rFonts w:cs="Arial"/>
          <w:sz w:val="28"/>
          <w:szCs w:val="28"/>
        </w:rPr>
        <w:t xml:space="preserve">[Remove this note, but DO NOT REMOVE THIS PAGE, AND/OR DO NOT PUT APPENDIX MATERIAL ON THIS PAGE – you can change “Appendix” to “Appendices” if you would like, but this is the ONLY text that should be on this page.  The </w:t>
      </w:r>
      <w:r w:rsidR="00CB77EA" w:rsidRPr="004030F5">
        <w:rPr>
          <w:rFonts w:cs="Arial"/>
          <w:sz w:val="28"/>
          <w:szCs w:val="28"/>
        </w:rPr>
        <w:t xml:space="preserve">actual appendix material </w:t>
      </w:r>
      <w:r w:rsidRPr="004030F5">
        <w:rPr>
          <w:rFonts w:cs="Arial"/>
          <w:sz w:val="28"/>
          <w:szCs w:val="28"/>
        </w:rPr>
        <w:t>should start at the top of the NEXT page.]</w:t>
      </w:r>
      <w:r w:rsidRPr="004030F5">
        <w:rPr>
          <w:rFonts w:cs="Arial"/>
          <w:sz w:val="28"/>
          <w:szCs w:val="28"/>
        </w:rPr>
        <w:br w:type="page"/>
      </w:r>
      <w:r w:rsidRPr="004030F5">
        <w:rPr>
          <w:rFonts w:cs="Arial"/>
        </w:rPr>
        <w:lastRenderedPageBreak/>
        <w:t xml:space="preserve"> </w:t>
      </w:r>
    </w:p>
    <w:p w14:paraId="61B65102" w14:textId="77777777" w:rsidR="003C1575" w:rsidRPr="004030F5" w:rsidRDefault="003C1575" w:rsidP="003E775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cs="Arial"/>
        </w:rPr>
      </w:pPr>
      <w:r w:rsidRPr="004030F5">
        <w:rPr>
          <w:rFonts w:cs="Arial"/>
        </w:rPr>
        <w:t xml:space="preserve">You’ll put appendix material here. </w:t>
      </w:r>
      <w:r w:rsidR="006E1E6D" w:rsidRPr="004030F5">
        <w:rPr>
          <w:rFonts w:cs="Arial"/>
        </w:rPr>
        <w:t>This section is optional</w:t>
      </w:r>
      <w:r w:rsidR="001D6904" w:rsidRPr="004030F5">
        <w:rPr>
          <w:rFonts w:cs="Arial"/>
        </w:rPr>
        <w:t>. You can place tables and figures in the appendix if you like. If you choose this option, you should indicate that tables and figures are in the appendix after the first mention in the text. You can place some tables/figures in the text and others in the appendix.</w:t>
      </w:r>
    </w:p>
    <w:p w14:paraId="2A4EA95F" w14:textId="77777777" w:rsidR="00236E6D" w:rsidRPr="004030F5" w:rsidRDefault="003D63DF" w:rsidP="003E775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jc w:val="center"/>
        <w:rPr>
          <w:rFonts w:cs="Arial"/>
        </w:rPr>
      </w:pPr>
      <w:r w:rsidRPr="004030F5">
        <w:rPr>
          <w:rFonts w:cs="Arial"/>
          <w:noProof/>
        </w:rPr>
        <w:br w:type="page"/>
      </w:r>
      <w:r w:rsidRPr="004030F5">
        <w:rPr>
          <w:rStyle w:val="StyleHeading1CenteredChar"/>
          <w:rFonts w:cs="Arial"/>
        </w:rPr>
        <w:lastRenderedPageBreak/>
        <w:t>Vita</w:t>
      </w:r>
    </w:p>
    <w:p w14:paraId="26C46DB7" w14:textId="77777777" w:rsidR="003D63DF" w:rsidRPr="004030F5" w:rsidRDefault="003D63DF" w:rsidP="003E7750">
      <w:pPr>
        <w:spacing w:line="480" w:lineRule="auto"/>
        <w:rPr>
          <w:rFonts w:cs="Arial"/>
        </w:rPr>
      </w:pPr>
    </w:p>
    <w:p w14:paraId="59715153" w14:textId="77777777" w:rsidR="00460779" w:rsidRPr="004030F5" w:rsidRDefault="003D63DF" w:rsidP="003E7750">
      <w:pPr>
        <w:spacing w:line="480" w:lineRule="auto"/>
        <w:rPr>
          <w:rFonts w:cs="Arial"/>
        </w:rPr>
      </w:pPr>
      <w:r w:rsidRPr="004030F5">
        <w:rPr>
          <w:rFonts w:cs="Arial"/>
        </w:rPr>
        <w:tab/>
      </w:r>
      <w:r w:rsidR="00C95581" w:rsidRPr="004030F5">
        <w:rPr>
          <w:rFonts w:cs="Arial"/>
        </w:rPr>
        <w:t xml:space="preserve">Jane </w:t>
      </w:r>
      <w:r w:rsidR="003D07F7" w:rsidRPr="004030F5">
        <w:rPr>
          <w:rFonts w:cs="Arial"/>
        </w:rPr>
        <w:t>X. Doe</w:t>
      </w:r>
      <w:r w:rsidRPr="004030F5">
        <w:rPr>
          <w:rFonts w:cs="Arial"/>
        </w:rPr>
        <w:t xml:space="preserve"> was born</w:t>
      </w:r>
      <w:r w:rsidR="003D07F7" w:rsidRPr="004030F5">
        <w:rPr>
          <w:rFonts w:cs="Arial"/>
        </w:rPr>
        <w:t xml:space="preserve">. </w:t>
      </w:r>
      <w:r w:rsidR="00C95581" w:rsidRPr="004030F5">
        <w:rPr>
          <w:rFonts w:cs="Arial"/>
        </w:rPr>
        <w:t>Sh</w:t>
      </w:r>
      <w:r w:rsidR="003D07F7" w:rsidRPr="004030F5">
        <w:rPr>
          <w:rFonts w:cs="Arial"/>
        </w:rPr>
        <w:t xml:space="preserve">e wrote a thesis. </w:t>
      </w:r>
      <w:r w:rsidR="00C95581" w:rsidRPr="004030F5">
        <w:rPr>
          <w:rFonts w:cs="Arial"/>
        </w:rPr>
        <w:t>Sh</w:t>
      </w:r>
      <w:r w:rsidRPr="004030F5">
        <w:rPr>
          <w:rFonts w:cs="Arial"/>
        </w:rPr>
        <w:t>e graduated.</w:t>
      </w:r>
      <w:r w:rsidR="0075558C" w:rsidRPr="004030F5">
        <w:rPr>
          <w:rFonts w:cs="Arial"/>
        </w:rPr>
        <w:t xml:space="preserve"> </w:t>
      </w:r>
      <w:r w:rsidR="00C95581" w:rsidRPr="004030F5">
        <w:rPr>
          <w:rFonts w:cs="Arial"/>
        </w:rPr>
        <w:t>Sh</w:t>
      </w:r>
      <w:r w:rsidR="009E4F4C" w:rsidRPr="004030F5">
        <w:rPr>
          <w:rFonts w:cs="Arial"/>
        </w:rPr>
        <w:t xml:space="preserve">e followed instructions and wrote </w:t>
      </w:r>
      <w:r w:rsidR="00C95581" w:rsidRPr="004030F5">
        <w:rPr>
          <w:rFonts w:cs="Arial"/>
        </w:rPr>
        <w:t xml:space="preserve">her </w:t>
      </w:r>
      <w:r w:rsidR="009E4F4C" w:rsidRPr="004030F5">
        <w:rPr>
          <w:rFonts w:cs="Arial"/>
        </w:rPr>
        <w:t>vita in third person and paragraph form (as opposed to a resume or CV)</w:t>
      </w:r>
      <w:r w:rsidR="00112F00" w:rsidRPr="004030F5">
        <w:rPr>
          <w:rFonts w:cs="Arial"/>
        </w:rPr>
        <w:t xml:space="preserve">, which made </w:t>
      </w:r>
      <w:r w:rsidR="00C95581" w:rsidRPr="004030F5">
        <w:rPr>
          <w:rFonts w:cs="Arial"/>
        </w:rPr>
        <w:t xml:space="preserve">her </w:t>
      </w:r>
      <w:r w:rsidR="009E4F4C" w:rsidRPr="004030F5">
        <w:rPr>
          <w:rFonts w:cs="Arial"/>
        </w:rPr>
        <w:t>thesis consultant very happy.</w:t>
      </w:r>
      <w:r w:rsidR="00AE125E" w:rsidRPr="004030F5">
        <w:rPr>
          <w:rFonts w:cs="Arial"/>
        </w:rPr>
        <w:t xml:space="preserve">  This page is required.</w:t>
      </w:r>
    </w:p>
    <w:p w14:paraId="58B1D4E7" w14:textId="69AF40EA" w:rsidR="00AE125E" w:rsidRPr="004030F5" w:rsidRDefault="00AE125E" w:rsidP="003E7750">
      <w:pPr>
        <w:spacing w:line="480" w:lineRule="auto"/>
        <w:rPr>
          <w:rFonts w:cs="Arial"/>
        </w:rPr>
      </w:pPr>
    </w:p>
    <w:sectPr w:rsidR="00AE125E" w:rsidRPr="004030F5"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EE8D3" w14:textId="77777777" w:rsidR="008864ED" w:rsidRDefault="008864ED">
      <w:r>
        <w:separator/>
      </w:r>
    </w:p>
  </w:endnote>
  <w:endnote w:type="continuationSeparator" w:id="0">
    <w:p w14:paraId="793F09A1" w14:textId="77777777" w:rsidR="008864ED" w:rsidRDefault="0088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바탕">
    <w:panose1 w:val="00000000000000000000"/>
    <w:charset w:val="81"/>
    <w:family w:val="auto"/>
    <w:notTrueType/>
    <w:pitch w:val="fixed"/>
    <w:sig w:usb0="00000001" w:usb1="09060000" w:usb2="00000010" w:usb3="00000000" w:csb0="0008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Batang">
    <w:altName w:val="바탕"/>
    <w:charset w:val="81"/>
    <w:family w:val="roman"/>
    <w:pitch w:val="variable"/>
    <w:sig w:usb0="B00002AF" w:usb1="69D77CFB" w:usb2="00000030" w:usb3="00000000" w:csb0="0008009F" w:csb1="00000000"/>
  </w:font>
  <w:font w:name="American Typewriter Light">
    <w:panose1 w:val="02090304020004020304"/>
    <w:charset w:val="00"/>
    <w:family w:val="auto"/>
    <w:pitch w:val="variable"/>
    <w:sig w:usb0="A000006F" w:usb1="00000019" w:usb2="00000000" w:usb3="00000000" w:csb0="00000111" w:csb1="00000000"/>
  </w:font>
  <w:font w:name="Cambria Math">
    <w:panose1 w:val="02040503050406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Helvetica">
    <w:panose1 w:val="00000000000000000000"/>
    <w:charset w:val="00"/>
    <w:family w:val="auto"/>
    <w:pitch w:val="variable"/>
    <w:sig w:usb0="00000003" w:usb1="00000000" w:usb2="00000000" w:usb3="00000000" w:csb0="00000001" w:csb1="00000000"/>
  </w:font>
  <w:font w:name="Noteworthy Bold">
    <w:panose1 w:val="02000400000000000000"/>
    <w:charset w:val="00"/>
    <w:family w:val="auto"/>
    <w:pitch w:val="variable"/>
    <w:sig w:usb0="8000006F" w:usb1="08000048" w:usb2="14600000" w:usb3="00000000" w:csb0="0000011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5FF1B" w14:textId="77777777" w:rsidR="008864ED" w:rsidRDefault="008864ED">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557A2D">
      <w:rPr>
        <w:rFonts w:cs="Arial"/>
        <w:noProof/>
      </w:rPr>
      <w:t>viii</w:t>
    </w:r>
    <w:r>
      <w:rPr>
        <w:rFonts w:cs="Arial"/>
        <w:noProof/>
      </w:rPr>
      <w:fldChar w:fldCharType="end"/>
    </w:r>
  </w:p>
  <w:p w14:paraId="7BE862E1" w14:textId="77777777" w:rsidR="008864ED" w:rsidRDefault="008864ED"/>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51C05" w14:textId="77777777" w:rsidR="008864ED" w:rsidRDefault="008864ED">
      <w:r>
        <w:separator/>
      </w:r>
    </w:p>
  </w:footnote>
  <w:footnote w:type="continuationSeparator" w:id="0">
    <w:p w14:paraId="663D97EC" w14:textId="77777777" w:rsidR="008864ED" w:rsidRDefault="008864E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42940" w14:textId="77777777" w:rsidR="008864ED" w:rsidRDefault="008864ED">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A1AB6" w14:textId="77777777" w:rsidR="008864ED" w:rsidRDefault="008864ED">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8064F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5"/>
  </w:num>
  <w:num w:numId="3">
    <w:abstractNumId w:val="17"/>
  </w:num>
  <w:num w:numId="4">
    <w:abstractNumId w:val="35"/>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0"/>
  </w:num>
  <w:num w:numId="12">
    <w:abstractNumId w:val="31"/>
  </w:num>
  <w:num w:numId="13">
    <w:abstractNumId w:val="14"/>
  </w:num>
  <w:num w:numId="14">
    <w:abstractNumId w:val="8"/>
  </w:num>
  <w:num w:numId="15">
    <w:abstractNumId w:val="2"/>
  </w:num>
  <w:num w:numId="16">
    <w:abstractNumId w:val="5"/>
  </w:num>
  <w:num w:numId="17">
    <w:abstractNumId w:val="39"/>
  </w:num>
  <w:num w:numId="18">
    <w:abstractNumId w:val="32"/>
  </w:num>
  <w:num w:numId="19">
    <w:abstractNumId w:val="16"/>
  </w:num>
  <w:num w:numId="20">
    <w:abstractNumId w:val="34"/>
  </w:num>
  <w:num w:numId="21">
    <w:abstractNumId w:val="9"/>
  </w:num>
  <w:num w:numId="22">
    <w:abstractNumId w:val="19"/>
  </w:num>
  <w:num w:numId="23">
    <w:abstractNumId w:val="38"/>
  </w:num>
  <w:num w:numId="24">
    <w:abstractNumId w:val="18"/>
  </w:num>
  <w:num w:numId="25">
    <w:abstractNumId w:val="11"/>
  </w:num>
  <w:num w:numId="26">
    <w:abstractNumId w:val="4"/>
  </w:num>
  <w:num w:numId="27">
    <w:abstractNumId w:val="21"/>
  </w:num>
  <w:num w:numId="28">
    <w:abstractNumId w:val="36"/>
  </w:num>
  <w:num w:numId="29">
    <w:abstractNumId w:val="23"/>
  </w:num>
  <w:num w:numId="30">
    <w:abstractNumId w:val="3"/>
  </w:num>
  <w:num w:numId="31">
    <w:abstractNumId w:val="24"/>
  </w:num>
  <w:num w:numId="32">
    <w:abstractNumId w:val="28"/>
  </w:num>
  <w:num w:numId="33">
    <w:abstractNumId w:val="10"/>
  </w:num>
  <w:num w:numId="34">
    <w:abstractNumId w:val="27"/>
  </w:num>
  <w:num w:numId="35">
    <w:abstractNumId w:val="33"/>
  </w:num>
  <w:num w:numId="36">
    <w:abstractNumId w:val="6"/>
  </w:num>
  <w:num w:numId="37">
    <w:abstractNumId w:val="12"/>
  </w:num>
  <w:num w:numId="38">
    <w:abstractNumId w:val="15"/>
  </w:num>
  <w:num w:numId="39">
    <w:abstractNumId w:val="26"/>
  </w:num>
  <w:num w:numId="40">
    <w:abstractNumId w:val="37"/>
  </w:num>
  <w:num w:numId="41">
    <w:abstractNumId w:val="29"/>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x2002d5f0z21etvw3x9zp7tw2axpa2eez0&quot;&gt;Doctoral_dissertation_LHL&lt;record-ids&gt;&lt;item&gt;1&lt;/item&gt;&lt;item&gt;2&lt;/item&gt;&lt;item&gt;3&lt;/item&gt;&lt;item&gt;4&lt;/item&gt;&lt;item&gt;5&lt;/item&gt;&lt;item&gt;6&lt;/item&gt;&lt;item&gt;7&lt;/item&gt;&lt;item&gt;8&lt;/item&gt;&lt;item&gt;9&lt;/item&gt;&lt;item&gt;10&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100&lt;/item&gt;&lt;item&gt;101&lt;/item&gt;&lt;item&gt;103&lt;/item&gt;&lt;item&gt;104&lt;/item&gt;&lt;item&gt;105&lt;/item&gt;&lt;item&gt;107&lt;/item&gt;&lt;item&gt;109&lt;/item&gt;&lt;item&gt;110&lt;/item&gt;&lt;item&gt;111&lt;/item&gt;&lt;item&gt;112&lt;/item&gt;&lt;item&gt;113&lt;/item&gt;&lt;item&gt;114&lt;/item&gt;&lt;item&gt;115&lt;/item&gt;&lt;item&gt;116&lt;/item&gt;&lt;item&gt;117&lt;/item&gt;&lt;item&gt;118&lt;/item&gt;&lt;item&gt;119&lt;/item&gt;&lt;item&gt;120&lt;/item&gt;&lt;item&gt;121&lt;/item&gt;&lt;item&gt;125&lt;/item&gt;&lt;item&gt;126&lt;/item&gt;&lt;item&gt;127&lt;/item&gt;&lt;item&gt;128&lt;/item&gt;&lt;item&gt;129&lt;/item&gt;&lt;item&gt;130&lt;/item&gt;&lt;item&gt;131&lt;/item&gt;&lt;item&gt;139&lt;/item&gt;&lt;item&gt;147&lt;/item&gt;&lt;item&gt;152&lt;/item&gt;&lt;item&gt;153&lt;/item&gt;&lt;item&gt;158&lt;/item&gt;&lt;item&gt;163&lt;/item&gt;&lt;item&gt;164&lt;/item&gt;&lt;item&gt;167&lt;/item&gt;&lt;item&gt;168&lt;/item&gt;&lt;item&gt;169&lt;/item&gt;&lt;item&gt;171&lt;/item&gt;&lt;item&gt;172&lt;/item&gt;&lt;item&gt;173&lt;/item&gt;&lt;item&gt;177&lt;/item&gt;&lt;item&gt;178&lt;/item&gt;&lt;item&gt;179&lt;/item&gt;&lt;item&gt;182&lt;/item&gt;&lt;item&gt;184&lt;/item&gt;&lt;item&gt;187&lt;/item&gt;&lt;item&gt;188&lt;/item&gt;&lt;item&gt;190&lt;/item&gt;&lt;item&gt;191&lt;/item&gt;&lt;item&gt;192&lt;/item&gt;&lt;item&gt;193&lt;/item&gt;&lt;item&gt;194&lt;/item&gt;&lt;item&gt;195&lt;/item&gt;&lt;item&gt;196&lt;/item&gt;&lt;item&gt;197&lt;/item&gt;&lt;item&gt;198&lt;/item&gt;&lt;item&gt;199&lt;/item&gt;&lt;item&gt;201&lt;/item&gt;&lt;item&gt;202&lt;/item&gt;&lt;item&gt;203&lt;/item&gt;&lt;item&gt;204&lt;/item&gt;&lt;/record-ids&gt;&lt;/item&gt;&lt;/Libraries&gt;"/>
  </w:docVars>
  <w:rsids>
    <w:rsidRoot w:val="00ED7A05"/>
    <w:rsid w:val="00000A19"/>
    <w:rsid w:val="000013FF"/>
    <w:rsid w:val="00002818"/>
    <w:rsid w:val="000029A4"/>
    <w:rsid w:val="00002BD7"/>
    <w:rsid w:val="000037EC"/>
    <w:rsid w:val="00003B40"/>
    <w:rsid w:val="00003C93"/>
    <w:rsid w:val="00003E1A"/>
    <w:rsid w:val="00004E31"/>
    <w:rsid w:val="00005026"/>
    <w:rsid w:val="00005060"/>
    <w:rsid w:val="00005403"/>
    <w:rsid w:val="00005E65"/>
    <w:rsid w:val="00005FEE"/>
    <w:rsid w:val="00006438"/>
    <w:rsid w:val="0000661E"/>
    <w:rsid w:val="00006D0F"/>
    <w:rsid w:val="00010707"/>
    <w:rsid w:val="00010BFA"/>
    <w:rsid w:val="00010D65"/>
    <w:rsid w:val="000114E1"/>
    <w:rsid w:val="00011C7A"/>
    <w:rsid w:val="000134DF"/>
    <w:rsid w:val="00013FCD"/>
    <w:rsid w:val="00014376"/>
    <w:rsid w:val="0001443E"/>
    <w:rsid w:val="000146B0"/>
    <w:rsid w:val="00014729"/>
    <w:rsid w:val="00014A3E"/>
    <w:rsid w:val="00014AE2"/>
    <w:rsid w:val="00014D04"/>
    <w:rsid w:val="00014DDD"/>
    <w:rsid w:val="00014E1F"/>
    <w:rsid w:val="00015037"/>
    <w:rsid w:val="00015356"/>
    <w:rsid w:val="00015CC5"/>
    <w:rsid w:val="00016161"/>
    <w:rsid w:val="00016164"/>
    <w:rsid w:val="00016317"/>
    <w:rsid w:val="000166A9"/>
    <w:rsid w:val="000166DC"/>
    <w:rsid w:val="00016AB0"/>
    <w:rsid w:val="0001722F"/>
    <w:rsid w:val="0001779D"/>
    <w:rsid w:val="00017CC3"/>
    <w:rsid w:val="00017FAD"/>
    <w:rsid w:val="0002072C"/>
    <w:rsid w:val="00020AFD"/>
    <w:rsid w:val="00021084"/>
    <w:rsid w:val="00021405"/>
    <w:rsid w:val="0002148F"/>
    <w:rsid w:val="00021704"/>
    <w:rsid w:val="00021C1E"/>
    <w:rsid w:val="00021E41"/>
    <w:rsid w:val="00022E5E"/>
    <w:rsid w:val="00023485"/>
    <w:rsid w:val="0002375C"/>
    <w:rsid w:val="000241C8"/>
    <w:rsid w:val="00024314"/>
    <w:rsid w:val="00024B7D"/>
    <w:rsid w:val="00024D04"/>
    <w:rsid w:val="00024F50"/>
    <w:rsid w:val="000254E6"/>
    <w:rsid w:val="000259DB"/>
    <w:rsid w:val="00025A0C"/>
    <w:rsid w:val="00025E71"/>
    <w:rsid w:val="00026C28"/>
    <w:rsid w:val="000274AF"/>
    <w:rsid w:val="00030094"/>
    <w:rsid w:val="00030745"/>
    <w:rsid w:val="00030A5F"/>
    <w:rsid w:val="00030E97"/>
    <w:rsid w:val="00031166"/>
    <w:rsid w:val="000313F1"/>
    <w:rsid w:val="00031680"/>
    <w:rsid w:val="000316DE"/>
    <w:rsid w:val="00031FA4"/>
    <w:rsid w:val="00033072"/>
    <w:rsid w:val="000331FE"/>
    <w:rsid w:val="00033447"/>
    <w:rsid w:val="00033957"/>
    <w:rsid w:val="00033D5F"/>
    <w:rsid w:val="00033F5F"/>
    <w:rsid w:val="000353BF"/>
    <w:rsid w:val="0003648C"/>
    <w:rsid w:val="00037BBC"/>
    <w:rsid w:val="00037F6A"/>
    <w:rsid w:val="00040738"/>
    <w:rsid w:val="00040E6A"/>
    <w:rsid w:val="00041ECA"/>
    <w:rsid w:val="000425C4"/>
    <w:rsid w:val="0004273B"/>
    <w:rsid w:val="00043945"/>
    <w:rsid w:val="0004396C"/>
    <w:rsid w:val="00044202"/>
    <w:rsid w:val="000445B9"/>
    <w:rsid w:val="000448D8"/>
    <w:rsid w:val="00044B54"/>
    <w:rsid w:val="00044D82"/>
    <w:rsid w:val="00044EFB"/>
    <w:rsid w:val="00044FEE"/>
    <w:rsid w:val="00045132"/>
    <w:rsid w:val="00045498"/>
    <w:rsid w:val="000457F5"/>
    <w:rsid w:val="0004652F"/>
    <w:rsid w:val="00047284"/>
    <w:rsid w:val="000472A5"/>
    <w:rsid w:val="000478E6"/>
    <w:rsid w:val="00047B74"/>
    <w:rsid w:val="00047BE7"/>
    <w:rsid w:val="00047C51"/>
    <w:rsid w:val="00047FA2"/>
    <w:rsid w:val="0005041C"/>
    <w:rsid w:val="00050651"/>
    <w:rsid w:val="00050C8D"/>
    <w:rsid w:val="00051518"/>
    <w:rsid w:val="000519DD"/>
    <w:rsid w:val="00051FA8"/>
    <w:rsid w:val="000525B8"/>
    <w:rsid w:val="000525C8"/>
    <w:rsid w:val="000525E8"/>
    <w:rsid w:val="000526C5"/>
    <w:rsid w:val="00052F2B"/>
    <w:rsid w:val="00053048"/>
    <w:rsid w:val="000539BC"/>
    <w:rsid w:val="00054581"/>
    <w:rsid w:val="00055E99"/>
    <w:rsid w:val="00055EFF"/>
    <w:rsid w:val="00056395"/>
    <w:rsid w:val="00056BED"/>
    <w:rsid w:val="00057004"/>
    <w:rsid w:val="0005771D"/>
    <w:rsid w:val="0006055A"/>
    <w:rsid w:val="00060788"/>
    <w:rsid w:val="00060D36"/>
    <w:rsid w:val="00061F7B"/>
    <w:rsid w:val="00061FCC"/>
    <w:rsid w:val="0006245E"/>
    <w:rsid w:val="0006426F"/>
    <w:rsid w:val="00064338"/>
    <w:rsid w:val="000655B3"/>
    <w:rsid w:val="00066B8E"/>
    <w:rsid w:val="00066C02"/>
    <w:rsid w:val="00066EA3"/>
    <w:rsid w:val="000672AE"/>
    <w:rsid w:val="00067372"/>
    <w:rsid w:val="00067779"/>
    <w:rsid w:val="0007001F"/>
    <w:rsid w:val="00070147"/>
    <w:rsid w:val="000701DE"/>
    <w:rsid w:val="00071041"/>
    <w:rsid w:val="00071176"/>
    <w:rsid w:val="0007150E"/>
    <w:rsid w:val="0007156E"/>
    <w:rsid w:val="00071FB8"/>
    <w:rsid w:val="0007272B"/>
    <w:rsid w:val="00072A07"/>
    <w:rsid w:val="00072CEF"/>
    <w:rsid w:val="00073BA5"/>
    <w:rsid w:val="0007461D"/>
    <w:rsid w:val="00074703"/>
    <w:rsid w:val="00075075"/>
    <w:rsid w:val="00076524"/>
    <w:rsid w:val="00076A95"/>
    <w:rsid w:val="000804D2"/>
    <w:rsid w:val="00080D0D"/>
    <w:rsid w:val="00081573"/>
    <w:rsid w:val="00081A08"/>
    <w:rsid w:val="00081BC8"/>
    <w:rsid w:val="00081EC5"/>
    <w:rsid w:val="000834B1"/>
    <w:rsid w:val="00084451"/>
    <w:rsid w:val="00084EB2"/>
    <w:rsid w:val="00085139"/>
    <w:rsid w:val="000855F1"/>
    <w:rsid w:val="00086923"/>
    <w:rsid w:val="00086938"/>
    <w:rsid w:val="0008709B"/>
    <w:rsid w:val="00087825"/>
    <w:rsid w:val="00087FA2"/>
    <w:rsid w:val="00090480"/>
    <w:rsid w:val="000907E8"/>
    <w:rsid w:val="00091332"/>
    <w:rsid w:val="00091721"/>
    <w:rsid w:val="0009174F"/>
    <w:rsid w:val="0009245C"/>
    <w:rsid w:val="00093218"/>
    <w:rsid w:val="00093375"/>
    <w:rsid w:val="00093CFD"/>
    <w:rsid w:val="00094065"/>
    <w:rsid w:val="000940C2"/>
    <w:rsid w:val="00094421"/>
    <w:rsid w:val="00094B58"/>
    <w:rsid w:val="000952E5"/>
    <w:rsid w:val="000964B1"/>
    <w:rsid w:val="00096EBE"/>
    <w:rsid w:val="00096F84"/>
    <w:rsid w:val="000A14C1"/>
    <w:rsid w:val="000A16D8"/>
    <w:rsid w:val="000A1A06"/>
    <w:rsid w:val="000A1FB1"/>
    <w:rsid w:val="000A2849"/>
    <w:rsid w:val="000A2D1D"/>
    <w:rsid w:val="000A30A8"/>
    <w:rsid w:val="000A35F6"/>
    <w:rsid w:val="000A4527"/>
    <w:rsid w:val="000A4D94"/>
    <w:rsid w:val="000A6393"/>
    <w:rsid w:val="000A6683"/>
    <w:rsid w:val="000A79D5"/>
    <w:rsid w:val="000B0391"/>
    <w:rsid w:val="000B06D5"/>
    <w:rsid w:val="000B0A40"/>
    <w:rsid w:val="000B10A5"/>
    <w:rsid w:val="000B153E"/>
    <w:rsid w:val="000B1D59"/>
    <w:rsid w:val="000B1F64"/>
    <w:rsid w:val="000B20D6"/>
    <w:rsid w:val="000B23F1"/>
    <w:rsid w:val="000B2BBA"/>
    <w:rsid w:val="000B2DD3"/>
    <w:rsid w:val="000B34B3"/>
    <w:rsid w:val="000B4BF5"/>
    <w:rsid w:val="000B505B"/>
    <w:rsid w:val="000B5BE9"/>
    <w:rsid w:val="000B5C42"/>
    <w:rsid w:val="000B642A"/>
    <w:rsid w:val="000B688D"/>
    <w:rsid w:val="000B6BD8"/>
    <w:rsid w:val="000B71B2"/>
    <w:rsid w:val="000B7592"/>
    <w:rsid w:val="000B7631"/>
    <w:rsid w:val="000C0580"/>
    <w:rsid w:val="000C0CF4"/>
    <w:rsid w:val="000C1279"/>
    <w:rsid w:val="000C1AD7"/>
    <w:rsid w:val="000C3243"/>
    <w:rsid w:val="000C3E12"/>
    <w:rsid w:val="000C3E5B"/>
    <w:rsid w:val="000C3EF3"/>
    <w:rsid w:val="000C43C9"/>
    <w:rsid w:val="000C46B4"/>
    <w:rsid w:val="000C4B16"/>
    <w:rsid w:val="000C5057"/>
    <w:rsid w:val="000C5066"/>
    <w:rsid w:val="000C5BE2"/>
    <w:rsid w:val="000C60CC"/>
    <w:rsid w:val="000C623F"/>
    <w:rsid w:val="000C6622"/>
    <w:rsid w:val="000C68E8"/>
    <w:rsid w:val="000C6E6A"/>
    <w:rsid w:val="000C703A"/>
    <w:rsid w:val="000C72F7"/>
    <w:rsid w:val="000C7813"/>
    <w:rsid w:val="000C7C54"/>
    <w:rsid w:val="000C7EBF"/>
    <w:rsid w:val="000C7F68"/>
    <w:rsid w:val="000D077B"/>
    <w:rsid w:val="000D1F02"/>
    <w:rsid w:val="000D1F1B"/>
    <w:rsid w:val="000D23E2"/>
    <w:rsid w:val="000D2614"/>
    <w:rsid w:val="000D2839"/>
    <w:rsid w:val="000D2968"/>
    <w:rsid w:val="000D2CBB"/>
    <w:rsid w:val="000D31B9"/>
    <w:rsid w:val="000D4032"/>
    <w:rsid w:val="000D4452"/>
    <w:rsid w:val="000D477E"/>
    <w:rsid w:val="000D56BF"/>
    <w:rsid w:val="000D5E4F"/>
    <w:rsid w:val="000D6B27"/>
    <w:rsid w:val="000E0584"/>
    <w:rsid w:val="000E1600"/>
    <w:rsid w:val="000E1E68"/>
    <w:rsid w:val="000E1EF7"/>
    <w:rsid w:val="000E24B0"/>
    <w:rsid w:val="000E2707"/>
    <w:rsid w:val="000E2BE8"/>
    <w:rsid w:val="000E2C1C"/>
    <w:rsid w:val="000E3110"/>
    <w:rsid w:val="000E34FB"/>
    <w:rsid w:val="000E3628"/>
    <w:rsid w:val="000E3802"/>
    <w:rsid w:val="000E3C31"/>
    <w:rsid w:val="000E52CA"/>
    <w:rsid w:val="000E539A"/>
    <w:rsid w:val="000E59D0"/>
    <w:rsid w:val="000E66FE"/>
    <w:rsid w:val="000E680B"/>
    <w:rsid w:val="000E72D4"/>
    <w:rsid w:val="000E75BD"/>
    <w:rsid w:val="000E7E80"/>
    <w:rsid w:val="000F079C"/>
    <w:rsid w:val="000F0CAB"/>
    <w:rsid w:val="000F1027"/>
    <w:rsid w:val="000F1298"/>
    <w:rsid w:val="000F1857"/>
    <w:rsid w:val="000F1BFF"/>
    <w:rsid w:val="000F25BB"/>
    <w:rsid w:val="000F277D"/>
    <w:rsid w:val="000F38E5"/>
    <w:rsid w:val="000F3BA8"/>
    <w:rsid w:val="000F44F0"/>
    <w:rsid w:val="000F4647"/>
    <w:rsid w:val="000F4F50"/>
    <w:rsid w:val="000F5AC3"/>
    <w:rsid w:val="000F6C4B"/>
    <w:rsid w:val="000F71C0"/>
    <w:rsid w:val="000F71E0"/>
    <w:rsid w:val="000F7754"/>
    <w:rsid w:val="00100173"/>
    <w:rsid w:val="0010026C"/>
    <w:rsid w:val="00100D10"/>
    <w:rsid w:val="00101225"/>
    <w:rsid w:val="001018E5"/>
    <w:rsid w:val="00101EC7"/>
    <w:rsid w:val="0010217F"/>
    <w:rsid w:val="00102323"/>
    <w:rsid w:val="0010246D"/>
    <w:rsid w:val="00102781"/>
    <w:rsid w:val="00102ED1"/>
    <w:rsid w:val="001039CC"/>
    <w:rsid w:val="00103B0F"/>
    <w:rsid w:val="001040A5"/>
    <w:rsid w:val="00104101"/>
    <w:rsid w:val="00104119"/>
    <w:rsid w:val="001041E4"/>
    <w:rsid w:val="0010459D"/>
    <w:rsid w:val="00104AB7"/>
    <w:rsid w:val="00105200"/>
    <w:rsid w:val="0010527A"/>
    <w:rsid w:val="0010586F"/>
    <w:rsid w:val="001058A8"/>
    <w:rsid w:val="00105D3F"/>
    <w:rsid w:val="00105F95"/>
    <w:rsid w:val="001060BF"/>
    <w:rsid w:val="0010612F"/>
    <w:rsid w:val="00107593"/>
    <w:rsid w:val="0010765C"/>
    <w:rsid w:val="00107D2A"/>
    <w:rsid w:val="001109A2"/>
    <w:rsid w:val="00110B98"/>
    <w:rsid w:val="00110E82"/>
    <w:rsid w:val="00110ECC"/>
    <w:rsid w:val="00110FDE"/>
    <w:rsid w:val="001112FC"/>
    <w:rsid w:val="00111670"/>
    <w:rsid w:val="001117E5"/>
    <w:rsid w:val="001118F9"/>
    <w:rsid w:val="00111F02"/>
    <w:rsid w:val="001122DD"/>
    <w:rsid w:val="00112672"/>
    <w:rsid w:val="00112A66"/>
    <w:rsid w:val="00112F00"/>
    <w:rsid w:val="00113E36"/>
    <w:rsid w:val="001146FB"/>
    <w:rsid w:val="001147B2"/>
    <w:rsid w:val="00114896"/>
    <w:rsid w:val="00115FBB"/>
    <w:rsid w:val="00115FC3"/>
    <w:rsid w:val="001166A5"/>
    <w:rsid w:val="00117813"/>
    <w:rsid w:val="00117A08"/>
    <w:rsid w:val="00117E7B"/>
    <w:rsid w:val="0012013E"/>
    <w:rsid w:val="00120570"/>
    <w:rsid w:val="00120848"/>
    <w:rsid w:val="00121182"/>
    <w:rsid w:val="0012149A"/>
    <w:rsid w:val="00122290"/>
    <w:rsid w:val="0012229E"/>
    <w:rsid w:val="00122390"/>
    <w:rsid w:val="00122DB5"/>
    <w:rsid w:val="001233C8"/>
    <w:rsid w:val="001238DD"/>
    <w:rsid w:val="0012479A"/>
    <w:rsid w:val="00124943"/>
    <w:rsid w:val="00124B36"/>
    <w:rsid w:val="00124DCB"/>
    <w:rsid w:val="00124DFE"/>
    <w:rsid w:val="00124F70"/>
    <w:rsid w:val="00125715"/>
    <w:rsid w:val="001258CD"/>
    <w:rsid w:val="00125E42"/>
    <w:rsid w:val="00125E62"/>
    <w:rsid w:val="001260FF"/>
    <w:rsid w:val="001268F7"/>
    <w:rsid w:val="00127C3D"/>
    <w:rsid w:val="00127DFE"/>
    <w:rsid w:val="001302EC"/>
    <w:rsid w:val="0013033A"/>
    <w:rsid w:val="0013159C"/>
    <w:rsid w:val="00131C38"/>
    <w:rsid w:val="00131D45"/>
    <w:rsid w:val="00131F63"/>
    <w:rsid w:val="0013235F"/>
    <w:rsid w:val="00132A60"/>
    <w:rsid w:val="00132C33"/>
    <w:rsid w:val="001331AD"/>
    <w:rsid w:val="00133372"/>
    <w:rsid w:val="00133CB5"/>
    <w:rsid w:val="00133D6C"/>
    <w:rsid w:val="0013414C"/>
    <w:rsid w:val="00134749"/>
    <w:rsid w:val="00134C7B"/>
    <w:rsid w:val="00134D35"/>
    <w:rsid w:val="00135867"/>
    <w:rsid w:val="00135DA5"/>
    <w:rsid w:val="00137043"/>
    <w:rsid w:val="00137E1D"/>
    <w:rsid w:val="00137F27"/>
    <w:rsid w:val="001403D3"/>
    <w:rsid w:val="00140613"/>
    <w:rsid w:val="0014092C"/>
    <w:rsid w:val="001409D1"/>
    <w:rsid w:val="00140D4F"/>
    <w:rsid w:val="0014136A"/>
    <w:rsid w:val="00142532"/>
    <w:rsid w:val="001426A6"/>
    <w:rsid w:val="00142E28"/>
    <w:rsid w:val="001438D2"/>
    <w:rsid w:val="00143B39"/>
    <w:rsid w:val="00143E8F"/>
    <w:rsid w:val="00144F2A"/>
    <w:rsid w:val="00145045"/>
    <w:rsid w:val="001450EF"/>
    <w:rsid w:val="0014528A"/>
    <w:rsid w:val="0014554D"/>
    <w:rsid w:val="00145574"/>
    <w:rsid w:val="00145B6C"/>
    <w:rsid w:val="0014608D"/>
    <w:rsid w:val="001461C8"/>
    <w:rsid w:val="001462B1"/>
    <w:rsid w:val="00146B5E"/>
    <w:rsid w:val="00146FB8"/>
    <w:rsid w:val="00147475"/>
    <w:rsid w:val="00147F48"/>
    <w:rsid w:val="00150175"/>
    <w:rsid w:val="00150B57"/>
    <w:rsid w:val="001525FB"/>
    <w:rsid w:val="00152829"/>
    <w:rsid w:val="0015282E"/>
    <w:rsid w:val="0015285B"/>
    <w:rsid w:val="00152B7E"/>
    <w:rsid w:val="0015360C"/>
    <w:rsid w:val="001544B0"/>
    <w:rsid w:val="00154C4E"/>
    <w:rsid w:val="001552F8"/>
    <w:rsid w:val="00156A0D"/>
    <w:rsid w:val="00156F68"/>
    <w:rsid w:val="00156FB3"/>
    <w:rsid w:val="0015704B"/>
    <w:rsid w:val="00157661"/>
    <w:rsid w:val="0015788A"/>
    <w:rsid w:val="001578F2"/>
    <w:rsid w:val="00157D26"/>
    <w:rsid w:val="001600EF"/>
    <w:rsid w:val="001601DC"/>
    <w:rsid w:val="001608DA"/>
    <w:rsid w:val="00160BA5"/>
    <w:rsid w:val="00160D2D"/>
    <w:rsid w:val="0016107F"/>
    <w:rsid w:val="00161104"/>
    <w:rsid w:val="00161CA4"/>
    <w:rsid w:val="00162043"/>
    <w:rsid w:val="001621D7"/>
    <w:rsid w:val="0016255B"/>
    <w:rsid w:val="001635DE"/>
    <w:rsid w:val="001636D0"/>
    <w:rsid w:val="0016377B"/>
    <w:rsid w:val="00163D04"/>
    <w:rsid w:val="00163D3C"/>
    <w:rsid w:val="0016407F"/>
    <w:rsid w:val="00164826"/>
    <w:rsid w:val="00164840"/>
    <w:rsid w:val="00164B8D"/>
    <w:rsid w:val="001651E9"/>
    <w:rsid w:val="00165560"/>
    <w:rsid w:val="00166702"/>
    <w:rsid w:val="00166986"/>
    <w:rsid w:val="00166C21"/>
    <w:rsid w:val="00166EA8"/>
    <w:rsid w:val="00166EF1"/>
    <w:rsid w:val="00167429"/>
    <w:rsid w:val="0016760F"/>
    <w:rsid w:val="001676BE"/>
    <w:rsid w:val="00167ABF"/>
    <w:rsid w:val="00167CEC"/>
    <w:rsid w:val="001720E3"/>
    <w:rsid w:val="00172A27"/>
    <w:rsid w:val="00173176"/>
    <w:rsid w:val="00173552"/>
    <w:rsid w:val="00173751"/>
    <w:rsid w:val="00173BCF"/>
    <w:rsid w:val="00174D7B"/>
    <w:rsid w:val="00175705"/>
    <w:rsid w:val="001767FF"/>
    <w:rsid w:val="00176F5F"/>
    <w:rsid w:val="00177851"/>
    <w:rsid w:val="00177FD4"/>
    <w:rsid w:val="00180922"/>
    <w:rsid w:val="00180DA4"/>
    <w:rsid w:val="00181BF5"/>
    <w:rsid w:val="001824AF"/>
    <w:rsid w:val="00182A8B"/>
    <w:rsid w:val="00182B4A"/>
    <w:rsid w:val="0018355E"/>
    <w:rsid w:val="00184AE9"/>
    <w:rsid w:val="001854FB"/>
    <w:rsid w:val="001868C4"/>
    <w:rsid w:val="00186B4C"/>
    <w:rsid w:val="001900A6"/>
    <w:rsid w:val="001903C9"/>
    <w:rsid w:val="00190B4E"/>
    <w:rsid w:val="00190CB9"/>
    <w:rsid w:val="00190FB2"/>
    <w:rsid w:val="001912EB"/>
    <w:rsid w:val="001913EB"/>
    <w:rsid w:val="00191B01"/>
    <w:rsid w:val="00191ED3"/>
    <w:rsid w:val="0019298C"/>
    <w:rsid w:val="00192E1D"/>
    <w:rsid w:val="00193642"/>
    <w:rsid w:val="00193780"/>
    <w:rsid w:val="001938E7"/>
    <w:rsid w:val="00194339"/>
    <w:rsid w:val="0019512C"/>
    <w:rsid w:val="0019619C"/>
    <w:rsid w:val="001973A1"/>
    <w:rsid w:val="0019748B"/>
    <w:rsid w:val="001A084F"/>
    <w:rsid w:val="001A0B5D"/>
    <w:rsid w:val="001A1067"/>
    <w:rsid w:val="001A17D0"/>
    <w:rsid w:val="001A18CF"/>
    <w:rsid w:val="001A18E4"/>
    <w:rsid w:val="001A26E6"/>
    <w:rsid w:val="001A3FB5"/>
    <w:rsid w:val="001A4B27"/>
    <w:rsid w:val="001A4DF2"/>
    <w:rsid w:val="001A4E1D"/>
    <w:rsid w:val="001A4FC1"/>
    <w:rsid w:val="001A55EE"/>
    <w:rsid w:val="001A5BBE"/>
    <w:rsid w:val="001A60F0"/>
    <w:rsid w:val="001A66D0"/>
    <w:rsid w:val="001A6744"/>
    <w:rsid w:val="001A68CC"/>
    <w:rsid w:val="001A762A"/>
    <w:rsid w:val="001B036D"/>
    <w:rsid w:val="001B0C1F"/>
    <w:rsid w:val="001B12C2"/>
    <w:rsid w:val="001B1799"/>
    <w:rsid w:val="001B197C"/>
    <w:rsid w:val="001B1D0A"/>
    <w:rsid w:val="001B2005"/>
    <w:rsid w:val="001B314D"/>
    <w:rsid w:val="001B31A0"/>
    <w:rsid w:val="001B31A4"/>
    <w:rsid w:val="001B326C"/>
    <w:rsid w:val="001B3284"/>
    <w:rsid w:val="001B3F43"/>
    <w:rsid w:val="001B409F"/>
    <w:rsid w:val="001B428B"/>
    <w:rsid w:val="001B691F"/>
    <w:rsid w:val="001B7CC7"/>
    <w:rsid w:val="001C0213"/>
    <w:rsid w:val="001C0E81"/>
    <w:rsid w:val="001C175D"/>
    <w:rsid w:val="001C2459"/>
    <w:rsid w:val="001C2609"/>
    <w:rsid w:val="001C312D"/>
    <w:rsid w:val="001C33D6"/>
    <w:rsid w:val="001C3625"/>
    <w:rsid w:val="001C39F6"/>
    <w:rsid w:val="001C4AFB"/>
    <w:rsid w:val="001C50C5"/>
    <w:rsid w:val="001C5365"/>
    <w:rsid w:val="001C575B"/>
    <w:rsid w:val="001C580E"/>
    <w:rsid w:val="001C5AA2"/>
    <w:rsid w:val="001C65EF"/>
    <w:rsid w:val="001C665B"/>
    <w:rsid w:val="001C66FE"/>
    <w:rsid w:val="001C67AB"/>
    <w:rsid w:val="001C72A3"/>
    <w:rsid w:val="001C7829"/>
    <w:rsid w:val="001D0979"/>
    <w:rsid w:val="001D14E7"/>
    <w:rsid w:val="001D17B8"/>
    <w:rsid w:val="001D18F7"/>
    <w:rsid w:val="001D2105"/>
    <w:rsid w:val="001D2764"/>
    <w:rsid w:val="001D2852"/>
    <w:rsid w:val="001D364A"/>
    <w:rsid w:val="001D3800"/>
    <w:rsid w:val="001D3DE0"/>
    <w:rsid w:val="001D3E4F"/>
    <w:rsid w:val="001D48B0"/>
    <w:rsid w:val="001D4908"/>
    <w:rsid w:val="001D4B10"/>
    <w:rsid w:val="001D4B5A"/>
    <w:rsid w:val="001D659A"/>
    <w:rsid w:val="001D6904"/>
    <w:rsid w:val="001D6BDB"/>
    <w:rsid w:val="001D77A0"/>
    <w:rsid w:val="001E0CC0"/>
    <w:rsid w:val="001E0DCF"/>
    <w:rsid w:val="001E1242"/>
    <w:rsid w:val="001E248A"/>
    <w:rsid w:val="001E29D0"/>
    <w:rsid w:val="001E3C92"/>
    <w:rsid w:val="001E5A38"/>
    <w:rsid w:val="001E5FFC"/>
    <w:rsid w:val="001E69E5"/>
    <w:rsid w:val="001E6C4B"/>
    <w:rsid w:val="001E7341"/>
    <w:rsid w:val="001E73A9"/>
    <w:rsid w:val="001E73D3"/>
    <w:rsid w:val="001E73F9"/>
    <w:rsid w:val="001E7417"/>
    <w:rsid w:val="001E7DE2"/>
    <w:rsid w:val="001E7DEE"/>
    <w:rsid w:val="001F094C"/>
    <w:rsid w:val="001F0A28"/>
    <w:rsid w:val="001F17BE"/>
    <w:rsid w:val="001F1D1B"/>
    <w:rsid w:val="001F2D68"/>
    <w:rsid w:val="001F311E"/>
    <w:rsid w:val="001F325D"/>
    <w:rsid w:val="001F3262"/>
    <w:rsid w:val="001F3594"/>
    <w:rsid w:val="001F3691"/>
    <w:rsid w:val="001F38FF"/>
    <w:rsid w:val="001F3B22"/>
    <w:rsid w:val="001F4279"/>
    <w:rsid w:val="001F46A9"/>
    <w:rsid w:val="001F5004"/>
    <w:rsid w:val="001F522F"/>
    <w:rsid w:val="001F53DC"/>
    <w:rsid w:val="001F56EE"/>
    <w:rsid w:val="001F5E37"/>
    <w:rsid w:val="001F605F"/>
    <w:rsid w:val="001F6CBB"/>
    <w:rsid w:val="001F6CD6"/>
    <w:rsid w:val="001F715F"/>
    <w:rsid w:val="002002A5"/>
    <w:rsid w:val="002016A2"/>
    <w:rsid w:val="0020187A"/>
    <w:rsid w:val="002019A9"/>
    <w:rsid w:val="00201EA9"/>
    <w:rsid w:val="0020220F"/>
    <w:rsid w:val="0020287A"/>
    <w:rsid w:val="002030B5"/>
    <w:rsid w:val="0020336C"/>
    <w:rsid w:val="002034DC"/>
    <w:rsid w:val="00203749"/>
    <w:rsid w:val="00204AD7"/>
    <w:rsid w:val="0020531C"/>
    <w:rsid w:val="00205571"/>
    <w:rsid w:val="00205910"/>
    <w:rsid w:val="00206230"/>
    <w:rsid w:val="00206908"/>
    <w:rsid w:val="00207219"/>
    <w:rsid w:val="0020787B"/>
    <w:rsid w:val="00207A7A"/>
    <w:rsid w:val="00210BC4"/>
    <w:rsid w:val="00211086"/>
    <w:rsid w:val="00211EA9"/>
    <w:rsid w:val="0021222D"/>
    <w:rsid w:val="002129B9"/>
    <w:rsid w:val="00212A1D"/>
    <w:rsid w:val="00212DFD"/>
    <w:rsid w:val="002135B4"/>
    <w:rsid w:val="002136A9"/>
    <w:rsid w:val="00213742"/>
    <w:rsid w:val="002142D6"/>
    <w:rsid w:val="0021462C"/>
    <w:rsid w:val="002158E1"/>
    <w:rsid w:val="00217672"/>
    <w:rsid w:val="002176C7"/>
    <w:rsid w:val="00217CF2"/>
    <w:rsid w:val="00220540"/>
    <w:rsid w:val="00220F7C"/>
    <w:rsid w:val="002212A4"/>
    <w:rsid w:val="002214BF"/>
    <w:rsid w:val="0022164E"/>
    <w:rsid w:val="00221AC8"/>
    <w:rsid w:val="00222049"/>
    <w:rsid w:val="002229D5"/>
    <w:rsid w:val="00223045"/>
    <w:rsid w:val="002239DE"/>
    <w:rsid w:val="002243E1"/>
    <w:rsid w:val="0022558A"/>
    <w:rsid w:val="002261D3"/>
    <w:rsid w:val="00227728"/>
    <w:rsid w:val="00227BE3"/>
    <w:rsid w:val="0023166B"/>
    <w:rsid w:val="00231B0A"/>
    <w:rsid w:val="00231D92"/>
    <w:rsid w:val="002324D7"/>
    <w:rsid w:val="00232EA8"/>
    <w:rsid w:val="00232EF7"/>
    <w:rsid w:val="00233B5C"/>
    <w:rsid w:val="0023468E"/>
    <w:rsid w:val="002346E3"/>
    <w:rsid w:val="00234E09"/>
    <w:rsid w:val="00234E35"/>
    <w:rsid w:val="00235139"/>
    <w:rsid w:val="0023522A"/>
    <w:rsid w:val="0023557D"/>
    <w:rsid w:val="00236E6D"/>
    <w:rsid w:val="002371C5"/>
    <w:rsid w:val="00237321"/>
    <w:rsid w:val="002376C5"/>
    <w:rsid w:val="00237B42"/>
    <w:rsid w:val="00237B52"/>
    <w:rsid w:val="00237D08"/>
    <w:rsid w:val="00240582"/>
    <w:rsid w:val="002410B6"/>
    <w:rsid w:val="00241491"/>
    <w:rsid w:val="00241B94"/>
    <w:rsid w:val="00242334"/>
    <w:rsid w:val="002425D9"/>
    <w:rsid w:val="002429E5"/>
    <w:rsid w:val="002431A7"/>
    <w:rsid w:val="00243484"/>
    <w:rsid w:val="00243803"/>
    <w:rsid w:val="002439CB"/>
    <w:rsid w:val="002439CE"/>
    <w:rsid w:val="00244B9F"/>
    <w:rsid w:val="00244E86"/>
    <w:rsid w:val="00244EC5"/>
    <w:rsid w:val="00244EE9"/>
    <w:rsid w:val="0024502A"/>
    <w:rsid w:val="002450A4"/>
    <w:rsid w:val="002455CC"/>
    <w:rsid w:val="0024570A"/>
    <w:rsid w:val="002457C4"/>
    <w:rsid w:val="0024625E"/>
    <w:rsid w:val="00246797"/>
    <w:rsid w:val="002477B4"/>
    <w:rsid w:val="002478AC"/>
    <w:rsid w:val="00247908"/>
    <w:rsid w:val="00247A55"/>
    <w:rsid w:val="00247AB0"/>
    <w:rsid w:val="00250D22"/>
    <w:rsid w:val="00251599"/>
    <w:rsid w:val="00251BCB"/>
    <w:rsid w:val="0025204F"/>
    <w:rsid w:val="002524F6"/>
    <w:rsid w:val="00252C44"/>
    <w:rsid w:val="002532C2"/>
    <w:rsid w:val="00253410"/>
    <w:rsid w:val="002551F9"/>
    <w:rsid w:val="002559A0"/>
    <w:rsid w:val="00255DE9"/>
    <w:rsid w:val="002562D8"/>
    <w:rsid w:val="00256619"/>
    <w:rsid w:val="002571A5"/>
    <w:rsid w:val="002575E1"/>
    <w:rsid w:val="00257986"/>
    <w:rsid w:val="00257F17"/>
    <w:rsid w:val="00261DBF"/>
    <w:rsid w:val="00261E5F"/>
    <w:rsid w:val="00261EFE"/>
    <w:rsid w:val="00262974"/>
    <w:rsid w:val="00262D04"/>
    <w:rsid w:val="002632A5"/>
    <w:rsid w:val="002637A5"/>
    <w:rsid w:val="00263801"/>
    <w:rsid w:val="00263E29"/>
    <w:rsid w:val="0026553B"/>
    <w:rsid w:val="00265882"/>
    <w:rsid w:val="00265B11"/>
    <w:rsid w:val="00265C44"/>
    <w:rsid w:val="00265D58"/>
    <w:rsid w:val="00265F13"/>
    <w:rsid w:val="002665C1"/>
    <w:rsid w:val="00266628"/>
    <w:rsid w:val="0026696B"/>
    <w:rsid w:val="002669CA"/>
    <w:rsid w:val="002669EF"/>
    <w:rsid w:val="00266EA8"/>
    <w:rsid w:val="0026710D"/>
    <w:rsid w:val="002676CC"/>
    <w:rsid w:val="002677B4"/>
    <w:rsid w:val="00267880"/>
    <w:rsid w:val="00267B6D"/>
    <w:rsid w:val="00267CD0"/>
    <w:rsid w:val="00267D1D"/>
    <w:rsid w:val="00267FE9"/>
    <w:rsid w:val="002700B0"/>
    <w:rsid w:val="0027036A"/>
    <w:rsid w:val="002709F4"/>
    <w:rsid w:val="00270F20"/>
    <w:rsid w:val="00272235"/>
    <w:rsid w:val="002726B3"/>
    <w:rsid w:val="002727CE"/>
    <w:rsid w:val="00272B4D"/>
    <w:rsid w:val="002731F4"/>
    <w:rsid w:val="00273851"/>
    <w:rsid w:val="002742E7"/>
    <w:rsid w:val="002744EC"/>
    <w:rsid w:val="002745B0"/>
    <w:rsid w:val="00274CC8"/>
    <w:rsid w:val="00274D7D"/>
    <w:rsid w:val="00274FA9"/>
    <w:rsid w:val="002752A3"/>
    <w:rsid w:val="00275581"/>
    <w:rsid w:val="00275BA5"/>
    <w:rsid w:val="00276B7C"/>
    <w:rsid w:val="002802CF"/>
    <w:rsid w:val="0028043F"/>
    <w:rsid w:val="002806D0"/>
    <w:rsid w:val="00280AE3"/>
    <w:rsid w:val="00280CEF"/>
    <w:rsid w:val="00280D1E"/>
    <w:rsid w:val="00282221"/>
    <w:rsid w:val="0028231E"/>
    <w:rsid w:val="0028245E"/>
    <w:rsid w:val="002827D3"/>
    <w:rsid w:val="00282831"/>
    <w:rsid w:val="00282D29"/>
    <w:rsid w:val="00282EE2"/>
    <w:rsid w:val="00283394"/>
    <w:rsid w:val="002838FC"/>
    <w:rsid w:val="00283CB3"/>
    <w:rsid w:val="00283E92"/>
    <w:rsid w:val="00284059"/>
    <w:rsid w:val="00285C3E"/>
    <w:rsid w:val="00285F10"/>
    <w:rsid w:val="00286258"/>
    <w:rsid w:val="00286A90"/>
    <w:rsid w:val="00287132"/>
    <w:rsid w:val="0028757A"/>
    <w:rsid w:val="002875BC"/>
    <w:rsid w:val="002910D9"/>
    <w:rsid w:val="0029146C"/>
    <w:rsid w:val="00291A27"/>
    <w:rsid w:val="00291FCF"/>
    <w:rsid w:val="0029258A"/>
    <w:rsid w:val="00292590"/>
    <w:rsid w:val="0029287B"/>
    <w:rsid w:val="00292F57"/>
    <w:rsid w:val="002932E2"/>
    <w:rsid w:val="002935BC"/>
    <w:rsid w:val="00293A52"/>
    <w:rsid w:val="00293C76"/>
    <w:rsid w:val="00293F4D"/>
    <w:rsid w:val="00293F71"/>
    <w:rsid w:val="00294518"/>
    <w:rsid w:val="00294D7E"/>
    <w:rsid w:val="00295088"/>
    <w:rsid w:val="00295B6E"/>
    <w:rsid w:val="00296E63"/>
    <w:rsid w:val="002973E5"/>
    <w:rsid w:val="00297ADE"/>
    <w:rsid w:val="00297B68"/>
    <w:rsid w:val="002A0497"/>
    <w:rsid w:val="002A06EC"/>
    <w:rsid w:val="002A0A9C"/>
    <w:rsid w:val="002A0BB0"/>
    <w:rsid w:val="002A18A5"/>
    <w:rsid w:val="002A2AE4"/>
    <w:rsid w:val="002A2D1F"/>
    <w:rsid w:val="002A3C97"/>
    <w:rsid w:val="002A3D72"/>
    <w:rsid w:val="002A4DF4"/>
    <w:rsid w:val="002A4F87"/>
    <w:rsid w:val="002A5785"/>
    <w:rsid w:val="002A6207"/>
    <w:rsid w:val="002A7590"/>
    <w:rsid w:val="002A7CE2"/>
    <w:rsid w:val="002B03B3"/>
    <w:rsid w:val="002B0599"/>
    <w:rsid w:val="002B0722"/>
    <w:rsid w:val="002B1303"/>
    <w:rsid w:val="002B14CA"/>
    <w:rsid w:val="002B181D"/>
    <w:rsid w:val="002B1FB8"/>
    <w:rsid w:val="002B2688"/>
    <w:rsid w:val="002B31ED"/>
    <w:rsid w:val="002B37AE"/>
    <w:rsid w:val="002B3E83"/>
    <w:rsid w:val="002B5042"/>
    <w:rsid w:val="002B5BBB"/>
    <w:rsid w:val="002B6327"/>
    <w:rsid w:val="002B632C"/>
    <w:rsid w:val="002B6741"/>
    <w:rsid w:val="002B7349"/>
    <w:rsid w:val="002B7BE6"/>
    <w:rsid w:val="002C028F"/>
    <w:rsid w:val="002C1649"/>
    <w:rsid w:val="002C23FC"/>
    <w:rsid w:val="002C2B2F"/>
    <w:rsid w:val="002C2F54"/>
    <w:rsid w:val="002C3321"/>
    <w:rsid w:val="002C35D8"/>
    <w:rsid w:val="002C370F"/>
    <w:rsid w:val="002C376C"/>
    <w:rsid w:val="002C44FE"/>
    <w:rsid w:val="002C4CD8"/>
    <w:rsid w:val="002C5076"/>
    <w:rsid w:val="002C5791"/>
    <w:rsid w:val="002C6A73"/>
    <w:rsid w:val="002C6CF3"/>
    <w:rsid w:val="002C735C"/>
    <w:rsid w:val="002C7B85"/>
    <w:rsid w:val="002D0039"/>
    <w:rsid w:val="002D0E77"/>
    <w:rsid w:val="002D11DA"/>
    <w:rsid w:val="002D1547"/>
    <w:rsid w:val="002D1FE4"/>
    <w:rsid w:val="002D2D0F"/>
    <w:rsid w:val="002D2F40"/>
    <w:rsid w:val="002D2F7A"/>
    <w:rsid w:val="002D3960"/>
    <w:rsid w:val="002D470F"/>
    <w:rsid w:val="002D491F"/>
    <w:rsid w:val="002D4A92"/>
    <w:rsid w:val="002D4D3D"/>
    <w:rsid w:val="002D4FA2"/>
    <w:rsid w:val="002D51B8"/>
    <w:rsid w:val="002D6D7F"/>
    <w:rsid w:val="002D7103"/>
    <w:rsid w:val="002E09B7"/>
    <w:rsid w:val="002E0AC9"/>
    <w:rsid w:val="002E0BAE"/>
    <w:rsid w:val="002E0CD1"/>
    <w:rsid w:val="002E0D92"/>
    <w:rsid w:val="002E122D"/>
    <w:rsid w:val="002E16E7"/>
    <w:rsid w:val="002E1842"/>
    <w:rsid w:val="002E1B44"/>
    <w:rsid w:val="002E1D92"/>
    <w:rsid w:val="002E244B"/>
    <w:rsid w:val="002E2492"/>
    <w:rsid w:val="002E2660"/>
    <w:rsid w:val="002E2E94"/>
    <w:rsid w:val="002E3A77"/>
    <w:rsid w:val="002E44FD"/>
    <w:rsid w:val="002E489C"/>
    <w:rsid w:val="002E4A0A"/>
    <w:rsid w:val="002E4D1A"/>
    <w:rsid w:val="002E4DC6"/>
    <w:rsid w:val="002E5117"/>
    <w:rsid w:val="002E51BE"/>
    <w:rsid w:val="002E5B8A"/>
    <w:rsid w:val="002E5BED"/>
    <w:rsid w:val="002E5D60"/>
    <w:rsid w:val="002E6744"/>
    <w:rsid w:val="002E6A2C"/>
    <w:rsid w:val="002E730E"/>
    <w:rsid w:val="002E7481"/>
    <w:rsid w:val="002E7688"/>
    <w:rsid w:val="002E7BD0"/>
    <w:rsid w:val="002F006C"/>
    <w:rsid w:val="002F0662"/>
    <w:rsid w:val="002F08D0"/>
    <w:rsid w:val="002F08E5"/>
    <w:rsid w:val="002F15D8"/>
    <w:rsid w:val="002F1E1F"/>
    <w:rsid w:val="002F26CE"/>
    <w:rsid w:val="002F3038"/>
    <w:rsid w:val="002F3709"/>
    <w:rsid w:val="002F3D83"/>
    <w:rsid w:val="002F3F4F"/>
    <w:rsid w:val="002F4387"/>
    <w:rsid w:val="002F48F1"/>
    <w:rsid w:val="002F4C23"/>
    <w:rsid w:val="002F56C8"/>
    <w:rsid w:val="002F5F45"/>
    <w:rsid w:val="002F5FBE"/>
    <w:rsid w:val="002F65F4"/>
    <w:rsid w:val="002F679D"/>
    <w:rsid w:val="002F6995"/>
    <w:rsid w:val="002F6AE0"/>
    <w:rsid w:val="002F6BD9"/>
    <w:rsid w:val="00300613"/>
    <w:rsid w:val="00301589"/>
    <w:rsid w:val="00302088"/>
    <w:rsid w:val="00302861"/>
    <w:rsid w:val="00302E6E"/>
    <w:rsid w:val="00303211"/>
    <w:rsid w:val="00303C09"/>
    <w:rsid w:val="00304BD0"/>
    <w:rsid w:val="00304D42"/>
    <w:rsid w:val="003052EB"/>
    <w:rsid w:val="0030555B"/>
    <w:rsid w:val="003064AF"/>
    <w:rsid w:val="0030696F"/>
    <w:rsid w:val="00306B4E"/>
    <w:rsid w:val="00306F69"/>
    <w:rsid w:val="00307D77"/>
    <w:rsid w:val="003106AE"/>
    <w:rsid w:val="00310BB3"/>
    <w:rsid w:val="00310E0E"/>
    <w:rsid w:val="00311083"/>
    <w:rsid w:val="003112FE"/>
    <w:rsid w:val="00311318"/>
    <w:rsid w:val="003129E5"/>
    <w:rsid w:val="00312C11"/>
    <w:rsid w:val="00312E6B"/>
    <w:rsid w:val="003131BF"/>
    <w:rsid w:val="003136CF"/>
    <w:rsid w:val="00313994"/>
    <w:rsid w:val="00313E9E"/>
    <w:rsid w:val="003143CE"/>
    <w:rsid w:val="00314935"/>
    <w:rsid w:val="00314994"/>
    <w:rsid w:val="00314C23"/>
    <w:rsid w:val="003150D5"/>
    <w:rsid w:val="00315463"/>
    <w:rsid w:val="003154A3"/>
    <w:rsid w:val="0031624B"/>
    <w:rsid w:val="0031628C"/>
    <w:rsid w:val="00316427"/>
    <w:rsid w:val="00316C0F"/>
    <w:rsid w:val="00316F3B"/>
    <w:rsid w:val="00317222"/>
    <w:rsid w:val="003175E7"/>
    <w:rsid w:val="00317E48"/>
    <w:rsid w:val="00317F36"/>
    <w:rsid w:val="003201EE"/>
    <w:rsid w:val="0032024B"/>
    <w:rsid w:val="00320AEF"/>
    <w:rsid w:val="00320F78"/>
    <w:rsid w:val="00321AE7"/>
    <w:rsid w:val="003236FF"/>
    <w:rsid w:val="0032399B"/>
    <w:rsid w:val="0032548C"/>
    <w:rsid w:val="003254E0"/>
    <w:rsid w:val="00325736"/>
    <w:rsid w:val="00326B2D"/>
    <w:rsid w:val="0032767C"/>
    <w:rsid w:val="00327820"/>
    <w:rsid w:val="00327F9F"/>
    <w:rsid w:val="00331570"/>
    <w:rsid w:val="00331BC6"/>
    <w:rsid w:val="00331C4D"/>
    <w:rsid w:val="00332E8E"/>
    <w:rsid w:val="0033310C"/>
    <w:rsid w:val="0033356D"/>
    <w:rsid w:val="00333B0A"/>
    <w:rsid w:val="00333BBC"/>
    <w:rsid w:val="003346B2"/>
    <w:rsid w:val="00334C9D"/>
    <w:rsid w:val="0033531C"/>
    <w:rsid w:val="00335456"/>
    <w:rsid w:val="003359ED"/>
    <w:rsid w:val="00335ADE"/>
    <w:rsid w:val="00335FBE"/>
    <w:rsid w:val="00335FEF"/>
    <w:rsid w:val="00336C5C"/>
    <w:rsid w:val="003400A2"/>
    <w:rsid w:val="003401AE"/>
    <w:rsid w:val="0034093C"/>
    <w:rsid w:val="0034098C"/>
    <w:rsid w:val="00340AFF"/>
    <w:rsid w:val="00340C19"/>
    <w:rsid w:val="00340C74"/>
    <w:rsid w:val="00340E31"/>
    <w:rsid w:val="00340FFE"/>
    <w:rsid w:val="003412E6"/>
    <w:rsid w:val="003414FE"/>
    <w:rsid w:val="003416DA"/>
    <w:rsid w:val="00341E9B"/>
    <w:rsid w:val="00341FC6"/>
    <w:rsid w:val="0034310A"/>
    <w:rsid w:val="00343136"/>
    <w:rsid w:val="00343482"/>
    <w:rsid w:val="003438E6"/>
    <w:rsid w:val="00343918"/>
    <w:rsid w:val="00344342"/>
    <w:rsid w:val="00344D29"/>
    <w:rsid w:val="00345321"/>
    <w:rsid w:val="003454EC"/>
    <w:rsid w:val="003459B9"/>
    <w:rsid w:val="003465C1"/>
    <w:rsid w:val="00346A05"/>
    <w:rsid w:val="00347395"/>
    <w:rsid w:val="00347407"/>
    <w:rsid w:val="00347736"/>
    <w:rsid w:val="003479DC"/>
    <w:rsid w:val="00347A81"/>
    <w:rsid w:val="00347ACE"/>
    <w:rsid w:val="00350346"/>
    <w:rsid w:val="00352608"/>
    <w:rsid w:val="003526DF"/>
    <w:rsid w:val="00352D6A"/>
    <w:rsid w:val="00353044"/>
    <w:rsid w:val="00353EDF"/>
    <w:rsid w:val="003541D7"/>
    <w:rsid w:val="00354340"/>
    <w:rsid w:val="003545CF"/>
    <w:rsid w:val="003552EA"/>
    <w:rsid w:val="0035623A"/>
    <w:rsid w:val="003573E9"/>
    <w:rsid w:val="0035768F"/>
    <w:rsid w:val="003576C5"/>
    <w:rsid w:val="00357873"/>
    <w:rsid w:val="00357D74"/>
    <w:rsid w:val="00360A7B"/>
    <w:rsid w:val="00360CC8"/>
    <w:rsid w:val="00361988"/>
    <w:rsid w:val="00361EA9"/>
    <w:rsid w:val="0036284C"/>
    <w:rsid w:val="0036313F"/>
    <w:rsid w:val="00364015"/>
    <w:rsid w:val="0036431A"/>
    <w:rsid w:val="00364502"/>
    <w:rsid w:val="00364AD5"/>
    <w:rsid w:val="0036505E"/>
    <w:rsid w:val="00365266"/>
    <w:rsid w:val="003653E3"/>
    <w:rsid w:val="00365EB0"/>
    <w:rsid w:val="003668AA"/>
    <w:rsid w:val="00367B3C"/>
    <w:rsid w:val="00367ECD"/>
    <w:rsid w:val="00370F7D"/>
    <w:rsid w:val="00371062"/>
    <w:rsid w:val="00371503"/>
    <w:rsid w:val="003729E2"/>
    <w:rsid w:val="00372E3C"/>
    <w:rsid w:val="00373BB8"/>
    <w:rsid w:val="00373E60"/>
    <w:rsid w:val="003740DF"/>
    <w:rsid w:val="0037436E"/>
    <w:rsid w:val="003755AC"/>
    <w:rsid w:val="00375B51"/>
    <w:rsid w:val="00375B8D"/>
    <w:rsid w:val="00375D06"/>
    <w:rsid w:val="003764F2"/>
    <w:rsid w:val="00376EBF"/>
    <w:rsid w:val="0037734C"/>
    <w:rsid w:val="00377B5E"/>
    <w:rsid w:val="00377DE3"/>
    <w:rsid w:val="003805B7"/>
    <w:rsid w:val="00380605"/>
    <w:rsid w:val="0038074F"/>
    <w:rsid w:val="00380EDE"/>
    <w:rsid w:val="0038176C"/>
    <w:rsid w:val="0038177C"/>
    <w:rsid w:val="0038194D"/>
    <w:rsid w:val="00381DA4"/>
    <w:rsid w:val="0038202C"/>
    <w:rsid w:val="00383368"/>
    <w:rsid w:val="00383680"/>
    <w:rsid w:val="003836EB"/>
    <w:rsid w:val="00383BC8"/>
    <w:rsid w:val="00383D34"/>
    <w:rsid w:val="00384AC9"/>
    <w:rsid w:val="00384B1A"/>
    <w:rsid w:val="00385017"/>
    <w:rsid w:val="00385654"/>
    <w:rsid w:val="00386248"/>
    <w:rsid w:val="0038664F"/>
    <w:rsid w:val="00387024"/>
    <w:rsid w:val="003873F8"/>
    <w:rsid w:val="0038745B"/>
    <w:rsid w:val="003877E8"/>
    <w:rsid w:val="00387964"/>
    <w:rsid w:val="0039077D"/>
    <w:rsid w:val="0039080A"/>
    <w:rsid w:val="00391E28"/>
    <w:rsid w:val="00391FAB"/>
    <w:rsid w:val="00392747"/>
    <w:rsid w:val="0039301F"/>
    <w:rsid w:val="003933F6"/>
    <w:rsid w:val="0039365D"/>
    <w:rsid w:val="00393ECF"/>
    <w:rsid w:val="00394069"/>
    <w:rsid w:val="0039431B"/>
    <w:rsid w:val="0039443C"/>
    <w:rsid w:val="0039485C"/>
    <w:rsid w:val="003949AE"/>
    <w:rsid w:val="00394DEF"/>
    <w:rsid w:val="0039516E"/>
    <w:rsid w:val="00395254"/>
    <w:rsid w:val="003959A5"/>
    <w:rsid w:val="00395B61"/>
    <w:rsid w:val="003963D3"/>
    <w:rsid w:val="00397599"/>
    <w:rsid w:val="0039788A"/>
    <w:rsid w:val="00397B90"/>
    <w:rsid w:val="003A0933"/>
    <w:rsid w:val="003A0A82"/>
    <w:rsid w:val="003A0A96"/>
    <w:rsid w:val="003A0C52"/>
    <w:rsid w:val="003A1DBE"/>
    <w:rsid w:val="003A20A3"/>
    <w:rsid w:val="003A3361"/>
    <w:rsid w:val="003A35B7"/>
    <w:rsid w:val="003A3EC0"/>
    <w:rsid w:val="003A3F48"/>
    <w:rsid w:val="003A40DB"/>
    <w:rsid w:val="003A4D6E"/>
    <w:rsid w:val="003A50DD"/>
    <w:rsid w:val="003A5143"/>
    <w:rsid w:val="003A6268"/>
    <w:rsid w:val="003A633D"/>
    <w:rsid w:val="003A6690"/>
    <w:rsid w:val="003A72E2"/>
    <w:rsid w:val="003A7B96"/>
    <w:rsid w:val="003B103A"/>
    <w:rsid w:val="003B17C3"/>
    <w:rsid w:val="003B1FC9"/>
    <w:rsid w:val="003B24E2"/>
    <w:rsid w:val="003B3BF0"/>
    <w:rsid w:val="003B463D"/>
    <w:rsid w:val="003B468E"/>
    <w:rsid w:val="003B4802"/>
    <w:rsid w:val="003B4D72"/>
    <w:rsid w:val="003B4DCE"/>
    <w:rsid w:val="003B5695"/>
    <w:rsid w:val="003B57A3"/>
    <w:rsid w:val="003B5BA9"/>
    <w:rsid w:val="003B5D74"/>
    <w:rsid w:val="003B5F72"/>
    <w:rsid w:val="003B5FD6"/>
    <w:rsid w:val="003B6350"/>
    <w:rsid w:val="003B6A8E"/>
    <w:rsid w:val="003B6BC7"/>
    <w:rsid w:val="003B6E4E"/>
    <w:rsid w:val="003B76DD"/>
    <w:rsid w:val="003B79DC"/>
    <w:rsid w:val="003B7B14"/>
    <w:rsid w:val="003B7D10"/>
    <w:rsid w:val="003C009D"/>
    <w:rsid w:val="003C0924"/>
    <w:rsid w:val="003C09FF"/>
    <w:rsid w:val="003C0A0D"/>
    <w:rsid w:val="003C0DA0"/>
    <w:rsid w:val="003C1575"/>
    <w:rsid w:val="003C1650"/>
    <w:rsid w:val="003C37C7"/>
    <w:rsid w:val="003C3E7C"/>
    <w:rsid w:val="003C52AD"/>
    <w:rsid w:val="003C542B"/>
    <w:rsid w:val="003C5565"/>
    <w:rsid w:val="003C5D75"/>
    <w:rsid w:val="003C6FBB"/>
    <w:rsid w:val="003C772C"/>
    <w:rsid w:val="003C7CAF"/>
    <w:rsid w:val="003D0100"/>
    <w:rsid w:val="003D017C"/>
    <w:rsid w:val="003D07F7"/>
    <w:rsid w:val="003D0A6B"/>
    <w:rsid w:val="003D0C51"/>
    <w:rsid w:val="003D119A"/>
    <w:rsid w:val="003D13D4"/>
    <w:rsid w:val="003D183E"/>
    <w:rsid w:val="003D1984"/>
    <w:rsid w:val="003D1BB6"/>
    <w:rsid w:val="003D2068"/>
    <w:rsid w:val="003D2B95"/>
    <w:rsid w:val="003D3211"/>
    <w:rsid w:val="003D3488"/>
    <w:rsid w:val="003D3EAE"/>
    <w:rsid w:val="003D5275"/>
    <w:rsid w:val="003D63DF"/>
    <w:rsid w:val="003D6666"/>
    <w:rsid w:val="003D737F"/>
    <w:rsid w:val="003D7626"/>
    <w:rsid w:val="003D79A0"/>
    <w:rsid w:val="003E0501"/>
    <w:rsid w:val="003E0917"/>
    <w:rsid w:val="003E0EA4"/>
    <w:rsid w:val="003E1314"/>
    <w:rsid w:val="003E1471"/>
    <w:rsid w:val="003E1E97"/>
    <w:rsid w:val="003E1F20"/>
    <w:rsid w:val="003E348E"/>
    <w:rsid w:val="003E373F"/>
    <w:rsid w:val="003E3B8A"/>
    <w:rsid w:val="003E481C"/>
    <w:rsid w:val="003E4C33"/>
    <w:rsid w:val="003E4F6A"/>
    <w:rsid w:val="003E5047"/>
    <w:rsid w:val="003E5C28"/>
    <w:rsid w:val="003E6C09"/>
    <w:rsid w:val="003E71C4"/>
    <w:rsid w:val="003E7510"/>
    <w:rsid w:val="003E7750"/>
    <w:rsid w:val="003E781A"/>
    <w:rsid w:val="003E7FC6"/>
    <w:rsid w:val="003F0D70"/>
    <w:rsid w:val="003F1C82"/>
    <w:rsid w:val="003F1E4F"/>
    <w:rsid w:val="003F20F4"/>
    <w:rsid w:val="003F2774"/>
    <w:rsid w:val="003F2B86"/>
    <w:rsid w:val="003F4499"/>
    <w:rsid w:val="003F471A"/>
    <w:rsid w:val="003F4C5B"/>
    <w:rsid w:val="003F5025"/>
    <w:rsid w:val="003F6B17"/>
    <w:rsid w:val="003F7474"/>
    <w:rsid w:val="003F7AF7"/>
    <w:rsid w:val="00400293"/>
    <w:rsid w:val="004005CD"/>
    <w:rsid w:val="00401176"/>
    <w:rsid w:val="0040123B"/>
    <w:rsid w:val="00401318"/>
    <w:rsid w:val="00401799"/>
    <w:rsid w:val="00402760"/>
    <w:rsid w:val="00402853"/>
    <w:rsid w:val="00402E78"/>
    <w:rsid w:val="004030F5"/>
    <w:rsid w:val="00403EC5"/>
    <w:rsid w:val="004042A6"/>
    <w:rsid w:val="004042BC"/>
    <w:rsid w:val="0040435E"/>
    <w:rsid w:val="004043B9"/>
    <w:rsid w:val="00404616"/>
    <w:rsid w:val="00404DA1"/>
    <w:rsid w:val="00404DAB"/>
    <w:rsid w:val="00405A3C"/>
    <w:rsid w:val="00405CFB"/>
    <w:rsid w:val="00406121"/>
    <w:rsid w:val="00406387"/>
    <w:rsid w:val="00407B6A"/>
    <w:rsid w:val="00411CFC"/>
    <w:rsid w:val="00413632"/>
    <w:rsid w:val="004138CD"/>
    <w:rsid w:val="00413955"/>
    <w:rsid w:val="00413C9A"/>
    <w:rsid w:val="00413EEE"/>
    <w:rsid w:val="004140CF"/>
    <w:rsid w:val="0041412B"/>
    <w:rsid w:val="00414400"/>
    <w:rsid w:val="004149B7"/>
    <w:rsid w:val="00414FE1"/>
    <w:rsid w:val="00415B82"/>
    <w:rsid w:val="00415FB2"/>
    <w:rsid w:val="00416159"/>
    <w:rsid w:val="0041675B"/>
    <w:rsid w:val="00416819"/>
    <w:rsid w:val="00416BFF"/>
    <w:rsid w:val="00416D3E"/>
    <w:rsid w:val="0041716B"/>
    <w:rsid w:val="00417400"/>
    <w:rsid w:val="00417764"/>
    <w:rsid w:val="00417D96"/>
    <w:rsid w:val="00420036"/>
    <w:rsid w:val="004202A6"/>
    <w:rsid w:val="004204C7"/>
    <w:rsid w:val="004204F8"/>
    <w:rsid w:val="00420AF2"/>
    <w:rsid w:val="00420DED"/>
    <w:rsid w:val="004210B5"/>
    <w:rsid w:val="00421840"/>
    <w:rsid w:val="00421CD4"/>
    <w:rsid w:val="0042295E"/>
    <w:rsid w:val="00423087"/>
    <w:rsid w:val="00423316"/>
    <w:rsid w:val="00423DAA"/>
    <w:rsid w:val="00423E9B"/>
    <w:rsid w:val="00423EA6"/>
    <w:rsid w:val="00423FE9"/>
    <w:rsid w:val="004240BC"/>
    <w:rsid w:val="004259AA"/>
    <w:rsid w:val="00425A8A"/>
    <w:rsid w:val="00425B02"/>
    <w:rsid w:val="00425B9B"/>
    <w:rsid w:val="00425C5C"/>
    <w:rsid w:val="00425CE5"/>
    <w:rsid w:val="00426358"/>
    <w:rsid w:val="00426718"/>
    <w:rsid w:val="00426E57"/>
    <w:rsid w:val="00427671"/>
    <w:rsid w:val="00427685"/>
    <w:rsid w:val="00427833"/>
    <w:rsid w:val="004278F4"/>
    <w:rsid w:val="00427D2C"/>
    <w:rsid w:val="00430002"/>
    <w:rsid w:val="004304CA"/>
    <w:rsid w:val="00430A3C"/>
    <w:rsid w:val="00430FB5"/>
    <w:rsid w:val="004319C7"/>
    <w:rsid w:val="00431AC1"/>
    <w:rsid w:val="004332AA"/>
    <w:rsid w:val="00433C9E"/>
    <w:rsid w:val="0043437A"/>
    <w:rsid w:val="004344BF"/>
    <w:rsid w:val="00434B31"/>
    <w:rsid w:val="00434F03"/>
    <w:rsid w:val="004356C3"/>
    <w:rsid w:val="00436941"/>
    <w:rsid w:val="00436ACE"/>
    <w:rsid w:val="0043702B"/>
    <w:rsid w:val="00437622"/>
    <w:rsid w:val="004376B6"/>
    <w:rsid w:val="00437894"/>
    <w:rsid w:val="004404E3"/>
    <w:rsid w:val="0044196E"/>
    <w:rsid w:val="004424D1"/>
    <w:rsid w:val="00442FE9"/>
    <w:rsid w:val="004432F9"/>
    <w:rsid w:val="004436BB"/>
    <w:rsid w:val="00443DF8"/>
    <w:rsid w:val="00443F5D"/>
    <w:rsid w:val="0044415B"/>
    <w:rsid w:val="004447E0"/>
    <w:rsid w:val="00444947"/>
    <w:rsid w:val="0044524C"/>
    <w:rsid w:val="00446358"/>
    <w:rsid w:val="004463D7"/>
    <w:rsid w:val="00446AA9"/>
    <w:rsid w:val="004471B4"/>
    <w:rsid w:val="0044790E"/>
    <w:rsid w:val="00450B97"/>
    <w:rsid w:val="00450BA4"/>
    <w:rsid w:val="00451043"/>
    <w:rsid w:val="00451432"/>
    <w:rsid w:val="00451601"/>
    <w:rsid w:val="00451968"/>
    <w:rsid w:val="00451C58"/>
    <w:rsid w:val="0045202B"/>
    <w:rsid w:val="00452156"/>
    <w:rsid w:val="004524C1"/>
    <w:rsid w:val="00452BF1"/>
    <w:rsid w:val="00453363"/>
    <w:rsid w:val="0045397F"/>
    <w:rsid w:val="00453F60"/>
    <w:rsid w:val="00454733"/>
    <w:rsid w:val="00454792"/>
    <w:rsid w:val="00455735"/>
    <w:rsid w:val="004557DE"/>
    <w:rsid w:val="004559E4"/>
    <w:rsid w:val="00456560"/>
    <w:rsid w:val="00457A0F"/>
    <w:rsid w:val="00457BFF"/>
    <w:rsid w:val="00457E0F"/>
    <w:rsid w:val="00457EDB"/>
    <w:rsid w:val="0046037A"/>
    <w:rsid w:val="004605BA"/>
    <w:rsid w:val="00460779"/>
    <w:rsid w:val="00460CEF"/>
    <w:rsid w:val="00461099"/>
    <w:rsid w:val="00461145"/>
    <w:rsid w:val="00461C4E"/>
    <w:rsid w:val="00461D81"/>
    <w:rsid w:val="00462809"/>
    <w:rsid w:val="00463146"/>
    <w:rsid w:val="0046324D"/>
    <w:rsid w:val="00463800"/>
    <w:rsid w:val="00463E2A"/>
    <w:rsid w:val="00463E2B"/>
    <w:rsid w:val="0046487F"/>
    <w:rsid w:val="00464F35"/>
    <w:rsid w:val="004654DD"/>
    <w:rsid w:val="0046560F"/>
    <w:rsid w:val="0046579C"/>
    <w:rsid w:val="00465E5A"/>
    <w:rsid w:val="0046726A"/>
    <w:rsid w:val="00467544"/>
    <w:rsid w:val="00467710"/>
    <w:rsid w:val="0047225C"/>
    <w:rsid w:val="004723EF"/>
    <w:rsid w:val="0047261E"/>
    <w:rsid w:val="00472B1A"/>
    <w:rsid w:val="00472B8E"/>
    <w:rsid w:val="00472D01"/>
    <w:rsid w:val="00472E6A"/>
    <w:rsid w:val="00472ED5"/>
    <w:rsid w:val="00472FE3"/>
    <w:rsid w:val="00473687"/>
    <w:rsid w:val="004739CE"/>
    <w:rsid w:val="00474075"/>
    <w:rsid w:val="00474210"/>
    <w:rsid w:val="00474A8D"/>
    <w:rsid w:val="00474E42"/>
    <w:rsid w:val="00475299"/>
    <w:rsid w:val="00475991"/>
    <w:rsid w:val="00475AFD"/>
    <w:rsid w:val="00475D14"/>
    <w:rsid w:val="004765C4"/>
    <w:rsid w:val="00476E31"/>
    <w:rsid w:val="00477488"/>
    <w:rsid w:val="00477A87"/>
    <w:rsid w:val="00477D72"/>
    <w:rsid w:val="00477EB4"/>
    <w:rsid w:val="00477F0B"/>
    <w:rsid w:val="0048077E"/>
    <w:rsid w:val="00480B96"/>
    <w:rsid w:val="00480F2E"/>
    <w:rsid w:val="00480FF3"/>
    <w:rsid w:val="004813EB"/>
    <w:rsid w:val="0048196B"/>
    <w:rsid w:val="00482C02"/>
    <w:rsid w:val="0048303E"/>
    <w:rsid w:val="0048370F"/>
    <w:rsid w:val="00483AD1"/>
    <w:rsid w:val="00483BC4"/>
    <w:rsid w:val="00483F97"/>
    <w:rsid w:val="00485EDB"/>
    <w:rsid w:val="0048691F"/>
    <w:rsid w:val="00486BA5"/>
    <w:rsid w:val="0048768B"/>
    <w:rsid w:val="00487858"/>
    <w:rsid w:val="00487B98"/>
    <w:rsid w:val="0049069F"/>
    <w:rsid w:val="0049077B"/>
    <w:rsid w:val="00490E2A"/>
    <w:rsid w:val="00491598"/>
    <w:rsid w:val="00491937"/>
    <w:rsid w:val="004920F6"/>
    <w:rsid w:val="00492BF3"/>
    <w:rsid w:val="00493B20"/>
    <w:rsid w:val="00493CA6"/>
    <w:rsid w:val="00493E07"/>
    <w:rsid w:val="0049419C"/>
    <w:rsid w:val="00494A0C"/>
    <w:rsid w:val="00494CD1"/>
    <w:rsid w:val="00494DDF"/>
    <w:rsid w:val="00494F1B"/>
    <w:rsid w:val="00495033"/>
    <w:rsid w:val="0049522B"/>
    <w:rsid w:val="004957AD"/>
    <w:rsid w:val="004958CC"/>
    <w:rsid w:val="004959DF"/>
    <w:rsid w:val="00495A7C"/>
    <w:rsid w:val="00495B74"/>
    <w:rsid w:val="00495BE2"/>
    <w:rsid w:val="004960BA"/>
    <w:rsid w:val="004970D2"/>
    <w:rsid w:val="0049764E"/>
    <w:rsid w:val="0049787B"/>
    <w:rsid w:val="00497C0C"/>
    <w:rsid w:val="004A01B0"/>
    <w:rsid w:val="004A0444"/>
    <w:rsid w:val="004A0653"/>
    <w:rsid w:val="004A08AD"/>
    <w:rsid w:val="004A0A39"/>
    <w:rsid w:val="004A1B49"/>
    <w:rsid w:val="004A3A22"/>
    <w:rsid w:val="004A3CD9"/>
    <w:rsid w:val="004A4B00"/>
    <w:rsid w:val="004A4CB1"/>
    <w:rsid w:val="004A6297"/>
    <w:rsid w:val="004A6562"/>
    <w:rsid w:val="004A67E8"/>
    <w:rsid w:val="004A715D"/>
    <w:rsid w:val="004A7256"/>
    <w:rsid w:val="004B02BA"/>
    <w:rsid w:val="004B1273"/>
    <w:rsid w:val="004B1748"/>
    <w:rsid w:val="004B1F83"/>
    <w:rsid w:val="004B2285"/>
    <w:rsid w:val="004B2342"/>
    <w:rsid w:val="004B2CDC"/>
    <w:rsid w:val="004B3054"/>
    <w:rsid w:val="004B3916"/>
    <w:rsid w:val="004B4547"/>
    <w:rsid w:val="004B4A33"/>
    <w:rsid w:val="004B578D"/>
    <w:rsid w:val="004B63D9"/>
    <w:rsid w:val="004B6473"/>
    <w:rsid w:val="004B64C8"/>
    <w:rsid w:val="004B6A96"/>
    <w:rsid w:val="004B73FD"/>
    <w:rsid w:val="004C0209"/>
    <w:rsid w:val="004C06E6"/>
    <w:rsid w:val="004C09BC"/>
    <w:rsid w:val="004C13A2"/>
    <w:rsid w:val="004C162B"/>
    <w:rsid w:val="004C18D5"/>
    <w:rsid w:val="004C23AD"/>
    <w:rsid w:val="004C29A4"/>
    <w:rsid w:val="004C3256"/>
    <w:rsid w:val="004C3594"/>
    <w:rsid w:val="004C3756"/>
    <w:rsid w:val="004C3821"/>
    <w:rsid w:val="004C3C1B"/>
    <w:rsid w:val="004C3D65"/>
    <w:rsid w:val="004C4750"/>
    <w:rsid w:val="004C4A57"/>
    <w:rsid w:val="004C51C6"/>
    <w:rsid w:val="004C5AAF"/>
    <w:rsid w:val="004C5E2C"/>
    <w:rsid w:val="004C5FDC"/>
    <w:rsid w:val="004C6A5B"/>
    <w:rsid w:val="004C7568"/>
    <w:rsid w:val="004D015E"/>
    <w:rsid w:val="004D05F5"/>
    <w:rsid w:val="004D06A1"/>
    <w:rsid w:val="004D15FA"/>
    <w:rsid w:val="004D175A"/>
    <w:rsid w:val="004D19B9"/>
    <w:rsid w:val="004D1B1B"/>
    <w:rsid w:val="004D1BB1"/>
    <w:rsid w:val="004D1D47"/>
    <w:rsid w:val="004D242A"/>
    <w:rsid w:val="004D278E"/>
    <w:rsid w:val="004D39A5"/>
    <w:rsid w:val="004D3E59"/>
    <w:rsid w:val="004D3FFC"/>
    <w:rsid w:val="004D423A"/>
    <w:rsid w:val="004D4AB8"/>
    <w:rsid w:val="004D4C36"/>
    <w:rsid w:val="004D5AF5"/>
    <w:rsid w:val="004D5FE5"/>
    <w:rsid w:val="004D642D"/>
    <w:rsid w:val="004D6472"/>
    <w:rsid w:val="004E11C9"/>
    <w:rsid w:val="004E23C5"/>
    <w:rsid w:val="004E295B"/>
    <w:rsid w:val="004E363E"/>
    <w:rsid w:val="004E400D"/>
    <w:rsid w:val="004E420A"/>
    <w:rsid w:val="004E429C"/>
    <w:rsid w:val="004E48C5"/>
    <w:rsid w:val="004E4905"/>
    <w:rsid w:val="004E4C61"/>
    <w:rsid w:val="004E4FE1"/>
    <w:rsid w:val="004E5B5D"/>
    <w:rsid w:val="004E5FD0"/>
    <w:rsid w:val="004E6309"/>
    <w:rsid w:val="004E6D6A"/>
    <w:rsid w:val="004E6F01"/>
    <w:rsid w:val="004E7902"/>
    <w:rsid w:val="004F006F"/>
    <w:rsid w:val="004F027E"/>
    <w:rsid w:val="004F0687"/>
    <w:rsid w:val="004F0ACF"/>
    <w:rsid w:val="004F0E52"/>
    <w:rsid w:val="004F10E6"/>
    <w:rsid w:val="004F10F1"/>
    <w:rsid w:val="004F12A2"/>
    <w:rsid w:val="004F14EA"/>
    <w:rsid w:val="004F1DDC"/>
    <w:rsid w:val="004F23C9"/>
    <w:rsid w:val="004F24B3"/>
    <w:rsid w:val="004F2A26"/>
    <w:rsid w:val="004F3530"/>
    <w:rsid w:val="004F35B2"/>
    <w:rsid w:val="004F3BDB"/>
    <w:rsid w:val="004F3E60"/>
    <w:rsid w:val="004F4620"/>
    <w:rsid w:val="004F4B65"/>
    <w:rsid w:val="004F50AA"/>
    <w:rsid w:val="004F5472"/>
    <w:rsid w:val="00500140"/>
    <w:rsid w:val="00500DC8"/>
    <w:rsid w:val="0050207F"/>
    <w:rsid w:val="00502C2B"/>
    <w:rsid w:val="00502DCC"/>
    <w:rsid w:val="005039D5"/>
    <w:rsid w:val="00503CB7"/>
    <w:rsid w:val="00503E8A"/>
    <w:rsid w:val="00504861"/>
    <w:rsid w:val="0050534E"/>
    <w:rsid w:val="005058BD"/>
    <w:rsid w:val="00505EFB"/>
    <w:rsid w:val="00505FE6"/>
    <w:rsid w:val="005075B6"/>
    <w:rsid w:val="0050777C"/>
    <w:rsid w:val="005077B7"/>
    <w:rsid w:val="00507909"/>
    <w:rsid w:val="0051004E"/>
    <w:rsid w:val="00510293"/>
    <w:rsid w:val="00511186"/>
    <w:rsid w:val="0051152A"/>
    <w:rsid w:val="00511AD9"/>
    <w:rsid w:val="00511F61"/>
    <w:rsid w:val="005122BA"/>
    <w:rsid w:val="00512851"/>
    <w:rsid w:val="0051349D"/>
    <w:rsid w:val="005148ED"/>
    <w:rsid w:val="00515446"/>
    <w:rsid w:val="0051617B"/>
    <w:rsid w:val="00516886"/>
    <w:rsid w:val="005170DE"/>
    <w:rsid w:val="0051742A"/>
    <w:rsid w:val="005177E4"/>
    <w:rsid w:val="005204F0"/>
    <w:rsid w:val="005209AD"/>
    <w:rsid w:val="005211C3"/>
    <w:rsid w:val="005215FA"/>
    <w:rsid w:val="00522476"/>
    <w:rsid w:val="00522877"/>
    <w:rsid w:val="00522D7C"/>
    <w:rsid w:val="00522FA5"/>
    <w:rsid w:val="00523358"/>
    <w:rsid w:val="005235E1"/>
    <w:rsid w:val="00523C24"/>
    <w:rsid w:val="00523ED8"/>
    <w:rsid w:val="00524EAF"/>
    <w:rsid w:val="005256A0"/>
    <w:rsid w:val="00525E81"/>
    <w:rsid w:val="005262C6"/>
    <w:rsid w:val="005267AF"/>
    <w:rsid w:val="005271C0"/>
    <w:rsid w:val="005279A5"/>
    <w:rsid w:val="00530635"/>
    <w:rsid w:val="00530843"/>
    <w:rsid w:val="00530B61"/>
    <w:rsid w:val="00530F47"/>
    <w:rsid w:val="00531CE6"/>
    <w:rsid w:val="005326C1"/>
    <w:rsid w:val="005327BB"/>
    <w:rsid w:val="0053294E"/>
    <w:rsid w:val="00533012"/>
    <w:rsid w:val="005344BE"/>
    <w:rsid w:val="0053466D"/>
    <w:rsid w:val="00535518"/>
    <w:rsid w:val="005355DF"/>
    <w:rsid w:val="0053595D"/>
    <w:rsid w:val="00535C6D"/>
    <w:rsid w:val="00535F7B"/>
    <w:rsid w:val="005363F1"/>
    <w:rsid w:val="00536444"/>
    <w:rsid w:val="0053769C"/>
    <w:rsid w:val="0054029B"/>
    <w:rsid w:val="00540ABC"/>
    <w:rsid w:val="00540AC0"/>
    <w:rsid w:val="005410D2"/>
    <w:rsid w:val="00541734"/>
    <w:rsid w:val="00541CD7"/>
    <w:rsid w:val="005424D0"/>
    <w:rsid w:val="00542A66"/>
    <w:rsid w:val="00542B58"/>
    <w:rsid w:val="0054301D"/>
    <w:rsid w:val="005444EF"/>
    <w:rsid w:val="0054496E"/>
    <w:rsid w:val="005451A2"/>
    <w:rsid w:val="00545275"/>
    <w:rsid w:val="00545C18"/>
    <w:rsid w:val="00546E3D"/>
    <w:rsid w:val="00547424"/>
    <w:rsid w:val="00547C12"/>
    <w:rsid w:val="00547FFD"/>
    <w:rsid w:val="00551366"/>
    <w:rsid w:val="005513F1"/>
    <w:rsid w:val="0055140E"/>
    <w:rsid w:val="005523FD"/>
    <w:rsid w:val="00552CFF"/>
    <w:rsid w:val="005533D7"/>
    <w:rsid w:val="0055377E"/>
    <w:rsid w:val="005539A9"/>
    <w:rsid w:val="00553E35"/>
    <w:rsid w:val="005541AA"/>
    <w:rsid w:val="005544EE"/>
    <w:rsid w:val="00554B59"/>
    <w:rsid w:val="00554C3B"/>
    <w:rsid w:val="005553D0"/>
    <w:rsid w:val="00555465"/>
    <w:rsid w:val="0055587F"/>
    <w:rsid w:val="00555ED7"/>
    <w:rsid w:val="00556546"/>
    <w:rsid w:val="00556D75"/>
    <w:rsid w:val="00557226"/>
    <w:rsid w:val="0055766D"/>
    <w:rsid w:val="00557A2D"/>
    <w:rsid w:val="00560942"/>
    <w:rsid w:val="00560C36"/>
    <w:rsid w:val="00560FA4"/>
    <w:rsid w:val="005616DF"/>
    <w:rsid w:val="005620E8"/>
    <w:rsid w:val="0056296B"/>
    <w:rsid w:val="005630F8"/>
    <w:rsid w:val="00564488"/>
    <w:rsid w:val="005646B6"/>
    <w:rsid w:val="00564AE2"/>
    <w:rsid w:val="0056536D"/>
    <w:rsid w:val="005655D9"/>
    <w:rsid w:val="005661BC"/>
    <w:rsid w:val="00566F29"/>
    <w:rsid w:val="005673FE"/>
    <w:rsid w:val="00570057"/>
    <w:rsid w:val="005707D2"/>
    <w:rsid w:val="00570960"/>
    <w:rsid w:val="00570C6E"/>
    <w:rsid w:val="00570F86"/>
    <w:rsid w:val="005713CB"/>
    <w:rsid w:val="0057176E"/>
    <w:rsid w:val="00571E89"/>
    <w:rsid w:val="00572027"/>
    <w:rsid w:val="00572154"/>
    <w:rsid w:val="005722B6"/>
    <w:rsid w:val="00572470"/>
    <w:rsid w:val="00572AC9"/>
    <w:rsid w:val="0057306F"/>
    <w:rsid w:val="005732C9"/>
    <w:rsid w:val="00573464"/>
    <w:rsid w:val="0057366C"/>
    <w:rsid w:val="0057371A"/>
    <w:rsid w:val="00574BFA"/>
    <w:rsid w:val="00574C70"/>
    <w:rsid w:val="0057554B"/>
    <w:rsid w:val="00576902"/>
    <w:rsid w:val="00576939"/>
    <w:rsid w:val="00577292"/>
    <w:rsid w:val="005778BD"/>
    <w:rsid w:val="00577959"/>
    <w:rsid w:val="00577CB7"/>
    <w:rsid w:val="00580321"/>
    <w:rsid w:val="00580333"/>
    <w:rsid w:val="0058086E"/>
    <w:rsid w:val="00580B22"/>
    <w:rsid w:val="00580D99"/>
    <w:rsid w:val="00581DCB"/>
    <w:rsid w:val="005826FA"/>
    <w:rsid w:val="005830DA"/>
    <w:rsid w:val="005830DB"/>
    <w:rsid w:val="0058346F"/>
    <w:rsid w:val="00583DFD"/>
    <w:rsid w:val="00584185"/>
    <w:rsid w:val="0058497A"/>
    <w:rsid w:val="00584F35"/>
    <w:rsid w:val="00585700"/>
    <w:rsid w:val="00585DBE"/>
    <w:rsid w:val="00586507"/>
    <w:rsid w:val="00586DF7"/>
    <w:rsid w:val="00587482"/>
    <w:rsid w:val="005879DC"/>
    <w:rsid w:val="00590B35"/>
    <w:rsid w:val="00591146"/>
    <w:rsid w:val="00591533"/>
    <w:rsid w:val="005917C2"/>
    <w:rsid w:val="00591D8A"/>
    <w:rsid w:val="00592AC1"/>
    <w:rsid w:val="00592BF4"/>
    <w:rsid w:val="005938CE"/>
    <w:rsid w:val="005939AC"/>
    <w:rsid w:val="00593C77"/>
    <w:rsid w:val="00593FB0"/>
    <w:rsid w:val="0059430A"/>
    <w:rsid w:val="005950D8"/>
    <w:rsid w:val="00595BC8"/>
    <w:rsid w:val="00595CA2"/>
    <w:rsid w:val="005961CF"/>
    <w:rsid w:val="00596B43"/>
    <w:rsid w:val="00597C1F"/>
    <w:rsid w:val="00597D3F"/>
    <w:rsid w:val="005A015D"/>
    <w:rsid w:val="005A1303"/>
    <w:rsid w:val="005A249B"/>
    <w:rsid w:val="005A2E4E"/>
    <w:rsid w:val="005A3ACC"/>
    <w:rsid w:val="005A3DA0"/>
    <w:rsid w:val="005A499B"/>
    <w:rsid w:val="005A4EEC"/>
    <w:rsid w:val="005A5A62"/>
    <w:rsid w:val="005A5A6C"/>
    <w:rsid w:val="005A5E23"/>
    <w:rsid w:val="005A6841"/>
    <w:rsid w:val="005A6DBB"/>
    <w:rsid w:val="005A6DCC"/>
    <w:rsid w:val="005A7845"/>
    <w:rsid w:val="005B0941"/>
    <w:rsid w:val="005B18A0"/>
    <w:rsid w:val="005B1F8C"/>
    <w:rsid w:val="005B246E"/>
    <w:rsid w:val="005B269D"/>
    <w:rsid w:val="005B2DA2"/>
    <w:rsid w:val="005B35E7"/>
    <w:rsid w:val="005B3AAE"/>
    <w:rsid w:val="005B4DF3"/>
    <w:rsid w:val="005B51B2"/>
    <w:rsid w:val="005B57E5"/>
    <w:rsid w:val="005B621A"/>
    <w:rsid w:val="005B6ABD"/>
    <w:rsid w:val="005B6C4D"/>
    <w:rsid w:val="005B79E9"/>
    <w:rsid w:val="005B7A80"/>
    <w:rsid w:val="005C0C0E"/>
    <w:rsid w:val="005C167A"/>
    <w:rsid w:val="005C2469"/>
    <w:rsid w:val="005C2C52"/>
    <w:rsid w:val="005C2ED0"/>
    <w:rsid w:val="005C38CA"/>
    <w:rsid w:val="005C3A32"/>
    <w:rsid w:val="005C4081"/>
    <w:rsid w:val="005C4223"/>
    <w:rsid w:val="005C4532"/>
    <w:rsid w:val="005C47FA"/>
    <w:rsid w:val="005C4B97"/>
    <w:rsid w:val="005C53F0"/>
    <w:rsid w:val="005C5540"/>
    <w:rsid w:val="005C55AF"/>
    <w:rsid w:val="005C6452"/>
    <w:rsid w:val="005C6E87"/>
    <w:rsid w:val="005C70E9"/>
    <w:rsid w:val="005C71CE"/>
    <w:rsid w:val="005C738F"/>
    <w:rsid w:val="005C7594"/>
    <w:rsid w:val="005C7934"/>
    <w:rsid w:val="005D01CE"/>
    <w:rsid w:val="005D02C4"/>
    <w:rsid w:val="005D1598"/>
    <w:rsid w:val="005D2725"/>
    <w:rsid w:val="005D2ADB"/>
    <w:rsid w:val="005D2E8A"/>
    <w:rsid w:val="005D44FD"/>
    <w:rsid w:val="005D549A"/>
    <w:rsid w:val="005D5520"/>
    <w:rsid w:val="005D5976"/>
    <w:rsid w:val="005D5F4E"/>
    <w:rsid w:val="005D6620"/>
    <w:rsid w:val="005D67B0"/>
    <w:rsid w:val="005D6F36"/>
    <w:rsid w:val="005D795D"/>
    <w:rsid w:val="005D7C15"/>
    <w:rsid w:val="005E014D"/>
    <w:rsid w:val="005E039C"/>
    <w:rsid w:val="005E0F7B"/>
    <w:rsid w:val="005E17A6"/>
    <w:rsid w:val="005E19FC"/>
    <w:rsid w:val="005E1B73"/>
    <w:rsid w:val="005E2184"/>
    <w:rsid w:val="005E2225"/>
    <w:rsid w:val="005E2D70"/>
    <w:rsid w:val="005E2E73"/>
    <w:rsid w:val="005E324C"/>
    <w:rsid w:val="005E3BAD"/>
    <w:rsid w:val="005E473E"/>
    <w:rsid w:val="005E4912"/>
    <w:rsid w:val="005E4F60"/>
    <w:rsid w:val="005E5312"/>
    <w:rsid w:val="005E5A52"/>
    <w:rsid w:val="005E5B71"/>
    <w:rsid w:val="005E5E9F"/>
    <w:rsid w:val="005E6402"/>
    <w:rsid w:val="005E6F1F"/>
    <w:rsid w:val="005E7027"/>
    <w:rsid w:val="005F00A6"/>
    <w:rsid w:val="005F0BB3"/>
    <w:rsid w:val="005F203B"/>
    <w:rsid w:val="005F23C8"/>
    <w:rsid w:val="005F2716"/>
    <w:rsid w:val="005F299B"/>
    <w:rsid w:val="005F3085"/>
    <w:rsid w:val="005F3EF8"/>
    <w:rsid w:val="005F3F4E"/>
    <w:rsid w:val="005F41B8"/>
    <w:rsid w:val="005F4470"/>
    <w:rsid w:val="005F44D1"/>
    <w:rsid w:val="005F4B27"/>
    <w:rsid w:val="005F5DEB"/>
    <w:rsid w:val="005F6508"/>
    <w:rsid w:val="005F6FCF"/>
    <w:rsid w:val="005F7EB3"/>
    <w:rsid w:val="006008C8"/>
    <w:rsid w:val="00601C2C"/>
    <w:rsid w:val="00601DD8"/>
    <w:rsid w:val="00601E38"/>
    <w:rsid w:val="00602003"/>
    <w:rsid w:val="00602C38"/>
    <w:rsid w:val="00603A1A"/>
    <w:rsid w:val="00604197"/>
    <w:rsid w:val="006044D8"/>
    <w:rsid w:val="00604E34"/>
    <w:rsid w:val="006052B9"/>
    <w:rsid w:val="00605DCE"/>
    <w:rsid w:val="0060717E"/>
    <w:rsid w:val="00607301"/>
    <w:rsid w:val="00607447"/>
    <w:rsid w:val="00607D95"/>
    <w:rsid w:val="00607DA5"/>
    <w:rsid w:val="00607FBD"/>
    <w:rsid w:val="006106D4"/>
    <w:rsid w:val="00610888"/>
    <w:rsid w:val="006108E7"/>
    <w:rsid w:val="00610995"/>
    <w:rsid w:val="00610D40"/>
    <w:rsid w:val="00610D72"/>
    <w:rsid w:val="00611262"/>
    <w:rsid w:val="0061181D"/>
    <w:rsid w:val="00611AD2"/>
    <w:rsid w:val="0061266B"/>
    <w:rsid w:val="00612C00"/>
    <w:rsid w:val="006133BA"/>
    <w:rsid w:val="00613BF8"/>
    <w:rsid w:val="00614042"/>
    <w:rsid w:val="006147E3"/>
    <w:rsid w:val="00614AFC"/>
    <w:rsid w:val="00614B8D"/>
    <w:rsid w:val="00615D30"/>
    <w:rsid w:val="00616297"/>
    <w:rsid w:val="00616982"/>
    <w:rsid w:val="00617529"/>
    <w:rsid w:val="00617855"/>
    <w:rsid w:val="006178BE"/>
    <w:rsid w:val="00617FC5"/>
    <w:rsid w:val="00620683"/>
    <w:rsid w:val="00621129"/>
    <w:rsid w:val="0062158D"/>
    <w:rsid w:val="00621779"/>
    <w:rsid w:val="0062237A"/>
    <w:rsid w:val="00622924"/>
    <w:rsid w:val="00622973"/>
    <w:rsid w:val="0062297D"/>
    <w:rsid w:val="00622F4B"/>
    <w:rsid w:val="00623280"/>
    <w:rsid w:val="00623437"/>
    <w:rsid w:val="0062376A"/>
    <w:rsid w:val="00624570"/>
    <w:rsid w:val="00625604"/>
    <w:rsid w:val="006258D3"/>
    <w:rsid w:val="00625928"/>
    <w:rsid w:val="00625B7D"/>
    <w:rsid w:val="006266DB"/>
    <w:rsid w:val="0062748B"/>
    <w:rsid w:val="006309AF"/>
    <w:rsid w:val="00630C04"/>
    <w:rsid w:val="00630C3F"/>
    <w:rsid w:val="006318EE"/>
    <w:rsid w:val="006319C2"/>
    <w:rsid w:val="00631D5A"/>
    <w:rsid w:val="006327B0"/>
    <w:rsid w:val="00632804"/>
    <w:rsid w:val="00632B1A"/>
    <w:rsid w:val="006332BF"/>
    <w:rsid w:val="0063356A"/>
    <w:rsid w:val="00633916"/>
    <w:rsid w:val="0063508B"/>
    <w:rsid w:val="006354FE"/>
    <w:rsid w:val="006359FA"/>
    <w:rsid w:val="006376D3"/>
    <w:rsid w:val="006403F5"/>
    <w:rsid w:val="006406AE"/>
    <w:rsid w:val="00640C19"/>
    <w:rsid w:val="006411F1"/>
    <w:rsid w:val="006414C4"/>
    <w:rsid w:val="006418D5"/>
    <w:rsid w:val="00641B64"/>
    <w:rsid w:val="00641D2B"/>
    <w:rsid w:val="006421BB"/>
    <w:rsid w:val="006423F6"/>
    <w:rsid w:val="0064254C"/>
    <w:rsid w:val="00643624"/>
    <w:rsid w:val="0064400F"/>
    <w:rsid w:val="00644BD1"/>
    <w:rsid w:val="006451B9"/>
    <w:rsid w:val="00645888"/>
    <w:rsid w:val="00645AFA"/>
    <w:rsid w:val="00645D7F"/>
    <w:rsid w:val="0064617E"/>
    <w:rsid w:val="0064634E"/>
    <w:rsid w:val="0064675E"/>
    <w:rsid w:val="0064722F"/>
    <w:rsid w:val="006476BA"/>
    <w:rsid w:val="00647C69"/>
    <w:rsid w:val="00650920"/>
    <w:rsid w:val="00650B27"/>
    <w:rsid w:val="006524EC"/>
    <w:rsid w:val="00652665"/>
    <w:rsid w:val="006526D0"/>
    <w:rsid w:val="0065275A"/>
    <w:rsid w:val="00652C30"/>
    <w:rsid w:val="006535B9"/>
    <w:rsid w:val="0065378A"/>
    <w:rsid w:val="00654010"/>
    <w:rsid w:val="00654172"/>
    <w:rsid w:val="00654351"/>
    <w:rsid w:val="00656750"/>
    <w:rsid w:val="00656EBA"/>
    <w:rsid w:val="00656F15"/>
    <w:rsid w:val="006576CB"/>
    <w:rsid w:val="0065793B"/>
    <w:rsid w:val="006602A9"/>
    <w:rsid w:val="00660CFB"/>
    <w:rsid w:val="00660D2D"/>
    <w:rsid w:val="006618B1"/>
    <w:rsid w:val="00661C73"/>
    <w:rsid w:val="00661E4B"/>
    <w:rsid w:val="00661F62"/>
    <w:rsid w:val="0066280C"/>
    <w:rsid w:val="0066284C"/>
    <w:rsid w:val="0066290F"/>
    <w:rsid w:val="00662D3E"/>
    <w:rsid w:val="0066302A"/>
    <w:rsid w:val="00663205"/>
    <w:rsid w:val="00664499"/>
    <w:rsid w:val="00664789"/>
    <w:rsid w:val="0066493E"/>
    <w:rsid w:val="00664E8E"/>
    <w:rsid w:val="0066582B"/>
    <w:rsid w:val="00665C7E"/>
    <w:rsid w:val="00666EDA"/>
    <w:rsid w:val="006679DC"/>
    <w:rsid w:val="00667B37"/>
    <w:rsid w:val="006704E5"/>
    <w:rsid w:val="00670D13"/>
    <w:rsid w:val="00670D9D"/>
    <w:rsid w:val="00670F0D"/>
    <w:rsid w:val="006713D2"/>
    <w:rsid w:val="00671E19"/>
    <w:rsid w:val="00671E23"/>
    <w:rsid w:val="00671F63"/>
    <w:rsid w:val="00672106"/>
    <w:rsid w:val="0067217A"/>
    <w:rsid w:val="006729CF"/>
    <w:rsid w:val="00672DDD"/>
    <w:rsid w:val="00673D56"/>
    <w:rsid w:val="006742EA"/>
    <w:rsid w:val="0067453D"/>
    <w:rsid w:val="00674A89"/>
    <w:rsid w:val="00675C43"/>
    <w:rsid w:val="00675D07"/>
    <w:rsid w:val="00675E28"/>
    <w:rsid w:val="006767B1"/>
    <w:rsid w:val="00676C91"/>
    <w:rsid w:val="006800F1"/>
    <w:rsid w:val="006801D0"/>
    <w:rsid w:val="006806CC"/>
    <w:rsid w:val="00680979"/>
    <w:rsid w:val="00680F54"/>
    <w:rsid w:val="006810B5"/>
    <w:rsid w:val="00681539"/>
    <w:rsid w:val="00681A58"/>
    <w:rsid w:val="00681CEF"/>
    <w:rsid w:val="00681E7E"/>
    <w:rsid w:val="00682239"/>
    <w:rsid w:val="006842DB"/>
    <w:rsid w:val="00684587"/>
    <w:rsid w:val="006854A6"/>
    <w:rsid w:val="00685B0D"/>
    <w:rsid w:val="00685FC3"/>
    <w:rsid w:val="006864E8"/>
    <w:rsid w:val="00686D5E"/>
    <w:rsid w:val="00686DB6"/>
    <w:rsid w:val="00687534"/>
    <w:rsid w:val="00687685"/>
    <w:rsid w:val="00687A67"/>
    <w:rsid w:val="00690280"/>
    <w:rsid w:val="00690525"/>
    <w:rsid w:val="00690B77"/>
    <w:rsid w:val="006913EF"/>
    <w:rsid w:val="0069163C"/>
    <w:rsid w:val="00691864"/>
    <w:rsid w:val="00691CC8"/>
    <w:rsid w:val="00691DBC"/>
    <w:rsid w:val="00692AE1"/>
    <w:rsid w:val="00693085"/>
    <w:rsid w:val="006934C6"/>
    <w:rsid w:val="00693DAC"/>
    <w:rsid w:val="006944A7"/>
    <w:rsid w:val="00694568"/>
    <w:rsid w:val="00694689"/>
    <w:rsid w:val="006947A6"/>
    <w:rsid w:val="00694B77"/>
    <w:rsid w:val="00695A7D"/>
    <w:rsid w:val="006961B2"/>
    <w:rsid w:val="0069626A"/>
    <w:rsid w:val="00696C54"/>
    <w:rsid w:val="00696FB8"/>
    <w:rsid w:val="00697201"/>
    <w:rsid w:val="00697C07"/>
    <w:rsid w:val="006A05FE"/>
    <w:rsid w:val="006A10EA"/>
    <w:rsid w:val="006A11AE"/>
    <w:rsid w:val="006A125B"/>
    <w:rsid w:val="006A1FB5"/>
    <w:rsid w:val="006A2974"/>
    <w:rsid w:val="006A3231"/>
    <w:rsid w:val="006A3B81"/>
    <w:rsid w:val="006A3DB0"/>
    <w:rsid w:val="006A4010"/>
    <w:rsid w:val="006A43D0"/>
    <w:rsid w:val="006A499D"/>
    <w:rsid w:val="006A4C09"/>
    <w:rsid w:val="006A511B"/>
    <w:rsid w:val="006A5668"/>
    <w:rsid w:val="006A6130"/>
    <w:rsid w:val="006A6170"/>
    <w:rsid w:val="006A677E"/>
    <w:rsid w:val="006A7D41"/>
    <w:rsid w:val="006B16C7"/>
    <w:rsid w:val="006B1B71"/>
    <w:rsid w:val="006B1ED5"/>
    <w:rsid w:val="006B2142"/>
    <w:rsid w:val="006B235D"/>
    <w:rsid w:val="006B2396"/>
    <w:rsid w:val="006B24CF"/>
    <w:rsid w:val="006B2AEF"/>
    <w:rsid w:val="006B3205"/>
    <w:rsid w:val="006B33F1"/>
    <w:rsid w:val="006B39D3"/>
    <w:rsid w:val="006B3B9B"/>
    <w:rsid w:val="006B44E6"/>
    <w:rsid w:val="006B4E52"/>
    <w:rsid w:val="006B5B4A"/>
    <w:rsid w:val="006B6622"/>
    <w:rsid w:val="006B696F"/>
    <w:rsid w:val="006B6ACC"/>
    <w:rsid w:val="006B780A"/>
    <w:rsid w:val="006B7D71"/>
    <w:rsid w:val="006C03F1"/>
    <w:rsid w:val="006C0769"/>
    <w:rsid w:val="006C08D6"/>
    <w:rsid w:val="006C0ACB"/>
    <w:rsid w:val="006C0E50"/>
    <w:rsid w:val="006C12A8"/>
    <w:rsid w:val="006C13DC"/>
    <w:rsid w:val="006C18ED"/>
    <w:rsid w:val="006C1A7D"/>
    <w:rsid w:val="006C1FE3"/>
    <w:rsid w:val="006C228C"/>
    <w:rsid w:val="006C242A"/>
    <w:rsid w:val="006C311D"/>
    <w:rsid w:val="006C3469"/>
    <w:rsid w:val="006C3B2E"/>
    <w:rsid w:val="006C4000"/>
    <w:rsid w:val="006C441E"/>
    <w:rsid w:val="006C49E2"/>
    <w:rsid w:val="006C4D72"/>
    <w:rsid w:val="006C580F"/>
    <w:rsid w:val="006C5A7D"/>
    <w:rsid w:val="006C635A"/>
    <w:rsid w:val="006C6E25"/>
    <w:rsid w:val="006C7220"/>
    <w:rsid w:val="006C72E3"/>
    <w:rsid w:val="006D0324"/>
    <w:rsid w:val="006D076F"/>
    <w:rsid w:val="006D0C13"/>
    <w:rsid w:val="006D0C90"/>
    <w:rsid w:val="006D102B"/>
    <w:rsid w:val="006D1C38"/>
    <w:rsid w:val="006D1FBF"/>
    <w:rsid w:val="006D2D2C"/>
    <w:rsid w:val="006D324F"/>
    <w:rsid w:val="006D42D6"/>
    <w:rsid w:val="006D4A86"/>
    <w:rsid w:val="006D5CF3"/>
    <w:rsid w:val="006D65F9"/>
    <w:rsid w:val="006D7174"/>
    <w:rsid w:val="006D7F7E"/>
    <w:rsid w:val="006E0200"/>
    <w:rsid w:val="006E0706"/>
    <w:rsid w:val="006E09A9"/>
    <w:rsid w:val="006E1E6D"/>
    <w:rsid w:val="006E272A"/>
    <w:rsid w:val="006E2E81"/>
    <w:rsid w:val="006E2F13"/>
    <w:rsid w:val="006E3818"/>
    <w:rsid w:val="006E3893"/>
    <w:rsid w:val="006E4914"/>
    <w:rsid w:val="006E4A5C"/>
    <w:rsid w:val="006E4BDD"/>
    <w:rsid w:val="006E54DC"/>
    <w:rsid w:val="006E56E8"/>
    <w:rsid w:val="006E5ADE"/>
    <w:rsid w:val="006E5BD3"/>
    <w:rsid w:val="006E67A5"/>
    <w:rsid w:val="006E6A52"/>
    <w:rsid w:val="006E6B4A"/>
    <w:rsid w:val="006E6D7B"/>
    <w:rsid w:val="006E6E08"/>
    <w:rsid w:val="006E6F60"/>
    <w:rsid w:val="006E7F71"/>
    <w:rsid w:val="006F03C7"/>
    <w:rsid w:val="006F086E"/>
    <w:rsid w:val="006F0880"/>
    <w:rsid w:val="006F0C21"/>
    <w:rsid w:val="006F1772"/>
    <w:rsid w:val="006F1861"/>
    <w:rsid w:val="006F1D67"/>
    <w:rsid w:val="006F2A79"/>
    <w:rsid w:val="006F2D02"/>
    <w:rsid w:val="006F356C"/>
    <w:rsid w:val="006F3E32"/>
    <w:rsid w:val="006F415D"/>
    <w:rsid w:val="006F42C5"/>
    <w:rsid w:val="006F4E63"/>
    <w:rsid w:val="006F5238"/>
    <w:rsid w:val="006F54B8"/>
    <w:rsid w:val="006F6DE0"/>
    <w:rsid w:val="006F6E68"/>
    <w:rsid w:val="006F7101"/>
    <w:rsid w:val="006F7691"/>
    <w:rsid w:val="006F7BA7"/>
    <w:rsid w:val="0070023A"/>
    <w:rsid w:val="00700962"/>
    <w:rsid w:val="00701278"/>
    <w:rsid w:val="00702CB8"/>
    <w:rsid w:val="00702FAE"/>
    <w:rsid w:val="00703875"/>
    <w:rsid w:val="00703F88"/>
    <w:rsid w:val="007048EC"/>
    <w:rsid w:val="007048F4"/>
    <w:rsid w:val="00704D54"/>
    <w:rsid w:val="00704FF4"/>
    <w:rsid w:val="007051CE"/>
    <w:rsid w:val="00705D29"/>
    <w:rsid w:val="00705F20"/>
    <w:rsid w:val="00706360"/>
    <w:rsid w:val="00706B5B"/>
    <w:rsid w:val="00706B9F"/>
    <w:rsid w:val="0070733A"/>
    <w:rsid w:val="00707923"/>
    <w:rsid w:val="00707AF7"/>
    <w:rsid w:val="00711200"/>
    <w:rsid w:val="00711879"/>
    <w:rsid w:val="007119FD"/>
    <w:rsid w:val="00711BAE"/>
    <w:rsid w:val="00711BBA"/>
    <w:rsid w:val="007125B3"/>
    <w:rsid w:val="00712BAE"/>
    <w:rsid w:val="00712C6E"/>
    <w:rsid w:val="00712CDE"/>
    <w:rsid w:val="0071352E"/>
    <w:rsid w:val="00713AA5"/>
    <w:rsid w:val="00714F9C"/>
    <w:rsid w:val="00715BA1"/>
    <w:rsid w:val="00715F16"/>
    <w:rsid w:val="0071707E"/>
    <w:rsid w:val="007171DF"/>
    <w:rsid w:val="0071776B"/>
    <w:rsid w:val="00717900"/>
    <w:rsid w:val="00717D7A"/>
    <w:rsid w:val="00720E42"/>
    <w:rsid w:val="007219D6"/>
    <w:rsid w:val="00721B9A"/>
    <w:rsid w:val="00722849"/>
    <w:rsid w:val="00722CD0"/>
    <w:rsid w:val="007232C7"/>
    <w:rsid w:val="0072397F"/>
    <w:rsid w:val="00723C49"/>
    <w:rsid w:val="00723E24"/>
    <w:rsid w:val="00723FAF"/>
    <w:rsid w:val="007241DC"/>
    <w:rsid w:val="0072436B"/>
    <w:rsid w:val="00724A5D"/>
    <w:rsid w:val="00724E01"/>
    <w:rsid w:val="00725288"/>
    <w:rsid w:val="0072554E"/>
    <w:rsid w:val="007268A7"/>
    <w:rsid w:val="00727544"/>
    <w:rsid w:val="007277E9"/>
    <w:rsid w:val="00727B4C"/>
    <w:rsid w:val="00727F0C"/>
    <w:rsid w:val="00730239"/>
    <w:rsid w:val="007306C6"/>
    <w:rsid w:val="00730827"/>
    <w:rsid w:val="0073094D"/>
    <w:rsid w:val="0073125D"/>
    <w:rsid w:val="00731780"/>
    <w:rsid w:val="00731922"/>
    <w:rsid w:val="00731ACB"/>
    <w:rsid w:val="00731D3D"/>
    <w:rsid w:val="007324E5"/>
    <w:rsid w:val="00732B5B"/>
    <w:rsid w:val="00733634"/>
    <w:rsid w:val="007346D7"/>
    <w:rsid w:val="00734818"/>
    <w:rsid w:val="00734C28"/>
    <w:rsid w:val="00735C3B"/>
    <w:rsid w:val="007360EF"/>
    <w:rsid w:val="00736279"/>
    <w:rsid w:val="007362B3"/>
    <w:rsid w:val="007364B4"/>
    <w:rsid w:val="007368AD"/>
    <w:rsid w:val="007377BF"/>
    <w:rsid w:val="00737844"/>
    <w:rsid w:val="00740286"/>
    <w:rsid w:val="007405B8"/>
    <w:rsid w:val="0074061C"/>
    <w:rsid w:val="00740B6C"/>
    <w:rsid w:val="00741199"/>
    <w:rsid w:val="0074133D"/>
    <w:rsid w:val="00741512"/>
    <w:rsid w:val="00741AC2"/>
    <w:rsid w:val="0074243D"/>
    <w:rsid w:val="00742785"/>
    <w:rsid w:val="0074293C"/>
    <w:rsid w:val="00742E9A"/>
    <w:rsid w:val="00742F98"/>
    <w:rsid w:val="00742FD3"/>
    <w:rsid w:val="00743248"/>
    <w:rsid w:val="007441DF"/>
    <w:rsid w:val="00744A6D"/>
    <w:rsid w:val="00745462"/>
    <w:rsid w:val="007455B5"/>
    <w:rsid w:val="0074657D"/>
    <w:rsid w:val="00746D53"/>
    <w:rsid w:val="00746FD2"/>
    <w:rsid w:val="00747048"/>
    <w:rsid w:val="00747342"/>
    <w:rsid w:val="00747375"/>
    <w:rsid w:val="007475AC"/>
    <w:rsid w:val="00747D5A"/>
    <w:rsid w:val="00750386"/>
    <w:rsid w:val="007511C3"/>
    <w:rsid w:val="0075122B"/>
    <w:rsid w:val="007513B1"/>
    <w:rsid w:val="007516C5"/>
    <w:rsid w:val="00751715"/>
    <w:rsid w:val="007518E4"/>
    <w:rsid w:val="0075196D"/>
    <w:rsid w:val="007520AA"/>
    <w:rsid w:val="007527DD"/>
    <w:rsid w:val="00752CA7"/>
    <w:rsid w:val="00753070"/>
    <w:rsid w:val="00753373"/>
    <w:rsid w:val="007548E6"/>
    <w:rsid w:val="0075558C"/>
    <w:rsid w:val="0075598D"/>
    <w:rsid w:val="00755BDF"/>
    <w:rsid w:val="0075617A"/>
    <w:rsid w:val="00756292"/>
    <w:rsid w:val="0075674C"/>
    <w:rsid w:val="007568A7"/>
    <w:rsid w:val="00757238"/>
    <w:rsid w:val="00757610"/>
    <w:rsid w:val="00761B81"/>
    <w:rsid w:val="00761EFA"/>
    <w:rsid w:val="00762314"/>
    <w:rsid w:val="007628AB"/>
    <w:rsid w:val="00762BC8"/>
    <w:rsid w:val="00764185"/>
    <w:rsid w:val="00764873"/>
    <w:rsid w:val="00765575"/>
    <w:rsid w:val="007656B3"/>
    <w:rsid w:val="007656E0"/>
    <w:rsid w:val="00765C7C"/>
    <w:rsid w:val="00765E28"/>
    <w:rsid w:val="00766325"/>
    <w:rsid w:val="0076747A"/>
    <w:rsid w:val="00767548"/>
    <w:rsid w:val="0076775A"/>
    <w:rsid w:val="00767CF8"/>
    <w:rsid w:val="00767DAF"/>
    <w:rsid w:val="0077107C"/>
    <w:rsid w:val="0077169E"/>
    <w:rsid w:val="00771A34"/>
    <w:rsid w:val="00771C07"/>
    <w:rsid w:val="00771D39"/>
    <w:rsid w:val="007721CB"/>
    <w:rsid w:val="00772994"/>
    <w:rsid w:val="00772B66"/>
    <w:rsid w:val="00772CC6"/>
    <w:rsid w:val="00773C2C"/>
    <w:rsid w:val="00774A74"/>
    <w:rsid w:val="00774D44"/>
    <w:rsid w:val="00775E9F"/>
    <w:rsid w:val="007762D1"/>
    <w:rsid w:val="00776784"/>
    <w:rsid w:val="007778DD"/>
    <w:rsid w:val="00777A6B"/>
    <w:rsid w:val="00777D36"/>
    <w:rsid w:val="00777EE4"/>
    <w:rsid w:val="00780DC3"/>
    <w:rsid w:val="0078159C"/>
    <w:rsid w:val="00781B82"/>
    <w:rsid w:val="007823B7"/>
    <w:rsid w:val="00783C62"/>
    <w:rsid w:val="00784718"/>
    <w:rsid w:val="00784C9C"/>
    <w:rsid w:val="007852AF"/>
    <w:rsid w:val="0078537A"/>
    <w:rsid w:val="00785D03"/>
    <w:rsid w:val="00785F33"/>
    <w:rsid w:val="007861C3"/>
    <w:rsid w:val="007866C8"/>
    <w:rsid w:val="00786729"/>
    <w:rsid w:val="00786986"/>
    <w:rsid w:val="00787665"/>
    <w:rsid w:val="00787CE5"/>
    <w:rsid w:val="00790281"/>
    <w:rsid w:val="0079095F"/>
    <w:rsid w:val="00790B65"/>
    <w:rsid w:val="00790B92"/>
    <w:rsid w:val="00791936"/>
    <w:rsid w:val="00791AD7"/>
    <w:rsid w:val="00791C4E"/>
    <w:rsid w:val="00791CFF"/>
    <w:rsid w:val="00792755"/>
    <w:rsid w:val="007927F3"/>
    <w:rsid w:val="00792963"/>
    <w:rsid w:val="00794144"/>
    <w:rsid w:val="007944E1"/>
    <w:rsid w:val="007948DC"/>
    <w:rsid w:val="00795544"/>
    <w:rsid w:val="00795A5C"/>
    <w:rsid w:val="00795D03"/>
    <w:rsid w:val="00796693"/>
    <w:rsid w:val="00796ACC"/>
    <w:rsid w:val="00797644"/>
    <w:rsid w:val="0079769F"/>
    <w:rsid w:val="00797C65"/>
    <w:rsid w:val="007A040A"/>
    <w:rsid w:val="007A0A68"/>
    <w:rsid w:val="007A0A7C"/>
    <w:rsid w:val="007A221E"/>
    <w:rsid w:val="007A2478"/>
    <w:rsid w:val="007A2934"/>
    <w:rsid w:val="007A2A81"/>
    <w:rsid w:val="007A360B"/>
    <w:rsid w:val="007A47E2"/>
    <w:rsid w:val="007A4B64"/>
    <w:rsid w:val="007A4CE4"/>
    <w:rsid w:val="007A53EB"/>
    <w:rsid w:val="007A546D"/>
    <w:rsid w:val="007A5D9B"/>
    <w:rsid w:val="007A5DBE"/>
    <w:rsid w:val="007A5E46"/>
    <w:rsid w:val="007A60BF"/>
    <w:rsid w:val="007A65AB"/>
    <w:rsid w:val="007A7A12"/>
    <w:rsid w:val="007A7AA3"/>
    <w:rsid w:val="007A7AE6"/>
    <w:rsid w:val="007B00E9"/>
    <w:rsid w:val="007B0263"/>
    <w:rsid w:val="007B0B4B"/>
    <w:rsid w:val="007B0CBE"/>
    <w:rsid w:val="007B11B7"/>
    <w:rsid w:val="007B1276"/>
    <w:rsid w:val="007B13CD"/>
    <w:rsid w:val="007B15ED"/>
    <w:rsid w:val="007B1CEC"/>
    <w:rsid w:val="007B1CF7"/>
    <w:rsid w:val="007B2F55"/>
    <w:rsid w:val="007B3018"/>
    <w:rsid w:val="007B3418"/>
    <w:rsid w:val="007B3537"/>
    <w:rsid w:val="007B3938"/>
    <w:rsid w:val="007B3B95"/>
    <w:rsid w:val="007B3C15"/>
    <w:rsid w:val="007B41E4"/>
    <w:rsid w:val="007B4283"/>
    <w:rsid w:val="007B4388"/>
    <w:rsid w:val="007B483D"/>
    <w:rsid w:val="007B493D"/>
    <w:rsid w:val="007B4953"/>
    <w:rsid w:val="007B4A1E"/>
    <w:rsid w:val="007B56B1"/>
    <w:rsid w:val="007B5868"/>
    <w:rsid w:val="007B5983"/>
    <w:rsid w:val="007B5C1C"/>
    <w:rsid w:val="007B6BF6"/>
    <w:rsid w:val="007B6F45"/>
    <w:rsid w:val="007B7E72"/>
    <w:rsid w:val="007C0D13"/>
    <w:rsid w:val="007C0EC2"/>
    <w:rsid w:val="007C17A1"/>
    <w:rsid w:val="007C1A56"/>
    <w:rsid w:val="007C1D17"/>
    <w:rsid w:val="007C20E1"/>
    <w:rsid w:val="007C2689"/>
    <w:rsid w:val="007C26E6"/>
    <w:rsid w:val="007C27D2"/>
    <w:rsid w:val="007C29EE"/>
    <w:rsid w:val="007C2B27"/>
    <w:rsid w:val="007C2B52"/>
    <w:rsid w:val="007C3B0E"/>
    <w:rsid w:val="007C3F6A"/>
    <w:rsid w:val="007C447C"/>
    <w:rsid w:val="007C54E7"/>
    <w:rsid w:val="007C557B"/>
    <w:rsid w:val="007C6B37"/>
    <w:rsid w:val="007C6D62"/>
    <w:rsid w:val="007C7103"/>
    <w:rsid w:val="007C74AE"/>
    <w:rsid w:val="007C74B6"/>
    <w:rsid w:val="007C7591"/>
    <w:rsid w:val="007C78BE"/>
    <w:rsid w:val="007C7DCF"/>
    <w:rsid w:val="007C7F37"/>
    <w:rsid w:val="007D0925"/>
    <w:rsid w:val="007D126C"/>
    <w:rsid w:val="007D19DD"/>
    <w:rsid w:val="007D1D38"/>
    <w:rsid w:val="007D1EC6"/>
    <w:rsid w:val="007D2B3E"/>
    <w:rsid w:val="007D3141"/>
    <w:rsid w:val="007D368A"/>
    <w:rsid w:val="007D426B"/>
    <w:rsid w:val="007D4A76"/>
    <w:rsid w:val="007D51F6"/>
    <w:rsid w:val="007D5CD5"/>
    <w:rsid w:val="007D5D97"/>
    <w:rsid w:val="007D618E"/>
    <w:rsid w:val="007D6C10"/>
    <w:rsid w:val="007D70C7"/>
    <w:rsid w:val="007D7B38"/>
    <w:rsid w:val="007D7BF3"/>
    <w:rsid w:val="007D7CF5"/>
    <w:rsid w:val="007E0638"/>
    <w:rsid w:val="007E0974"/>
    <w:rsid w:val="007E0FA4"/>
    <w:rsid w:val="007E182F"/>
    <w:rsid w:val="007E1EBF"/>
    <w:rsid w:val="007E21BB"/>
    <w:rsid w:val="007E3250"/>
    <w:rsid w:val="007E33BE"/>
    <w:rsid w:val="007E34A7"/>
    <w:rsid w:val="007E41A9"/>
    <w:rsid w:val="007E4206"/>
    <w:rsid w:val="007E4EA9"/>
    <w:rsid w:val="007E53E2"/>
    <w:rsid w:val="007E5DD3"/>
    <w:rsid w:val="007E5DEF"/>
    <w:rsid w:val="007E6563"/>
    <w:rsid w:val="007E6701"/>
    <w:rsid w:val="007E6D7A"/>
    <w:rsid w:val="007E6DCF"/>
    <w:rsid w:val="007E7B11"/>
    <w:rsid w:val="007F0066"/>
    <w:rsid w:val="007F0495"/>
    <w:rsid w:val="007F0A36"/>
    <w:rsid w:val="007F0EBB"/>
    <w:rsid w:val="007F0F11"/>
    <w:rsid w:val="007F0F20"/>
    <w:rsid w:val="007F158F"/>
    <w:rsid w:val="007F1864"/>
    <w:rsid w:val="007F227F"/>
    <w:rsid w:val="007F25B8"/>
    <w:rsid w:val="007F370F"/>
    <w:rsid w:val="007F3C22"/>
    <w:rsid w:val="007F3DFC"/>
    <w:rsid w:val="007F3FFB"/>
    <w:rsid w:val="007F412A"/>
    <w:rsid w:val="007F4487"/>
    <w:rsid w:val="007F5985"/>
    <w:rsid w:val="007F5CE0"/>
    <w:rsid w:val="007F5E87"/>
    <w:rsid w:val="007F5E93"/>
    <w:rsid w:val="007F68D4"/>
    <w:rsid w:val="007F6AE9"/>
    <w:rsid w:val="007F6C34"/>
    <w:rsid w:val="007F6E09"/>
    <w:rsid w:val="007F6F36"/>
    <w:rsid w:val="007F75E8"/>
    <w:rsid w:val="007F76A0"/>
    <w:rsid w:val="007F7CCF"/>
    <w:rsid w:val="007F7EAE"/>
    <w:rsid w:val="008007E8"/>
    <w:rsid w:val="00800FD8"/>
    <w:rsid w:val="008018E1"/>
    <w:rsid w:val="00802CB9"/>
    <w:rsid w:val="008034C8"/>
    <w:rsid w:val="00803A0B"/>
    <w:rsid w:val="00803E02"/>
    <w:rsid w:val="00803E9C"/>
    <w:rsid w:val="00804157"/>
    <w:rsid w:val="00804CAF"/>
    <w:rsid w:val="00805185"/>
    <w:rsid w:val="0080564B"/>
    <w:rsid w:val="00805D41"/>
    <w:rsid w:val="00807305"/>
    <w:rsid w:val="00807B7C"/>
    <w:rsid w:val="0081037E"/>
    <w:rsid w:val="008105B2"/>
    <w:rsid w:val="00810CA4"/>
    <w:rsid w:val="00810DFC"/>
    <w:rsid w:val="00811673"/>
    <w:rsid w:val="00812A1F"/>
    <w:rsid w:val="00812B51"/>
    <w:rsid w:val="008130E3"/>
    <w:rsid w:val="00813658"/>
    <w:rsid w:val="008139D2"/>
    <w:rsid w:val="00813DC0"/>
    <w:rsid w:val="0081531B"/>
    <w:rsid w:val="00815C63"/>
    <w:rsid w:val="008163A0"/>
    <w:rsid w:val="00816BDB"/>
    <w:rsid w:val="00820628"/>
    <w:rsid w:val="00820742"/>
    <w:rsid w:val="00820BF9"/>
    <w:rsid w:val="00820D1E"/>
    <w:rsid w:val="00820DF9"/>
    <w:rsid w:val="00820F27"/>
    <w:rsid w:val="008217BE"/>
    <w:rsid w:val="00821B0B"/>
    <w:rsid w:val="00821CC6"/>
    <w:rsid w:val="00821D4E"/>
    <w:rsid w:val="008222F4"/>
    <w:rsid w:val="00822BD4"/>
    <w:rsid w:val="008236DC"/>
    <w:rsid w:val="00823CB6"/>
    <w:rsid w:val="008241C7"/>
    <w:rsid w:val="008254A2"/>
    <w:rsid w:val="00825A51"/>
    <w:rsid w:val="00826D54"/>
    <w:rsid w:val="00826D55"/>
    <w:rsid w:val="0082702D"/>
    <w:rsid w:val="00827A1F"/>
    <w:rsid w:val="00830057"/>
    <w:rsid w:val="0083076E"/>
    <w:rsid w:val="00830B4F"/>
    <w:rsid w:val="00831EC3"/>
    <w:rsid w:val="008328A7"/>
    <w:rsid w:val="0083312B"/>
    <w:rsid w:val="00833DF8"/>
    <w:rsid w:val="008341B5"/>
    <w:rsid w:val="00834AEA"/>
    <w:rsid w:val="00834CBF"/>
    <w:rsid w:val="00834E85"/>
    <w:rsid w:val="00834F24"/>
    <w:rsid w:val="0083551F"/>
    <w:rsid w:val="008356FB"/>
    <w:rsid w:val="00835871"/>
    <w:rsid w:val="00835F5D"/>
    <w:rsid w:val="008361EF"/>
    <w:rsid w:val="008365BD"/>
    <w:rsid w:val="008369DD"/>
    <w:rsid w:val="00836A3C"/>
    <w:rsid w:val="00836BE9"/>
    <w:rsid w:val="00836BFB"/>
    <w:rsid w:val="00836F89"/>
    <w:rsid w:val="008370BA"/>
    <w:rsid w:val="00837879"/>
    <w:rsid w:val="00837B63"/>
    <w:rsid w:val="00837C50"/>
    <w:rsid w:val="00837C52"/>
    <w:rsid w:val="008400D2"/>
    <w:rsid w:val="0084018F"/>
    <w:rsid w:val="008402B6"/>
    <w:rsid w:val="008405A1"/>
    <w:rsid w:val="00840BE8"/>
    <w:rsid w:val="00840EBD"/>
    <w:rsid w:val="00841671"/>
    <w:rsid w:val="00841880"/>
    <w:rsid w:val="00841A8E"/>
    <w:rsid w:val="008429A4"/>
    <w:rsid w:val="00842BA6"/>
    <w:rsid w:val="00842CA6"/>
    <w:rsid w:val="00842D11"/>
    <w:rsid w:val="008438D7"/>
    <w:rsid w:val="00843BA5"/>
    <w:rsid w:val="00845686"/>
    <w:rsid w:val="008457A8"/>
    <w:rsid w:val="00846459"/>
    <w:rsid w:val="0084688F"/>
    <w:rsid w:val="00846BB7"/>
    <w:rsid w:val="0085078C"/>
    <w:rsid w:val="008508C2"/>
    <w:rsid w:val="008510DD"/>
    <w:rsid w:val="00851C90"/>
    <w:rsid w:val="00852CB5"/>
    <w:rsid w:val="00852CEC"/>
    <w:rsid w:val="0085384F"/>
    <w:rsid w:val="008542E2"/>
    <w:rsid w:val="008544BC"/>
    <w:rsid w:val="00854A69"/>
    <w:rsid w:val="00854CD1"/>
    <w:rsid w:val="008556B7"/>
    <w:rsid w:val="0085582E"/>
    <w:rsid w:val="00855D77"/>
    <w:rsid w:val="00855F99"/>
    <w:rsid w:val="0085662B"/>
    <w:rsid w:val="00856766"/>
    <w:rsid w:val="0085699E"/>
    <w:rsid w:val="008569CD"/>
    <w:rsid w:val="00856B18"/>
    <w:rsid w:val="00857420"/>
    <w:rsid w:val="00861D90"/>
    <w:rsid w:val="00862126"/>
    <w:rsid w:val="0086236E"/>
    <w:rsid w:val="00862512"/>
    <w:rsid w:val="00862B44"/>
    <w:rsid w:val="00862B58"/>
    <w:rsid w:val="00862FBF"/>
    <w:rsid w:val="00863435"/>
    <w:rsid w:val="00863597"/>
    <w:rsid w:val="00863E8B"/>
    <w:rsid w:val="008641BF"/>
    <w:rsid w:val="00864D81"/>
    <w:rsid w:val="00865D23"/>
    <w:rsid w:val="00865EA0"/>
    <w:rsid w:val="00866C50"/>
    <w:rsid w:val="00867998"/>
    <w:rsid w:val="00870147"/>
    <w:rsid w:val="008702CB"/>
    <w:rsid w:val="00870907"/>
    <w:rsid w:val="00870BB3"/>
    <w:rsid w:val="00871023"/>
    <w:rsid w:val="008716A3"/>
    <w:rsid w:val="00872493"/>
    <w:rsid w:val="00872827"/>
    <w:rsid w:val="00873211"/>
    <w:rsid w:val="0087349A"/>
    <w:rsid w:val="00873C64"/>
    <w:rsid w:val="00873F86"/>
    <w:rsid w:val="00873FC7"/>
    <w:rsid w:val="00874558"/>
    <w:rsid w:val="008756AD"/>
    <w:rsid w:val="008757BC"/>
    <w:rsid w:val="00875B2F"/>
    <w:rsid w:val="00875DC7"/>
    <w:rsid w:val="0087630A"/>
    <w:rsid w:val="008766B1"/>
    <w:rsid w:val="008779FD"/>
    <w:rsid w:val="008802F8"/>
    <w:rsid w:val="0088064A"/>
    <w:rsid w:val="008808BC"/>
    <w:rsid w:val="008817D2"/>
    <w:rsid w:val="00881A42"/>
    <w:rsid w:val="00881C4D"/>
    <w:rsid w:val="00882260"/>
    <w:rsid w:val="00882510"/>
    <w:rsid w:val="00882A0C"/>
    <w:rsid w:val="00882C7D"/>
    <w:rsid w:val="00883509"/>
    <w:rsid w:val="008838E4"/>
    <w:rsid w:val="00883B8F"/>
    <w:rsid w:val="00883C5E"/>
    <w:rsid w:val="0088402D"/>
    <w:rsid w:val="008849B2"/>
    <w:rsid w:val="00884C79"/>
    <w:rsid w:val="00885453"/>
    <w:rsid w:val="008864B5"/>
    <w:rsid w:val="008864ED"/>
    <w:rsid w:val="008865B6"/>
    <w:rsid w:val="0088684C"/>
    <w:rsid w:val="00886C13"/>
    <w:rsid w:val="00886E0A"/>
    <w:rsid w:val="008875BA"/>
    <w:rsid w:val="00887A99"/>
    <w:rsid w:val="0089014A"/>
    <w:rsid w:val="00890156"/>
    <w:rsid w:val="008908B1"/>
    <w:rsid w:val="0089101B"/>
    <w:rsid w:val="00891549"/>
    <w:rsid w:val="0089159E"/>
    <w:rsid w:val="008918F4"/>
    <w:rsid w:val="00891D0F"/>
    <w:rsid w:val="00892E0D"/>
    <w:rsid w:val="0089433A"/>
    <w:rsid w:val="00894651"/>
    <w:rsid w:val="00894B6C"/>
    <w:rsid w:val="00895DF4"/>
    <w:rsid w:val="008962BA"/>
    <w:rsid w:val="00896961"/>
    <w:rsid w:val="00897933"/>
    <w:rsid w:val="008A0B71"/>
    <w:rsid w:val="008A13CB"/>
    <w:rsid w:val="008A1438"/>
    <w:rsid w:val="008A1458"/>
    <w:rsid w:val="008A178F"/>
    <w:rsid w:val="008A1825"/>
    <w:rsid w:val="008A189E"/>
    <w:rsid w:val="008A1AAA"/>
    <w:rsid w:val="008A2382"/>
    <w:rsid w:val="008A2753"/>
    <w:rsid w:val="008A27EA"/>
    <w:rsid w:val="008A3347"/>
    <w:rsid w:val="008A3642"/>
    <w:rsid w:val="008A3690"/>
    <w:rsid w:val="008A400D"/>
    <w:rsid w:val="008A42BF"/>
    <w:rsid w:val="008A4C59"/>
    <w:rsid w:val="008A4C8F"/>
    <w:rsid w:val="008A4D59"/>
    <w:rsid w:val="008A4E30"/>
    <w:rsid w:val="008A500B"/>
    <w:rsid w:val="008A53C2"/>
    <w:rsid w:val="008A5A9D"/>
    <w:rsid w:val="008A70C3"/>
    <w:rsid w:val="008A725F"/>
    <w:rsid w:val="008A770B"/>
    <w:rsid w:val="008B18BC"/>
    <w:rsid w:val="008B1A15"/>
    <w:rsid w:val="008B1A3E"/>
    <w:rsid w:val="008B1A4D"/>
    <w:rsid w:val="008B1E76"/>
    <w:rsid w:val="008B2338"/>
    <w:rsid w:val="008B25F6"/>
    <w:rsid w:val="008B28C0"/>
    <w:rsid w:val="008B2BC6"/>
    <w:rsid w:val="008B2E36"/>
    <w:rsid w:val="008B2FC2"/>
    <w:rsid w:val="008B3301"/>
    <w:rsid w:val="008B352E"/>
    <w:rsid w:val="008B3CDC"/>
    <w:rsid w:val="008B4E21"/>
    <w:rsid w:val="008B5109"/>
    <w:rsid w:val="008B5689"/>
    <w:rsid w:val="008B58A8"/>
    <w:rsid w:val="008B6343"/>
    <w:rsid w:val="008B6D05"/>
    <w:rsid w:val="008B7160"/>
    <w:rsid w:val="008B7557"/>
    <w:rsid w:val="008B797A"/>
    <w:rsid w:val="008B7982"/>
    <w:rsid w:val="008C100E"/>
    <w:rsid w:val="008C12A0"/>
    <w:rsid w:val="008C378B"/>
    <w:rsid w:val="008C38D9"/>
    <w:rsid w:val="008C486D"/>
    <w:rsid w:val="008C51E0"/>
    <w:rsid w:val="008C542F"/>
    <w:rsid w:val="008C5C29"/>
    <w:rsid w:val="008C6AFD"/>
    <w:rsid w:val="008C77E1"/>
    <w:rsid w:val="008C7A6B"/>
    <w:rsid w:val="008C7FDD"/>
    <w:rsid w:val="008D13BD"/>
    <w:rsid w:val="008D13BF"/>
    <w:rsid w:val="008D236A"/>
    <w:rsid w:val="008D2921"/>
    <w:rsid w:val="008D3CD5"/>
    <w:rsid w:val="008D3D9C"/>
    <w:rsid w:val="008D51C1"/>
    <w:rsid w:val="008D589C"/>
    <w:rsid w:val="008D5A78"/>
    <w:rsid w:val="008D6055"/>
    <w:rsid w:val="008D60E4"/>
    <w:rsid w:val="008D6633"/>
    <w:rsid w:val="008D6AE2"/>
    <w:rsid w:val="008D6D41"/>
    <w:rsid w:val="008D75B5"/>
    <w:rsid w:val="008D7913"/>
    <w:rsid w:val="008E085C"/>
    <w:rsid w:val="008E1F15"/>
    <w:rsid w:val="008E2A24"/>
    <w:rsid w:val="008E2EF8"/>
    <w:rsid w:val="008E30EA"/>
    <w:rsid w:val="008E3A03"/>
    <w:rsid w:val="008E41AA"/>
    <w:rsid w:val="008E46BD"/>
    <w:rsid w:val="008E487B"/>
    <w:rsid w:val="008E4A6D"/>
    <w:rsid w:val="008E4E85"/>
    <w:rsid w:val="008E58B4"/>
    <w:rsid w:val="008E5E52"/>
    <w:rsid w:val="008E60D7"/>
    <w:rsid w:val="008E632B"/>
    <w:rsid w:val="008E6A1E"/>
    <w:rsid w:val="008E6C91"/>
    <w:rsid w:val="008E6CF8"/>
    <w:rsid w:val="008E6DBE"/>
    <w:rsid w:val="008E7085"/>
    <w:rsid w:val="008E72A2"/>
    <w:rsid w:val="008E73E9"/>
    <w:rsid w:val="008E7AFC"/>
    <w:rsid w:val="008F0E24"/>
    <w:rsid w:val="008F0E8A"/>
    <w:rsid w:val="008F101E"/>
    <w:rsid w:val="008F16F5"/>
    <w:rsid w:val="008F183C"/>
    <w:rsid w:val="008F200F"/>
    <w:rsid w:val="008F24DF"/>
    <w:rsid w:val="008F27F2"/>
    <w:rsid w:val="008F42E9"/>
    <w:rsid w:val="008F4A5B"/>
    <w:rsid w:val="008F4B7F"/>
    <w:rsid w:val="008F4D8F"/>
    <w:rsid w:val="008F4EC5"/>
    <w:rsid w:val="008F60C3"/>
    <w:rsid w:val="008F6737"/>
    <w:rsid w:val="008F703E"/>
    <w:rsid w:val="008F7070"/>
    <w:rsid w:val="008F7489"/>
    <w:rsid w:val="008F75F4"/>
    <w:rsid w:val="008F76C9"/>
    <w:rsid w:val="008F76D2"/>
    <w:rsid w:val="008F7781"/>
    <w:rsid w:val="009015C1"/>
    <w:rsid w:val="0090186A"/>
    <w:rsid w:val="009020D7"/>
    <w:rsid w:val="00902C43"/>
    <w:rsid w:val="00902E46"/>
    <w:rsid w:val="00903A82"/>
    <w:rsid w:val="00903BD8"/>
    <w:rsid w:val="00903E7F"/>
    <w:rsid w:val="009046CE"/>
    <w:rsid w:val="0090495B"/>
    <w:rsid w:val="00905250"/>
    <w:rsid w:val="00905418"/>
    <w:rsid w:val="009054DC"/>
    <w:rsid w:val="00906D50"/>
    <w:rsid w:val="0090792B"/>
    <w:rsid w:val="00910401"/>
    <w:rsid w:val="00910455"/>
    <w:rsid w:val="0091049C"/>
    <w:rsid w:val="00910990"/>
    <w:rsid w:val="00910ACF"/>
    <w:rsid w:val="00910C7F"/>
    <w:rsid w:val="009127F8"/>
    <w:rsid w:val="00912894"/>
    <w:rsid w:val="00912EE1"/>
    <w:rsid w:val="00913397"/>
    <w:rsid w:val="00913405"/>
    <w:rsid w:val="00913B90"/>
    <w:rsid w:val="00915833"/>
    <w:rsid w:val="00915FE1"/>
    <w:rsid w:val="0091631D"/>
    <w:rsid w:val="0091639E"/>
    <w:rsid w:val="0091684C"/>
    <w:rsid w:val="00917002"/>
    <w:rsid w:val="0091725D"/>
    <w:rsid w:val="0091726F"/>
    <w:rsid w:val="009175CE"/>
    <w:rsid w:val="00917736"/>
    <w:rsid w:val="00917997"/>
    <w:rsid w:val="00917D79"/>
    <w:rsid w:val="00917F43"/>
    <w:rsid w:val="0092039D"/>
    <w:rsid w:val="00920619"/>
    <w:rsid w:val="00920B9B"/>
    <w:rsid w:val="00920CB2"/>
    <w:rsid w:val="0092105E"/>
    <w:rsid w:val="00921235"/>
    <w:rsid w:val="009214CF"/>
    <w:rsid w:val="009218EA"/>
    <w:rsid w:val="00921F5A"/>
    <w:rsid w:val="00922092"/>
    <w:rsid w:val="009236C2"/>
    <w:rsid w:val="00924283"/>
    <w:rsid w:val="00924646"/>
    <w:rsid w:val="00924869"/>
    <w:rsid w:val="009250BC"/>
    <w:rsid w:val="0092543D"/>
    <w:rsid w:val="009254D6"/>
    <w:rsid w:val="009256A5"/>
    <w:rsid w:val="00925D38"/>
    <w:rsid w:val="00925F3A"/>
    <w:rsid w:val="00926286"/>
    <w:rsid w:val="0092669B"/>
    <w:rsid w:val="00927060"/>
    <w:rsid w:val="009275D0"/>
    <w:rsid w:val="00927652"/>
    <w:rsid w:val="00927BD0"/>
    <w:rsid w:val="00927F75"/>
    <w:rsid w:val="009306C8"/>
    <w:rsid w:val="00930D62"/>
    <w:rsid w:val="0093163E"/>
    <w:rsid w:val="009318E9"/>
    <w:rsid w:val="009323B4"/>
    <w:rsid w:val="00932DA6"/>
    <w:rsid w:val="00933608"/>
    <w:rsid w:val="00933F0D"/>
    <w:rsid w:val="009346DA"/>
    <w:rsid w:val="009354B9"/>
    <w:rsid w:val="009358FB"/>
    <w:rsid w:val="00936436"/>
    <w:rsid w:val="0093683B"/>
    <w:rsid w:val="009368E3"/>
    <w:rsid w:val="00936959"/>
    <w:rsid w:val="00937311"/>
    <w:rsid w:val="0093776B"/>
    <w:rsid w:val="00937827"/>
    <w:rsid w:val="009402CE"/>
    <w:rsid w:val="00940C3E"/>
    <w:rsid w:val="00941634"/>
    <w:rsid w:val="00941781"/>
    <w:rsid w:val="00941F23"/>
    <w:rsid w:val="00942452"/>
    <w:rsid w:val="00942575"/>
    <w:rsid w:val="00942ACB"/>
    <w:rsid w:val="009434F3"/>
    <w:rsid w:val="009436C4"/>
    <w:rsid w:val="00943C13"/>
    <w:rsid w:val="00943DE5"/>
    <w:rsid w:val="00943E21"/>
    <w:rsid w:val="00944287"/>
    <w:rsid w:val="00944319"/>
    <w:rsid w:val="009445E4"/>
    <w:rsid w:val="00945331"/>
    <w:rsid w:val="0094615C"/>
    <w:rsid w:val="00946D9D"/>
    <w:rsid w:val="00950D30"/>
    <w:rsid w:val="009521C6"/>
    <w:rsid w:val="009523E7"/>
    <w:rsid w:val="00952F6F"/>
    <w:rsid w:val="00953A04"/>
    <w:rsid w:val="00953CD7"/>
    <w:rsid w:val="0095498C"/>
    <w:rsid w:val="00954EE4"/>
    <w:rsid w:val="009550FF"/>
    <w:rsid w:val="0095558C"/>
    <w:rsid w:val="009557B8"/>
    <w:rsid w:val="0095604C"/>
    <w:rsid w:val="00956351"/>
    <w:rsid w:val="0095653F"/>
    <w:rsid w:val="00956B2F"/>
    <w:rsid w:val="00956D18"/>
    <w:rsid w:val="00956F58"/>
    <w:rsid w:val="009579E2"/>
    <w:rsid w:val="009603BE"/>
    <w:rsid w:val="009610D8"/>
    <w:rsid w:val="009614C3"/>
    <w:rsid w:val="009614F2"/>
    <w:rsid w:val="00961E02"/>
    <w:rsid w:val="00963E6C"/>
    <w:rsid w:val="0096400E"/>
    <w:rsid w:val="0096445C"/>
    <w:rsid w:val="00964BBB"/>
    <w:rsid w:val="009651D4"/>
    <w:rsid w:val="00965B76"/>
    <w:rsid w:val="00965EF1"/>
    <w:rsid w:val="009664FF"/>
    <w:rsid w:val="00966843"/>
    <w:rsid w:val="00966AE4"/>
    <w:rsid w:val="00966BAC"/>
    <w:rsid w:val="00967059"/>
    <w:rsid w:val="00967D3E"/>
    <w:rsid w:val="00970A16"/>
    <w:rsid w:val="00971A55"/>
    <w:rsid w:val="00971B95"/>
    <w:rsid w:val="00972C2A"/>
    <w:rsid w:val="00974267"/>
    <w:rsid w:val="0097429E"/>
    <w:rsid w:val="009742F8"/>
    <w:rsid w:val="00974468"/>
    <w:rsid w:val="009744F6"/>
    <w:rsid w:val="00974BB4"/>
    <w:rsid w:val="00975017"/>
    <w:rsid w:val="00975207"/>
    <w:rsid w:val="00975B2C"/>
    <w:rsid w:val="00976BDC"/>
    <w:rsid w:val="00976F51"/>
    <w:rsid w:val="00976FEF"/>
    <w:rsid w:val="00977660"/>
    <w:rsid w:val="009778C4"/>
    <w:rsid w:val="00977D0D"/>
    <w:rsid w:val="00981EE4"/>
    <w:rsid w:val="00982328"/>
    <w:rsid w:val="00983B1A"/>
    <w:rsid w:val="00983B93"/>
    <w:rsid w:val="00983DB4"/>
    <w:rsid w:val="009840D2"/>
    <w:rsid w:val="0098440E"/>
    <w:rsid w:val="009846DC"/>
    <w:rsid w:val="00984A26"/>
    <w:rsid w:val="00985DD9"/>
    <w:rsid w:val="00985F97"/>
    <w:rsid w:val="00986B19"/>
    <w:rsid w:val="00986CDF"/>
    <w:rsid w:val="009872DD"/>
    <w:rsid w:val="009873D6"/>
    <w:rsid w:val="0098758D"/>
    <w:rsid w:val="0099012A"/>
    <w:rsid w:val="009904B4"/>
    <w:rsid w:val="00990B42"/>
    <w:rsid w:val="00990DE4"/>
    <w:rsid w:val="00992796"/>
    <w:rsid w:val="00993404"/>
    <w:rsid w:val="009935A9"/>
    <w:rsid w:val="00993935"/>
    <w:rsid w:val="009940D2"/>
    <w:rsid w:val="00994CB7"/>
    <w:rsid w:val="0099501A"/>
    <w:rsid w:val="0099503C"/>
    <w:rsid w:val="009952E2"/>
    <w:rsid w:val="00995843"/>
    <w:rsid w:val="00995EE2"/>
    <w:rsid w:val="009964DE"/>
    <w:rsid w:val="00996909"/>
    <w:rsid w:val="00996D33"/>
    <w:rsid w:val="00996E69"/>
    <w:rsid w:val="00996E7A"/>
    <w:rsid w:val="009971D7"/>
    <w:rsid w:val="009978C2"/>
    <w:rsid w:val="00997A31"/>
    <w:rsid w:val="00997BE9"/>
    <w:rsid w:val="009A007C"/>
    <w:rsid w:val="009A0503"/>
    <w:rsid w:val="009A08F9"/>
    <w:rsid w:val="009A13F4"/>
    <w:rsid w:val="009A19DA"/>
    <w:rsid w:val="009A1E2E"/>
    <w:rsid w:val="009A2085"/>
    <w:rsid w:val="009A2A25"/>
    <w:rsid w:val="009A2ABE"/>
    <w:rsid w:val="009A2B8D"/>
    <w:rsid w:val="009A4035"/>
    <w:rsid w:val="009A449E"/>
    <w:rsid w:val="009A490A"/>
    <w:rsid w:val="009A4A95"/>
    <w:rsid w:val="009A5377"/>
    <w:rsid w:val="009A587C"/>
    <w:rsid w:val="009A5B06"/>
    <w:rsid w:val="009A5C76"/>
    <w:rsid w:val="009A6205"/>
    <w:rsid w:val="009A6A2F"/>
    <w:rsid w:val="009A7CCA"/>
    <w:rsid w:val="009B046E"/>
    <w:rsid w:val="009B0685"/>
    <w:rsid w:val="009B068B"/>
    <w:rsid w:val="009B1160"/>
    <w:rsid w:val="009B1163"/>
    <w:rsid w:val="009B1763"/>
    <w:rsid w:val="009B183D"/>
    <w:rsid w:val="009B267E"/>
    <w:rsid w:val="009B2A11"/>
    <w:rsid w:val="009B2AC9"/>
    <w:rsid w:val="009B2E81"/>
    <w:rsid w:val="009B2F95"/>
    <w:rsid w:val="009B3927"/>
    <w:rsid w:val="009B419F"/>
    <w:rsid w:val="009B49FF"/>
    <w:rsid w:val="009B4DD4"/>
    <w:rsid w:val="009B55A4"/>
    <w:rsid w:val="009B5816"/>
    <w:rsid w:val="009B5C2A"/>
    <w:rsid w:val="009B60F6"/>
    <w:rsid w:val="009B66C6"/>
    <w:rsid w:val="009B6B05"/>
    <w:rsid w:val="009B6B85"/>
    <w:rsid w:val="009B70BA"/>
    <w:rsid w:val="009C04C6"/>
    <w:rsid w:val="009C079C"/>
    <w:rsid w:val="009C0F88"/>
    <w:rsid w:val="009C1125"/>
    <w:rsid w:val="009C2286"/>
    <w:rsid w:val="009C2897"/>
    <w:rsid w:val="009C2DCB"/>
    <w:rsid w:val="009C3023"/>
    <w:rsid w:val="009C3173"/>
    <w:rsid w:val="009C398D"/>
    <w:rsid w:val="009C49AD"/>
    <w:rsid w:val="009C4A4B"/>
    <w:rsid w:val="009C4B2B"/>
    <w:rsid w:val="009C4C49"/>
    <w:rsid w:val="009C4DEF"/>
    <w:rsid w:val="009C4FE4"/>
    <w:rsid w:val="009C5B76"/>
    <w:rsid w:val="009C5DF5"/>
    <w:rsid w:val="009C5E98"/>
    <w:rsid w:val="009C697B"/>
    <w:rsid w:val="009C6B9F"/>
    <w:rsid w:val="009C71E6"/>
    <w:rsid w:val="009C755C"/>
    <w:rsid w:val="009C780F"/>
    <w:rsid w:val="009D0B4E"/>
    <w:rsid w:val="009D0C11"/>
    <w:rsid w:val="009D0E64"/>
    <w:rsid w:val="009D1392"/>
    <w:rsid w:val="009D2749"/>
    <w:rsid w:val="009D2A59"/>
    <w:rsid w:val="009D371A"/>
    <w:rsid w:val="009D3730"/>
    <w:rsid w:val="009D3E0D"/>
    <w:rsid w:val="009D40DF"/>
    <w:rsid w:val="009D4577"/>
    <w:rsid w:val="009D561D"/>
    <w:rsid w:val="009D5E96"/>
    <w:rsid w:val="009D6AA7"/>
    <w:rsid w:val="009D6E8F"/>
    <w:rsid w:val="009D706B"/>
    <w:rsid w:val="009E01F1"/>
    <w:rsid w:val="009E0473"/>
    <w:rsid w:val="009E056F"/>
    <w:rsid w:val="009E0647"/>
    <w:rsid w:val="009E0655"/>
    <w:rsid w:val="009E065D"/>
    <w:rsid w:val="009E0BDA"/>
    <w:rsid w:val="009E1D39"/>
    <w:rsid w:val="009E2172"/>
    <w:rsid w:val="009E2BBD"/>
    <w:rsid w:val="009E36FE"/>
    <w:rsid w:val="009E47C7"/>
    <w:rsid w:val="009E4F4C"/>
    <w:rsid w:val="009E5316"/>
    <w:rsid w:val="009E568C"/>
    <w:rsid w:val="009E74C0"/>
    <w:rsid w:val="009E7630"/>
    <w:rsid w:val="009E763B"/>
    <w:rsid w:val="009E7B20"/>
    <w:rsid w:val="009E7DB0"/>
    <w:rsid w:val="009F0647"/>
    <w:rsid w:val="009F11C9"/>
    <w:rsid w:val="009F15CC"/>
    <w:rsid w:val="009F225B"/>
    <w:rsid w:val="009F34B2"/>
    <w:rsid w:val="009F3977"/>
    <w:rsid w:val="009F4685"/>
    <w:rsid w:val="009F4C73"/>
    <w:rsid w:val="009F5DC7"/>
    <w:rsid w:val="009F78F9"/>
    <w:rsid w:val="00A0015F"/>
    <w:rsid w:val="00A004E0"/>
    <w:rsid w:val="00A007A2"/>
    <w:rsid w:val="00A00A9B"/>
    <w:rsid w:val="00A0168C"/>
    <w:rsid w:val="00A01878"/>
    <w:rsid w:val="00A01CC2"/>
    <w:rsid w:val="00A020AD"/>
    <w:rsid w:val="00A025AB"/>
    <w:rsid w:val="00A028CD"/>
    <w:rsid w:val="00A03450"/>
    <w:rsid w:val="00A03A6D"/>
    <w:rsid w:val="00A03C61"/>
    <w:rsid w:val="00A03C9B"/>
    <w:rsid w:val="00A044BF"/>
    <w:rsid w:val="00A04559"/>
    <w:rsid w:val="00A0481A"/>
    <w:rsid w:val="00A04F28"/>
    <w:rsid w:val="00A05B82"/>
    <w:rsid w:val="00A063B5"/>
    <w:rsid w:val="00A065EB"/>
    <w:rsid w:val="00A07955"/>
    <w:rsid w:val="00A07BC9"/>
    <w:rsid w:val="00A10A11"/>
    <w:rsid w:val="00A11EA7"/>
    <w:rsid w:val="00A133BF"/>
    <w:rsid w:val="00A13475"/>
    <w:rsid w:val="00A1441B"/>
    <w:rsid w:val="00A159F0"/>
    <w:rsid w:val="00A16358"/>
    <w:rsid w:val="00A172A4"/>
    <w:rsid w:val="00A17621"/>
    <w:rsid w:val="00A17C3F"/>
    <w:rsid w:val="00A17FF9"/>
    <w:rsid w:val="00A2095B"/>
    <w:rsid w:val="00A212E0"/>
    <w:rsid w:val="00A21880"/>
    <w:rsid w:val="00A21946"/>
    <w:rsid w:val="00A2267F"/>
    <w:rsid w:val="00A22F22"/>
    <w:rsid w:val="00A2356B"/>
    <w:rsid w:val="00A236A5"/>
    <w:rsid w:val="00A237D1"/>
    <w:rsid w:val="00A23C09"/>
    <w:rsid w:val="00A2493D"/>
    <w:rsid w:val="00A24CBF"/>
    <w:rsid w:val="00A24FB2"/>
    <w:rsid w:val="00A2507E"/>
    <w:rsid w:val="00A25353"/>
    <w:rsid w:val="00A25946"/>
    <w:rsid w:val="00A25B87"/>
    <w:rsid w:val="00A25D39"/>
    <w:rsid w:val="00A26BE3"/>
    <w:rsid w:val="00A27E99"/>
    <w:rsid w:val="00A302B7"/>
    <w:rsid w:val="00A30808"/>
    <w:rsid w:val="00A310AC"/>
    <w:rsid w:val="00A31A75"/>
    <w:rsid w:val="00A32ACD"/>
    <w:rsid w:val="00A32EE3"/>
    <w:rsid w:val="00A342D9"/>
    <w:rsid w:val="00A344F8"/>
    <w:rsid w:val="00A345AC"/>
    <w:rsid w:val="00A346EB"/>
    <w:rsid w:val="00A34ABE"/>
    <w:rsid w:val="00A34F5F"/>
    <w:rsid w:val="00A35093"/>
    <w:rsid w:val="00A35CC6"/>
    <w:rsid w:val="00A35CDA"/>
    <w:rsid w:val="00A366BA"/>
    <w:rsid w:val="00A368CC"/>
    <w:rsid w:val="00A36990"/>
    <w:rsid w:val="00A3753E"/>
    <w:rsid w:val="00A37BB3"/>
    <w:rsid w:val="00A37C73"/>
    <w:rsid w:val="00A37C86"/>
    <w:rsid w:val="00A404A1"/>
    <w:rsid w:val="00A40AB5"/>
    <w:rsid w:val="00A40B50"/>
    <w:rsid w:val="00A41229"/>
    <w:rsid w:val="00A41E9D"/>
    <w:rsid w:val="00A41F35"/>
    <w:rsid w:val="00A42529"/>
    <w:rsid w:val="00A42A8A"/>
    <w:rsid w:val="00A42D6F"/>
    <w:rsid w:val="00A42DD3"/>
    <w:rsid w:val="00A4335A"/>
    <w:rsid w:val="00A4388C"/>
    <w:rsid w:val="00A43C36"/>
    <w:rsid w:val="00A44091"/>
    <w:rsid w:val="00A44A88"/>
    <w:rsid w:val="00A450C5"/>
    <w:rsid w:val="00A451E1"/>
    <w:rsid w:val="00A45A0D"/>
    <w:rsid w:val="00A45C69"/>
    <w:rsid w:val="00A46A68"/>
    <w:rsid w:val="00A47066"/>
    <w:rsid w:val="00A4761A"/>
    <w:rsid w:val="00A47A1E"/>
    <w:rsid w:val="00A47D28"/>
    <w:rsid w:val="00A505CE"/>
    <w:rsid w:val="00A50839"/>
    <w:rsid w:val="00A50EE9"/>
    <w:rsid w:val="00A517DD"/>
    <w:rsid w:val="00A51AF7"/>
    <w:rsid w:val="00A52372"/>
    <w:rsid w:val="00A52532"/>
    <w:rsid w:val="00A535BC"/>
    <w:rsid w:val="00A5381E"/>
    <w:rsid w:val="00A54350"/>
    <w:rsid w:val="00A55013"/>
    <w:rsid w:val="00A564BB"/>
    <w:rsid w:val="00A568D6"/>
    <w:rsid w:val="00A56AAB"/>
    <w:rsid w:val="00A57CC3"/>
    <w:rsid w:val="00A57EC6"/>
    <w:rsid w:val="00A6042D"/>
    <w:rsid w:val="00A60BA0"/>
    <w:rsid w:val="00A61435"/>
    <w:rsid w:val="00A623CF"/>
    <w:rsid w:val="00A62B8D"/>
    <w:rsid w:val="00A62E8D"/>
    <w:rsid w:val="00A63D83"/>
    <w:rsid w:val="00A648D1"/>
    <w:rsid w:val="00A65273"/>
    <w:rsid w:val="00A6573A"/>
    <w:rsid w:val="00A65823"/>
    <w:rsid w:val="00A66A37"/>
    <w:rsid w:val="00A66D9B"/>
    <w:rsid w:val="00A66EF7"/>
    <w:rsid w:val="00A67AFA"/>
    <w:rsid w:val="00A70606"/>
    <w:rsid w:val="00A70CDB"/>
    <w:rsid w:val="00A71D1D"/>
    <w:rsid w:val="00A72BBA"/>
    <w:rsid w:val="00A72C9B"/>
    <w:rsid w:val="00A737FB"/>
    <w:rsid w:val="00A73A75"/>
    <w:rsid w:val="00A74245"/>
    <w:rsid w:val="00A74281"/>
    <w:rsid w:val="00A7476A"/>
    <w:rsid w:val="00A748F9"/>
    <w:rsid w:val="00A74C38"/>
    <w:rsid w:val="00A7549F"/>
    <w:rsid w:val="00A763E4"/>
    <w:rsid w:val="00A76402"/>
    <w:rsid w:val="00A77FB5"/>
    <w:rsid w:val="00A80792"/>
    <w:rsid w:val="00A8187E"/>
    <w:rsid w:val="00A8208B"/>
    <w:rsid w:val="00A827C0"/>
    <w:rsid w:val="00A83475"/>
    <w:rsid w:val="00A836E8"/>
    <w:rsid w:val="00A83741"/>
    <w:rsid w:val="00A837F1"/>
    <w:rsid w:val="00A8388D"/>
    <w:rsid w:val="00A838CF"/>
    <w:rsid w:val="00A83FB6"/>
    <w:rsid w:val="00A840E9"/>
    <w:rsid w:val="00A84B08"/>
    <w:rsid w:val="00A85226"/>
    <w:rsid w:val="00A85C3E"/>
    <w:rsid w:val="00A860A9"/>
    <w:rsid w:val="00A8613B"/>
    <w:rsid w:val="00A861AB"/>
    <w:rsid w:val="00A865DA"/>
    <w:rsid w:val="00A8676D"/>
    <w:rsid w:val="00A86F48"/>
    <w:rsid w:val="00A86FD4"/>
    <w:rsid w:val="00A871F4"/>
    <w:rsid w:val="00A87226"/>
    <w:rsid w:val="00A87359"/>
    <w:rsid w:val="00A87543"/>
    <w:rsid w:val="00A878B2"/>
    <w:rsid w:val="00A90B62"/>
    <w:rsid w:val="00A90E23"/>
    <w:rsid w:val="00A90E91"/>
    <w:rsid w:val="00A90EF8"/>
    <w:rsid w:val="00A91C13"/>
    <w:rsid w:val="00A921BD"/>
    <w:rsid w:val="00A92468"/>
    <w:rsid w:val="00A92CBB"/>
    <w:rsid w:val="00A92EED"/>
    <w:rsid w:val="00A93648"/>
    <w:rsid w:val="00A93D5C"/>
    <w:rsid w:val="00A94C37"/>
    <w:rsid w:val="00A94E4D"/>
    <w:rsid w:val="00A94FAD"/>
    <w:rsid w:val="00A95430"/>
    <w:rsid w:val="00A95C0F"/>
    <w:rsid w:val="00A95C57"/>
    <w:rsid w:val="00A95E33"/>
    <w:rsid w:val="00A96156"/>
    <w:rsid w:val="00A9638C"/>
    <w:rsid w:val="00A971B6"/>
    <w:rsid w:val="00AA0515"/>
    <w:rsid w:val="00AA0768"/>
    <w:rsid w:val="00AA08DE"/>
    <w:rsid w:val="00AA1C68"/>
    <w:rsid w:val="00AA1D8B"/>
    <w:rsid w:val="00AA1ED8"/>
    <w:rsid w:val="00AA1F6E"/>
    <w:rsid w:val="00AA2050"/>
    <w:rsid w:val="00AA222C"/>
    <w:rsid w:val="00AA3371"/>
    <w:rsid w:val="00AA3529"/>
    <w:rsid w:val="00AA35E1"/>
    <w:rsid w:val="00AA42A6"/>
    <w:rsid w:val="00AA43E9"/>
    <w:rsid w:val="00AA5480"/>
    <w:rsid w:val="00AA5F1B"/>
    <w:rsid w:val="00AA656D"/>
    <w:rsid w:val="00AA67DB"/>
    <w:rsid w:val="00AA69D2"/>
    <w:rsid w:val="00AA6AFD"/>
    <w:rsid w:val="00AA74DB"/>
    <w:rsid w:val="00AA7DD6"/>
    <w:rsid w:val="00AA7E2E"/>
    <w:rsid w:val="00AB1121"/>
    <w:rsid w:val="00AB11D5"/>
    <w:rsid w:val="00AB1682"/>
    <w:rsid w:val="00AB1BF0"/>
    <w:rsid w:val="00AB20E1"/>
    <w:rsid w:val="00AB252D"/>
    <w:rsid w:val="00AB2837"/>
    <w:rsid w:val="00AB353D"/>
    <w:rsid w:val="00AB3EA7"/>
    <w:rsid w:val="00AB4BFB"/>
    <w:rsid w:val="00AB4F38"/>
    <w:rsid w:val="00AB50AE"/>
    <w:rsid w:val="00AB58E9"/>
    <w:rsid w:val="00AB5A80"/>
    <w:rsid w:val="00AB64FF"/>
    <w:rsid w:val="00AB67D7"/>
    <w:rsid w:val="00AB7195"/>
    <w:rsid w:val="00AB76CB"/>
    <w:rsid w:val="00AB7B86"/>
    <w:rsid w:val="00AC0033"/>
    <w:rsid w:val="00AC025A"/>
    <w:rsid w:val="00AC02A4"/>
    <w:rsid w:val="00AC0345"/>
    <w:rsid w:val="00AC2991"/>
    <w:rsid w:val="00AC2C2F"/>
    <w:rsid w:val="00AC39A0"/>
    <w:rsid w:val="00AC47B4"/>
    <w:rsid w:val="00AC565C"/>
    <w:rsid w:val="00AC5A10"/>
    <w:rsid w:val="00AC6D4F"/>
    <w:rsid w:val="00AC72C4"/>
    <w:rsid w:val="00AC73CA"/>
    <w:rsid w:val="00AC747A"/>
    <w:rsid w:val="00AC782D"/>
    <w:rsid w:val="00AD0208"/>
    <w:rsid w:val="00AD0A33"/>
    <w:rsid w:val="00AD0B79"/>
    <w:rsid w:val="00AD14BE"/>
    <w:rsid w:val="00AD17C4"/>
    <w:rsid w:val="00AD1A20"/>
    <w:rsid w:val="00AD1BDF"/>
    <w:rsid w:val="00AD2052"/>
    <w:rsid w:val="00AD3458"/>
    <w:rsid w:val="00AD3673"/>
    <w:rsid w:val="00AD5C0A"/>
    <w:rsid w:val="00AD5CA7"/>
    <w:rsid w:val="00AD5DB9"/>
    <w:rsid w:val="00AD5E7A"/>
    <w:rsid w:val="00AD6224"/>
    <w:rsid w:val="00AD623D"/>
    <w:rsid w:val="00AD6C87"/>
    <w:rsid w:val="00AD72B8"/>
    <w:rsid w:val="00AD7A10"/>
    <w:rsid w:val="00AD7A17"/>
    <w:rsid w:val="00AD7A2E"/>
    <w:rsid w:val="00AD7D1D"/>
    <w:rsid w:val="00AE054A"/>
    <w:rsid w:val="00AE0982"/>
    <w:rsid w:val="00AE125E"/>
    <w:rsid w:val="00AE1712"/>
    <w:rsid w:val="00AE1AE4"/>
    <w:rsid w:val="00AE2AFA"/>
    <w:rsid w:val="00AE2CDA"/>
    <w:rsid w:val="00AE2E3B"/>
    <w:rsid w:val="00AE376C"/>
    <w:rsid w:val="00AE37DA"/>
    <w:rsid w:val="00AE4750"/>
    <w:rsid w:val="00AE49C8"/>
    <w:rsid w:val="00AE4C45"/>
    <w:rsid w:val="00AE4ED1"/>
    <w:rsid w:val="00AE5B69"/>
    <w:rsid w:val="00AE60FC"/>
    <w:rsid w:val="00AE65F0"/>
    <w:rsid w:val="00AE7138"/>
    <w:rsid w:val="00AE7CBD"/>
    <w:rsid w:val="00AE7DF5"/>
    <w:rsid w:val="00AF0B63"/>
    <w:rsid w:val="00AF0DCD"/>
    <w:rsid w:val="00AF101A"/>
    <w:rsid w:val="00AF15C6"/>
    <w:rsid w:val="00AF15DD"/>
    <w:rsid w:val="00AF2488"/>
    <w:rsid w:val="00AF374A"/>
    <w:rsid w:val="00AF3B42"/>
    <w:rsid w:val="00AF3FC0"/>
    <w:rsid w:val="00AF4308"/>
    <w:rsid w:val="00AF48F4"/>
    <w:rsid w:val="00AF4C75"/>
    <w:rsid w:val="00AF4E80"/>
    <w:rsid w:val="00AF5370"/>
    <w:rsid w:val="00AF63DD"/>
    <w:rsid w:val="00AF7B91"/>
    <w:rsid w:val="00AF7F5D"/>
    <w:rsid w:val="00B00667"/>
    <w:rsid w:val="00B00703"/>
    <w:rsid w:val="00B00C83"/>
    <w:rsid w:val="00B00FBB"/>
    <w:rsid w:val="00B0165A"/>
    <w:rsid w:val="00B02893"/>
    <w:rsid w:val="00B02D80"/>
    <w:rsid w:val="00B02FD1"/>
    <w:rsid w:val="00B03B7B"/>
    <w:rsid w:val="00B03B94"/>
    <w:rsid w:val="00B0470F"/>
    <w:rsid w:val="00B04A5A"/>
    <w:rsid w:val="00B04EE2"/>
    <w:rsid w:val="00B0530C"/>
    <w:rsid w:val="00B05FC2"/>
    <w:rsid w:val="00B063B0"/>
    <w:rsid w:val="00B06B81"/>
    <w:rsid w:val="00B06C91"/>
    <w:rsid w:val="00B06F15"/>
    <w:rsid w:val="00B070AF"/>
    <w:rsid w:val="00B07508"/>
    <w:rsid w:val="00B07524"/>
    <w:rsid w:val="00B07AFB"/>
    <w:rsid w:val="00B113E7"/>
    <w:rsid w:val="00B11EAF"/>
    <w:rsid w:val="00B122DE"/>
    <w:rsid w:val="00B1246F"/>
    <w:rsid w:val="00B129B1"/>
    <w:rsid w:val="00B13D22"/>
    <w:rsid w:val="00B13E86"/>
    <w:rsid w:val="00B148A2"/>
    <w:rsid w:val="00B162D7"/>
    <w:rsid w:val="00B168B2"/>
    <w:rsid w:val="00B16951"/>
    <w:rsid w:val="00B16DD0"/>
    <w:rsid w:val="00B17881"/>
    <w:rsid w:val="00B17C95"/>
    <w:rsid w:val="00B202BD"/>
    <w:rsid w:val="00B204F8"/>
    <w:rsid w:val="00B2055F"/>
    <w:rsid w:val="00B209DC"/>
    <w:rsid w:val="00B20DB9"/>
    <w:rsid w:val="00B226A9"/>
    <w:rsid w:val="00B2301F"/>
    <w:rsid w:val="00B2323F"/>
    <w:rsid w:val="00B24036"/>
    <w:rsid w:val="00B2410A"/>
    <w:rsid w:val="00B243B2"/>
    <w:rsid w:val="00B24791"/>
    <w:rsid w:val="00B25014"/>
    <w:rsid w:val="00B253B4"/>
    <w:rsid w:val="00B25611"/>
    <w:rsid w:val="00B25988"/>
    <w:rsid w:val="00B25D45"/>
    <w:rsid w:val="00B25F1E"/>
    <w:rsid w:val="00B260EB"/>
    <w:rsid w:val="00B264C0"/>
    <w:rsid w:val="00B267B2"/>
    <w:rsid w:val="00B26D2F"/>
    <w:rsid w:val="00B27F25"/>
    <w:rsid w:val="00B3076E"/>
    <w:rsid w:val="00B31371"/>
    <w:rsid w:val="00B3229E"/>
    <w:rsid w:val="00B3272F"/>
    <w:rsid w:val="00B32AE2"/>
    <w:rsid w:val="00B32D7A"/>
    <w:rsid w:val="00B32F55"/>
    <w:rsid w:val="00B337F9"/>
    <w:rsid w:val="00B34648"/>
    <w:rsid w:val="00B34C6D"/>
    <w:rsid w:val="00B35B7C"/>
    <w:rsid w:val="00B35FD3"/>
    <w:rsid w:val="00B37629"/>
    <w:rsid w:val="00B37C49"/>
    <w:rsid w:val="00B37DD0"/>
    <w:rsid w:val="00B40340"/>
    <w:rsid w:val="00B416E6"/>
    <w:rsid w:val="00B41F1C"/>
    <w:rsid w:val="00B43236"/>
    <w:rsid w:val="00B435F6"/>
    <w:rsid w:val="00B4371C"/>
    <w:rsid w:val="00B44528"/>
    <w:rsid w:val="00B44A92"/>
    <w:rsid w:val="00B44EDD"/>
    <w:rsid w:val="00B45488"/>
    <w:rsid w:val="00B45496"/>
    <w:rsid w:val="00B45874"/>
    <w:rsid w:val="00B45E3A"/>
    <w:rsid w:val="00B45F79"/>
    <w:rsid w:val="00B46A06"/>
    <w:rsid w:val="00B46A59"/>
    <w:rsid w:val="00B46AD5"/>
    <w:rsid w:val="00B46C5D"/>
    <w:rsid w:val="00B47129"/>
    <w:rsid w:val="00B473AE"/>
    <w:rsid w:val="00B4792F"/>
    <w:rsid w:val="00B47CE5"/>
    <w:rsid w:val="00B5001C"/>
    <w:rsid w:val="00B50092"/>
    <w:rsid w:val="00B50B20"/>
    <w:rsid w:val="00B50BB5"/>
    <w:rsid w:val="00B50D8F"/>
    <w:rsid w:val="00B5114D"/>
    <w:rsid w:val="00B511EF"/>
    <w:rsid w:val="00B51409"/>
    <w:rsid w:val="00B516B2"/>
    <w:rsid w:val="00B5183D"/>
    <w:rsid w:val="00B518EA"/>
    <w:rsid w:val="00B51958"/>
    <w:rsid w:val="00B51B51"/>
    <w:rsid w:val="00B5209A"/>
    <w:rsid w:val="00B524EE"/>
    <w:rsid w:val="00B5303B"/>
    <w:rsid w:val="00B532FE"/>
    <w:rsid w:val="00B53C03"/>
    <w:rsid w:val="00B53C15"/>
    <w:rsid w:val="00B54123"/>
    <w:rsid w:val="00B5445A"/>
    <w:rsid w:val="00B546FE"/>
    <w:rsid w:val="00B54C7D"/>
    <w:rsid w:val="00B56364"/>
    <w:rsid w:val="00B56380"/>
    <w:rsid w:val="00B56A44"/>
    <w:rsid w:val="00B5705B"/>
    <w:rsid w:val="00B5710D"/>
    <w:rsid w:val="00B578FD"/>
    <w:rsid w:val="00B60A12"/>
    <w:rsid w:val="00B60D9D"/>
    <w:rsid w:val="00B6119D"/>
    <w:rsid w:val="00B61848"/>
    <w:rsid w:val="00B61CD6"/>
    <w:rsid w:val="00B61D2F"/>
    <w:rsid w:val="00B627A2"/>
    <w:rsid w:val="00B62F65"/>
    <w:rsid w:val="00B6326E"/>
    <w:rsid w:val="00B634C9"/>
    <w:rsid w:val="00B63527"/>
    <w:rsid w:val="00B63823"/>
    <w:rsid w:val="00B63EFB"/>
    <w:rsid w:val="00B65091"/>
    <w:rsid w:val="00B65104"/>
    <w:rsid w:val="00B65130"/>
    <w:rsid w:val="00B65520"/>
    <w:rsid w:val="00B65954"/>
    <w:rsid w:val="00B677E9"/>
    <w:rsid w:val="00B67BCB"/>
    <w:rsid w:val="00B700E2"/>
    <w:rsid w:val="00B70591"/>
    <w:rsid w:val="00B7089F"/>
    <w:rsid w:val="00B7092D"/>
    <w:rsid w:val="00B70943"/>
    <w:rsid w:val="00B70A1F"/>
    <w:rsid w:val="00B70ECD"/>
    <w:rsid w:val="00B70EE6"/>
    <w:rsid w:val="00B70F0B"/>
    <w:rsid w:val="00B71095"/>
    <w:rsid w:val="00B7161D"/>
    <w:rsid w:val="00B71D14"/>
    <w:rsid w:val="00B71F50"/>
    <w:rsid w:val="00B721BF"/>
    <w:rsid w:val="00B7315F"/>
    <w:rsid w:val="00B731E0"/>
    <w:rsid w:val="00B7358C"/>
    <w:rsid w:val="00B74330"/>
    <w:rsid w:val="00B74CBD"/>
    <w:rsid w:val="00B750F7"/>
    <w:rsid w:val="00B751EA"/>
    <w:rsid w:val="00B7586D"/>
    <w:rsid w:val="00B75EA2"/>
    <w:rsid w:val="00B766B1"/>
    <w:rsid w:val="00B76C55"/>
    <w:rsid w:val="00B76DBC"/>
    <w:rsid w:val="00B76F14"/>
    <w:rsid w:val="00B76F7B"/>
    <w:rsid w:val="00B776BE"/>
    <w:rsid w:val="00B77805"/>
    <w:rsid w:val="00B778AD"/>
    <w:rsid w:val="00B80549"/>
    <w:rsid w:val="00B80916"/>
    <w:rsid w:val="00B80B4A"/>
    <w:rsid w:val="00B80BE0"/>
    <w:rsid w:val="00B80C04"/>
    <w:rsid w:val="00B8121C"/>
    <w:rsid w:val="00B812FA"/>
    <w:rsid w:val="00B819BA"/>
    <w:rsid w:val="00B81D6F"/>
    <w:rsid w:val="00B8212F"/>
    <w:rsid w:val="00B82348"/>
    <w:rsid w:val="00B824AC"/>
    <w:rsid w:val="00B8314F"/>
    <w:rsid w:val="00B83E3B"/>
    <w:rsid w:val="00B840E3"/>
    <w:rsid w:val="00B845D8"/>
    <w:rsid w:val="00B84701"/>
    <w:rsid w:val="00B84A3F"/>
    <w:rsid w:val="00B84DCF"/>
    <w:rsid w:val="00B84FDE"/>
    <w:rsid w:val="00B85D18"/>
    <w:rsid w:val="00B86557"/>
    <w:rsid w:val="00B867E1"/>
    <w:rsid w:val="00B86E23"/>
    <w:rsid w:val="00B8732F"/>
    <w:rsid w:val="00B87812"/>
    <w:rsid w:val="00B90095"/>
    <w:rsid w:val="00B9092F"/>
    <w:rsid w:val="00B90F28"/>
    <w:rsid w:val="00B91009"/>
    <w:rsid w:val="00B9105F"/>
    <w:rsid w:val="00B9117D"/>
    <w:rsid w:val="00B93A25"/>
    <w:rsid w:val="00B94826"/>
    <w:rsid w:val="00B94AC7"/>
    <w:rsid w:val="00B94B7D"/>
    <w:rsid w:val="00B9507F"/>
    <w:rsid w:val="00B951A5"/>
    <w:rsid w:val="00B95253"/>
    <w:rsid w:val="00B955BD"/>
    <w:rsid w:val="00B95FF2"/>
    <w:rsid w:val="00B96339"/>
    <w:rsid w:val="00B96553"/>
    <w:rsid w:val="00B9674B"/>
    <w:rsid w:val="00B96B7C"/>
    <w:rsid w:val="00B9726A"/>
    <w:rsid w:val="00BA0248"/>
    <w:rsid w:val="00BA0332"/>
    <w:rsid w:val="00BA0814"/>
    <w:rsid w:val="00BA0BD7"/>
    <w:rsid w:val="00BA0E01"/>
    <w:rsid w:val="00BA13E9"/>
    <w:rsid w:val="00BA28A7"/>
    <w:rsid w:val="00BA2FA7"/>
    <w:rsid w:val="00BA3752"/>
    <w:rsid w:val="00BA3986"/>
    <w:rsid w:val="00BA3E83"/>
    <w:rsid w:val="00BA45BF"/>
    <w:rsid w:val="00BA474C"/>
    <w:rsid w:val="00BA4B52"/>
    <w:rsid w:val="00BA4E7B"/>
    <w:rsid w:val="00BA568B"/>
    <w:rsid w:val="00BA6305"/>
    <w:rsid w:val="00BA6479"/>
    <w:rsid w:val="00BA6FC5"/>
    <w:rsid w:val="00BA7004"/>
    <w:rsid w:val="00BA78D9"/>
    <w:rsid w:val="00BA7D4D"/>
    <w:rsid w:val="00BB056D"/>
    <w:rsid w:val="00BB0F5E"/>
    <w:rsid w:val="00BB138D"/>
    <w:rsid w:val="00BB1662"/>
    <w:rsid w:val="00BB1814"/>
    <w:rsid w:val="00BB18BE"/>
    <w:rsid w:val="00BB1E1C"/>
    <w:rsid w:val="00BB2219"/>
    <w:rsid w:val="00BB2693"/>
    <w:rsid w:val="00BB2CE4"/>
    <w:rsid w:val="00BB302F"/>
    <w:rsid w:val="00BB3124"/>
    <w:rsid w:val="00BB3615"/>
    <w:rsid w:val="00BB430E"/>
    <w:rsid w:val="00BB458F"/>
    <w:rsid w:val="00BB4B02"/>
    <w:rsid w:val="00BB4CFD"/>
    <w:rsid w:val="00BB50B4"/>
    <w:rsid w:val="00BB5357"/>
    <w:rsid w:val="00BB6AEA"/>
    <w:rsid w:val="00BB7516"/>
    <w:rsid w:val="00BB794E"/>
    <w:rsid w:val="00BB7A0D"/>
    <w:rsid w:val="00BC05AD"/>
    <w:rsid w:val="00BC0A3E"/>
    <w:rsid w:val="00BC0F42"/>
    <w:rsid w:val="00BC190B"/>
    <w:rsid w:val="00BC190C"/>
    <w:rsid w:val="00BC1D91"/>
    <w:rsid w:val="00BC1FA1"/>
    <w:rsid w:val="00BC27D1"/>
    <w:rsid w:val="00BC36A9"/>
    <w:rsid w:val="00BC3724"/>
    <w:rsid w:val="00BC3C71"/>
    <w:rsid w:val="00BC429B"/>
    <w:rsid w:val="00BC4300"/>
    <w:rsid w:val="00BC4314"/>
    <w:rsid w:val="00BC626B"/>
    <w:rsid w:val="00BC7BBA"/>
    <w:rsid w:val="00BD0358"/>
    <w:rsid w:val="00BD0B7E"/>
    <w:rsid w:val="00BD0E16"/>
    <w:rsid w:val="00BD1D86"/>
    <w:rsid w:val="00BD20D6"/>
    <w:rsid w:val="00BD22E9"/>
    <w:rsid w:val="00BD2544"/>
    <w:rsid w:val="00BD2750"/>
    <w:rsid w:val="00BD2A08"/>
    <w:rsid w:val="00BD2A4A"/>
    <w:rsid w:val="00BD325D"/>
    <w:rsid w:val="00BD32F0"/>
    <w:rsid w:val="00BD3438"/>
    <w:rsid w:val="00BD3522"/>
    <w:rsid w:val="00BD43E6"/>
    <w:rsid w:val="00BD48D6"/>
    <w:rsid w:val="00BD522A"/>
    <w:rsid w:val="00BD5BBF"/>
    <w:rsid w:val="00BD5DC0"/>
    <w:rsid w:val="00BD616E"/>
    <w:rsid w:val="00BE0D26"/>
    <w:rsid w:val="00BE0FCF"/>
    <w:rsid w:val="00BE14B0"/>
    <w:rsid w:val="00BE1774"/>
    <w:rsid w:val="00BE1AE6"/>
    <w:rsid w:val="00BE2389"/>
    <w:rsid w:val="00BE358D"/>
    <w:rsid w:val="00BE3749"/>
    <w:rsid w:val="00BE39C8"/>
    <w:rsid w:val="00BE3CAF"/>
    <w:rsid w:val="00BE3CEA"/>
    <w:rsid w:val="00BE4603"/>
    <w:rsid w:val="00BE4C75"/>
    <w:rsid w:val="00BE4EA9"/>
    <w:rsid w:val="00BE5A6F"/>
    <w:rsid w:val="00BE614C"/>
    <w:rsid w:val="00BE6BFE"/>
    <w:rsid w:val="00BE73F1"/>
    <w:rsid w:val="00BF00C8"/>
    <w:rsid w:val="00BF0743"/>
    <w:rsid w:val="00BF08EF"/>
    <w:rsid w:val="00BF0FE8"/>
    <w:rsid w:val="00BF2D37"/>
    <w:rsid w:val="00BF3733"/>
    <w:rsid w:val="00BF40D8"/>
    <w:rsid w:val="00BF4BC2"/>
    <w:rsid w:val="00BF5252"/>
    <w:rsid w:val="00BF5EC2"/>
    <w:rsid w:val="00BF5F9B"/>
    <w:rsid w:val="00BF61FA"/>
    <w:rsid w:val="00BF721D"/>
    <w:rsid w:val="00C003BD"/>
    <w:rsid w:val="00C010C6"/>
    <w:rsid w:val="00C016B1"/>
    <w:rsid w:val="00C01C35"/>
    <w:rsid w:val="00C01ECC"/>
    <w:rsid w:val="00C02CC7"/>
    <w:rsid w:val="00C03DEA"/>
    <w:rsid w:val="00C03FB3"/>
    <w:rsid w:val="00C0401D"/>
    <w:rsid w:val="00C044A1"/>
    <w:rsid w:val="00C051DF"/>
    <w:rsid w:val="00C05D43"/>
    <w:rsid w:val="00C05E33"/>
    <w:rsid w:val="00C05E5D"/>
    <w:rsid w:val="00C069AD"/>
    <w:rsid w:val="00C06D2E"/>
    <w:rsid w:val="00C0742D"/>
    <w:rsid w:val="00C07740"/>
    <w:rsid w:val="00C0792A"/>
    <w:rsid w:val="00C0799A"/>
    <w:rsid w:val="00C10843"/>
    <w:rsid w:val="00C1145C"/>
    <w:rsid w:val="00C119E2"/>
    <w:rsid w:val="00C11B38"/>
    <w:rsid w:val="00C11D0D"/>
    <w:rsid w:val="00C11FCB"/>
    <w:rsid w:val="00C123D6"/>
    <w:rsid w:val="00C12E07"/>
    <w:rsid w:val="00C13179"/>
    <w:rsid w:val="00C13551"/>
    <w:rsid w:val="00C13894"/>
    <w:rsid w:val="00C13ACA"/>
    <w:rsid w:val="00C147CC"/>
    <w:rsid w:val="00C14C29"/>
    <w:rsid w:val="00C14CCE"/>
    <w:rsid w:val="00C15445"/>
    <w:rsid w:val="00C16368"/>
    <w:rsid w:val="00C179C8"/>
    <w:rsid w:val="00C2056E"/>
    <w:rsid w:val="00C20A16"/>
    <w:rsid w:val="00C20AA3"/>
    <w:rsid w:val="00C20CF3"/>
    <w:rsid w:val="00C21C9C"/>
    <w:rsid w:val="00C21D7D"/>
    <w:rsid w:val="00C226C4"/>
    <w:rsid w:val="00C237D1"/>
    <w:rsid w:val="00C25051"/>
    <w:rsid w:val="00C262CC"/>
    <w:rsid w:val="00C26AA1"/>
    <w:rsid w:val="00C27CEB"/>
    <w:rsid w:val="00C31208"/>
    <w:rsid w:val="00C31397"/>
    <w:rsid w:val="00C322CB"/>
    <w:rsid w:val="00C326FD"/>
    <w:rsid w:val="00C32D4F"/>
    <w:rsid w:val="00C330E6"/>
    <w:rsid w:val="00C33243"/>
    <w:rsid w:val="00C34A07"/>
    <w:rsid w:val="00C353CE"/>
    <w:rsid w:val="00C35457"/>
    <w:rsid w:val="00C3562E"/>
    <w:rsid w:val="00C37424"/>
    <w:rsid w:val="00C377D3"/>
    <w:rsid w:val="00C37F44"/>
    <w:rsid w:val="00C401C8"/>
    <w:rsid w:val="00C411B6"/>
    <w:rsid w:val="00C411DC"/>
    <w:rsid w:val="00C41C7C"/>
    <w:rsid w:val="00C42263"/>
    <w:rsid w:val="00C423AB"/>
    <w:rsid w:val="00C4251C"/>
    <w:rsid w:val="00C42953"/>
    <w:rsid w:val="00C42AEF"/>
    <w:rsid w:val="00C42D99"/>
    <w:rsid w:val="00C43A53"/>
    <w:rsid w:val="00C43CE0"/>
    <w:rsid w:val="00C4400F"/>
    <w:rsid w:val="00C44F51"/>
    <w:rsid w:val="00C44FBE"/>
    <w:rsid w:val="00C45245"/>
    <w:rsid w:val="00C47172"/>
    <w:rsid w:val="00C47287"/>
    <w:rsid w:val="00C4755E"/>
    <w:rsid w:val="00C47D7A"/>
    <w:rsid w:val="00C50098"/>
    <w:rsid w:val="00C50406"/>
    <w:rsid w:val="00C509A0"/>
    <w:rsid w:val="00C509C3"/>
    <w:rsid w:val="00C50A17"/>
    <w:rsid w:val="00C50D39"/>
    <w:rsid w:val="00C51F7B"/>
    <w:rsid w:val="00C526AA"/>
    <w:rsid w:val="00C52A90"/>
    <w:rsid w:val="00C53056"/>
    <w:rsid w:val="00C53909"/>
    <w:rsid w:val="00C53C4C"/>
    <w:rsid w:val="00C53E1F"/>
    <w:rsid w:val="00C5448E"/>
    <w:rsid w:val="00C54835"/>
    <w:rsid w:val="00C5501C"/>
    <w:rsid w:val="00C5584D"/>
    <w:rsid w:val="00C55AFC"/>
    <w:rsid w:val="00C560BF"/>
    <w:rsid w:val="00C56228"/>
    <w:rsid w:val="00C56623"/>
    <w:rsid w:val="00C566A7"/>
    <w:rsid w:val="00C56884"/>
    <w:rsid w:val="00C56963"/>
    <w:rsid w:val="00C569F7"/>
    <w:rsid w:val="00C574EE"/>
    <w:rsid w:val="00C577FD"/>
    <w:rsid w:val="00C579D8"/>
    <w:rsid w:val="00C57CD1"/>
    <w:rsid w:val="00C57E1B"/>
    <w:rsid w:val="00C57FD7"/>
    <w:rsid w:val="00C60716"/>
    <w:rsid w:val="00C60BCB"/>
    <w:rsid w:val="00C6105B"/>
    <w:rsid w:val="00C61315"/>
    <w:rsid w:val="00C61D5B"/>
    <w:rsid w:val="00C61E2B"/>
    <w:rsid w:val="00C6232B"/>
    <w:rsid w:val="00C6244B"/>
    <w:rsid w:val="00C63300"/>
    <w:rsid w:val="00C63330"/>
    <w:rsid w:val="00C63357"/>
    <w:rsid w:val="00C639C6"/>
    <w:rsid w:val="00C640CE"/>
    <w:rsid w:val="00C640E8"/>
    <w:rsid w:val="00C64FEE"/>
    <w:rsid w:val="00C65186"/>
    <w:rsid w:val="00C653BC"/>
    <w:rsid w:val="00C65442"/>
    <w:rsid w:val="00C65D33"/>
    <w:rsid w:val="00C65D7A"/>
    <w:rsid w:val="00C66184"/>
    <w:rsid w:val="00C66357"/>
    <w:rsid w:val="00C665E5"/>
    <w:rsid w:val="00C666A2"/>
    <w:rsid w:val="00C678FA"/>
    <w:rsid w:val="00C67E0D"/>
    <w:rsid w:val="00C7042E"/>
    <w:rsid w:val="00C70622"/>
    <w:rsid w:val="00C70EAE"/>
    <w:rsid w:val="00C71410"/>
    <w:rsid w:val="00C71527"/>
    <w:rsid w:val="00C71727"/>
    <w:rsid w:val="00C719B6"/>
    <w:rsid w:val="00C71F86"/>
    <w:rsid w:val="00C720EA"/>
    <w:rsid w:val="00C7258C"/>
    <w:rsid w:val="00C72CC6"/>
    <w:rsid w:val="00C72D98"/>
    <w:rsid w:val="00C731C7"/>
    <w:rsid w:val="00C73580"/>
    <w:rsid w:val="00C7384A"/>
    <w:rsid w:val="00C73958"/>
    <w:rsid w:val="00C745C0"/>
    <w:rsid w:val="00C75B0D"/>
    <w:rsid w:val="00C764A3"/>
    <w:rsid w:val="00C76839"/>
    <w:rsid w:val="00C76F2B"/>
    <w:rsid w:val="00C77157"/>
    <w:rsid w:val="00C77862"/>
    <w:rsid w:val="00C77DE0"/>
    <w:rsid w:val="00C77E51"/>
    <w:rsid w:val="00C77EB4"/>
    <w:rsid w:val="00C800CD"/>
    <w:rsid w:val="00C80849"/>
    <w:rsid w:val="00C81006"/>
    <w:rsid w:val="00C81694"/>
    <w:rsid w:val="00C83B65"/>
    <w:rsid w:val="00C85024"/>
    <w:rsid w:val="00C85375"/>
    <w:rsid w:val="00C8583E"/>
    <w:rsid w:val="00C85E3F"/>
    <w:rsid w:val="00C86100"/>
    <w:rsid w:val="00C86A4A"/>
    <w:rsid w:val="00C86C23"/>
    <w:rsid w:val="00C86FD4"/>
    <w:rsid w:val="00C87968"/>
    <w:rsid w:val="00C87C21"/>
    <w:rsid w:val="00C87DFD"/>
    <w:rsid w:val="00C87FCD"/>
    <w:rsid w:val="00C9055D"/>
    <w:rsid w:val="00C90734"/>
    <w:rsid w:val="00C9092C"/>
    <w:rsid w:val="00C91320"/>
    <w:rsid w:val="00C91E76"/>
    <w:rsid w:val="00C91E97"/>
    <w:rsid w:val="00C92A60"/>
    <w:rsid w:val="00C92E29"/>
    <w:rsid w:val="00C93166"/>
    <w:rsid w:val="00C9322F"/>
    <w:rsid w:val="00C93277"/>
    <w:rsid w:val="00C93A1A"/>
    <w:rsid w:val="00C93E5A"/>
    <w:rsid w:val="00C9403E"/>
    <w:rsid w:val="00C94B4B"/>
    <w:rsid w:val="00C94FF2"/>
    <w:rsid w:val="00C95541"/>
    <w:rsid w:val="00C95581"/>
    <w:rsid w:val="00C96010"/>
    <w:rsid w:val="00C96C31"/>
    <w:rsid w:val="00C970F9"/>
    <w:rsid w:val="00C97691"/>
    <w:rsid w:val="00C977C4"/>
    <w:rsid w:val="00C979C0"/>
    <w:rsid w:val="00C97AAF"/>
    <w:rsid w:val="00C97F47"/>
    <w:rsid w:val="00CA000A"/>
    <w:rsid w:val="00CA044B"/>
    <w:rsid w:val="00CA0B81"/>
    <w:rsid w:val="00CA1145"/>
    <w:rsid w:val="00CA1344"/>
    <w:rsid w:val="00CA13E7"/>
    <w:rsid w:val="00CA1CA0"/>
    <w:rsid w:val="00CA1E5F"/>
    <w:rsid w:val="00CA29C1"/>
    <w:rsid w:val="00CA47D5"/>
    <w:rsid w:val="00CA4A2C"/>
    <w:rsid w:val="00CA5418"/>
    <w:rsid w:val="00CA54D8"/>
    <w:rsid w:val="00CA5610"/>
    <w:rsid w:val="00CA77C3"/>
    <w:rsid w:val="00CA7BE0"/>
    <w:rsid w:val="00CB0BE2"/>
    <w:rsid w:val="00CB1FE6"/>
    <w:rsid w:val="00CB21E8"/>
    <w:rsid w:val="00CB2389"/>
    <w:rsid w:val="00CB27E5"/>
    <w:rsid w:val="00CB2DAC"/>
    <w:rsid w:val="00CB2DE7"/>
    <w:rsid w:val="00CB3922"/>
    <w:rsid w:val="00CB3BFB"/>
    <w:rsid w:val="00CB55CC"/>
    <w:rsid w:val="00CB57B0"/>
    <w:rsid w:val="00CB5D2E"/>
    <w:rsid w:val="00CB5E9B"/>
    <w:rsid w:val="00CB606A"/>
    <w:rsid w:val="00CB61E7"/>
    <w:rsid w:val="00CB6658"/>
    <w:rsid w:val="00CB66B5"/>
    <w:rsid w:val="00CB66FD"/>
    <w:rsid w:val="00CB6CBB"/>
    <w:rsid w:val="00CB6EAB"/>
    <w:rsid w:val="00CB6FBE"/>
    <w:rsid w:val="00CB70B7"/>
    <w:rsid w:val="00CB7178"/>
    <w:rsid w:val="00CB7618"/>
    <w:rsid w:val="00CB7709"/>
    <w:rsid w:val="00CB77EA"/>
    <w:rsid w:val="00CB7ECC"/>
    <w:rsid w:val="00CB7F28"/>
    <w:rsid w:val="00CC00BB"/>
    <w:rsid w:val="00CC06E6"/>
    <w:rsid w:val="00CC07EE"/>
    <w:rsid w:val="00CC08A0"/>
    <w:rsid w:val="00CC095B"/>
    <w:rsid w:val="00CC0B05"/>
    <w:rsid w:val="00CC0C99"/>
    <w:rsid w:val="00CC1607"/>
    <w:rsid w:val="00CC1908"/>
    <w:rsid w:val="00CC1BCA"/>
    <w:rsid w:val="00CC20B5"/>
    <w:rsid w:val="00CC235D"/>
    <w:rsid w:val="00CC2A33"/>
    <w:rsid w:val="00CC3D51"/>
    <w:rsid w:val="00CC588E"/>
    <w:rsid w:val="00CC61A8"/>
    <w:rsid w:val="00CC61DF"/>
    <w:rsid w:val="00CC654C"/>
    <w:rsid w:val="00CC69D0"/>
    <w:rsid w:val="00CC6D18"/>
    <w:rsid w:val="00CC7408"/>
    <w:rsid w:val="00CC762B"/>
    <w:rsid w:val="00CC7D23"/>
    <w:rsid w:val="00CD0341"/>
    <w:rsid w:val="00CD0359"/>
    <w:rsid w:val="00CD0B3C"/>
    <w:rsid w:val="00CD0B90"/>
    <w:rsid w:val="00CD1318"/>
    <w:rsid w:val="00CD1A19"/>
    <w:rsid w:val="00CD1A40"/>
    <w:rsid w:val="00CD1F42"/>
    <w:rsid w:val="00CD30BE"/>
    <w:rsid w:val="00CD35C4"/>
    <w:rsid w:val="00CD38D6"/>
    <w:rsid w:val="00CD3AA1"/>
    <w:rsid w:val="00CD3AD8"/>
    <w:rsid w:val="00CD3D2A"/>
    <w:rsid w:val="00CD4311"/>
    <w:rsid w:val="00CD4F65"/>
    <w:rsid w:val="00CD50B5"/>
    <w:rsid w:val="00CD56E7"/>
    <w:rsid w:val="00CD5CE3"/>
    <w:rsid w:val="00CD6095"/>
    <w:rsid w:val="00CD643B"/>
    <w:rsid w:val="00CD64D1"/>
    <w:rsid w:val="00CD73A9"/>
    <w:rsid w:val="00CD77AA"/>
    <w:rsid w:val="00CD7B3E"/>
    <w:rsid w:val="00CE1492"/>
    <w:rsid w:val="00CE1574"/>
    <w:rsid w:val="00CE1AE9"/>
    <w:rsid w:val="00CE1D0E"/>
    <w:rsid w:val="00CE1E48"/>
    <w:rsid w:val="00CE22EE"/>
    <w:rsid w:val="00CE2B15"/>
    <w:rsid w:val="00CE2D69"/>
    <w:rsid w:val="00CE3903"/>
    <w:rsid w:val="00CE3DF3"/>
    <w:rsid w:val="00CE45B3"/>
    <w:rsid w:val="00CE4A30"/>
    <w:rsid w:val="00CE54BD"/>
    <w:rsid w:val="00CE57DC"/>
    <w:rsid w:val="00CE5A39"/>
    <w:rsid w:val="00CE5A66"/>
    <w:rsid w:val="00CE633E"/>
    <w:rsid w:val="00CE6751"/>
    <w:rsid w:val="00CE69AA"/>
    <w:rsid w:val="00CE77EB"/>
    <w:rsid w:val="00CE7A93"/>
    <w:rsid w:val="00CF02E3"/>
    <w:rsid w:val="00CF0444"/>
    <w:rsid w:val="00CF151C"/>
    <w:rsid w:val="00CF1E8E"/>
    <w:rsid w:val="00CF248C"/>
    <w:rsid w:val="00CF2A74"/>
    <w:rsid w:val="00CF317F"/>
    <w:rsid w:val="00CF3571"/>
    <w:rsid w:val="00CF4365"/>
    <w:rsid w:val="00CF44CC"/>
    <w:rsid w:val="00CF4CB7"/>
    <w:rsid w:val="00CF4E8F"/>
    <w:rsid w:val="00CF55F4"/>
    <w:rsid w:val="00CF59AB"/>
    <w:rsid w:val="00CF6052"/>
    <w:rsid w:val="00CF799C"/>
    <w:rsid w:val="00CF7CCD"/>
    <w:rsid w:val="00D0045D"/>
    <w:rsid w:val="00D0050B"/>
    <w:rsid w:val="00D0079D"/>
    <w:rsid w:val="00D00CE4"/>
    <w:rsid w:val="00D0108C"/>
    <w:rsid w:val="00D018A7"/>
    <w:rsid w:val="00D02064"/>
    <w:rsid w:val="00D0222A"/>
    <w:rsid w:val="00D022F3"/>
    <w:rsid w:val="00D023CF"/>
    <w:rsid w:val="00D02AA5"/>
    <w:rsid w:val="00D03B8D"/>
    <w:rsid w:val="00D03C62"/>
    <w:rsid w:val="00D04E81"/>
    <w:rsid w:val="00D0600E"/>
    <w:rsid w:val="00D06044"/>
    <w:rsid w:val="00D06868"/>
    <w:rsid w:val="00D06F12"/>
    <w:rsid w:val="00D06FA1"/>
    <w:rsid w:val="00D0707A"/>
    <w:rsid w:val="00D0715B"/>
    <w:rsid w:val="00D07C0C"/>
    <w:rsid w:val="00D07F38"/>
    <w:rsid w:val="00D10FD7"/>
    <w:rsid w:val="00D111D4"/>
    <w:rsid w:val="00D11752"/>
    <w:rsid w:val="00D123F2"/>
    <w:rsid w:val="00D132CE"/>
    <w:rsid w:val="00D13358"/>
    <w:rsid w:val="00D14033"/>
    <w:rsid w:val="00D14247"/>
    <w:rsid w:val="00D149D2"/>
    <w:rsid w:val="00D15701"/>
    <w:rsid w:val="00D15F92"/>
    <w:rsid w:val="00D160D8"/>
    <w:rsid w:val="00D1657F"/>
    <w:rsid w:val="00D175C9"/>
    <w:rsid w:val="00D20266"/>
    <w:rsid w:val="00D20D72"/>
    <w:rsid w:val="00D214AB"/>
    <w:rsid w:val="00D21A84"/>
    <w:rsid w:val="00D21EF3"/>
    <w:rsid w:val="00D21F8D"/>
    <w:rsid w:val="00D222BA"/>
    <w:rsid w:val="00D23331"/>
    <w:rsid w:val="00D23545"/>
    <w:rsid w:val="00D23884"/>
    <w:rsid w:val="00D244BA"/>
    <w:rsid w:val="00D2476F"/>
    <w:rsid w:val="00D25BCA"/>
    <w:rsid w:val="00D25E17"/>
    <w:rsid w:val="00D263B6"/>
    <w:rsid w:val="00D26F70"/>
    <w:rsid w:val="00D27F19"/>
    <w:rsid w:val="00D30549"/>
    <w:rsid w:val="00D306B1"/>
    <w:rsid w:val="00D3145E"/>
    <w:rsid w:val="00D31B8D"/>
    <w:rsid w:val="00D3223C"/>
    <w:rsid w:val="00D32A0F"/>
    <w:rsid w:val="00D32F23"/>
    <w:rsid w:val="00D33DFE"/>
    <w:rsid w:val="00D33EC0"/>
    <w:rsid w:val="00D341A8"/>
    <w:rsid w:val="00D3446A"/>
    <w:rsid w:val="00D34779"/>
    <w:rsid w:val="00D34B5D"/>
    <w:rsid w:val="00D36C22"/>
    <w:rsid w:val="00D36C8A"/>
    <w:rsid w:val="00D378C6"/>
    <w:rsid w:val="00D40077"/>
    <w:rsid w:val="00D40119"/>
    <w:rsid w:val="00D402E6"/>
    <w:rsid w:val="00D41674"/>
    <w:rsid w:val="00D416FD"/>
    <w:rsid w:val="00D42F1B"/>
    <w:rsid w:val="00D432DB"/>
    <w:rsid w:val="00D43C61"/>
    <w:rsid w:val="00D442E1"/>
    <w:rsid w:val="00D446DD"/>
    <w:rsid w:val="00D44CE4"/>
    <w:rsid w:val="00D45108"/>
    <w:rsid w:val="00D45842"/>
    <w:rsid w:val="00D45999"/>
    <w:rsid w:val="00D461AB"/>
    <w:rsid w:val="00D46246"/>
    <w:rsid w:val="00D46790"/>
    <w:rsid w:val="00D4684E"/>
    <w:rsid w:val="00D46CDA"/>
    <w:rsid w:val="00D47356"/>
    <w:rsid w:val="00D473A5"/>
    <w:rsid w:val="00D474EF"/>
    <w:rsid w:val="00D504D7"/>
    <w:rsid w:val="00D507D0"/>
    <w:rsid w:val="00D50CA3"/>
    <w:rsid w:val="00D51D5C"/>
    <w:rsid w:val="00D52030"/>
    <w:rsid w:val="00D521C6"/>
    <w:rsid w:val="00D52491"/>
    <w:rsid w:val="00D52716"/>
    <w:rsid w:val="00D52766"/>
    <w:rsid w:val="00D52A08"/>
    <w:rsid w:val="00D52F55"/>
    <w:rsid w:val="00D530D6"/>
    <w:rsid w:val="00D54304"/>
    <w:rsid w:val="00D54885"/>
    <w:rsid w:val="00D54D35"/>
    <w:rsid w:val="00D56046"/>
    <w:rsid w:val="00D56E22"/>
    <w:rsid w:val="00D57BFA"/>
    <w:rsid w:val="00D619E4"/>
    <w:rsid w:val="00D61F74"/>
    <w:rsid w:val="00D62F23"/>
    <w:rsid w:val="00D6442C"/>
    <w:rsid w:val="00D64DD4"/>
    <w:rsid w:val="00D65526"/>
    <w:rsid w:val="00D6557F"/>
    <w:rsid w:val="00D65D0F"/>
    <w:rsid w:val="00D66342"/>
    <w:rsid w:val="00D66D82"/>
    <w:rsid w:val="00D678A1"/>
    <w:rsid w:val="00D67CF2"/>
    <w:rsid w:val="00D701E7"/>
    <w:rsid w:val="00D70B0E"/>
    <w:rsid w:val="00D72621"/>
    <w:rsid w:val="00D72C78"/>
    <w:rsid w:val="00D72DBD"/>
    <w:rsid w:val="00D72F2C"/>
    <w:rsid w:val="00D72FC0"/>
    <w:rsid w:val="00D73177"/>
    <w:rsid w:val="00D738F4"/>
    <w:rsid w:val="00D7466E"/>
    <w:rsid w:val="00D74E4C"/>
    <w:rsid w:val="00D75687"/>
    <w:rsid w:val="00D75B82"/>
    <w:rsid w:val="00D75DD0"/>
    <w:rsid w:val="00D7635D"/>
    <w:rsid w:val="00D76F15"/>
    <w:rsid w:val="00D76FC1"/>
    <w:rsid w:val="00D770B6"/>
    <w:rsid w:val="00D77FD4"/>
    <w:rsid w:val="00D80327"/>
    <w:rsid w:val="00D80380"/>
    <w:rsid w:val="00D806B3"/>
    <w:rsid w:val="00D8075F"/>
    <w:rsid w:val="00D80864"/>
    <w:rsid w:val="00D81082"/>
    <w:rsid w:val="00D81273"/>
    <w:rsid w:val="00D81354"/>
    <w:rsid w:val="00D81B0C"/>
    <w:rsid w:val="00D82584"/>
    <w:rsid w:val="00D8260E"/>
    <w:rsid w:val="00D8282C"/>
    <w:rsid w:val="00D82E7B"/>
    <w:rsid w:val="00D82FD1"/>
    <w:rsid w:val="00D836CE"/>
    <w:rsid w:val="00D83A3E"/>
    <w:rsid w:val="00D84260"/>
    <w:rsid w:val="00D84B33"/>
    <w:rsid w:val="00D84DC7"/>
    <w:rsid w:val="00D84E78"/>
    <w:rsid w:val="00D85610"/>
    <w:rsid w:val="00D857E6"/>
    <w:rsid w:val="00D86296"/>
    <w:rsid w:val="00D86460"/>
    <w:rsid w:val="00D866CB"/>
    <w:rsid w:val="00D87256"/>
    <w:rsid w:val="00D873D8"/>
    <w:rsid w:val="00D87634"/>
    <w:rsid w:val="00D87FC6"/>
    <w:rsid w:val="00D90A48"/>
    <w:rsid w:val="00D90AE6"/>
    <w:rsid w:val="00D91101"/>
    <w:rsid w:val="00D91C27"/>
    <w:rsid w:val="00D9201F"/>
    <w:rsid w:val="00D923A8"/>
    <w:rsid w:val="00D930B3"/>
    <w:rsid w:val="00D930BE"/>
    <w:rsid w:val="00D930FF"/>
    <w:rsid w:val="00D931F6"/>
    <w:rsid w:val="00D9336D"/>
    <w:rsid w:val="00D939AF"/>
    <w:rsid w:val="00D940E8"/>
    <w:rsid w:val="00D9467F"/>
    <w:rsid w:val="00D94BA6"/>
    <w:rsid w:val="00D94C4A"/>
    <w:rsid w:val="00D94C65"/>
    <w:rsid w:val="00D94C94"/>
    <w:rsid w:val="00D95631"/>
    <w:rsid w:val="00D95D34"/>
    <w:rsid w:val="00D96298"/>
    <w:rsid w:val="00D96414"/>
    <w:rsid w:val="00D9667A"/>
    <w:rsid w:val="00D96CC7"/>
    <w:rsid w:val="00D973DA"/>
    <w:rsid w:val="00D97ACC"/>
    <w:rsid w:val="00DA1151"/>
    <w:rsid w:val="00DA15B3"/>
    <w:rsid w:val="00DA161B"/>
    <w:rsid w:val="00DA1DFD"/>
    <w:rsid w:val="00DA26EC"/>
    <w:rsid w:val="00DA3869"/>
    <w:rsid w:val="00DA3FD0"/>
    <w:rsid w:val="00DA485C"/>
    <w:rsid w:val="00DA4AD6"/>
    <w:rsid w:val="00DA4BEB"/>
    <w:rsid w:val="00DA4E1E"/>
    <w:rsid w:val="00DA5607"/>
    <w:rsid w:val="00DA5627"/>
    <w:rsid w:val="00DA63B6"/>
    <w:rsid w:val="00DA6414"/>
    <w:rsid w:val="00DA6421"/>
    <w:rsid w:val="00DA67D6"/>
    <w:rsid w:val="00DA6961"/>
    <w:rsid w:val="00DA6C41"/>
    <w:rsid w:val="00DA74DC"/>
    <w:rsid w:val="00DA7604"/>
    <w:rsid w:val="00DA7AD1"/>
    <w:rsid w:val="00DA7EF8"/>
    <w:rsid w:val="00DB0181"/>
    <w:rsid w:val="00DB0386"/>
    <w:rsid w:val="00DB0D40"/>
    <w:rsid w:val="00DB12B5"/>
    <w:rsid w:val="00DB18FD"/>
    <w:rsid w:val="00DB2135"/>
    <w:rsid w:val="00DB2EAC"/>
    <w:rsid w:val="00DB30AF"/>
    <w:rsid w:val="00DB34AF"/>
    <w:rsid w:val="00DB3CF8"/>
    <w:rsid w:val="00DB3EE2"/>
    <w:rsid w:val="00DB4AD5"/>
    <w:rsid w:val="00DB54FB"/>
    <w:rsid w:val="00DB5569"/>
    <w:rsid w:val="00DB585C"/>
    <w:rsid w:val="00DB61CA"/>
    <w:rsid w:val="00DC05FC"/>
    <w:rsid w:val="00DC06A7"/>
    <w:rsid w:val="00DC0AC7"/>
    <w:rsid w:val="00DC1074"/>
    <w:rsid w:val="00DC1433"/>
    <w:rsid w:val="00DC1820"/>
    <w:rsid w:val="00DC2990"/>
    <w:rsid w:val="00DC3AF8"/>
    <w:rsid w:val="00DC3CE3"/>
    <w:rsid w:val="00DC4085"/>
    <w:rsid w:val="00DC433A"/>
    <w:rsid w:val="00DC465F"/>
    <w:rsid w:val="00DC4C97"/>
    <w:rsid w:val="00DC4D69"/>
    <w:rsid w:val="00DC4D9D"/>
    <w:rsid w:val="00DC4F36"/>
    <w:rsid w:val="00DC546D"/>
    <w:rsid w:val="00DC5925"/>
    <w:rsid w:val="00DC60FA"/>
    <w:rsid w:val="00DC6F5B"/>
    <w:rsid w:val="00DC6F70"/>
    <w:rsid w:val="00DC7541"/>
    <w:rsid w:val="00DC7955"/>
    <w:rsid w:val="00DC7A46"/>
    <w:rsid w:val="00DD0097"/>
    <w:rsid w:val="00DD014F"/>
    <w:rsid w:val="00DD0DB5"/>
    <w:rsid w:val="00DD2161"/>
    <w:rsid w:val="00DD246B"/>
    <w:rsid w:val="00DD2609"/>
    <w:rsid w:val="00DD2653"/>
    <w:rsid w:val="00DD2D92"/>
    <w:rsid w:val="00DD3160"/>
    <w:rsid w:val="00DD3799"/>
    <w:rsid w:val="00DD3F34"/>
    <w:rsid w:val="00DD42DA"/>
    <w:rsid w:val="00DD45E3"/>
    <w:rsid w:val="00DD485C"/>
    <w:rsid w:val="00DD4921"/>
    <w:rsid w:val="00DD5F9A"/>
    <w:rsid w:val="00DD6A8A"/>
    <w:rsid w:val="00DD6D96"/>
    <w:rsid w:val="00DD70EB"/>
    <w:rsid w:val="00DD7295"/>
    <w:rsid w:val="00DD7388"/>
    <w:rsid w:val="00DD7407"/>
    <w:rsid w:val="00DD7641"/>
    <w:rsid w:val="00DD7C0B"/>
    <w:rsid w:val="00DE00E6"/>
    <w:rsid w:val="00DE0649"/>
    <w:rsid w:val="00DE0E9B"/>
    <w:rsid w:val="00DE12A1"/>
    <w:rsid w:val="00DE13C9"/>
    <w:rsid w:val="00DE19A3"/>
    <w:rsid w:val="00DE1A92"/>
    <w:rsid w:val="00DE200C"/>
    <w:rsid w:val="00DE23AF"/>
    <w:rsid w:val="00DE2ADE"/>
    <w:rsid w:val="00DE2F92"/>
    <w:rsid w:val="00DE3065"/>
    <w:rsid w:val="00DE4159"/>
    <w:rsid w:val="00DE41AE"/>
    <w:rsid w:val="00DE472B"/>
    <w:rsid w:val="00DE4C71"/>
    <w:rsid w:val="00DE559E"/>
    <w:rsid w:val="00DE58AA"/>
    <w:rsid w:val="00DE5E86"/>
    <w:rsid w:val="00DE616B"/>
    <w:rsid w:val="00DE73CC"/>
    <w:rsid w:val="00DE7539"/>
    <w:rsid w:val="00DE75A6"/>
    <w:rsid w:val="00DE79D3"/>
    <w:rsid w:val="00DF254B"/>
    <w:rsid w:val="00DF27F0"/>
    <w:rsid w:val="00DF3181"/>
    <w:rsid w:val="00DF3423"/>
    <w:rsid w:val="00DF3B9A"/>
    <w:rsid w:val="00DF4017"/>
    <w:rsid w:val="00DF4595"/>
    <w:rsid w:val="00DF4E71"/>
    <w:rsid w:val="00DF4FF0"/>
    <w:rsid w:val="00DF50BC"/>
    <w:rsid w:val="00DF5452"/>
    <w:rsid w:val="00DF6D89"/>
    <w:rsid w:val="00DF74E6"/>
    <w:rsid w:val="00E00656"/>
    <w:rsid w:val="00E00B09"/>
    <w:rsid w:val="00E00CD3"/>
    <w:rsid w:val="00E01172"/>
    <w:rsid w:val="00E01852"/>
    <w:rsid w:val="00E01AA2"/>
    <w:rsid w:val="00E02023"/>
    <w:rsid w:val="00E021DF"/>
    <w:rsid w:val="00E02769"/>
    <w:rsid w:val="00E0398D"/>
    <w:rsid w:val="00E039A7"/>
    <w:rsid w:val="00E03DB6"/>
    <w:rsid w:val="00E04B5B"/>
    <w:rsid w:val="00E05137"/>
    <w:rsid w:val="00E051BA"/>
    <w:rsid w:val="00E05611"/>
    <w:rsid w:val="00E05716"/>
    <w:rsid w:val="00E05A2B"/>
    <w:rsid w:val="00E05B93"/>
    <w:rsid w:val="00E05BDB"/>
    <w:rsid w:val="00E06651"/>
    <w:rsid w:val="00E06DD2"/>
    <w:rsid w:val="00E06F70"/>
    <w:rsid w:val="00E0767C"/>
    <w:rsid w:val="00E07688"/>
    <w:rsid w:val="00E07F2F"/>
    <w:rsid w:val="00E07F60"/>
    <w:rsid w:val="00E109F4"/>
    <w:rsid w:val="00E10D7E"/>
    <w:rsid w:val="00E115D2"/>
    <w:rsid w:val="00E11E01"/>
    <w:rsid w:val="00E11F98"/>
    <w:rsid w:val="00E11FF0"/>
    <w:rsid w:val="00E121FC"/>
    <w:rsid w:val="00E1304A"/>
    <w:rsid w:val="00E132DA"/>
    <w:rsid w:val="00E13A9A"/>
    <w:rsid w:val="00E13E4C"/>
    <w:rsid w:val="00E14B8B"/>
    <w:rsid w:val="00E14F8B"/>
    <w:rsid w:val="00E15628"/>
    <w:rsid w:val="00E1624B"/>
    <w:rsid w:val="00E16973"/>
    <w:rsid w:val="00E16CBA"/>
    <w:rsid w:val="00E17598"/>
    <w:rsid w:val="00E17DF1"/>
    <w:rsid w:val="00E21A27"/>
    <w:rsid w:val="00E21DA8"/>
    <w:rsid w:val="00E22CAC"/>
    <w:rsid w:val="00E23A74"/>
    <w:rsid w:val="00E23B9B"/>
    <w:rsid w:val="00E23CFE"/>
    <w:rsid w:val="00E241CB"/>
    <w:rsid w:val="00E241CD"/>
    <w:rsid w:val="00E250E3"/>
    <w:rsid w:val="00E25FB4"/>
    <w:rsid w:val="00E27364"/>
    <w:rsid w:val="00E2777A"/>
    <w:rsid w:val="00E30843"/>
    <w:rsid w:val="00E308C2"/>
    <w:rsid w:val="00E3090A"/>
    <w:rsid w:val="00E30A2A"/>
    <w:rsid w:val="00E3169B"/>
    <w:rsid w:val="00E32BFB"/>
    <w:rsid w:val="00E332A4"/>
    <w:rsid w:val="00E33351"/>
    <w:rsid w:val="00E336A9"/>
    <w:rsid w:val="00E33D2D"/>
    <w:rsid w:val="00E34A80"/>
    <w:rsid w:val="00E34ED1"/>
    <w:rsid w:val="00E3513F"/>
    <w:rsid w:val="00E36175"/>
    <w:rsid w:val="00E368A3"/>
    <w:rsid w:val="00E373AB"/>
    <w:rsid w:val="00E37402"/>
    <w:rsid w:val="00E37915"/>
    <w:rsid w:val="00E37A3F"/>
    <w:rsid w:val="00E37A88"/>
    <w:rsid w:val="00E37E9F"/>
    <w:rsid w:val="00E40DF5"/>
    <w:rsid w:val="00E4129D"/>
    <w:rsid w:val="00E416E3"/>
    <w:rsid w:val="00E4199D"/>
    <w:rsid w:val="00E42817"/>
    <w:rsid w:val="00E42A74"/>
    <w:rsid w:val="00E43239"/>
    <w:rsid w:val="00E4324F"/>
    <w:rsid w:val="00E43B96"/>
    <w:rsid w:val="00E43C79"/>
    <w:rsid w:val="00E444A7"/>
    <w:rsid w:val="00E44CC0"/>
    <w:rsid w:val="00E44E45"/>
    <w:rsid w:val="00E45AB1"/>
    <w:rsid w:val="00E46654"/>
    <w:rsid w:val="00E4675D"/>
    <w:rsid w:val="00E46A73"/>
    <w:rsid w:val="00E474CF"/>
    <w:rsid w:val="00E500D0"/>
    <w:rsid w:val="00E502C8"/>
    <w:rsid w:val="00E508A8"/>
    <w:rsid w:val="00E51519"/>
    <w:rsid w:val="00E516AB"/>
    <w:rsid w:val="00E52D90"/>
    <w:rsid w:val="00E543D0"/>
    <w:rsid w:val="00E54FC0"/>
    <w:rsid w:val="00E56192"/>
    <w:rsid w:val="00E5775F"/>
    <w:rsid w:val="00E57D0C"/>
    <w:rsid w:val="00E602DF"/>
    <w:rsid w:val="00E61F24"/>
    <w:rsid w:val="00E6284F"/>
    <w:rsid w:val="00E62CCA"/>
    <w:rsid w:val="00E62D8C"/>
    <w:rsid w:val="00E62DC4"/>
    <w:rsid w:val="00E62E36"/>
    <w:rsid w:val="00E647AC"/>
    <w:rsid w:val="00E64937"/>
    <w:rsid w:val="00E649C4"/>
    <w:rsid w:val="00E65128"/>
    <w:rsid w:val="00E65156"/>
    <w:rsid w:val="00E652AF"/>
    <w:rsid w:val="00E653AA"/>
    <w:rsid w:val="00E66B86"/>
    <w:rsid w:val="00E66C27"/>
    <w:rsid w:val="00E672FD"/>
    <w:rsid w:val="00E67430"/>
    <w:rsid w:val="00E67596"/>
    <w:rsid w:val="00E6782B"/>
    <w:rsid w:val="00E67835"/>
    <w:rsid w:val="00E7000D"/>
    <w:rsid w:val="00E70862"/>
    <w:rsid w:val="00E70A07"/>
    <w:rsid w:val="00E714ED"/>
    <w:rsid w:val="00E71593"/>
    <w:rsid w:val="00E71757"/>
    <w:rsid w:val="00E71770"/>
    <w:rsid w:val="00E71ADC"/>
    <w:rsid w:val="00E71DCC"/>
    <w:rsid w:val="00E72A21"/>
    <w:rsid w:val="00E731D8"/>
    <w:rsid w:val="00E73C5E"/>
    <w:rsid w:val="00E73DBC"/>
    <w:rsid w:val="00E73E28"/>
    <w:rsid w:val="00E744D2"/>
    <w:rsid w:val="00E74A51"/>
    <w:rsid w:val="00E750ED"/>
    <w:rsid w:val="00E7592F"/>
    <w:rsid w:val="00E75ED4"/>
    <w:rsid w:val="00E76ABA"/>
    <w:rsid w:val="00E76E7A"/>
    <w:rsid w:val="00E778DF"/>
    <w:rsid w:val="00E77AEF"/>
    <w:rsid w:val="00E800F5"/>
    <w:rsid w:val="00E803BC"/>
    <w:rsid w:val="00E80B78"/>
    <w:rsid w:val="00E80BBD"/>
    <w:rsid w:val="00E829D5"/>
    <w:rsid w:val="00E82A60"/>
    <w:rsid w:val="00E82AED"/>
    <w:rsid w:val="00E82E34"/>
    <w:rsid w:val="00E830AD"/>
    <w:rsid w:val="00E832F7"/>
    <w:rsid w:val="00E83433"/>
    <w:rsid w:val="00E83A41"/>
    <w:rsid w:val="00E83C7D"/>
    <w:rsid w:val="00E841DD"/>
    <w:rsid w:val="00E84D12"/>
    <w:rsid w:val="00E84D93"/>
    <w:rsid w:val="00E84EF8"/>
    <w:rsid w:val="00E8547C"/>
    <w:rsid w:val="00E859E2"/>
    <w:rsid w:val="00E876CF"/>
    <w:rsid w:val="00E87C21"/>
    <w:rsid w:val="00E91524"/>
    <w:rsid w:val="00E91699"/>
    <w:rsid w:val="00E91A98"/>
    <w:rsid w:val="00E920E5"/>
    <w:rsid w:val="00E92EED"/>
    <w:rsid w:val="00E930CB"/>
    <w:rsid w:val="00E930F6"/>
    <w:rsid w:val="00E93601"/>
    <w:rsid w:val="00E93BB6"/>
    <w:rsid w:val="00E94192"/>
    <w:rsid w:val="00E95090"/>
    <w:rsid w:val="00E9569F"/>
    <w:rsid w:val="00E957AE"/>
    <w:rsid w:val="00E96346"/>
    <w:rsid w:val="00E9708B"/>
    <w:rsid w:val="00E971D9"/>
    <w:rsid w:val="00E97FDB"/>
    <w:rsid w:val="00EA06C2"/>
    <w:rsid w:val="00EA0E73"/>
    <w:rsid w:val="00EA104B"/>
    <w:rsid w:val="00EA12ED"/>
    <w:rsid w:val="00EA13C4"/>
    <w:rsid w:val="00EA15E4"/>
    <w:rsid w:val="00EA1AC8"/>
    <w:rsid w:val="00EA1F42"/>
    <w:rsid w:val="00EA20F8"/>
    <w:rsid w:val="00EA22ED"/>
    <w:rsid w:val="00EA2775"/>
    <w:rsid w:val="00EA298C"/>
    <w:rsid w:val="00EA3431"/>
    <w:rsid w:val="00EA3B1B"/>
    <w:rsid w:val="00EA404F"/>
    <w:rsid w:val="00EA4AA5"/>
    <w:rsid w:val="00EA50C8"/>
    <w:rsid w:val="00EA5199"/>
    <w:rsid w:val="00EA5479"/>
    <w:rsid w:val="00EA558B"/>
    <w:rsid w:val="00EA5FA4"/>
    <w:rsid w:val="00EA6688"/>
    <w:rsid w:val="00EA6A47"/>
    <w:rsid w:val="00EA6A8D"/>
    <w:rsid w:val="00EA765E"/>
    <w:rsid w:val="00EA7D48"/>
    <w:rsid w:val="00EA7F59"/>
    <w:rsid w:val="00EB038E"/>
    <w:rsid w:val="00EB07F9"/>
    <w:rsid w:val="00EB0C58"/>
    <w:rsid w:val="00EB143B"/>
    <w:rsid w:val="00EB1A16"/>
    <w:rsid w:val="00EB23AE"/>
    <w:rsid w:val="00EB2749"/>
    <w:rsid w:val="00EB2828"/>
    <w:rsid w:val="00EB2A5F"/>
    <w:rsid w:val="00EB30C5"/>
    <w:rsid w:val="00EB3750"/>
    <w:rsid w:val="00EB3AF3"/>
    <w:rsid w:val="00EB427B"/>
    <w:rsid w:val="00EB4D8E"/>
    <w:rsid w:val="00EB50F1"/>
    <w:rsid w:val="00EB52B6"/>
    <w:rsid w:val="00EB58B2"/>
    <w:rsid w:val="00EB68D2"/>
    <w:rsid w:val="00EB6932"/>
    <w:rsid w:val="00EB725C"/>
    <w:rsid w:val="00EB77FA"/>
    <w:rsid w:val="00EB78C2"/>
    <w:rsid w:val="00EB7B92"/>
    <w:rsid w:val="00EB7C52"/>
    <w:rsid w:val="00EC03CF"/>
    <w:rsid w:val="00EC0491"/>
    <w:rsid w:val="00EC0678"/>
    <w:rsid w:val="00EC15D6"/>
    <w:rsid w:val="00EC2166"/>
    <w:rsid w:val="00EC2D62"/>
    <w:rsid w:val="00EC3531"/>
    <w:rsid w:val="00EC37D5"/>
    <w:rsid w:val="00EC38E9"/>
    <w:rsid w:val="00EC3BF3"/>
    <w:rsid w:val="00EC46DB"/>
    <w:rsid w:val="00EC4A1E"/>
    <w:rsid w:val="00EC4D68"/>
    <w:rsid w:val="00EC4DB0"/>
    <w:rsid w:val="00EC4E8D"/>
    <w:rsid w:val="00EC5688"/>
    <w:rsid w:val="00EC5BE6"/>
    <w:rsid w:val="00EC5D52"/>
    <w:rsid w:val="00EC6F08"/>
    <w:rsid w:val="00EC706F"/>
    <w:rsid w:val="00EC707A"/>
    <w:rsid w:val="00EC72B2"/>
    <w:rsid w:val="00EC79D9"/>
    <w:rsid w:val="00EC7A59"/>
    <w:rsid w:val="00ED097F"/>
    <w:rsid w:val="00ED0B6B"/>
    <w:rsid w:val="00ED0CCB"/>
    <w:rsid w:val="00ED1163"/>
    <w:rsid w:val="00ED1A7D"/>
    <w:rsid w:val="00ED1B29"/>
    <w:rsid w:val="00ED1D12"/>
    <w:rsid w:val="00ED21C6"/>
    <w:rsid w:val="00ED238C"/>
    <w:rsid w:val="00ED239E"/>
    <w:rsid w:val="00ED24D2"/>
    <w:rsid w:val="00ED2703"/>
    <w:rsid w:val="00ED281A"/>
    <w:rsid w:val="00ED2932"/>
    <w:rsid w:val="00ED29DF"/>
    <w:rsid w:val="00ED3563"/>
    <w:rsid w:val="00ED36E2"/>
    <w:rsid w:val="00ED410D"/>
    <w:rsid w:val="00ED4E37"/>
    <w:rsid w:val="00ED6B93"/>
    <w:rsid w:val="00ED7115"/>
    <w:rsid w:val="00ED7222"/>
    <w:rsid w:val="00ED7502"/>
    <w:rsid w:val="00ED7A05"/>
    <w:rsid w:val="00EE012F"/>
    <w:rsid w:val="00EE0ED7"/>
    <w:rsid w:val="00EE104B"/>
    <w:rsid w:val="00EE18CC"/>
    <w:rsid w:val="00EE1ACD"/>
    <w:rsid w:val="00EE229F"/>
    <w:rsid w:val="00EE250B"/>
    <w:rsid w:val="00EE2957"/>
    <w:rsid w:val="00EE2A17"/>
    <w:rsid w:val="00EE2B72"/>
    <w:rsid w:val="00EE2F5C"/>
    <w:rsid w:val="00EE334C"/>
    <w:rsid w:val="00EE3541"/>
    <w:rsid w:val="00EE35BB"/>
    <w:rsid w:val="00EE3912"/>
    <w:rsid w:val="00EE3A2A"/>
    <w:rsid w:val="00EE4046"/>
    <w:rsid w:val="00EE4613"/>
    <w:rsid w:val="00EE468D"/>
    <w:rsid w:val="00EE5F9C"/>
    <w:rsid w:val="00EE6984"/>
    <w:rsid w:val="00EE6B37"/>
    <w:rsid w:val="00EE6D51"/>
    <w:rsid w:val="00EE7453"/>
    <w:rsid w:val="00EE7FFB"/>
    <w:rsid w:val="00EF053C"/>
    <w:rsid w:val="00EF0FCF"/>
    <w:rsid w:val="00EF11A4"/>
    <w:rsid w:val="00EF29D6"/>
    <w:rsid w:val="00EF2B40"/>
    <w:rsid w:val="00EF34C2"/>
    <w:rsid w:val="00EF3E2B"/>
    <w:rsid w:val="00EF3E76"/>
    <w:rsid w:val="00EF4182"/>
    <w:rsid w:val="00EF420C"/>
    <w:rsid w:val="00EF5AD7"/>
    <w:rsid w:val="00EF5FB7"/>
    <w:rsid w:val="00EF61A7"/>
    <w:rsid w:val="00EF6700"/>
    <w:rsid w:val="00EF675B"/>
    <w:rsid w:val="00EF76FA"/>
    <w:rsid w:val="00F00353"/>
    <w:rsid w:val="00F00D79"/>
    <w:rsid w:val="00F01101"/>
    <w:rsid w:val="00F012B7"/>
    <w:rsid w:val="00F013C9"/>
    <w:rsid w:val="00F014F8"/>
    <w:rsid w:val="00F02153"/>
    <w:rsid w:val="00F0235A"/>
    <w:rsid w:val="00F023B9"/>
    <w:rsid w:val="00F02979"/>
    <w:rsid w:val="00F02C7D"/>
    <w:rsid w:val="00F0351C"/>
    <w:rsid w:val="00F037BA"/>
    <w:rsid w:val="00F03FFF"/>
    <w:rsid w:val="00F04892"/>
    <w:rsid w:val="00F048C3"/>
    <w:rsid w:val="00F05003"/>
    <w:rsid w:val="00F054AB"/>
    <w:rsid w:val="00F058DF"/>
    <w:rsid w:val="00F0612D"/>
    <w:rsid w:val="00F062FB"/>
    <w:rsid w:val="00F06B73"/>
    <w:rsid w:val="00F070DC"/>
    <w:rsid w:val="00F07289"/>
    <w:rsid w:val="00F07741"/>
    <w:rsid w:val="00F077C8"/>
    <w:rsid w:val="00F105E8"/>
    <w:rsid w:val="00F11669"/>
    <w:rsid w:val="00F11BF7"/>
    <w:rsid w:val="00F12284"/>
    <w:rsid w:val="00F13145"/>
    <w:rsid w:val="00F1325A"/>
    <w:rsid w:val="00F13A1F"/>
    <w:rsid w:val="00F13E0F"/>
    <w:rsid w:val="00F13EB7"/>
    <w:rsid w:val="00F13ECE"/>
    <w:rsid w:val="00F1413C"/>
    <w:rsid w:val="00F14362"/>
    <w:rsid w:val="00F14601"/>
    <w:rsid w:val="00F15675"/>
    <w:rsid w:val="00F15944"/>
    <w:rsid w:val="00F15D1E"/>
    <w:rsid w:val="00F15FA5"/>
    <w:rsid w:val="00F16CC1"/>
    <w:rsid w:val="00F20325"/>
    <w:rsid w:val="00F21250"/>
    <w:rsid w:val="00F215D4"/>
    <w:rsid w:val="00F216A5"/>
    <w:rsid w:val="00F21749"/>
    <w:rsid w:val="00F2188C"/>
    <w:rsid w:val="00F21979"/>
    <w:rsid w:val="00F2297E"/>
    <w:rsid w:val="00F22B0D"/>
    <w:rsid w:val="00F2347E"/>
    <w:rsid w:val="00F2398D"/>
    <w:rsid w:val="00F249A4"/>
    <w:rsid w:val="00F24C6A"/>
    <w:rsid w:val="00F25898"/>
    <w:rsid w:val="00F25D99"/>
    <w:rsid w:val="00F25DAE"/>
    <w:rsid w:val="00F26445"/>
    <w:rsid w:val="00F26E86"/>
    <w:rsid w:val="00F270E4"/>
    <w:rsid w:val="00F27333"/>
    <w:rsid w:val="00F27D9B"/>
    <w:rsid w:val="00F27ED0"/>
    <w:rsid w:val="00F30218"/>
    <w:rsid w:val="00F302CC"/>
    <w:rsid w:val="00F30709"/>
    <w:rsid w:val="00F32061"/>
    <w:rsid w:val="00F32853"/>
    <w:rsid w:val="00F32E80"/>
    <w:rsid w:val="00F3340B"/>
    <w:rsid w:val="00F33880"/>
    <w:rsid w:val="00F33C04"/>
    <w:rsid w:val="00F345D1"/>
    <w:rsid w:val="00F34601"/>
    <w:rsid w:val="00F35246"/>
    <w:rsid w:val="00F35529"/>
    <w:rsid w:val="00F357B3"/>
    <w:rsid w:val="00F35950"/>
    <w:rsid w:val="00F35FA8"/>
    <w:rsid w:val="00F3616B"/>
    <w:rsid w:val="00F36359"/>
    <w:rsid w:val="00F36E8C"/>
    <w:rsid w:val="00F373F9"/>
    <w:rsid w:val="00F415B0"/>
    <w:rsid w:val="00F41ABE"/>
    <w:rsid w:val="00F41CAD"/>
    <w:rsid w:val="00F41E22"/>
    <w:rsid w:val="00F424E9"/>
    <w:rsid w:val="00F42D56"/>
    <w:rsid w:val="00F42E9D"/>
    <w:rsid w:val="00F43E4D"/>
    <w:rsid w:val="00F44A04"/>
    <w:rsid w:val="00F44AF0"/>
    <w:rsid w:val="00F44CC9"/>
    <w:rsid w:val="00F44E2C"/>
    <w:rsid w:val="00F45FE8"/>
    <w:rsid w:val="00F461FC"/>
    <w:rsid w:val="00F46622"/>
    <w:rsid w:val="00F46B50"/>
    <w:rsid w:val="00F50CE8"/>
    <w:rsid w:val="00F512A0"/>
    <w:rsid w:val="00F51D92"/>
    <w:rsid w:val="00F5256B"/>
    <w:rsid w:val="00F5277B"/>
    <w:rsid w:val="00F52865"/>
    <w:rsid w:val="00F53244"/>
    <w:rsid w:val="00F53CBE"/>
    <w:rsid w:val="00F53F78"/>
    <w:rsid w:val="00F545C2"/>
    <w:rsid w:val="00F54E58"/>
    <w:rsid w:val="00F55A89"/>
    <w:rsid w:val="00F55AF0"/>
    <w:rsid w:val="00F55F95"/>
    <w:rsid w:val="00F564E0"/>
    <w:rsid w:val="00F56D40"/>
    <w:rsid w:val="00F57086"/>
    <w:rsid w:val="00F571E1"/>
    <w:rsid w:val="00F5749B"/>
    <w:rsid w:val="00F574EC"/>
    <w:rsid w:val="00F57B0A"/>
    <w:rsid w:val="00F57BBC"/>
    <w:rsid w:val="00F57E44"/>
    <w:rsid w:val="00F60020"/>
    <w:rsid w:val="00F605BE"/>
    <w:rsid w:val="00F6184D"/>
    <w:rsid w:val="00F618B1"/>
    <w:rsid w:val="00F61B43"/>
    <w:rsid w:val="00F63441"/>
    <w:rsid w:val="00F634A3"/>
    <w:rsid w:val="00F6376F"/>
    <w:rsid w:val="00F638EC"/>
    <w:rsid w:val="00F643F6"/>
    <w:rsid w:val="00F64C3A"/>
    <w:rsid w:val="00F64D68"/>
    <w:rsid w:val="00F64F60"/>
    <w:rsid w:val="00F654A6"/>
    <w:rsid w:val="00F66F26"/>
    <w:rsid w:val="00F6767E"/>
    <w:rsid w:val="00F70E53"/>
    <w:rsid w:val="00F70EAF"/>
    <w:rsid w:val="00F70F39"/>
    <w:rsid w:val="00F710F9"/>
    <w:rsid w:val="00F71D92"/>
    <w:rsid w:val="00F72754"/>
    <w:rsid w:val="00F72ED8"/>
    <w:rsid w:val="00F7336F"/>
    <w:rsid w:val="00F7354F"/>
    <w:rsid w:val="00F73F0E"/>
    <w:rsid w:val="00F7415A"/>
    <w:rsid w:val="00F75A08"/>
    <w:rsid w:val="00F7620F"/>
    <w:rsid w:val="00F767A9"/>
    <w:rsid w:val="00F770D2"/>
    <w:rsid w:val="00F77310"/>
    <w:rsid w:val="00F8002D"/>
    <w:rsid w:val="00F80082"/>
    <w:rsid w:val="00F80DE3"/>
    <w:rsid w:val="00F812B6"/>
    <w:rsid w:val="00F818FF"/>
    <w:rsid w:val="00F81CB7"/>
    <w:rsid w:val="00F824AF"/>
    <w:rsid w:val="00F82719"/>
    <w:rsid w:val="00F82BDF"/>
    <w:rsid w:val="00F82D0F"/>
    <w:rsid w:val="00F82D56"/>
    <w:rsid w:val="00F842BE"/>
    <w:rsid w:val="00F85482"/>
    <w:rsid w:val="00F85612"/>
    <w:rsid w:val="00F8590D"/>
    <w:rsid w:val="00F85EE5"/>
    <w:rsid w:val="00F8643A"/>
    <w:rsid w:val="00F864B6"/>
    <w:rsid w:val="00F86A12"/>
    <w:rsid w:val="00F86BE6"/>
    <w:rsid w:val="00F86D22"/>
    <w:rsid w:val="00F86EB3"/>
    <w:rsid w:val="00F876CA"/>
    <w:rsid w:val="00F87A26"/>
    <w:rsid w:val="00F87F40"/>
    <w:rsid w:val="00F900EE"/>
    <w:rsid w:val="00F9029D"/>
    <w:rsid w:val="00F905DF"/>
    <w:rsid w:val="00F90844"/>
    <w:rsid w:val="00F91621"/>
    <w:rsid w:val="00F917D6"/>
    <w:rsid w:val="00F91EAA"/>
    <w:rsid w:val="00F935AC"/>
    <w:rsid w:val="00F93679"/>
    <w:rsid w:val="00F93C8C"/>
    <w:rsid w:val="00F9577C"/>
    <w:rsid w:val="00F95792"/>
    <w:rsid w:val="00F9591D"/>
    <w:rsid w:val="00F9681F"/>
    <w:rsid w:val="00F96F12"/>
    <w:rsid w:val="00F97EE8"/>
    <w:rsid w:val="00F97FFB"/>
    <w:rsid w:val="00FA00C6"/>
    <w:rsid w:val="00FA018F"/>
    <w:rsid w:val="00FA05E4"/>
    <w:rsid w:val="00FA06E4"/>
    <w:rsid w:val="00FA0A52"/>
    <w:rsid w:val="00FA0AE4"/>
    <w:rsid w:val="00FA0CE7"/>
    <w:rsid w:val="00FA1B99"/>
    <w:rsid w:val="00FA215B"/>
    <w:rsid w:val="00FA2400"/>
    <w:rsid w:val="00FA2AEB"/>
    <w:rsid w:val="00FA37DA"/>
    <w:rsid w:val="00FA3ECD"/>
    <w:rsid w:val="00FA45D2"/>
    <w:rsid w:val="00FA48AC"/>
    <w:rsid w:val="00FA4B10"/>
    <w:rsid w:val="00FA5492"/>
    <w:rsid w:val="00FA55C1"/>
    <w:rsid w:val="00FA568C"/>
    <w:rsid w:val="00FA58BA"/>
    <w:rsid w:val="00FA5C76"/>
    <w:rsid w:val="00FA69FF"/>
    <w:rsid w:val="00FA6A6E"/>
    <w:rsid w:val="00FA7577"/>
    <w:rsid w:val="00FB01AE"/>
    <w:rsid w:val="00FB0794"/>
    <w:rsid w:val="00FB0C90"/>
    <w:rsid w:val="00FB0E52"/>
    <w:rsid w:val="00FB115E"/>
    <w:rsid w:val="00FB19E9"/>
    <w:rsid w:val="00FB1E60"/>
    <w:rsid w:val="00FB24BD"/>
    <w:rsid w:val="00FB2D41"/>
    <w:rsid w:val="00FB2FCC"/>
    <w:rsid w:val="00FB3F5C"/>
    <w:rsid w:val="00FB4DBA"/>
    <w:rsid w:val="00FB5395"/>
    <w:rsid w:val="00FB564B"/>
    <w:rsid w:val="00FB6155"/>
    <w:rsid w:val="00FB6618"/>
    <w:rsid w:val="00FB667E"/>
    <w:rsid w:val="00FB6E1E"/>
    <w:rsid w:val="00FB78B0"/>
    <w:rsid w:val="00FC05C8"/>
    <w:rsid w:val="00FC0D65"/>
    <w:rsid w:val="00FC0EAF"/>
    <w:rsid w:val="00FC1376"/>
    <w:rsid w:val="00FC14CB"/>
    <w:rsid w:val="00FC17BE"/>
    <w:rsid w:val="00FC19C0"/>
    <w:rsid w:val="00FC1ACA"/>
    <w:rsid w:val="00FC32FC"/>
    <w:rsid w:val="00FC3FE6"/>
    <w:rsid w:val="00FC433A"/>
    <w:rsid w:val="00FC47A4"/>
    <w:rsid w:val="00FC56A6"/>
    <w:rsid w:val="00FC5A15"/>
    <w:rsid w:val="00FC5A3F"/>
    <w:rsid w:val="00FC5B55"/>
    <w:rsid w:val="00FC6F70"/>
    <w:rsid w:val="00FC7748"/>
    <w:rsid w:val="00FC786E"/>
    <w:rsid w:val="00FC7AA9"/>
    <w:rsid w:val="00FD056D"/>
    <w:rsid w:val="00FD0AB4"/>
    <w:rsid w:val="00FD0C0C"/>
    <w:rsid w:val="00FD0D10"/>
    <w:rsid w:val="00FD1AFC"/>
    <w:rsid w:val="00FD2441"/>
    <w:rsid w:val="00FD2FBB"/>
    <w:rsid w:val="00FD3131"/>
    <w:rsid w:val="00FD31F6"/>
    <w:rsid w:val="00FD336B"/>
    <w:rsid w:val="00FD37AA"/>
    <w:rsid w:val="00FD3A1E"/>
    <w:rsid w:val="00FD4C15"/>
    <w:rsid w:val="00FD521E"/>
    <w:rsid w:val="00FD53CB"/>
    <w:rsid w:val="00FD55B3"/>
    <w:rsid w:val="00FD5754"/>
    <w:rsid w:val="00FD5A5D"/>
    <w:rsid w:val="00FD5FEE"/>
    <w:rsid w:val="00FD6B00"/>
    <w:rsid w:val="00FD700C"/>
    <w:rsid w:val="00FD71A2"/>
    <w:rsid w:val="00FD753F"/>
    <w:rsid w:val="00FD75B8"/>
    <w:rsid w:val="00FE1798"/>
    <w:rsid w:val="00FE2C4F"/>
    <w:rsid w:val="00FE30F7"/>
    <w:rsid w:val="00FE3255"/>
    <w:rsid w:val="00FE3A5E"/>
    <w:rsid w:val="00FE42E7"/>
    <w:rsid w:val="00FE5152"/>
    <w:rsid w:val="00FE5198"/>
    <w:rsid w:val="00FE525F"/>
    <w:rsid w:val="00FE552D"/>
    <w:rsid w:val="00FE5DC9"/>
    <w:rsid w:val="00FE6549"/>
    <w:rsid w:val="00FE672C"/>
    <w:rsid w:val="00FE6AEC"/>
    <w:rsid w:val="00FE7241"/>
    <w:rsid w:val="00FE7790"/>
    <w:rsid w:val="00FE7DEA"/>
    <w:rsid w:val="00FF01E7"/>
    <w:rsid w:val="00FF06EF"/>
    <w:rsid w:val="00FF0BC9"/>
    <w:rsid w:val="00FF195C"/>
    <w:rsid w:val="00FF1ECB"/>
    <w:rsid w:val="00FF1F8D"/>
    <w:rsid w:val="00FF247B"/>
    <w:rsid w:val="00FF376A"/>
    <w:rsid w:val="00FF3A1F"/>
    <w:rsid w:val="00FF4216"/>
    <w:rsid w:val="00FF55DD"/>
    <w:rsid w:val="00FF589F"/>
    <w:rsid w:val="00FF6005"/>
    <w:rsid w:val="00FF6749"/>
    <w:rsid w:val="00FF7B34"/>
    <w:rsid w:val="00FF7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FCB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uiPriority="35" w:qFormat="1"/>
    <w:lsdException w:name="table of figures"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2D6F"/>
    <w:pPr>
      <w:jc w:val="both"/>
    </w:pPr>
    <w:rPr>
      <w:rFonts w:ascii="Arial" w:hAnsi="Arial"/>
      <w:sz w:val="24"/>
      <w:szCs w:val="24"/>
    </w:rPr>
  </w:style>
  <w:style w:type="paragraph" w:styleId="Heading1">
    <w:name w:val="heading 1"/>
    <w:basedOn w:val="Normal"/>
    <w:next w:val="Normal"/>
    <w:link w:val="Heading1Char"/>
    <w:qFormat/>
    <w:rsid w:val="00665C7E"/>
    <w:pPr>
      <w:autoSpaceDE w:val="0"/>
      <w:autoSpaceDN w:val="0"/>
      <w:adjustRightInd w:val="0"/>
      <w:outlineLvl w:val="0"/>
    </w:pPr>
    <w:rPr>
      <w:b/>
      <w:bC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link w:val="Heading3Char"/>
    <w:qFormat/>
    <w:rsid w:val="001F0A28"/>
    <w:pPr>
      <w:keepNext/>
      <w:spacing w:before="240" w:after="60" w:line="480" w:lineRule="auto"/>
      <w:outlineLvl w:val="2"/>
    </w:pPr>
    <w:rPr>
      <w:rFonts w:cs="Arial"/>
      <w:b/>
      <w:bCs/>
      <w:i/>
      <w:szCs w:val="26"/>
    </w:rPr>
  </w:style>
  <w:style w:type="paragraph" w:styleId="Heading4">
    <w:name w:val="heading 4"/>
    <w:basedOn w:val="Normal"/>
    <w:next w:val="Normal"/>
    <w:link w:val="Heading4Char"/>
    <w:unhideWhenUsed/>
    <w:qFormat/>
    <w:rsid w:val="000A35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Heading3Char">
    <w:name w:val="Heading 3 Char"/>
    <w:basedOn w:val="DefaultParagraphFont"/>
    <w:link w:val="Heading3"/>
    <w:rsid w:val="0014092C"/>
    <w:rPr>
      <w:rFonts w:ascii="Arial" w:hAnsi="Arial" w:cs="Arial"/>
      <w:b/>
      <w:bCs/>
      <w:i/>
      <w:sz w:val="24"/>
      <w:szCs w:val="26"/>
    </w:rPr>
  </w:style>
  <w:style w:type="character" w:customStyle="1" w:styleId="Heading4Char">
    <w:name w:val="Heading 4 Char"/>
    <w:basedOn w:val="DefaultParagraphFont"/>
    <w:link w:val="Heading4"/>
    <w:rsid w:val="000A35F6"/>
    <w:rPr>
      <w:rFonts w:asciiTheme="majorHAnsi" w:eastAsiaTheme="majorEastAsia" w:hAnsiTheme="majorHAnsi" w:cstheme="majorBidi"/>
      <w:b/>
      <w:bCs/>
      <w:i/>
      <w:iCs/>
      <w:color w:val="4F81BD" w:themeColor="accent1"/>
      <w:sz w:val="24"/>
      <w:szCs w:val="24"/>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character" w:customStyle="1" w:styleId="BodyTextChar">
    <w:name w:val="Body Text Char"/>
    <w:basedOn w:val="DefaultParagraphFont"/>
    <w:link w:val="BodyText"/>
    <w:rsid w:val="00E23CFE"/>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BodyTextIndentChar">
    <w:name w:val="Body Text Indent Char"/>
    <w:basedOn w:val="DefaultParagraphFont"/>
    <w:link w:val="BodyTextIndent"/>
    <w:rsid w:val="00E23CFE"/>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FA45D2"/>
    <w:pPr>
      <w:spacing w:before="120" w:after="120" w:line="480" w:lineRule="auto"/>
    </w:pPr>
    <w:rPr>
      <w:b/>
      <w:bCs/>
      <w:szCs w:val="20"/>
    </w:rPr>
  </w:style>
  <w:style w:type="paragraph" w:styleId="TableofFigures">
    <w:name w:val="table of figures"/>
    <w:basedOn w:val="Normal"/>
    <w:next w:val="Normal"/>
    <w:uiPriority w:val="99"/>
    <w:qFormat/>
    <w:rsid w:val="004030F5"/>
    <w:pPr>
      <w:spacing w:before="120" w:after="120"/>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956B2F"/>
    <w:pPr>
      <w:tabs>
        <w:tab w:val="right" w:leader="dot" w:pos="8630"/>
      </w:tabs>
    </w:pPr>
  </w:style>
  <w:style w:type="paragraph" w:styleId="TOC2">
    <w:name w:val="toc 2"/>
    <w:basedOn w:val="Normal"/>
    <w:next w:val="Normal"/>
    <w:autoRedefine/>
    <w:uiPriority w:val="39"/>
    <w:qFormat/>
    <w:rsid w:val="004030F5"/>
    <w:pPr>
      <w:spacing w:before="120" w:after="120"/>
      <w:ind w:left="240"/>
    </w:pPr>
  </w:style>
  <w:style w:type="paragraph" w:styleId="TOC3">
    <w:name w:val="toc 3"/>
    <w:basedOn w:val="Normal"/>
    <w:next w:val="Normal"/>
    <w:autoRedefine/>
    <w:uiPriority w:val="39"/>
    <w:qFormat/>
    <w:rsid w:val="004030F5"/>
    <w:pPr>
      <w:spacing w:before="120" w:after="120"/>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EndNoteBibliographyTitle">
    <w:name w:val="EndNote Bibliography Title"/>
    <w:basedOn w:val="Normal"/>
    <w:rsid w:val="00460779"/>
    <w:pPr>
      <w:jc w:val="center"/>
    </w:pPr>
    <w:rPr>
      <w:rFonts w:ascii="Times New Roman" w:hAnsi="Times New Roman"/>
    </w:rPr>
  </w:style>
  <w:style w:type="paragraph" w:customStyle="1" w:styleId="EndNoteBibliography">
    <w:name w:val="EndNote Bibliography"/>
    <w:basedOn w:val="Normal"/>
    <w:rsid w:val="00460779"/>
    <w:rPr>
      <w:rFonts w:ascii="Times New Roman" w:hAnsi="Times New Roman"/>
    </w:rPr>
  </w:style>
  <w:style w:type="paragraph" w:styleId="BalloonText">
    <w:name w:val="Balloon Text"/>
    <w:basedOn w:val="Normal"/>
    <w:link w:val="BalloonTextChar"/>
    <w:rsid w:val="0020220F"/>
    <w:rPr>
      <w:rFonts w:ascii="Lucida Grande" w:hAnsi="Lucida Grande"/>
      <w:sz w:val="18"/>
      <w:szCs w:val="18"/>
    </w:rPr>
  </w:style>
  <w:style w:type="character" w:customStyle="1" w:styleId="BalloonTextChar">
    <w:name w:val="Balloon Text Char"/>
    <w:basedOn w:val="DefaultParagraphFont"/>
    <w:link w:val="BalloonText"/>
    <w:rsid w:val="0020220F"/>
    <w:rPr>
      <w:rFonts w:ascii="Lucida Grande" w:hAnsi="Lucida Grande"/>
      <w:sz w:val="18"/>
      <w:szCs w:val="18"/>
    </w:rPr>
  </w:style>
  <w:style w:type="paragraph" w:styleId="NormalWeb">
    <w:name w:val="Normal (Web)"/>
    <w:basedOn w:val="Normal"/>
    <w:uiPriority w:val="99"/>
    <w:unhideWhenUsed/>
    <w:rsid w:val="00933608"/>
    <w:pPr>
      <w:spacing w:before="100" w:beforeAutospacing="1" w:after="100" w:afterAutospacing="1"/>
    </w:pPr>
    <w:rPr>
      <w:rFonts w:ascii="Times" w:hAnsi="Times"/>
      <w:sz w:val="20"/>
      <w:szCs w:val="20"/>
    </w:rPr>
  </w:style>
  <w:style w:type="table" w:styleId="TableGrid">
    <w:name w:val="Table Grid"/>
    <w:basedOn w:val="TableNormal"/>
    <w:rsid w:val="00C003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A6527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character" w:styleId="PlaceholderText">
    <w:name w:val="Placeholder Text"/>
    <w:basedOn w:val="DefaultParagraphFont"/>
    <w:uiPriority w:val="67"/>
    <w:rsid w:val="00553E35"/>
    <w:rPr>
      <w:color w:val="808080"/>
    </w:rPr>
  </w:style>
  <w:style w:type="table" w:styleId="Table3Deffects2">
    <w:name w:val="Table 3D effects 2"/>
    <w:basedOn w:val="TableNormal"/>
    <w:rsid w:val="00DB12B5"/>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1">
    <w:name w:val="Table 3D effects 1"/>
    <w:basedOn w:val="TableNormal"/>
    <w:rsid w:val="00DB12B5"/>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Classic4">
    <w:name w:val="Table Classic 4"/>
    <w:basedOn w:val="TableNormal"/>
    <w:rsid w:val="00DB12B5"/>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lassic3">
    <w:name w:val="Table Classic 3"/>
    <w:basedOn w:val="TableNormal"/>
    <w:rsid w:val="00DB12B5"/>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2">
    <w:name w:val="Table Classic 2"/>
    <w:basedOn w:val="TableNormal"/>
    <w:rsid w:val="00DB12B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LightShading">
    <w:name w:val="Light Shading"/>
    <w:basedOn w:val="TableNormal"/>
    <w:uiPriority w:val="60"/>
    <w:rsid w:val="00CC235D"/>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qFormat/>
    <w:rsid w:val="007D51F6"/>
    <w:rPr>
      <w:b/>
      <w:bCs/>
    </w:rPr>
  </w:style>
  <w:style w:type="character" w:customStyle="1" w:styleId="apple-converted-space">
    <w:name w:val="apple-converted-space"/>
    <w:basedOn w:val="DefaultParagraphFont"/>
    <w:rsid w:val="00103B0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바탕"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uiPriority="35" w:qFormat="1"/>
    <w:lsdException w:name="table of figures" w:uiPriority="99"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0"/>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2D6F"/>
    <w:pPr>
      <w:jc w:val="both"/>
    </w:pPr>
    <w:rPr>
      <w:rFonts w:ascii="Arial" w:hAnsi="Arial"/>
      <w:sz w:val="24"/>
      <w:szCs w:val="24"/>
    </w:rPr>
  </w:style>
  <w:style w:type="paragraph" w:styleId="Heading1">
    <w:name w:val="heading 1"/>
    <w:basedOn w:val="Normal"/>
    <w:next w:val="Normal"/>
    <w:link w:val="Heading1Char"/>
    <w:qFormat/>
    <w:rsid w:val="00665C7E"/>
    <w:pPr>
      <w:autoSpaceDE w:val="0"/>
      <w:autoSpaceDN w:val="0"/>
      <w:adjustRightInd w:val="0"/>
      <w:outlineLvl w:val="0"/>
    </w:pPr>
    <w:rPr>
      <w:b/>
      <w:bC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link w:val="Heading3Char"/>
    <w:qFormat/>
    <w:rsid w:val="001F0A28"/>
    <w:pPr>
      <w:keepNext/>
      <w:spacing w:before="240" w:after="60" w:line="480" w:lineRule="auto"/>
      <w:outlineLvl w:val="2"/>
    </w:pPr>
    <w:rPr>
      <w:rFonts w:cs="Arial"/>
      <w:b/>
      <w:bCs/>
      <w:i/>
      <w:szCs w:val="26"/>
    </w:rPr>
  </w:style>
  <w:style w:type="paragraph" w:styleId="Heading4">
    <w:name w:val="heading 4"/>
    <w:basedOn w:val="Normal"/>
    <w:next w:val="Normal"/>
    <w:link w:val="Heading4Char"/>
    <w:unhideWhenUsed/>
    <w:qFormat/>
    <w:rsid w:val="000A35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Heading3Char">
    <w:name w:val="Heading 3 Char"/>
    <w:basedOn w:val="DefaultParagraphFont"/>
    <w:link w:val="Heading3"/>
    <w:rsid w:val="0014092C"/>
    <w:rPr>
      <w:rFonts w:ascii="Arial" w:hAnsi="Arial" w:cs="Arial"/>
      <w:b/>
      <w:bCs/>
      <w:i/>
      <w:sz w:val="24"/>
      <w:szCs w:val="26"/>
    </w:rPr>
  </w:style>
  <w:style w:type="character" w:customStyle="1" w:styleId="Heading4Char">
    <w:name w:val="Heading 4 Char"/>
    <w:basedOn w:val="DefaultParagraphFont"/>
    <w:link w:val="Heading4"/>
    <w:rsid w:val="000A35F6"/>
    <w:rPr>
      <w:rFonts w:asciiTheme="majorHAnsi" w:eastAsiaTheme="majorEastAsia" w:hAnsiTheme="majorHAnsi" w:cstheme="majorBidi"/>
      <w:b/>
      <w:bCs/>
      <w:i/>
      <w:iCs/>
      <w:color w:val="4F81BD" w:themeColor="accent1"/>
      <w:sz w:val="24"/>
      <w:szCs w:val="24"/>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character" w:customStyle="1" w:styleId="BodyTextChar">
    <w:name w:val="Body Text Char"/>
    <w:basedOn w:val="DefaultParagraphFont"/>
    <w:link w:val="BodyText"/>
    <w:rsid w:val="00E23CFE"/>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BodyTextIndentChar">
    <w:name w:val="Body Text Indent Char"/>
    <w:basedOn w:val="DefaultParagraphFont"/>
    <w:link w:val="BodyTextIndent"/>
    <w:rsid w:val="00E23CFE"/>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FA45D2"/>
    <w:pPr>
      <w:spacing w:before="120" w:after="120" w:line="480" w:lineRule="auto"/>
    </w:pPr>
    <w:rPr>
      <w:b/>
      <w:bCs/>
      <w:szCs w:val="20"/>
    </w:rPr>
  </w:style>
  <w:style w:type="paragraph" w:styleId="TableofFigures">
    <w:name w:val="table of figures"/>
    <w:basedOn w:val="Normal"/>
    <w:next w:val="Normal"/>
    <w:uiPriority w:val="99"/>
    <w:qFormat/>
    <w:rsid w:val="004030F5"/>
    <w:pPr>
      <w:spacing w:before="120" w:after="120"/>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956B2F"/>
    <w:pPr>
      <w:tabs>
        <w:tab w:val="right" w:leader="dot" w:pos="8630"/>
      </w:tabs>
    </w:pPr>
  </w:style>
  <w:style w:type="paragraph" w:styleId="TOC2">
    <w:name w:val="toc 2"/>
    <w:basedOn w:val="Normal"/>
    <w:next w:val="Normal"/>
    <w:autoRedefine/>
    <w:uiPriority w:val="39"/>
    <w:qFormat/>
    <w:rsid w:val="004030F5"/>
    <w:pPr>
      <w:spacing w:before="120" w:after="120"/>
      <w:ind w:left="240"/>
    </w:pPr>
  </w:style>
  <w:style w:type="paragraph" w:styleId="TOC3">
    <w:name w:val="toc 3"/>
    <w:basedOn w:val="Normal"/>
    <w:next w:val="Normal"/>
    <w:autoRedefine/>
    <w:uiPriority w:val="39"/>
    <w:qFormat/>
    <w:rsid w:val="004030F5"/>
    <w:pPr>
      <w:spacing w:before="120" w:after="120"/>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customStyle="1" w:styleId="EndNoteBibliographyTitle">
    <w:name w:val="EndNote Bibliography Title"/>
    <w:basedOn w:val="Normal"/>
    <w:rsid w:val="00460779"/>
    <w:pPr>
      <w:jc w:val="center"/>
    </w:pPr>
    <w:rPr>
      <w:rFonts w:ascii="Times New Roman" w:hAnsi="Times New Roman"/>
    </w:rPr>
  </w:style>
  <w:style w:type="paragraph" w:customStyle="1" w:styleId="EndNoteBibliography">
    <w:name w:val="EndNote Bibliography"/>
    <w:basedOn w:val="Normal"/>
    <w:rsid w:val="00460779"/>
    <w:rPr>
      <w:rFonts w:ascii="Times New Roman" w:hAnsi="Times New Roman"/>
    </w:rPr>
  </w:style>
  <w:style w:type="paragraph" w:styleId="BalloonText">
    <w:name w:val="Balloon Text"/>
    <w:basedOn w:val="Normal"/>
    <w:link w:val="BalloonTextChar"/>
    <w:rsid w:val="0020220F"/>
    <w:rPr>
      <w:rFonts w:ascii="Lucida Grande" w:hAnsi="Lucida Grande"/>
      <w:sz w:val="18"/>
      <w:szCs w:val="18"/>
    </w:rPr>
  </w:style>
  <w:style w:type="character" w:customStyle="1" w:styleId="BalloonTextChar">
    <w:name w:val="Balloon Text Char"/>
    <w:basedOn w:val="DefaultParagraphFont"/>
    <w:link w:val="BalloonText"/>
    <w:rsid w:val="0020220F"/>
    <w:rPr>
      <w:rFonts w:ascii="Lucida Grande" w:hAnsi="Lucida Grande"/>
      <w:sz w:val="18"/>
      <w:szCs w:val="18"/>
    </w:rPr>
  </w:style>
  <w:style w:type="paragraph" w:styleId="NormalWeb">
    <w:name w:val="Normal (Web)"/>
    <w:basedOn w:val="Normal"/>
    <w:uiPriority w:val="99"/>
    <w:unhideWhenUsed/>
    <w:rsid w:val="00933608"/>
    <w:pPr>
      <w:spacing w:before="100" w:beforeAutospacing="1" w:after="100" w:afterAutospacing="1"/>
    </w:pPr>
    <w:rPr>
      <w:rFonts w:ascii="Times" w:hAnsi="Times"/>
      <w:sz w:val="20"/>
      <w:szCs w:val="20"/>
    </w:rPr>
  </w:style>
  <w:style w:type="table" w:styleId="TableGrid">
    <w:name w:val="Table Grid"/>
    <w:basedOn w:val="TableNormal"/>
    <w:rsid w:val="00C003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A6527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character" w:styleId="PlaceholderText">
    <w:name w:val="Placeholder Text"/>
    <w:basedOn w:val="DefaultParagraphFont"/>
    <w:uiPriority w:val="67"/>
    <w:rsid w:val="00553E35"/>
    <w:rPr>
      <w:color w:val="808080"/>
    </w:rPr>
  </w:style>
  <w:style w:type="table" w:styleId="Table3Deffects2">
    <w:name w:val="Table 3D effects 2"/>
    <w:basedOn w:val="TableNormal"/>
    <w:rsid w:val="00DB12B5"/>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1">
    <w:name w:val="Table 3D effects 1"/>
    <w:basedOn w:val="TableNormal"/>
    <w:rsid w:val="00DB12B5"/>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Classic4">
    <w:name w:val="Table Classic 4"/>
    <w:basedOn w:val="TableNormal"/>
    <w:rsid w:val="00DB12B5"/>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lassic3">
    <w:name w:val="Table Classic 3"/>
    <w:basedOn w:val="TableNormal"/>
    <w:rsid w:val="00DB12B5"/>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2">
    <w:name w:val="Table Classic 2"/>
    <w:basedOn w:val="TableNormal"/>
    <w:rsid w:val="00DB12B5"/>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LightShading">
    <w:name w:val="Light Shading"/>
    <w:basedOn w:val="TableNormal"/>
    <w:uiPriority w:val="60"/>
    <w:rsid w:val="00CC235D"/>
    <w:rPr>
      <w:rFonts w:asciiTheme="minorHAnsi" w:eastAsiaTheme="minorEastAsia" w:hAnsiTheme="minorHAnsi" w:cstheme="minorBidi"/>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qFormat/>
    <w:rsid w:val="007D51F6"/>
    <w:rPr>
      <w:b/>
      <w:bCs/>
    </w:rPr>
  </w:style>
  <w:style w:type="character" w:customStyle="1" w:styleId="apple-converted-space">
    <w:name w:val="apple-converted-space"/>
    <w:basedOn w:val="DefaultParagraphFont"/>
    <w:rsid w:val="0010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76336">
      <w:bodyDiv w:val="1"/>
      <w:marLeft w:val="0"/>
      <w:marRight w:val="0"/>
      <w:marTop w:val="0"/>
      <w:marBottom w:val="0"/>
      <w:divBdr>
        <w:top w:val="none" w:sz="0" w:space="0" w:color="auto"/>
        <w:left w:val="none" w:sz="0" w:space="0" w:color="auto"/>
        <w:bottom w:val="none" w:sz="0" w:space="0" w:color="auto"/>
        <w:right w:val="none" w:sz="0" w:space="0" w:color="auto"/>
      </w:divBdr>
      <w:divsChild>
        <w:div w:id="368800879">
          <w:marLeft w:val="0"/>
          <w:marRight w:val="0"/>
          <w:marTop w:val="0"/>
          <w:marBottom w:val="0"/>
          <w:divBdr>
            <w:top w:val="none" w:sz="0" w:space="0" w:color="auto"/>
            <w:left w:val="none" w:sz="0" w:space="0" w:color="auto"/>
            <w:bottom w:val="none" w:sz="0" w:space="0" w:color="auto"/>
            <w:right w:val="none" w:sz="0" w:space="0" w:color="auto"/>
          </w:divBdr>
        </w:div>
      </w:divsChild>
    </w:div>
    <w:div w:id="39716953">
      <w:bodyDiv w:val="1"/>
      <w:marLeft w:val="0"/>
      <w:marRight w:val="0"/>
      <w:marTop w:val="0"/>
      <w:marBottom w:val="0"/>
      <w:divBdr>
        <w:top w:val="none" w:sz="0" w:space="0" w:color="auto"/>
        <w:left w:val="none" w:sz="0" w:space="0" w:color="auto"/>
        <w:bottom w:val="none" w:sz="0" w:space="0" w:color="auto"/>
        <w:right w:val="none" w:sz="0" w:space="0" w:color="auto"/>
      </w:divBdr>
    </w:div>
    <w:div w:id="150682590">
      <w:bodyDiv w:val="1"/>
      <w:marLeft w:val="0"/>
      <w:marRight w:val="0"/>
      <w:marTop w:val="0"/>
      <w:marBottom w:val="0"/>
      <w:divBdr>
        <w:top w:val="none" w:sz="0" w:space="0" w:color="auto"/>
        <w:left w:val="none" w:sz="0" w:space="0" w:color="auto"/>
        <w:bottom w:val="none" w:sz="0" w:space="0" w:color="auto"/>
        <w:right w:val="none" w:sz="0" w:space="0" w:color="auto"/>
      </w:divBdr>
    </w:div>
    <w:div w:id="178155329">
      <w:bodyDiv w:val="1"/>
      <w:marLeft w:val="0"/>
      <w:marRight w:val="0"/>
      <w:marTop w:val="0"/>
      <w:marBottom w:val="0"/>
      <w:divBdr>
        <w:top w:val="none" w:sz="0" w:space="0" w:color="auto"/>
        <w:left w:val="none" w:sz="0" w:space="0" w:color="auto"/>
        <w:bottom w:val="none" w:sz="0" w:space="0" w:color="auto"/>
        <w:right w:val="none" w:sz="0" w:space="0" w:color="auto"/>
      </w:divBdr>
    </w:div>
    <w:div w:id="210701703">
      <w:bodyDiv w:val="1"/>
      <w:marLeft w:val="0"/>
      <w:marRight w:val="0"/>
      <w:marTop w:val="0"/>
      <w:marBottom w:val="0"/>
      <w:divBdr>
        <w:top w:val="none" w:sz="0" w:space="0" w:color="auto"/>
        <w:left w:val="none" w:sz="0" w:space="0" w:color="auto"/>
        <w:bottom w:val="none" w:sz="0" w:space="0" w:color="auto"/>
        <w:right w:val="none" w:sz="0" w:space="0" w:color="auto"/>
      </w:divBdr>
    </w:div>
    <w:div w:id="220017879">
      <w:bodyDiv w:val="1"/>
      <w:marLeft w:val="0"/>
      <w:marRight w:val="0"/>
      <w:marTop w:val="0"/>
      <w:marBottom w:val="0"/>
      <w:divBdr>
        <w:top w:val="none" w:sz="0" w:space="0" w:color="auto"/>
        <w:left w:val="none" w:sz="0" w:space="0" w:color="auto"/>
        <w:bottom w:val="none" w:sz="0" w:space="0" w:color="auto"/>
        <w:right w:val="none" w:sz="0" w:space="0" w:color="auto"/>
      </w:divBdr>
    </w:div>
    <w:div w:id="277761257">
      <w:bodyDiv w:val="1"/>
      <w:marLeft w:val="0"/>
      <w:marRight w:val="0"/>
      <w:marTop w:val="0"/>
      <w:marBottom w:val="0"/>
      <w:divBdr>
        <w:top w:val="none" w:sz="0" w:space="0" w:color="auto"/>
        <w:left w:val="none" w:sz="0" w:space="0" w:color="auto"/>
        <w:bottom w:val="none" w:sz="0" w:space="0" w:color="auto"/>
        <w:right w:val="none" w:sz="0" w:space="0" w:color="auto"/>
      </w:divBdr>
    </w:div>
    <w:div w:id="279459156">
      <w:bodyDiv w:val="1"/>
      <w:marLeft w:val="0"/>
      <w:marRight w:val="0"/>
      <w:marTop w:val="0"/>
      <w:marBottom w:val="0"/>
      <w:divBdr>
        <w:top w:val="none" w:sz="0" w:space="0" w:color="auto"/>
        <w:left w:val="none" w:sz="0" w:space="0" w:color="auto"/>
        <w:bottom w:val="none" w:sz="0" w:space="0" w:color="auto"/>
        <w:right w:val="none" w:sz="0" w:space="0" w:color="auto"/>
      </w:divBdr>
    </w:div>
    <w:div w:id="442650797">
      <w:bodyDiv w:val="1"/>
      <w:marLeft w:val="0"/>
      <w:marRight w:val="0"/>
      <w:marTop w:val="0"/>
      <w:marBottom w:val="0"/>
      <w:divBdr>
        <w:top w:val="none" w:sz="0" w:space="0" w:color="auto"/>
        <w:left w:val="none" w:sz="0" w:space="0" w:color="auto"/>
        <w:bottom w:val="none" w:sz="0" w:space="0" w:color="auto"/>
        <w:right w:val="none" w:sz="0" w:space="0" w:color="auto"/>
      </w:divBdr>
      <w:divsChild>
        <w:div w:id="965501603">
          <w:marLeft w:val="0"/>
          <w:marRight w:val="0"/>
          <w:marTop w:val="0"/>
          <w:marBottom w:val="0"/>
          <w:divBdr>
            <w:top w:val="none" w:sz="0" w:space="0" w:color="auto"/>
            <w:left w:val="none" w:sz="0" w:space="0" w:color="auto"/>
            <w:bottom w:val="none" w:sz="0" w:space="0" w:color="auto"/>
            <w:right w:val="none" w:sz="0" w:space="0" w:color="auto"/>
          </w:divBdr>
        </w:div>
      </w:divsChild>
    </w:div>
    <w:div w:id="483666576">
      <w:bodyDiv w:val="1"/>
      <w:marLeft w:val="0"/>
      <w:marRight w:val="0"/>
      <w:marTop w:val="0"/>
      <w:marBottom w:val="0"/>
      <w:divBdr>
        <w:top w:val="none" w:sz="0" w:space="0" w:color="auto"/>
        <w:left w:val="none" w:sz="0" w:space="0" w:color="auto"/>
        <w:bottom w:val="none" w:sz="0" w:space="0" w:color="auto"/>
        <w:right w:val="none" w:sz="0" w:space="0" w:color="auto"/>
      </w:divBdr>
    </w:div>
    <w:div w:id="488136465">
      <w:bodyDiv w:val="1"/>
      <w:marLeft w:val="0"/>
      <w:marRight w:val="0"/>
      <w:marTop w:val="0"/>
      <w:marBottom w:val="0"/>
      <w:divBdr>
        <w:top w:val="none" w:sz="0" w:space="0" w:color="auto"/>
        <w:left w:val="none" w:sz="0" w:space="0" w:color="auto"/>
        <w:bottom w:val="none" w:sz="0" w:space="0" w:color="auto"/>
        <w:right w:val="none" w:sz="0" w:space="0" w:color="auto"/>
      </w:divBdr>
    </w:div>
    <w:div w:id="493306087">
      <w:bodyDiv w:val="1"/>
      <w:marLeft w:val="0"/>
      <w:marRight w:val="0"/>
      <w:marTop w:val="0"/>
      <w:marBottom w:val="0"/>
      <w:divBdr>
        <w:top w:val="none" w:sz="0" w:space="0" w:color="auto"/>
        <w:left w:val="none" w:sz="0" w:space="0" w:color="auto"/>
        <w:bottom w:val="none" w:sz="0" w:space="0" w:color="auto"/>
        <w:right w:val="none" w:sz="0" w:space="0" w:color="auto"/>
      </w:divBdr>
    </w:div>
    <w:div w:id="497814900">
      <w:bodyDiv w:val="1"/>
      <w:marLeft w:val="0"/>
      <w:marRight w:val="0"/>
      <w:marTop w:val="0"/>
      <w:marBottom w:val="0"/>
      <w:divBdr>
        <w:top w:val="none" w:sz="0" w:space="0" w:color="auto"/>
        <w:left w:val="none" w:sz="0" w:space="0" w:color="auto"/>
        <w:bottom w:val="none" w:sz="0" w:space="0" w:color="auto"/>
        <w:right w:val="none" w:sz="0" w:space="0" w:color="auto"/>
      </w:divBdr>
    </w:div>
    <w:div w:id="51507414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6907805">
      <w:bodyDiv w:val="1"/>
      <w:marLeft w:val="0"/>
      <w:marRight w:val="0"/>
      <w:marTop w:val="0"/>
      <w:marBottom w:val="0"/>
      <w:divBdr>
        <w:top w:val="none" w:sz="0" w:space="0" w:color="auto"/>
        <w:left w:val="none" w:sz="0" w:space="0" w:color="auto"/>
        <w:bottom w:val="none" w:sz="0" w:space="0" w:color="auto"/>
        <w:right w:val="none" w:sz="0" w:space="0" w:color="auto"/>
      </w:divBdr>
    </w:div>
    <w:div w:id="705636719">
      <w:bodyDiv w:val="1"/>
      <w:marLeft w:val="0"/>
      <w:marRight w:val="0"/>
      <w:marTop w:val="0"/>
      <w:marBottom w:val="0"/>
      <w:divBdr>
        <w:top w:val="none" w:sz="0" w:space="0" w:color="auto"/>
        <w:left w:val="none" w:sz="0" w:space="0" w:color="auto"/>
        <w:bottom w:val="none" w:sz="0" w:space="0" w:color="auto"/>
        <w:right w:val="none" w:sz="0" w:space="0" w:color="auto"/>
      </w:divBdr>
    </w:div>
    <w:div w:id="707342659">
      <w:bodyDiv w:val="1"/>
      <w:marLeft w:val="0"/>
      <w:marRight w:val="0"/>
      <w:marTop w:val="0"/>
      <w:marBottom w:val="0"/>
      <w:divBdr>
        <w:top w:val="none" w:sz="0" w:space="0" w:color="auto"/>
        <w:left w:val="none" w:sz="0" w:space="0" w:color="auto"/>
        <w:bottom w:val="none" w:sz="0" w:space="0" w:color="auto"/>
        <w:right w:val="none" w:sz="0" w:space="0" w:color="auto"/>
      </w:divBdr>
    </w:div>
    <w:div w:id="760763561">
      <w:bodyDiv w:val="1"/>
      <w:marLeft w:val="0"/>
      <w:marRight w:val="0"/>
      <w:marTop w:val="0"/>
      <w:marBottom w:val="0"/>
      <w:divBdr>
        <w:top w:val="none" w:sz="0" w:space="0" w:color="auto"/>
        <w:left w:val="none" w:sz="0" w:space="0" w:color="auto"/>
        <w:bottom w:val="none" w:sz="0" w:space="0" w:color="auto"/>
        <w:right w:val="none" w:sz="0" w:space="0" w:color="auto"/>
      </w:divBdr>
      <w:divsChild>
        <w:div w:id="1633975122">
          <w:marLeft w:val="0"/>
          <w:marRight w:val="0"/>
          <w:marTop w:val="0"/>
          <w:marBottom w:val="0"/>
          <w:divBdr>
            <w:top w:val="none" w:sz="0" w:space="0" w:color="auto"/>
            <w:left w:val="none" w:sz="0" w:space="0" w:color="auto"/>
            <w:bottom w:val="none" w:sz="0" w:space="0" w:color="auto"/>
            <w:right w:val="none" w:sz="0" w:space="0" w:color="auto"/>
          </w:divBdr>
          <w:divsChild>
            <w:div w:id="99374537">
              <w:marLeft w:val="0"/>
              <w:marRight w:val="0"/>
              <w:marTop w:val="0"/>
              <w:marBottom w:val="0"/>
              <w:divBdr>
                <w:top w:val="none" w:sz="0" w:space="0" w:color="auto"/>
                <w:left w:val="none" w:sz="0" w:space="0" w:color="auto"/>
                <w:bottom w:val="none" w:sz="0" w:space="0" w:color="auto"/>
                <w:right w:val="none" w:sz="0" w:space="0" w:color="auto"/>
              </w:divBdr>
            </w:div>
            <w:div w:id="457991292">
              <w:marLeft w:val="0"/>
              <w:marRight w:val="0"/>
              <w:marTop w:val="0"/>
              <w:marBottom w:val="0"/>
              <w:divBdr>
                <w:top w:val="none" w:sz="0" w:space="0" w:color="auto"/>
                <w:left w:val="none" w:sz="0" w:space="0" w:color="auto"/>
                <w:bottom w:val="none" w:sz="0" w:space="0" w:color="auto"/>
                <w:right w:val="none" w:sz="0" w:space="0" w:color="auto"/>
              </w:divBdr>
            </w:div>
            <w:div w:id="296036567">
              <w:marLeft w:val="0"/>
              <w:marRight w:val="0"/>
              <w:marTop w:val="0"/>
              <w:marBottom w:val="0"/>
              <w:divBdr>
                <w:top w:val="none" w:sz="0" w:space="0" w:color="auto"/>
                <w:left w:val="none" w:sz="0" w:space="0" w:color="auto"/>
                <w:bottom w:val="none" w:sz="0" w:space="0" w:color="auto"/>
                <w:right w:val="none" w:sz="0" w:space="0" w:color="auto"/>
              </w:divBdr>
            </w:div>
            <w:div w:id="1360930124">
              <w:marLeft w:val="0"/>
              <w:marRight w:val="0"/>
              <w:marTop w:val="0"/>
              <w:marBottom w:val="0"/>
              <w:divBdr>
                <w:top w:val="none" w:sz="0" w:space="0" w:color="auto"/>
                <w:left w:val="none" w:sz="0" w:space="0" w:color="auto"/>
                <w:bottom w:val="none" w:sz="0" w:space="0" w:color="auto"/>
                <w:right w:val="none" w:sz="0" w:space="0" w:color="auto"/>
              </w:divBdr>
            </w:div>
            <w:div w:id="1506819012">
              <w:marLeft w:val="0"/>
              <w:marRight w:val="0"/>
              <w:marTop w:val="0"/>
              <w:marBottom w:val="0"/>
              <w:divBdr>
                <w:top w:val="none" w:sz="0" w:space="0" w:color="auto"/>
                <w:left w:val="none" w:sz="0" w:space="0" w:color="auto"/>
                <w:bottom w:val="none" w:sz="0" w:space="0" w:color="auto"/>
                <w:right w:val="none" w:sz="0" w:space="0" w:color="auto"/>
              </w:divBdr>
            </w:div>
            <w:div w:id="1626235323">
              <w:marLeft w:val="0"/>
              <w:marRight w:val="0"/>
              <w:marTop w:val="0"/>
              <w:marBottom w:val="0"/>
              <w:divBdr>
                <w:top w:val="none" w:sz="0" w:space="0" w:color="auto"/>
                <w:left w:val="none" w:sz="0" w:space="0" w:color="auto"/>
                <w:bottom w:val="none" w:sz="0" w:space="0" w:color="auto"/>
                <w:right w:val="none" w:sz="0" w:space="0" w:color="auto"/>
              </w:divBdr>
            </w:div>
            <w:div w:id="1496066561">
              <w:marLeft w:val="0"/>
              <w:marRight w:val="0"/>
              <w:marTop w:val="0"/>
              <w:marBottom w:val="0"/>
              <w:divBdr>
                <w:top w:val="none" w:sz="0" w:space="0" w:color="auto"/>
                <w:left w:val="none" w:sz="0" w:space="0" w:color="auto"/>
                <w:bottom w:val="none" w:sz="0" w:space="0" w:color="auto"/>
                <w:right w:val="none" w:sz="0" w:space="0" w:color="auto"/>
              </w:divBdr>
            </w:div>
            <w:div w:id="144668751">
              <w:marLeft w:val="0"/>
              <w:marRight w:val="0"/>
              <w:marTop w:val="0"/>
              <w:marBottom w:val="0"/>
              <w:divBdr>
                <w:top w:val="none" w:sz="0" w:space="0" w:color="auto"/>
                <w:left w:val="none" w:sz="0" w:space="0" w:color="auto"/>
                <w:bottom w:val="none" w:sz="0" w:space="0" w:color="auto"/>
                <w:right w:val="none" w:sz="0" w:space="0" w:color="auto"/>
              </w:divBdr>
            </w:div>
            <w:div w:id="632752537">
              <w:marLeft w:val="0"/>
              <w:marRight w:val="0"/>
              <w:marTop w:val="0"/>
              <w:marBottom w:val="0"/>
              <w:divBdr>
                <w:top w:val="none" w:sz="0" w:space="0" w:color="auto"/>
                <w:left w:val="none" w:sz="0" w:space="0" w:color="auto"/>
                <w:bottom w:val="none" w:sz="0" w:space="0" w:color="auto"/>
                <w:right w:val="none" w:sz="0" w:space="0" w:color="auto"/>
              </w:divBdr>
            </w:div>
            <w:div w:id="1025860083">
              <w:marLeft w:val="0"/>
              <w:marRight w:val="0"/>
              <w:marTop w:val="0"/>
              <w:marBottom w:val="0"/>
              <w:divBdr>
                <w:top w:val="none" w:sz="0" w:space="0" w:color="auto"/>
                <w:left w:val="none" w:sz="0" w:space="0" w:color="auto"/>
                <w:bottom w:val="none" w:sz="0" w:space="0" w:color="auto"/>
                <w:right w:val="none" w:sz="0" w:space="0" w:color="auto"/>
              </w:divBdr>
            </w:div>
            <w:div w:id="1005715630">
              <w:marLeft w:val="0"/>
              <w:marRight w:val="0"/>
              <w:marTop w:val="0"/>
              <w:marBottom w:val="0"/>
              <w:divBdr>
                <w:top w:val="none" w:sz="0" w:space="0" w:color="auto"/>
                <w:left w:val="none" w:sz="0" w:space="0" w:color="auto"/>
                <w:bottom w:val="none" w:sz="0" w:space="0" w:color="auto"/>
                <w:right w:val="none" w:sz="0" w:space="0" w:color="auto"/>
              </w:divBdr>
            </w:div>
            <w:div w:id="764881369">
              <w:marLeft w:val="0"/>
              <w:marRight w:val="0"/>
              <w:marTop w:val="0"/>
              <w:marBottom w:val="0"/>
              <w:divBdr>
                <w:top w:val="none" w:sz="0" w:space="0" w:color="auto"/>
                <w:left w:val="none" w:sz="0" w:space="0" w:color="auto"/>
                <w:bottom w:val="none" w:sz="0" w:space="0" w:color="auto"/>
                <w:right w:val="none" w:sz="0" w:space="0" w:color="auto"/>
              </w:divBdr>
            </w:div>
            <w:div w:id="2014990090">
              <w:marLeft w:val="0"/>
              <w:marRight w:val="0"/>
              <w:marTop w:val="0"/>
              <w:marBottom w:val="0"/>
              <w:divBdr>
                <w:top w:val="none" w:sz="0" w:space="0" w:color="auto"/>
                <w:left w:val="none" w:sz="0" w:space="0" w:color="auto"/>
                <w:bottom w:val="none" w:sz="0" w:space="0" w:color="auto"/>
                <w:right w:val="none" w:sz="0" w:space="0" w:color="auto"/>
              </w:divBdr>
            </w:div>
            <w:div w:id="1176575799">
              <w:marLeft w:val="0"/>
              <w:marRight w:val="0"/>
              <w:marTop w:val="0"/>
              <w:marBottom w:val="0"/>
              <w:divBdr>
                <w:top w:val="none" w:sz="0" w:space="0" w:color="auto"/>
                <w:left w:val="none" w:sz="0" w:space="0" w:color="auto"/>
                <w:bottom w:val="none" w:sz="0" w:space="0" w:color="auto"/>
                <w:right w:val="none" w:sz="0" w:space="0" w:color="auto"/>
              </w:divBdr>
            </w:div>
            <w:div w:id="348145224">
              <w:marLeft w:val="0"/>
              <w:marRight w:val="0"/>
              <w:marTop w:val="0"/>
              <w:marBottom w:val="0"/>
              <w:divBdr>
                <w:top w:val="none" w:sz="0" w:space="0" w:color="auto"/>
                <w:left w:val="none" w:sz="0" w:space="0" w:color="auto"/>
                <w:bottom w:val="none" w:sz="0" w:space="0" w:color="auto"/>
                <w:right w:val="none" w:sz="0" w:space="0" w:color="auto"/>
              </w:divBdr>
            </w:div>
            <w:div w:id="1307011681">
              <w:marLeft w:val="0"/>
              <w:marRight w:val="0"/>
              <w:marTop w:val="0"/>
              <w:marBottom w:val="0"/>
              <w:divBdr>
                <w:top w:val="none" w:sz="0" w:space="0" w:color="auto"/>
                <w:left w:val="none" w:sz="0" w:space="0" w:color="auto"/>
                <w:bottom w:val="none" w:sz="0" w:space="0" w:color="auto"/>
                <w:right w:val="none" w:sz="0" w:space="0" w:color="auto"/>
              </w:divBdr>
            </w:div>
            <w:div w:id="788164141">
              <w:marLeft w:val="0"/>
              <w:marRight w:val="0"/>
              <w:marTop w:val="0"/>
              <w:marBottom w:val="0"/>
              <w:divBdr>
                <w:top w:val="none" w:sz="0" w:space="0" w:color="auto"/>
                <w:left w:val="none" w:sz="0" w:space="0" w:color="auto"/>
                <w:bottom w:val="none" w:sz="0" w:space="0" w:color="auto"/>
                <w:right w:val="none" w:sz="0" w:space="0" w:color="auto"/>
              </w:divBdr>
            </w:div>
            <w:div w:id="1509566012">
              <w:marLeft w:val="0"/>
              <w:marRight w:val="0"/>
              <w:marTop w:val="0"/>
              <w:marBottom w:val="0"/>
              <w:divBdr>
                <w:top w:val="none" w:sz="0" w:space="0" w:color="auto"/>
                <w:left w:val="none" w:sz="0" w:space="0" w:color="auto"/>
                <w:bottom w:val="none" w:sz="0" w:space="0" w:color="auto"/>
                <w:right w:val="none" w:sz="0" w:space="0" w:color="auto"/>
              </w:divBdr>
            </w:div>
            <w:div w:id="1414667192">
              <w:marLeft w:val="0"/>
              <w:marRight w:val="0"/>
              <w:marTop w:val="0"/>
              <w:marBottom w:val="0"/>
              <w:divBdr>
                <w:top w:val="none" w:sz="0" w:space="0" w:color="auto"/>
                <w:left w:val="none" w:sz="0" w:space="0" w:color="auto"/>
                <w:bottom w:val="none" w:sz="0" w:space="0" w:color="auto"/>
                <w:right w:val="none" w:sz="0" w:space="0" w:color="auto"/>
              </w:divBdr>
            </w:div>
            <w:div w:id="1834445976">
              <w:marLeft w:val="0"/>
              <w:marRight w:val="0"/>
              <w:marTop w:val="0"/>
              <w:marBottom w:val="0"/>
              <w:divBdr>
                <w:top w:val="none" w:sz="0" w:space="0" w:color="auto"/>
                <w:left w:val="none" w:sz="0" w:space="0" w:color="auto"/>
                <w:bottom w:val="none" w:sz="0" w:space="0" w:color="auto"/>
                <w:right w:val="none" w:sz="0" w:space="0" w:color="auto"/>
              </w:divBdr>
            </w:div>
            <w:div w:id="533230314">
              <w:marLeft w:val="0"/>
              <w:marRight w:val="0"/>
              <w:marTop w:val="0"/>
              <w:marBottom w:val="0"/>
              <w:divBdr>
                <w:top w:val="none" w:sz="0" w:space="0" w:color="auto"/>
                <w:left w:val="none" w:sz="0" w:space="0" w:color="auto"/>
                <w:bottom w:val="none" w:sz="0" w:space="0" w:color="auto"/>
                <w:right w:val="none" w:sz="0" w:space="0" w:color="auto"/>
              </w:divBdr>
            </w:div>
            <w:div w:id="777989742">
              <w:marLeft w:val="0"/>
              <w:marRight w:val="0"/>
              <w:marTop w:val="0"/>
              <w:marBottom w:val="0"/>
              <w:divBdr>
                <w:top w:val="none" w:sz="0" w:space="0" w:color="auto"/>
                <w:left w:val="none" w:sz="0" w:space="0" w:color="auto"/>
                <w:bottom w:val="none" w:sz="0" w:space="0" w:color="auto"/>
                <w:right w:val="none" w:sz="0" w:space="0" w:color="auto"/>
              </w:divBdr>
            </w:div>
            <w:div w:id="1236891007">
              <w:marLeft w:val="0"/>
              <w:marRight w:val="0"/>
              <w:marTop w:val="0"/>
              <w:marBottom w:val="0"/>
              <w:divBdr>
                <w:top w:val="none" w:sz="0" w:space="0" w:color="auto"/>
                <w:left w:val="none" w:sz="0" w:space="0" w:color="auto"/>
                <w:bottom w:val="none" w:sz="0" w:space="0" w:color="auto"/>
                <w:right w:val="none" w:sz="0" w:space="0" w:color="auto"/>
              </w:divBdr>
            </w:div>
            <w:div w:id="1093210193">
              <w:marLeft w:val="0"/>
              <w:marRight w:val="0"/>
              <w:marTop w:val="0"/>
              <w:marBottom w:val="0"/>
              <w:divBdr>
                <w:top w:val="none" w:sz="0" w:space="0" w:color="auto"/>
                <w:left w:val="none" w:sz="0" w:space="0" w:color="auto"/>
                <w:bottom w:val="none" w:sz="0" w:space="0" w:color="auto"/>
                <w:right w:val="none" w:sz="0" w:space="0" w:color="auto"/>
              </w:divBdr>
            </w:div>
            <w:div w:id="2048866125">
              <w:marLeft w:val="0"/>
              <w:marRight w:val="0"/>
              <w:marTop w:val="0"/>
              <w:marBottom w:val="0"/>
              <w:divBdr>
                <w:top w:val="none" w:sz="0" w:space="0" w:color="auto"/>
                <w:left w:val="none" w:sz="0" w:space="0" w:color="auto"/>
                <w:bottom w:val="none" w:sz="0" w:space="0" w:color="auto"/>
                <w:right w:val="none" w:sz="0" w:space="0" w:color="auto"/>
              </w:divBdr>
            </w:div>
            <w:div w:id="366949700">
              <w:marLeft w:val="0"/>
              <w:marRight w:val="0"/>
              <w:marTop w:val="0"/>
              <w:marBottom w:val="0"/>
              <w:divBdr>
                <w:top w:val="none" w:sz="0" w:space="0" w:color="auto"/>
                <w:left w:val="none" w:sz="0" w:space="0" w:color="auto"/>
                <w:bottom w:val="none" w:sz="0" w:space="0" w:color="auto"/>
                <w:right w:val="none" w:sz="0" w:space="0" w:color="auto"/>
              </w:divBdr>
            </w:div>
            <w:div w:id="269091458">
              <w:marLeft w:val="0"/>
              <w:marRight w:val="0"/>
              <w:marTop w:val="0"/>
              <w:marBottom w:val="0"/>
              <w:divBdr>
                <w:top w:val="none" w:sz="0" w:space="0" w:color="auto"/>
                <w:left w:val="none" w:sz="0" w:space="0" w:color="auto"/>
                <w:bottom w:val="none" w:sz="0" w:space="0" w:color="auto"/>
                <w:right w:val="none" w:sz="0" w:space="0" w:color="auto"/>
              </w:divBdr>
            </w:div>
            <w:div w:id="1333221912">
              <w:marLeft w:val="0"/>
              <w:marRight w:val="0"/>
              <w:marTop w:val="0"/>
              <w:marBottom w:val="0"/>
              <w:divBdr>
                <w:top w:val="none" w:sz="0" w:space="0" w:color="auto"/>
                <w:left w:val="none" w:sz="0" w:space="0" w:color="auto"/>
                <w:bottom w:val="none" w:sz="0" w:space="0" w:color="auto"/>
                <w:right w:val="none" w:sz="0" w:space="0" w:color="auto"/>
              </w:divBdr>
            </w:div>
            <w:div w:id="1645501862">
              <w:marLeft w:val="0"/>
              <w:marRight w:val="0"/>
              <w:marTop w:val="0"/>
              <w:marBottom w:val="0"/>
              <w:divBdr>
                <w:top w:val="none" w:sz="0" w:space="0" w:color="auto"/>
                <w:left w:val="none" w:sz="0" w:space="0" w:color="auto"/>
                <w:bottom w:val="none" w:sz="0" w:space="0" w:color="auto"/>
                <w:right w:val="none" w:sz="0" w:space="0" w:color="auto"/>
              </w:divBdr>
            </w:div>
            <w:div w:id="1110665149">
              <w:marLeft w:val="0"/>
              <w:marRight w:val="0"/>
              <w:marTop w:val="0"/>
              <w:marBottom w:val="0"/>
              <w:divBdr>
                <w:top w:val="none" w:sz="0" w:space="0" w:color="auto"/>
                <w:left w:val="none" w:sz="0" w:space="0" w:color="auto"/>
                <w:bottom w:val="none" w:sz="0" w:space="0" w:color="auto"/>
                <w:right w:val="none" w:sz="0" w:space="0" w:color="auto"/>
              </w:divBdr>
            </w:div>
            <w:div w:id="1591545667">
              <w:marLeft w:val="0"/>
              <w:marRight w:val="0"/>
              <w:marTop w:val="0"/>
              <w:marBottom w:val="0"/>
              <w:divBdr>
                <w:top w:val="none" w:sz="0" w:space="0" w:color="auto"/>
                <w:left w:val="none" w:sz="0" w:space="0" w:color="auto"/>
                <w:bottom w:val="none" w:sz="0" w:space="0" w:color="auto"/>
                <w:right w:val="none" w:sz="0" w:space="0" w:color="auto"/>
              </w:divBdr>
            </w:div>
            <w:div w:id="176893514">
              <w:marLeft w:val="0"/>
              <w:marRight w:val="0"/>
              <w:marTop w:val="0"/>
              <w:marBottom w:val="0"/>
              <w:divBdr>
                <w:top w:val="none" w:sz="0" w:space="0" w:color="auto"/>
                <w:left w:val="none" w:sz="0" w:space="0" w:color="auto"/>
                <w:bottom w:val="none" w:sz="0" w:space="0" w:color="auto"/>
                <w:right w:val="none" w:sz="0" w:space="0" w:color="auto"/>
              </w:divBdr>
            </w:div>
            <w:div w:id="1967662353">
              <w:marLeft w:val="0"/>
              <w:marRight w:val="0"/>
              <w:marTop w:val="0"/>
              <w:marBottom w:val="0"/>
              <w:divBdr>
                <w:top w:val="none" w:sz="0" w:space="0" w:color="auto"/>
                <w:left w:val="none" w:sz="0" w:space="0" w:color="auto"/>
                <w:bottom w:val="none" w:sz="0" w:space="0" w:color="auto"/>
                <w:right w:val="none" w:sz="0" w:space="0" w:color="auto"/>
              </w:divBdr>
            </w:div>
            <w:div w:id="524712780">
              <w:marLeft w:val="0"/>
              <w:marRight w:val="0"/>
              <w:marTop w:val="0"/>
              <w:marBottom w:val="0"/>
              <w:divBdr>
                <w:top w:val="none" w:sz="0" w:space="0" w:color="auto"/>
                <w:left w:val="none" w:sz="0" w:space="0" w:color="auto"/>
                <w:bottom w:val="none" w:sz="0" w:space="0" w:color="auto"/>
                <w:right w:val="none" w:sz="0" w:space="0" w:color="auto"/>
              </w:divBdr>
            </w:div>
            <w:div w:id="917792305">
              <w:marLeft w:val="0"/>
              <w:marRight w:val="0"/>
              <w:marTop w:val="0"/>
              <w:marBottom w:val="0"/>
              <w:divBdr>
                <w:top w:val="none" w:sz="0" w:space="0" w:color="auto"/>
                <w:left w:val="none" w:sz="0" w:space="0" w:color="auto"/>
                <w:bottom w:val="none" w:sz="0" w:space="0" w:color="auto"/>
                <w:right w:val="none" w:sz="0" w:space="0" w:color="auto"/>
              </w:divBdr>
            </w:div>
            <w:div w:id="82338914">
              <w:marLeft w:val="0"/>
              <w:marRight w:val="0"/>
              <w:marTop w:val="0"/>
              <w:marBottom w:val="0"/>
              <w:divBdr>
                <w:top w:val="none" w:sz="0" w:space="0" w:color="auto"/>
                <w:left w:val="none" w:sz="0" w:space="0" w:color="auto"/>
                <w:bottom w:val="none" w:sz="0" w:space="0" w:color="auto"/>
                <w:right w:val="none" w:sz="0" w:space="0" w:color="auto"/>
              </w:divBdr>
            </w:div>
            <w:div w:id="441920816">
              <w:marLeft w:val="0"/>
              <w:marRight w:val="0"/>
              <w:marTop w:val="0"/>
              <w:marBottom w:val="0"/>
              <w:divBdr>
                <w:top w:val="none" w:sz="0" w:space="0" w:color="auto"/>
                <w:left w:val="none" w:sz="0" w:space="0" w:color="auto"/>
                <w:bottom w:val="none" w:sz="0" w:space="0" w:color="auto"/>
                <w:right w:val="none" w:sz="0" w:space="0" w:color="auto"/>
              </w:divBdr>
            </w:div>
            <w:div w:id="289822706">
              <w:marLeft w:val="0"/>
              <w:marRight w:val="0"/>
              <w:marTop w:val="0"/>
              <w:marBottom w:val="0"/>
              <w:divBdr>
                <w:top w:val="none" w:sz="0" w:space="0" w:color="auto"/>
                <w:left w:val="none" w:sz="0" w:space="0" w:color="auto"/>
                <w:bottom w:val="none" w:sz="0" w:space="0" w:color="auto"/>
                <w:right w:val="none" w:sz="0" w:space="0" w:color="auto"/>
              </w:divBdr>
            </w:div>
            <w:div w:id="2002999809">
              <w:marLeft w:val="0"/>
              <w:marRight w:val="0"/>
              <w:marTop w:val="0"/>
              <w:marBottom w:val="0"/>
              <w:divBdr>
                <w:top w:val="none" w:sz="0" w:space="0" w:color="auto"/>
                <w:left w:val="none" w:sz="0" w:space="0" w:color="auto"/>
                <w:bottom w:val="none" w:sz="0" w:space="0" w:color="auto"/>
                <w:right w:val="none" w:sz="0" w:space="0" w:color="auto"/>
              </w:divBdr>
            </w:div>
            <w:div w:id="159349370">
              <w:marLeft w:val="0"/>
              <w:marRight w:val="0"/>
              <w:marTop w:val="0"/>
              <w:marBottom w:val="0"/>
              <w:divBdr>
                <w:top w:val="none" w:sz="0" w:space="0" w:color="auto"/>
                <w:left w:val="none" w:sz="0" w:space="0" w:color="auto"/>
                <w:bottom w:val="none" w:sz="0" w:space="0" w:color="auto"/>
                <w:right w:val="none" w:sz="0" w:space="0" w:color="auto"/>
              </w:divBdr>
            </w:div>
            <w:div w:id="1048844202">
              <w:marLeft w:val="0"/>
              <w:marRight w:val="0"/>
              <w:marTop w:val="0"/>
              <w:marBottom w:val="0"/>
              <w:divBdr>
                <w:top w:val="none" w:sz="0" w:space="0" w:color="auto"/>
                <w:left w:val="none" w:sz="0" w:space="0" w:color="auto"/>
                <w:bottom w:val="none" w:sz="0" w:space="0" w:color="auto"/>
                <w:right w:val="none" w:sz="0" w:space="0" w:color="auto"/>
              </w:divBdr>
            </w:div>
            <w:div w:id="1366708816">
              <w:marLeft w:val="0"/>
              <w:marRight w:val="0"/>
              <w:marTop w:val="0"/>
              <w:marBottom w:val="0"/>
              <w:divBdr>
                <w:top w:val="none" w:sz="0" w:space="0" w:color="auto"/>
                <w:left w:val="none" w:sz="0" w:space="0" w:color="auto"/>
                <w:bottom w:val="none" w:sz="0" w:space="0" w:color="auto"/>
                <w:right w:val="none" w:sz="0" w:space="0" w:color="auto"/>
              </w:divBdr>
            </w:div>
            <w:div w:id="1654337539">
              <w:marLeft w:val="0"/>
              <w:marRight w:val="0"/>
              <w:marTop w:val="0"/>
              <w:marBottom w:val="0"/>
              <w:divBdr>
                <w:top w:val="none" w:sz="0" w:space="0" w:color="auto"/>
                <w:left w:val="none" w:sz="0" w:space="0" w:color="auto"/>
                <w:bottom w:val="none" w:sz="0" w:space="0" w:color="auto"/>
                <w:right w:val="none" w:sz="0" w:space="0" w:color="auto"/>
              </w:divBdr>
            </w:div>
            <w:div w:id="196429176">
              <w:marLeft w:val="0"/>
              <w:marRight w:val="0"/>
              <w:marTop w:val="0"/>
              <w:marBottom w:val="0"/>
              <w:divBdr>
                <w:top w:val="none" w:sz="0" w:space="0" w:color="auto"/>
                <w:left w:val="none" w:sz="0" w:space="0" w:color="auto"/>
                <w:bottom w:val="none" w:sz="0" w:space="0" w:color="auto"/>
                <w:right w:val="none" w:sz="0" w:space="0" w:color="auto"/>
              </w:divBdr>
            </w:div>
            <w:div w:id="395707452">
              <w:marLeft w:val="0"/>
              <w:marRight w:val="0"/>
              <w:marTop w:val="0"/>
              <w:marBottom w:val="0"/>
              <w:divBdr>
                <w:top w:val="none" w:sz="0" w:space="0" w:color="auto"/>
                <w:left w:val="none" w:sz="0" w:space="0" w:color="auto"/>
                <w:bottom w:val="none" w:sz="0" w:space="0" w:color="auto"/>
                <w:right w:val="none" w:sz="0" w:space="0" w:color="auto"/>
              </w:divBdr>
            </w:div>
            <w:div w:id="163208399">
              <w:marLeft w:val="0"/>
              <w:marRight w:val="0"/>
              <w:marTop w:val="0"/>
              <w:marBottom w:val="0"/>
              <w:divBdr>
                <w:top w:val="none" w:sz="0" w:space="0" w:color="auto"/>
                <w:left w:val="none" w:sz="0" w:space="0" w:color="auto"/>
                <w:bottom w:val="none" w:sz="0" w:space="0" w:color="auto"/>
                <w:right w:val="none" w:sz="0" w:space="0" w:color="auto"/>
              </w:divBdr>
            </w:div>
            <w:div w:id="41373036">
              <w:marLeft w:val="0"/>
              <w:marRight w:val="0"/>
              <w:marTop w:val="0"/>
              <w:marBottom w:val="0"/>
              <w:divBdr>
                <w:top w:val="none" w:sz="0" w:space="0" w:color="auto"/>
                <w:left w:val="none" w:sz="0" w:space="0" w:color="auto"/>
                <w:bottom w:val="none" w:sz="0" w:space="0" w:color="auto"/>
                <w:right w:val="none" w:sz="0" w:space="0" w:color="auto"/>
              </w:divBdr>
            </w:div>
            <w:div w:id="984090626">
              <w:marLeft w:val="0"/>
              <w:marRight w:val="0"/>
              <w:marTop w:val="0"/>
              <w:marBottom w:val="0"/>
              <w:divBdr>
                <w:top w:val="none" w:sz="0" w:space="0" w:color="auto"/>
                <w:left w:val="none" w:sz="0" w:space="0" w:color="auto"/>
                <w:bottom w:val="none" w:sz="0" w:space="0" w:color="auto"/>
                <w:right w:val="none" w:sz="0" w:space="0" w:color="auto"/>
              </w:divBdr>
            </w:div>
            <w:div w:id="846214473">
              <w:marLeft w:val="0"/>
              <w:marRight w:val="0"/>
              <w:marTop w:val="0"/>
              <w:marBottom w:val="0"/>
              <w:divBdr>
                <w:top w:val="none" w:sz="0" w:space="0" w:color="auto"/>
                <w:left w:val="none" w:sz="0" w:space="0" w:color="auto"/>
                <w:bottom w:val="none" w:sz="0" w:space="0" w:color="auto"/>
                <w:right w:val="none" w:sz="0" w:space="0" w:color="auto"/>
              </w:divBdr>
            </w:div>
            <w:div w:id="985010796">
              <w:marLeft w:val="0"/>
              <w:marRight w:val="0"/>
              <w:marTop w:val="0"/>
              <w:marBottom w:val="0"/>
              <w:divBdr>
                <w:top w:val="none" w:sz="0" w:space="0" w:color="auto"/>
                <w:left w:val="none" w:sz="0" w:space="0" w:color="auto"/>
                <w:bottom w:val="none" w:sz="0" w:space="0" w:color="auto"/>
                <w:right w:val="none" w:sz="0" w:space="0" w:color="auto"/>
              </w:divBdr>
            </w:div>
            <w:div w:id="1386564115">
              <w:marLeft w:val="0"/>
              <w:marRight w:val="0"/>
              <w:marTop w:val="0"/>
              <w:marBottom w:val="0"/>
              <w:divBdr>
                <w:top w:val="none" w:sz="0" w:space="0" w:color="auto"/>
                <w:left w:val="none" w:sz="0" w:space="0" w:color="auto"/>
                <w:bottom w:val="none" w:sz="0" w:space="0" w:color="auto"/>
                <w:right w:val="none" w:sz="0" w:space="0" w:color="auto"/>
              </w:divBdr>
            </w:div>
            <w:div w:id="1340767258">
              <w:marLeft w:val="0"/>
              <w:marRight w:val="0"/>
              <w:marTop w:val="0"/>
              <w:marBottom w:val="0"/>
              <w:divBdr>
                <w:top w:val="none" w:sz="0" w:space="0" w:color="auto"/>
                <w:left w:val="none" w:sz="0" w:space="0" w:color="auto"/>
                <w:bottom w:val="none" w:sz="0" w:space="0" w:color="auto"/>
                <w:right w:val="none" w:sz="0" w:space="0" w:color="auto"/>
              </w:divBdr>
            </w:div>
            <w:div w:id="656812115">
              <w:marLeft w:val="0"/>
              <w:marRight w:val="0"/>
              <w:marTop w:val="0"/>
              <w:marBottom w:val="0"/>
              <w:divBdr>
                <w:top w:val="none" w:sz="0" w:space="0" w:color="auto"/>
                <w:left w:val="none" w:sz="0" w:space="0" w:color="auto"/>
                <w:bottom w:val="none" w:sz="0" w:space="0" w:color="auto"/>
                <w:right w:val="none" w:sz="0" w:space="0" w:color="auto"/>
              </w:divBdr>
            </w:div>
            <w:div w:id="139731284">
              <w:marLeft w:val="0"/>
              <w:marRight w:val="0"/>
              <w:marTop w:val="0"/>
              <w:marBottom w:val="0"/>
              <w:divBdr>
                <w:top w:val="none" w:sz="0" w:space="0" w:color="auto"/>
                <w:left w:val="none" w:sz="0" w:space="0" w:color="auto"/>
                <w:bottom w:val="none" w:sz="0" w:space="0" w:color="auto"/>
                <w:right w:val="none" w:sz="0" w:space="0" w:color="auto"/>
              </w:divBdr>
            </w:div>
            <w:div w:id="336999601">
              <w:marLeft w:val="0"/>
              <w:marRight w:val="0"/>
              <w:marTop w:val="0"/>
              <w:marBottom w:val="0"/>
              <w:divBdr>
                <w:top w:val="none" w:sz="0" w:space="0" w:color="auto"/>
                <w:left w:val="none" w:sz="0" w:space="0" w:color="auto"/>
                <w:bottom w:val="none" w:sz="0" w:space="0" w:color="auto"/>
                <w:right w:val="none" w:sz="0" w:space="0" w:color="auto"/>
              </w:divBdr>
            </w:div>
            <w:div w:id="299577424">
              <w:marLeft w:val="0"/>
              <w:marRight w:val="0"/>
              <w:marTop w:val="0"/>
              <w:marBottom w:val="0"/>
              <w:divBdr>
                <w:top w:val="none" w:sz="0" w:space="0" w:color="auto"/>
                <w:left w:val="none" w:sz="0" w:space="0" w:color="auto"/>
                <w:bottom w:val="none" w:sz="0" w:space="0" w:color="auto"/>
                <w:right w:val="none" w:sz="0" w:space="0" w:color="auto"/>
              </w:divBdr>
            </w:div>
            <w:div w:id="171799970">
              <w:marLeft w:val="0"/>
              <w:marRight w:val="0"/>
              <w:marTop w:val="0"/>
              <w:marBottom w:val="0"/>
              <w:divBdr>
                <w:top w:val="none" w:sz="0" w:space="0" w:color="auto"/>
                <w:left w:val="none" w:sz="0" w:space="0" w:color="auto"/>
                <w:bottom w:val="none" w:sz="0" w:space="0" w:color="auto"/>
                <w:right w:val="none" w:sz="0" w:space="0" w:color="auto"/>
              </w:divBdr>
            </w:div>
            <w:div w:id="76563398">
              <w:marLeft w:val="0"/>
              <w:marRight w:val="0"/>
              <w:marTop w:val="0"/>
              <w:marBottom w:val="0"/>
              <w:divBdr>
                <w:top w:val="none" w:sz="0" w:space="0" w:color="auto"/>
                <w:left w:val="none" w:sz="0" w:space="0" w:color="auto"/>
                <w:bottom w:val="none" w:sz="0" w:space="0" w:color="auto"/>
                <w:right w:val="none" w:sz="0" w:space="0" w:color="auto"/>
              </w:divBdr>
            </w:div>
            <w:div w:id="585383655">
              <w:marLeft w:val="0"/>
              <w:marRight w:val="0"/>
              <w:marTop w:val="0"/>
              <w:marBottom w:val="0"/>
              <w:divBdr>
                <w:top w:val="none" w:sz="0" w:space="0" w:color="auto"/>
                <w:left w:val="none" w:sz="0" w:space="0" w:color="auto"/>
                <w:bottom w:val="none" w:sz="0" w:space="0" w:color="auto"/>
                <w:right w:val="none" w:sz="0" w:space="0" w:color="auto"/>
              </w:divBdr>
            </w:div>
            <w:div w:id="1227569643">
              <w:marLeft w:val="0"/>
              <w:marRight w:val="0"/>
              <w:marTop w:val="0"/>
              <w:marBottom w:val="0"/>
              <w:divBdr>
                <w:top w:val="none" w:sz="0" w:space="0" w:color="auto"/>
                <w:left w:val="none" w:sz="0" w:space="0" w:color="auto"/>
                <w:bottom w:val="none" w:sz="0" w:space="0" w:color="auto"/>
                <w:right w:val="none" w:sz="0" w:space="0" w:color="auto"/>
              </w:divBdr>
            </w:div>
            <w:div w:id="2016691606">
              <w:marLeft w:val="0"/>
              <w:marRight w:val="0"/>
              <w:marTop w:val="0"/>
              <w:marBottom w:val="0"/>
              <w:divBdr>
                <w:top w:val="none" w:sz="0" w:space="0" w:color="auto"/>
                <w:left w:val="none" w:sz="0" w:space="0" w:color="auto"/>
                <w:bottom w:val="none" w:sz="0" w:space="0" w:color="auto"/>
                <w:right w:val="none" w:sz="0" w:space="0" w:color="auto"/>
              </w:divBdr>
            </w:div>
            <w:div w:id="641689893">
              <w:marLeft w:val="0"/>
              <w:marRight w:val="0"/>
              <w:marTop w:val="0"/>
              <w:marBottom w:val="0"/>
              <w:divBdr>
                <w:top w:val="none" w:sz="0" w:space="0" w:color="auto"/>
                <w:left w:val="none" w:sz="0" w:space="0" w:color="auto"/>
                <w:bottom w:val="none" w:sz="0" w:space="0" w:color="auto"/>
                <w:right w:val="none" w:sz="0" w:space="0" w:color="auto"/>
              </w:divBdr>
            </w:div>
            <w:div w:id="1172794882">
              <w:marLeft w:val="0"/>
              <w:marRight w:val="0"/>
              <w:marTop w:val="0"/>
              <w:marBottom w:val="0"/>
              <w:divBdr>
                <w:top w:val="none" w:sz="0" w:space="0" w:color="auto"/>
                <w:left w:val="none" w:sz="0" w:space="0" w:color="auto"/>
                <w:bottom w:val="none" w:sz="0" w:space="0" w:color="auto"/>
                <w:right w:val="none" w:sz="0" w:space="0" w:color="auto"/>
              </w:divBdr>
            </w:div>
            <w:div w:id="1824733039">
              <w:marLeft w:val="0"/>
              <w:marRight w:val="0"/>
              <w:marTop w:val="0"/>
              <w:marBottom w:val="0"/>
              <w:divBdr>
                <w:top w:val="none" w:sz="0" w:space="0" w:color="auto"/>
                <w:left w:val="none" w:sz="0" w:space="0" w:color="auto"/>
                <w:bottom w:val="none" w:sz="0" w:space="0" w:color="auto"/>
                <w:right w:val="none" w:sz="0" w:space="0" w:color="auto"/>
              </w:divBdr>
            </w:div>
            <w:div w:id="1052654019">
              <w:marLeft w:val="0"/>
              <w:marRight w:val="0"/>
              <w:marTop w:val="0"/>
              <w:marBottom w:val="0"/>
              <w:divBdr>
                <w:top w:val="none" w:sz="0" w:space="0" w:color="auto"/>
                <w:left w:val="none" w:sz="0" w:space="0" w:color="auto"/>
                <w:bottom w:val="none" w:sz="0" w:space="0" w:color="auto"/>
                <w:right w:val="none" w:sz="0" w:space="0" w:color="auto"/>
              </w:divBdr>
            </w:div>
            <w:div w:id="190916403">
              <w:marLeft w:val="0"/>
              <w:marRight w:val="0"/>
              <w:marTop w:val="0"/>
              <w:marBottom w:val="0"/>
              <w:divBdr>
                <w:top w:val="none" w:sz="0" w:space="0" w:color="auto"/>
                <w:left w:val="none" w:sz="0" w:space="0" w:color="auto"/>
                <w:bottom w:val="none" w:sz="0" w:space="0" w:color="auto"/>
                <w:right w:val="none" w:sz="0" w:space="0" w:color="auto"/>
              </w:divBdr>
            </w:div>
            <w:div w:id="1773820739">
              <w:marLeft w:val="0"/>
              <w:marRight w:val="0"/>
              <w:marTop w:val="0"/>
              <w:marBottom w:val="0"/>
              <w:divBdr>
                <w:top w:val="none" w:sz="0" w:space="0" w:color="auto"/>
                <w:left w:val="none" w:sz="0" w:space="0" w:color="auto"/>
                <w:bottom w:val="none" w:sz="0" w:space="0" w:color="auto"/>
                <w:right w:val="none" w:sz="0" w:space="0" w:color="auto"/>
              </w:divBdr>
            </w:div>
            <w:div w:id="844588299">
              <w:marLeft w:val="0"/>
              <w:marRight w:val="0"/>
              <w:marTop w:val="0"/>
              <w:marBottom w:val="0"/>
              <w:divBdr>
                <w:top w:val="none" w:sz="0" w:space="0" w:color="auto"/>
                <w:left w:val="none" w:sz="0" w:space="0" w:color="auto"/>
                <w:bottom w:val="none" w:sz="0" w:space="0" w:color="auto"/>
                <w:right w:val="none" w:sz="0" w:space="0" w:color="auto"/>
              </w:divBdr>
            </w:div>
            <w:div w:id="2076275809">
              <w:marLeft w:val="0"/>
              <w:marRight w:val="0"/>
              <w:marTop w:val="0"/>
              <w:marBottom w:val="0"/>
              <w:divBdr>
                <w:top w:val="none" w:sz="0" w:space="0" w:color="auto"/>
                <w:left w:val="none" w:sz="0" w:space="0" w:color="auto"/>
                <w:bottom w:val="none" w:sz="0" w:space="0" w:color="auto"/>
                <w:right w:val="none" w:sz="0" w:space="0" w:color="auto"/>
              </w:divBdr>
            </w:div>
            <w:div w:id="1190559285">
              <w:marLeft w:val="0"/>
              <w:marRight w:val="0"/>
              <w:marTop w:val="0"/>
              <w:marBottom w:val="0"/>
              <w:divBdr>
                <w:top w:val="none" w:sz="0" w:space="0" w:color="auto"/>
                <w:left w:val="none" w:sz="0" w:space="0" w:color="auto"/>
                <w:bottom w:val="none" w:sz="0" w:space="0" w:color="auto"/>
                <w:right w:val="none" w:sz="0" w:space="0" w:color="auto"/>
              </w:divBdr>
            </w:div>
            <w:div w:id="1626155780">
              <w:marLeft w:val="0"/>
              <w:marRight w:val="0"/>
              <w:marTop w:val="0"/>
              <w:marBottom w:val="0"/>
              <w:divBdr>
                <w:top w:val="none" w:sz="0" w:space="0" w:color="auto"/>
                <w:left w:val="none" w:sz="0" w:space="0" w:color="auto"/>
                <w:bottom w:val="none" w:sz="0" w:space="0" w:color="auto"/>
                <w:right w:val="none" w:sz="0" w:space="0" w:color="auto"/>
              </w:divBdr>
            </w:div>
            <w:div w:id="991907155">
              <w:marLeft w:val="0"/>
              <w:marRight w:val="0"/>
              <w:marTop w:val="0"/>
              <w:marBottom w:val="0"/>
              <w:divBdr>
                <w:top w:val="none" w:sz="0" w:space="0" w:color="auto"/>
                <w:left w:val="none" w:sz="0" w:space="0" w:color="auto"/>
                <w:bottom w:val="none" w:sz="0" w:space="0" w:color="auto"/>
                <w:right w:val="none" w:sz="0" w:space="0" w:color="auto"/>
              </w:divBdr>
            </w:div>
            <w:div w:id="424690634">
              <w:marLeft w:val="0"/>
              <w:marRight w:val="0"/>
              <w:marTop w:val="0"/>
              <w:marBottom w:val="0"/>
              <w:divBdr>
                <w:top w:val="none" w:sz="0" w:space="0" w:color="auto"/>
                <w:left w:val="none" w:sz="0" w:space="0" w:color="auto"/>
                <w:bottom w:val="none" w:sz="0" w:space="0" w:color="auto"/>
                <w:right w:val="none" w:sz="0" w:space="0" w:color="auto"/>
              </w:divBdr>
            </w:div>
            <w:div w:id="729815138">
              <w:marLeft w:val="0"/>
              <w:marRight w:val="0"/>
              <w:marTop w:val="0"/>
              <w:marBottom w:val="0"/>
              <w:divBdr>
                <w:top w:val="none" w:sz="0" w:space="0" w:color="auto"/>
                <w:left w:val="none" w:sz="0" w:space="0" w:color="auto"/>
                <w:bottom w:val="none" w:sz="0" w:space="0" w:color="auto"/>
                <w:right w:val="none" w:sz="0" w:space="0" w:color="auto"/>
              </w:divBdr>
            </w:div>
            <w:div w:id="1871213153">
              <w:marLeft w:val="0"/>
              <w:marRight w:val="0"/>
              <w:marTop w:val="0"/>
              <w:marBottom w:val="0"/>
              <w:divBdr>
                <w:top w:val="none" w:sz="0" w:space="0" w:color="auto"/>
                <w:left w:val="none" w:sz="0" w:space="0" w:color="auto"/>
                <w:bottom w:val="none" w:sz="0" w:space="0" w:color="auto"/>
                <w:right w:val="none" w:sz="0" w:space="0" w:color="auto"/>
              </w:divBdr>
            </w:div>
            <w:div w:id="666832504">
              <w:marLeft w:val="0"/>
              <w:marRight w:val="0"/>
              <w:marTop w:val="0"/>
              <w:marBottom w:val="0"/>
              <w:divBdr>
                <w:top w:val="none" w:sz="0" w:space="0" w:color="auto"/>
                <w:left w:val="none" w:sz="0" w:space="0" w:color="auto"/>
                <w:bottom w:val="none" w:sz="0" w:space="0" w:color="auto"/>
                <w:right w:val="none" w:sz="0" w:space="0" w:color="auto"/>
              </w:divBdr>
            </w:div>
            <w:div w:id="720444063">
              <w:marLeft w:val="0"/>
              <w:marRight w:val="0"/>
              <w:marTop w:val="0"/>
              <w:marBottom w:val="0"/>
              <w:divBdr>
                <w:top w:val="none" w:sz="0" w:space="0" w:color="auto"/>
                <w:left w:val="none" w:sz="0" w:space="0" w:color="auto"/>
                <w:bottom w:val="none" w:sz="0" w:space="0" w:color="auto"/>
                <w:right w:val="none" w:sz="0" w:space="0" w:color="auto"/>
              </w:divBdr>
            </w:div>
            <w:div w:id="1193811816">
              <w:marLeft w:val="0"/>
              <w:marRight w:val="0"/>
              <w:marTop w:val="0"/>
              <w:marBottom w:val="0"/>
              <w:divBdr>
                <w:top w:val="none" w:sz="0" w:space="0" w:color="auto"/>
                <w:left w:val="none" w:sz="0" w:space="0" w:color="auto"/>
                <w:bottom w:val="none" w:sz="0" w:space="0" w:color="auto"/>
                <w:right w:val="none" w:sz="0" w:space="0" w:color="auto"/>
              </w:divBdr>
            </w:div>
            <w:div w:id="1736464188">
              <w:marLeft w:val="0"/>
              <w:marRight w:val="0"/>
              <w:marTop w:val="0"/>
              <w:marBottom w:val="0"/>
              <w:divBdr>
                <w:top w:val="none" w:sz="0" w:space="0" w:color="auto"/>
                <w:left w:val="none" w:sz="0" w:space="0" w:color="auto"/>
                <w:bottom w:val="none" w:sz="0" w:space="0" w:color="auto"/>
                <w:right w:val="none" w:sz="0" w:space="0" w:color="auto"/>
              </w:divBdr>
            </w:div>
            <w:div w:id="962921973">
              <w:marLeft w:val="0"/>
              <w:marRight w:val="0"/>
              <w:marTop w:val="0"/>
              <w:marBottom w:val="0"/>
              <w:divBdr>
                <w:top w:val="none" w:sz="0" w:space="0" w:color="auto"/>
                <w:left w:val="none" w:sz="0" w:space="0" w:color="auto"/>
                <w:bottom w:val="none" w:sz="0" w:space="0" w:color="auto"/>
                <w:right w:val="none" w:sz="0" w:space="0" w:color="auto"/>
              </w:divBdr>
            </w:div>
            <w:div w:id="401491113">
              <w:marLeft w:val="0"/>
              <w:marRight w:val="0"/>
              <w:marTop w:val="0"/>
              <w:marBottom w:val="0"/>
              <w:divBdr>
                <w:top w:val="none" w:sz="0" w:space="0" w:color="auto"/>
                <w:left w:val="none" w:sz="0" w:space="0" w:color="auto"/>
                <w:bottom w:val="none" w:sz="0" w:space="0" w:color="auto"/>
                <w:right w:val="none" w:sz="0" w:space="0" w:color="auto"/>
              </w:divBdr>
            </w:div>
            <w:div w:id="736318634">
              <w:marLeft w:val="0"/>
              <w:marRight w:val="0"/>
              <w:marTop w:val="0"/>
              <w:marBottom w:val="0"/>
              <w:divBdr>
                <w:top w:val="none" w:sz="0" w:space="0" w:color="auto"/>
                <w:left w:val="none" w:sz="0" w:space="0" w:color="auto"/>
                <w:bottom w:val="none" w:sz="0" w:space="0" w:color="auto"/>
                <w:right w:val="none" w:sz="0" w:space="0" w:color="auto"/>
              </w:divBdr>
            </w:div>
            <w:div w:id="583926935">
              <w:marLeft w:val="0"/>
              <w:marRight w:val="0"/>
              <w:marTop w:val="0"/>
              <w:marBottom w:val="0"/>
              <w:divBdr>
                <w:top w:val="none" w:sz="0" w:space="0" w:color="auto"/>
                <w:left w:val="none" w:sz="0" w:space="0" w:color="auto"/>
                <w:bottom w:val="none" w:sz="0" w:space="0" w:color="auto"/>
                <w:right w:val="none" w:sz="0" w:space="0" w:color="auto"/>
              </w:divBdr>
            </w:div>
            <w:div w:id="626545696">
              <w:marLeft w:val="0"/>
              <w:marRight w:val="0"/>
              <w:marTop w:val="0"/>
              <w:marBottom w:val="0"/>
              <w:divBdr>
                <w:top w:val="none" w:sz="0" w:space="0" w:color="auto"/>
                <w:left w:val="none" w:sz="0" w:space="0" w:color="auto"/>
                <w:bottom w:val="none" w:sz="0" w:space="0" w:color="auto"/>
                <w:right w:val="none" w:sz="0" w:space="0" w:color="auto"/>
              </w:divBdr>
            </w:div>
            <w:div w:id="2107997436">
              <w:marLeft w:val="0"/>
              <w:marRight w:val="0"/>
              <w:marTop w:val="0"/>
              <w:marBottom w:val="0"/>
              <w:divBdr>
                <w:top w:val="none" w:sz="0" w:space="0" w:color="auto"/>
                <w:left w:val="none" w:sz="0" w:space="0" w:color="auto"/>
                <w:bottom w:val="none" w:sz="0" w:space="0" w:color="auto"/>
                <w:right w:val="none" w:sz="0" w:space="0" w:color="auto"/>
              </w:divBdr>
            </w:div>
            <w:div w:id="265500607">
              <w:marLeft w:val="0"/>
              <w:marRight w:val="0"/>
              <w:marTop w:val="0"/>
              <w:marBottom w:val="0"/>
              <w:divBdr>
                <w:top w:val="none" w:sz="0" w:space="0" w:color="auto"/>
                <w:left w:val="none" w:sz="0" w:space="0" w:color="auto"/>
                <w:bottom w:val="none" w:sz="0" w:space="0" w:color="auto"/>
                <w:right w:val="none" w:sz="0" w:space="0" w:color="auto"/>
              </w:divBdr>
            </w:div>
            <w:div w:id="659040165">
              <w:marLeft w:val="0"/>
              <w:marRight w:val="0"/>
              <w:marTop w:val="0"/>
              <w:marBottom w:val="0"/>
              <w:divBdr>
                <w:top w:val="none" w:sz="0" w:space="0" w:color="auto"/>
                <w:left w:val="none" w:sz="0" w:space="0" w:color="auto"/>
                <w:bottom w:val="none" w:sz="0" w:space="0" w:color="auto"/>
                <w:right w:val="none" w:sz="0" w:space="0" w:color="auto"/>
              </w:divBdr>
            </w:div>
            <w:div w:id="2108960040">
              <w:marLeft w:val="0"/>
              <w:marRight w:val="0"/>
              <w:marTop w:val="0"/>
              <w:marBottom w:val="0"/>
              <w:divBdr>
                <w:top w:val="none" w:sz="0" w:space="0" w:color="auto"/>
                <w:left w:val="none" w:sz="0" w:space="0" w:color="auto"/>
                <w:bottom w:val="none" w:sz="0" w:space="0" w:color="auto"/>
                <w:right w:val="none" w:sz="0" w:space="0" w:color="auto"/>
              </w:divBdr>
            </w:div>
            <w:div w:id="1937983550">
              <w:marLeft w:val="0"/>
              <w:marRight w:val="0"/>
              <w:marTop w:val="0"/>
              <w:marBottom w:val="0"/>
              <w:divBdr>
                <w:top w:val="none" w:sz="0" w:space="0" w:color="auto"/>
                <w:left w:val="none" w:sz="0" w:space="0" w:color="auto"/>
                <w:bottom w:val="none" w:sz="0" w:space="0" w:color="auto"/>
                <w:right w:val="none" w:sz="0" w:space="0" w:color="auto"/>
              </w:divBdr>
            </w:div>
            <w:div w:id="542719982">
              <w:marLeft w:val="0"/>
              <w:marRight w:val="0"/>
              <w:marTop w:val="0"/>
              <w:marBottom w:val="0"/>
              <w:divBdr>
                <w:top w:val="none" w:sz="0" w:space="0" w:color="auto"/>
                <w:left w:val="none" w:sz="0" w:space="0" w:color="auto"/>
                <w:bottom w:val="none" w:sz="0" w:space="0" w:color="auto"/>
                <w:right w:val="none" w:sz="0" w:space="0" w:color="auto"/>
              </w:divBdr>
            </w:div>
            <w:div w:id="605773899">
              <w:marLeft w:val="0"/>
              <w:marRight w:val="0"/>
              <w:marTop w:val="0"/>
              <w:marBottom w:val="0"/>
              <w:divBdr>
                <w:top w:val="none" w:sz="0" w:space="0" w:color="auto"/>
                <w:left w:val="none" w:sz="0" w:space="0" w:color="auto"/>
                <w:bottom w:val="none" w:sz="0" w:space="0" w:color="auto"/>
                <w:right w:val="none" w:sz="0" w:space="0" w:color="auto"/>
              </w:divBdr>
            </w:div>
            <w:div w:id="1009720401">
              <w:marLeft w:val="0"/>
              <w:marRight w:val="0"/>
              <w:marTop w:val="0"/>
              <w:marBottom w:val="0"/>
              <w:divBdr>
                <w:top w:val="none" w:sz="0" w:space="0" w:color="auto"/>
                <w:left w:val="none" w:sz="0" w:space="0" w:color="auto"/>
                <w:bottom w:val="none" w:sz="0" w:space="0" w:color="auto"/>
                <w:right w:val="none" w:sz="0" w:space="0" w:color="auto"/>
              </w:divBdr>
            </w:div>
            <w:div w:id="1367634424">
              <w:marLeft w:val="0"/>
              <w:marRight w:val="0"/>
              <w:marTop w:val="0"/>
              <w:marBottom w:val="0"/>
              <w:divBdr>
                <w:top w:val="none" w:sz="0" w:space="0" w:color="auto"/>
                <w:left w:val="none" w:sz="0" w:space="0" w:color="auto"/>
                <w:bottom w:val="none" w:sz="0" w:space="0" w:color="auto"/>
                <w:right w:val="none" w:sz="0" w:space="0" w:color="auto"/>
              </w:divBdr>
            </w:div>
            <w:div w:id="1342590167">
              <w:marLeft w:val="0"/>
              <w:marRight w:val="0"/>
              <w:marTop w:val="0"/>
              <w:marBottom w:val="0"/>
              <w:divBdr>
                <w:top w:val="none" w:sz="0" w:space="0" w:color="auto"/>
                <w:left w:val="none" w:sz="0" w:space="0" w:color="auto"/>
                <w:bottom w:val="none" w:sz="0" w:space="0" w:color="auto"/>
                <w:right w:val="none" w:sz="0" w:space="0" w:color="auto"/>
              </w:divBdr>
            </w:div>
            <w:div w:id="1637492440">
              <w:marLeft w:val="0"/>
              <w:marRight w:val="0"/>
              <w:marTop w:val="0"/>
              <w:marBottom w:val="0"/>
              <w:divBdr>
                <w:top w:val="none" w:sz="0" w:space="0" w:color="auto"/>
                <w:left w:val="none" w:sz="0" w:space="0" w:color="auto"/>
                <w:bottom w:val="none" w:sz="0" w:space="0" w:color="auto"/>
                <w:right w:val="none" w:sz="0" w:space="0" w:color="auto"/>
              </w:divBdr>
            </w:div>
            <w:div w:id="1067336301">
              <w:marLeft w:val="0"/>
              <w:marRight w:val="0"/>
              <w:marTop w:val="0"/>
              <w:marBottom w:val="0"/>
              <w:divBdr>
                <w:top w:val="none" w:sz="0" w:space="0" w:color="auto"/>
                <w:left w:val="none" w:sz="0" w:space="0" w:color="auto"/>
                <w:bottom w:val="none" w:sz="0" w:space="0" w:color="auto"/>
                <w:right w:val="none" w:sz="0" w:space="0" w:color="auto"/>
              </w:divBdr>
            </w:div>
            <w:div w:id="1559246057">
              <w:marLeft w:val="0"/>
              <w:marRight w:val="0"/>
              <w:marTop w:val="0"/>
              <w:marBottom w:val="0"/>
              <w:divBdr>
                <w:top w:val="none" w:sz="0" w:space="0" w:color="auto"/>
                <w:left w:val="none" w:sz="0" w:space="0" w:color="auto"/>
                <w:bottom w:val="none" w:sz="0" w:space="0" w:color="auto"/>
                <w:right w:val="none" w:sz="0" w:space="0" w:color="auto"/>
              </w:divBdr>
            </w:div>
            <w:div w:id="1465394591">
              <w:marLeft w:val="0"/>
              <w:marRight w:val="0"/>
              <w:marTop w:val="0"/>
              <w:marBottom w:val="0"/>
              <w:divBdr>
                <w:top w:val="none" w:sz="0" w:space="0" w:color="auto"/>
                <w:left w:val="none" w:sz="0" w:space="0" w:color="auto"/>
                <w:bottom w:val="none" w:sz="0" w:space="0" w:color="auto"/>
                <w:right w:val="none" w:sz="0" w:space="0" w:color="auto"/>
              </w:divBdr>
            </w:div>
            <w:div w:id="1190681695">
              <w:marLeft w:val="0"/>
              <w:marRight w:val="0"/>
              <w:marTop w:val="0"/>
              <w:marBottom w:val="0"/>
              <w:divBdr>
                <w:top w:val="none" w:sz="0" w:space="0" w:color="auto"/>
                <w:left w:val="none" w:sz="0" w:space="0" w:color="auto"/>
                <w:bottom w:val="none" w:sz="0" w:space="0" w:color="auto"/>
                <w:right w:val="none" w:sz="0" w:space="0" w:color="auto"/>
              </w:divBdr>
            </w:div>
            <w:div w:id="159246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295">
      <w:bodyDiv w:val="1"/>
      <w:marLeft w:val="0"/>
      <w:marRight w:val="0"/>
      <w:marTop w:val="0"/>
      <w:marBottom w:val="0"/>
      <w:divBdr>
        <w:top w:val="none" w:sz="0" w:space="0" w:color="auto"/>
        <w:left w:val="none" w:sz="0" w:space="0" w:color="auto"/>
        <w:bottom w:val="none" w:sz="0" w:space="0" w:color="auto"/>
        <w:right w:val="none" w:sz="0" w:space="0" w:color="auto"/>
      </w:divBdr>
    </w:div>
    <w:div w:id="783382253">
      <w:bodyDiv w:val="1"/>
      <w:marLeft w:val="0"/>
      <w:marRight w:val="0"/>
      <w:marTop w:val="0"/>
      <w:marBottom w:val="0"/>
      <w:divBdr>
        <w:top w:val="none" w:sz="0" w:space="0" w:color="auto"/>
        <w:left w:val="none" w:sz="0" w:space="0" w:color="auto"/>
        <w:bottom w:val="none" w:sz="0" w:space="0" w:color="auto"/>
        <w:right w:val="none" w:sz="0" w:space="0" w:color="auto"/>
      </w:divBdr>
    </w:div>
    <w:div w:id="787159204">
      <w:bodyDiv w:val="1"/>
      <w:marLeft w:val="0"/>
      <w:marRight w:val="0"/>
      <w:marTop w:val="0"/>
      <w:marBottom w:val="0"/>
      <w:divBdr>
        <w:top w:val="none" w:sz="0" w:space="0" w:color="auto"/>
        <w:left w:val="none" w:sz="0" w:space="0" w:color="auto"/>
        <w:bottom w:val="none" w:sz="0" w:space="0" w:color="auto"/>
        <w:right w:val="none" w:sz="0" w:space="0" w:color="auto"/>
      </w:divBdr>
    </w:div>
    <w:div w:id="823200378">
      <w:bodyDiv w:val="1"/>
      <w:marLeft w:val="0"/>
      <w:marRight w:val="0"/>
      <w:marTop w:val="0"/>
      <w:marBottom w:val="0"/>
      <w:divBdr>
        <w:top w:val="none" w:sz="0" w:space="0" w:color="auto"/>
        <w:left w:val="none" w:sz="0" w:space="0" w:color="auto"/>
        <w:bottom w:val="none" w:sz="0" w:space="0" w:color="auto"/>
        <w:right w:val="none" w:sz="0" w:space="0" w:color="auto"/>
      </w:divBdr>
    </w:div>
    <w:div w:id="834763931">
      <w:bodyDiv w:val="1"/>
      <w:marLeft w:val="0"/>
      <w:marRight w:val="0"/>
      <w:marTop w:val="0"/>
      <w:marBottom w:val="0"/>
      <w:divBdr>
        <w:top w:val="none" w:sz="0" w:space="0" w:color="auto"/>
        <w:left w:val="none" w:sz="0" w:space="0" w:color="auto"/>
        <w:bottom w:val="none" w:sz="0" w:space="0" w:color="auto"/>
        <w:right w:val="none" w:sz="0" w:space="0" w:color="auto"/>
      </w:divBdr>
    </w:div>
    <w:div w:id="906498846">
      <w:bodyDiv w:val="1"/>
      <w:marLeft w:val="0"/>
      <w:marRight w:val="0"/>
      <w:marTop w:val="0"/>
      <w:marBottom w:val="0"/>
      <w:divBdr>
        <w:top w:val="none" w:sz="0" w:space="0" w:color="auto"/>
        <w:left w:val="none" w:sz="0" w:space="0" w:color="auto"/>
        <w:bottom w:val="none" w:sz="0" w:space="0" w:color="auto"/>
        <w:right w:val="none" w:sz="0" w:space="0" w:color="auto"/>
      </w:divBdr>
    </w:div>
    <w:div w:id="915096144">
      <w:bodyDiv w:val="1"/>
      <w:marLeft w:val="0"/>
      <w:marRight w:val="0"/>
      <w:marTop w:val="0"/>
      <w:marBottom w:val="0"/>
      <w:divBdr>
        <w:top w:val="none" w:sz="0" w:space="0" w:color="auto"/>
        <w:left w:val="none" w:sz="0" w:space="0" w:color="auto"/>
        <w:bottom w:val="none" w:sz="0" w:space="0" w:color="auto"/>
        <w:right w:val="none" w:sz="0" w:space="0" w:color="auto"/>
      </w:divBdr>
    </w:div>
    <w:div w:id="940645796">
      <w:bodyDiv w:val="1"/>
      <w:marLeft w:val="0"/>
      <w:marRight w:val="0"/>
      <w:marTop w:val="0"/>
      <w:marBottom w:val="0"/>
      <w:divBdr>
        <w:top w:val="none" w:sz="0" w:space="0" w:color="auto"/>
        <w:left w:val="none" w:sz="0" w:space="0" w:color="auto"/>
        <w:bottom w:val="none" w:sz="0" w:space="0" w:color="auto"/>
        <w:right w:val="none" w:sz="0" w:space="0" w:color="auto"/>
      </w:divBdr>
    </w:div>
    <w:div w:id="984969672">
      <w:bodyDiv w:val="1"/>
      <w:marLeft w:val="0"/>
      <w:marRight w:val="0"/>
      <w:marTop w:val="0"/>
      <w:marBottom w:val="0"/>
      <w:divBdr>
        <w:top w:val="none" w:sz="0" w:space="0" w:color="auto"/>
        <w:left w:val="none" w:sz="0" w:space="0" w:color="auto"/>
        <w:bottom w:val="none" w:sz="0" w:space="0" w:color="auto"/>
        <w:right w:val="none" w:sz="0" w:space="0" w:color="auto"/>
      </w:divBdr>
    </w:div>
    <w:div w:id="1070926789">
      <w:bodyDiv w:val="1"/>
      <w:marLeft w:val="0"/>
      <w:marRight w:val="0"/>
      <w:marTop w:val="0"/>
      <w:marBottom w:val="0"/>
      <w:divBdr>
        <w:top w:val="none" w:sz="0" w:space="0" w:color="auto"/>
        <w:left w:val="none" w:sz="0" w:space="0" w:color="auto"/>
        <w:bottom w:val="none" w:sz="0" w:space="0" w:color="auto"/>
        <w:right w:val="none" w:sz="0" w:space="0" w:color="auto"/>
      </w:divBdr>
    </w:div>
    <w:div w:id="1112672882">
      <w:bodyDiv w:val="1"/>
      <w:marLeft w:val="0"/>
      <w:marRight w:val="0"/>
      <w:marTop w:val="0"/>
      <w:marBottom w:val="0"/>
      <w:divBdr>
        <w:top w:val="none" w:sz="0" w:space="0" w:color="auto"/>
        <w:left w:val="none" w:sz="0" w:space="0" w:color="auto"/>
        <w:bottom w:val="none" w:sz="0" w:space="0" w:color="auto"/>
        <w:right w:val="none" w:sz="0" w:space="0" w:color="auto"/>
      </w:divBdr>
    </w:div>
    <w:div w:id="1175848472">
      <w:bodyDiv w:val="1"/>
      <w:marLeft w:val="0"/>
      <w:marRight w:val="0"/>
      <w:marTop w:val="0"/>
      <w:marBottom w:val="0"/>
      <w:divBdr>
        <w:top w:val="none" w:sz="0" w:space="0" w:color="auto"/>
        <w:left w:val="none" w:sz="0" w:space="0" w:color="auto"/>
        <w:bottom w:val="none" w:sz="0" w:space="0" w:color="auto"/>
        <w:right w:val="none" w:sz="0" w:space="0" w:color="auto"/>
      </w:divBdr>
    </w:div>
    <w:div w:id="1217089296">
      <w:bodyDiv w:val="1"/>
      <w:marLeft w:val="0"/>
      <w:marRight w:val="0"/>
      <w:marTop w:val="0"/>
      <w:marBottom w:val="0"/>
      <w:divBdr>
        <w:top w:val="none" w:sz="0" w:space="0" w:color="auto"/>
        <w:left w:val="none" w:sz="0" w:space="0" w:color="auto"/>
        <w:bottom w:val="none" w:sz="0" w:space="0" w:color="auto"/>
        <w:right w:val="none" w:sz="0" w:space="0" w:color="auto"/>
      </w:divBdr>
    </w:div>
    <w:div w:id="1218316202">
      <w:bodyDiv w:val="1"/>
      <w:marLeft w:val="0"/>
      <w:marRight w:val="0"/>
      <w:marTop w:val="0"/>
      <w:marBottom w:val="0"/>
      <w:divBdr>
        <w:top w:val="none" w:sz="0" w:space="0" w:color="auto"/>
        <w:left w:val="none" w:sz="0" w:space="0" w:color="auto"/>
        <w:bottom w:val="none" w:sz="0" w:space="0" w:color="auto"/>
        <w:right w:val="none" w:sz="0" w:space="0" w:color="auto"/>
      </w:divBdr>
    </w:div>
    <w:div w:id="1285188200">
      <w:bodyDiv w:val="1"/>
      <w:marLeft w:val="0"/>
      <w:marRight w:val="0"/>
      <w:marTop w:val="0"/>
      <w:marBottom w:val="0"/>
      <w:divBdr>
        <w:top w:val="none" w:sz="0" w:space="0" w:color="auto"/>
        <w:left w:val="none" w:sz="0" w:space="0" w:color="auto"/>
        <w:bottom w:val="none" w:sz="0" w:space="0" w:color="auto"/>
        <w:right w:val="none" w:sz="0" w:space="0" w:color="auto"/>
      </w:divBdr>
      <w:divsChild>
        <w:div w:id="878976050">
          <w:marLeft w:val="0"/>
          <w:marRight w:val="0"/>
          <w:marTop w:val="0"/>
          <w:marBottom w:val="0"/>
          <w:divBdr>
            <w:top w:val="none" w:sz="0" w:space="0" w:color="auto"/>
            <w:left w:val="none" w:sz="0" w:space="0" w:color="auto"/>
            <w:bottom w:val="none" w:sz="0" w:space="0" w:color="auto"/>
            <w:right w:val="none" w:sz="0" w:space="0" w:color="auto"/>
          </w:divBdr>
        </w:div>
      </w:divsChild>
    </w:div>
    <w:div w:id="1350184384">
      <w:bodyDiv w:val="1"/>
      <w:marLeft w:val="0"/>
      <w:marRight w:val="0"/>
      <w:marTop w:val="0"/>
      <w:marBottom w:val="0"/>
      <w:divBdr>
        <w:top w:val="none" w:sz="0" w:space="0" w:color="auto"/>
        <w:left w:val="none" w:sz="0" w:space="0" w:color="auto"/>
        <w:bottom w:val="none" w:sz="0" w:space="0" w:color="auto"/>
        <w:right w:val="none" w:sz="0" w:space="0" w:color="auto"/>
      </w:divBdr>
    </w:div>
    <w:div w:id="1350839833">
      <w:bodyDiv w:val="1"/>
      <w:marLeft w:val="0"/>
      <w:marRight w:val="0"/>
      <w:marTop w:val="0"/>
      <w:marBottom w:val="0"/>
      <w:divBdr>
        <w:top w:val="none" w:sz="0" w:space="0" w:color="auto"/>
        <w:left w:val="none" w:sz="0" w:space="0" w:color="auto"/>
        <w:bottom w:val="none" w:sz="0" w:space="0" w:color="auto"/>
        <w:right w:val="none" w:sz="0" w:space="0" w:color="auto"/>
      </w:divBdr>
    </w:div>
    <w:div w:id="1353799197">
      <w:bodyDiv w:val="1"/>
      <w:marLeft w:val="0"/>
      <w:marRight w:val="0"/>
      <w:marTop w:val="0"/>
      <w:marBottom w:val="0"/>
      <w:divBdr>
        <w:top w:val="none" w:sz="0" w:space="0" w:color="auto"/>
        <w:left w:val="none" w:sz="0" w:space="0" w:color="auto"/>
        <w:bottom w:val="none" w:sz="0" w:space="0" w:color="auto"/>
        <w:right w:val="none" w:sz="0" w:space="0" w:color="auto"/>
      </w:divBdr>
    </w:div>
    <w:div w:id="1354301782">
      <w:bodyDiv w:val="1"/>
      <w:marLeft w:val="0"/>
      <w:marRight w:val="0"/>
      <w:marTop w:val="0"/>
      <w:marBottom w:val="0"/>
      <w:divBdr>
        <w:top w:val="none" w:sz="0" w:space="0" w:color="auto"/>
        <w:left w:val="none" w:sz="0" w:space="0" w:color="auto"/>
        <w:bottom w:val="none" w:sz="0" w:space="0" w:color="auto"/>
        <w:right w:val="none" w:sz="0" w:space="0" w:color="auto"/>
      </w:divBdr>
    </w:div>
    <w:div w:id="1396661958">
      <w:bodyDiv w:val="1"/>
      <w:marLeft w:val="0"/>
      <w:marRight w:val="0"/>
      <w:marTop w:val="0"/>
      <w:marBottom w:val="0"/>
      <w:divBdr>
        <w:top w:val="none" w:sz="0" w:space="0" w:color="auto"/>
        <w:left w:val="none" w:sz="0" w:space="0" w:color="auto"/>
        <w:bottom w:val="none" w:sz="0" w:space="0" w:color="auto"/>
        <w:right w:val="none" w:sz="0" w:space="0" w:color="auto"/>
      </w:divBdr>
    </w:div>
    <w:div w:id="1429232068">
      <w:bodyDiv w:val="1"/>
      <w:marLeft w:val="0"/>
      <w:marRight w:val="0"/>
      <w:marTop w:val="0"/>
      <w:marBottom w:val="0"/>
      <w:divBdr>
        <w:top w:val="none" w:sz="0" w:space="0" w:color="auto"/>
        <w:left w:val="none" w:sz="0" w:space="0" w:color="auto"/>
        <w:bottom w:val="none" w:sz="0" w:space="0" w:color="auto"/>
        <w:right w:val="none" w:sz="0" w:space="0" w:color="auto"/>
      </w:divBdr>
    </w:div>
    <w:div w:id="1434201880">
      <w:bodyDiv w:val="1"/>
      <w:marLeft w:val="0"/>
      <w:marRight w:val="0"/>
      <w:marTop w:val="0"/>
      <w:marBottom w:val="0"/>
      <w:divBdr>
        <w:top w:val="none" w:sz="0" w:space="0" w:color="auto"/>
        <w:left w:val="none" w:sz="0" w:space="0" w:color="auto"/>
        <w:bottom w:val="none" w:sz="0" w:space="0" w:color="auto"/>
        <w:right w:val="none" w:sz="0" w:space="0" w:color="auto"/>
      </w:divBdr>
    </w:div>
    <w:div w:id="1580947367">
      <w:bodyDiv w:val="1"/>
      <w:marLeft w:val="0"/>
      <w:marRight w:val="0"/>
      <w:marTop w:val="0"/>
      <w:marBottom w:val="0"/>
      <w:divBdr>
        <w:top w:val="none" w:sz="0" w:space="0" w:color="auto"/>
        <w:left w:val="none" w:sz="0" w:space="0" w:color="auto"/>
        <w:bottom w:val="none" w:sz="0" w:space="0" w:color="auto"/>
        <w:right w:val="none" w:sz="0" w:space="0" w:color="auto"/>
      </w:divBdr>
    </w:div>
    <w:div w:id="1588267046">
      <w:bodyDiv w:val="1"/>
      <w:marLeft w:val="0"/>
      <w:marRight w:val="0"/>
      <w:marTop w:val="0"/>
      <w:marBottom w:val="0"/>
      <w:divBdr>
        <w:top w:val="none" w:sz="0" w:space="0" w:color="auto"/>
        <w:left w:val="none" w:sz="0" w:space="0" w:color="auto"/>
        <w:bottom w:val="none" w:sz="0" w:space="0" w:color="auto"/>
        <w:right w:val="none" w:sz="0" w:space="0" w:color="auto"/>
      </w:divBdr>
    </w:div>
    <w:div w:id="1683631970">
      <w:bodyDiv w:val="1"/>
      <w:marLeft w:val="0"/>
      <w:marRight w:val="0"/>
      <w:marTop w:val="0"/>
      <w:marBottom w:val="0"/>
      <w:divBdr>
        <w:top w:val="none" w:sz="0" w:space="0" w:color="auto"/>
        <w:left w:val="none" w:sz="0" w:space="0" w:color="auto"/>
        <w:bottom w:val="none" w:sz="0" w:space="0" w:color="auto"/>
        <w:right w:val="none" w:sz="0" w:space="0" w:color="auto"/>
      </w:divBdr>
    </w:div>
    <w:div w:id="1905601297">
      <w:bodyDiv w:val="1"/>
      <w:marLeft w:val="0"/>
      <w:marRight w:val="0"/>
      <w:marTop w:val="0"/>
      <w:marBottom w:val="0"/>
      <w:divBdr>
        <w:top w:val="none" w:sz="0" w:space="0" w:color="auto"/>
        <w:left w:val="none" w:sz="0" w:space="0" w:color="auto"/>
        <w:bottom w:val="none" w:sz="0" w:space="0" w:color="auto"/>
        <w:right w:val="none" w:sz="0" w:space="0" w:color="auto"/>
      </w:divBdr>
    </w:div>
    <w:div w:id="1907841053">
      <w:bodyDiv w:val="1"/>
      <w:marLeft w:val="0"/>
      <w:marRight w:val="0"/>
      <w:marTop w:val="0"/>
      <w:marBottom w:val="0"/>
      <w:divBdr>
        <w:top w:val="none" w:sz="0" w:space="0" w:color="auto"/>
        <w:left w:val="none" w:sz="0" w:space="0" w:color="auto"/>
        <w:bottom w:val="none" w:sz="0" w:space="0" w:color="auto"/>
        <w:right w:val="none" w:sz="0" w:space="0" w:color="auto"/>
      </w:divBdr>
    </w:div>
    <w:div w:id="1933705981">
      <w:bodyDiv w:val="1"/>
      <w:marLeft w:val="0"/>
      <w:marRight w:val="0"/>
      <w:marTop w:val="0"/>
      <w:marBottom w:val="0"/>
      <w:divBdr>
        <w:top w:val="none" w:sz="0" w:space="0" w:color="auto"/>
        <w:left w:val="none" w:sz="0" w:space="0" w:color="auto"/>
        <w:bottom w:val="none" w:sz="0" w:space="0" w:color="auto"/>
        <w:right w:val="none" w:sz="0" w:space="0" w:color="auto"/>
      </w:divBdr>
    </w:div>
    <w:div w:id="2053456843">
      <w:bodyDiv w:val="1"/>
      <w:marLeft w:val="0"/>
      <w:marRight w:val="0"/>
      <w:marTop w:val="0"/>
      <w:marBottom w:val="0"/>
      <w:divBdr>
        <w:top w:val="none" w:sz="0" w:space="0" w:color="auto"/>
        <w:left w:val="none" w:sz="0" w:space="0" w:color="auto"/>
        <w:bottom w:val="none" w:sz="0" w:space="0" w:color="auto"/>
        <w:right w:val="none" w:sz="0" w:space="0" w:color="auto"/>
      </w:divBdr>
    </w:div>
    <w:div w:id="2055497266">
      <w:bodyDiv w:val="1"/>
      <w:marLeft w:val="0"/>
      <w:marRight w:val="0"/>
      <w:marTop w:val="0"/>
      <w:marBottom w:val="0"/>
      <w:divBdr>
        <w:top w:val="none" w:sz="0" w:space="0" w:color="auto"/>
        <w:left w:val="none" w:sz="0" w:space="0" w:color="auto"/>
        <w:bottom w:val="none" w:sz="0" w:space="0" w:color="auto"/>
        <w:right w:val="none" w:sz="0" w:space="0" w:color="auto"/>
      </w:divBdr>
    </w:div>
    <w:div w:id="2058621100">
      <w:bodyDiv w:val="1"/>
      <w:marLeft w:val="0"/>
      <w:marRight w:val="0"/>
      <w:marTop w:val="0"/>
      <w:marBottom w:val="0"/>
      <w:divBdr>
        <w:top w:val="none" w:sz="0" w:space="0" w:color="auto"/>
        <w:left w:val="none" w:sz="0" w:space="0" w:color="auto"/>
        <w:bottom w:val="none" w:sz="0" w:space="0" w:color="auto"/>
        <w:right w:val="none" w:sz="0" w:space="0" w:color="auto"/>
      </w:divBdr>
    </w:div>
    <w:div w:id="2064908717">
      <w:bodyDiv w:val="1"/>
      <w:marLeft w:val="0"/>
      <w:marRight w:val="0"/>
      <w:marTop w:val="0"/>
      <w:marBottom w:val="0"/>
      <w:divBdr>
        <w:top w:val="none" w:sz="0" w:space="0" w:color="auto"/>
        <w:left w:val="none" w:sz="0" w:space="0" w:color="auto"/>
        <w:bottom w:val="none" w:sz="0" w:space="0" w:color="auto"/>
        <w:right w:val="none" w:sz="0" w:space="0" w:color="auto"/>
      </w:divBdr>
    </w:div>
    <w:div w:id="2070179913">
      <w:bodyDiv w:val="1"/>
      <w:marLeft w:val="0"/>
      <w:marRight w:val="0"/>
      <w:marTop w:val="0"/>
      <w:marBottom w:val="0"/>
      <w:divBdr>
        <w:top w:val="none" w:sz="0" w:space="0" w:color="auto"/>
        <w:left w:val="none" w:sz="0" w:space="0" w:color="auto"/>
        <w:bottom w:val="none" w:sz="0" w:space="0" w:color="auto"/>
        <w:right w:val="none" w:sz="0" w:space="0" w:color="auto"/>
      </w:divBdr>
    </w:div>
    <w:div w:id="2086686722">
      <w:bodyDiv w:val="1"/>
      <w:marLeft w:val="0"/>
      <w:marRight w:val="0"/>
      <w:marTop w:val="0"/>
      <w:marBottom w:val="0"/>
      <w:divBdr>
        <w:top w:val="none" w:sz="0" w:space="0" w:color="auto"/>
        <w:left w:val="none" w:sz="0" w:space="0" w:color="auto"/>
        <w:bottom w:val="none" w:sz="0" w:space="0" w:color="auto"/>
        <w:right w:val="none" w:sz="0" w:space="0" w:color="auto"/>
      </w:divBdr>
    </w:div>
    <w:div w:id="2089765005">
      <w:bodyDiv w:val="1"/>
      <w:marLeft w:val="0"/>
      <w:marRight w:val="0"/>
      <w:marTop w:val="0"/>
      <w:marBottom w:val="0"/>
      <w:divBdr>
        <w:top w:val="none" w:sz="0" w:space="0" w:color="auto"/>
        <w:left w:val="none" w:sz="0" w:space="0" w:color="auto"/>
        <w:bottom w:val="none" w:sz="0" w:space="0" w:color="auto"/>
        <w:right w:val="none" w:sz="0" w:space="0" w:color="auto"/>
      </w:divBdr>
    </w:div>
    <w:div w:id="2137487537">
      <w:bodyDiv w:val="1"/>
      <w:marLeft w:val="0"/>
      <w:marRight w:val="0"/>
      <w:marTop w:val="0"/>
      <w:marBottom w:val="0"/>
      <w:divBdr>
        <w:top w:val="none" w:sz="0" w:space="0" w:color="auto"/>
        <w:left w:val="none" w:sz="0" w:space="0" w:color="auto"/>
        <w:bottom w:val="none" w:sz="0" w:space="0" w:color="auto"/>
        <w:right w:val="none" w:sz="0" w:space="0" w:color="auto"/>
      </w:divBdr>
    </w:div>
    <w:div w:id="21381347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www.planetorbitrap.com" TargetMode="External"/><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jpeg"/><Relationship Id="rId63" Type="http://schemas.openxmlformats.org/officeDocument/2006/relationships/image" Target="media/image43.png"/><Relationship Id="rId64" Type="http://schemas.openxmlformats.org/officeDocument/2006/relationships/image" Target="media/image44.tif"/><Relationship Id="rId65" Type="http://schemas.openxmlformats.org/officeDocument/2006/relationships/image" Target="media/image45.png"/><Relationship Id="rId66" Type="http://schemas.openxmlformats.org/officeDocument/2006/relationships/hyperlink" Target="https://newton.utk.edu/" TargetMode="External"/><Relationship Id="rId67" Type="http://schemas.openxmlformats.org/officeDocument/2006/relationships/image" Target="media/image46.png"/><Relationship Id="rId68" Type="http://schemas.openxmlformats.org/officeDocument/2006/relationships/chart" Target="charts/chart1.xml"/><Relationship Id="rId69" Type="http://schemas.openxmlformats.org/officeDocument/2006/relationships/image" Target="media/image47.jpg"/><Relationship Id="rId50" Type="http://schemas.openxmlformats.org/officeDocument/2006/relationships/image" Target="media/image32.tif"/><Relationship Id="rId51" Type="http://schemas.openxmlformats.org/officeDocument/2006/relationships/image" Target="media/image33.tiff"/><Relationship Id="rId52" Type="http://schemas.openxmlformats.org/officeDocument/2006/relationships/image" Target="media/image34.tiff"/><Relationship Id="rId53" Type="http://schemas.openxmlformats.org/officeDocument/2006/relationships/image" Target="media/image35.tiff"/><Relationship Id="rId54" Type="http://schemas.openxmlformats.org/officeDocument/2006/relationships/image" Target="media/image36.tiff"/><Relationship Id="rId55" Type="http://schemas.openxmlformats.org/officeDocument/2006/relationships/image" Target="media/image37.tiff"/><Relationship Id="rId56" Type="http://schemas.openxmlformats.org/officeDocument/2006/relationships/image" Target="media/image38.emf"/><Relationship Id="rId57" Type="http://schemas.openxmlformats.org/officeDocument/2006/relationships/oleObject" Target="embeddings/Microsoft_Equation1.bin"/><Relationship Id="rId58" Type="http://schemas.openxmlformats.org/officeDocument/2006/relationships/hyperlink" Target="http://img.jgi.doe.gov/" TargetMode="External"/><Relationship Id="rId59" Type="http://schemas.openxmlformats.org/officeDocument/2006/relationships/image" Target="media/image39.tiff"/><Relationship Id="rId40" Type="http://schemas.openxmlformats.org/officeDocument/2006/relationships/image" Target="media/image25.png"/><Relationship Id="rId41" Type="http://schemas.openxmlformats.org/officeDocument/2006/relationships/image" Target="media/image26.jpg"/><Relationship Id="rId42" Type="http://schemas.openxmlformats.org/officeDocument/2006/relationships/image" Target="media/image27.jpg"/><Relationship Id="rId43" Type="http://schemas.openxmlformats.org/officeDocument/2006/relationships/image" Target="media/image28.tiff"/><Relationship Id="rId44" Type="http://schemas.openxmlformats.org/officeDocument/2006/relationships/image" Target="media/image29.tiff"/><Relationship Id="rId45" Type="http://schemas.openxmlformats.org/officeDocument/2006/relationships/image" Target="media/image30.tiff"/><Relationship Id="rId46" Type="http://schemas.openxmlformats.org/officeDocument/2006/relationships/image" Target="media/image31.png"/><Relationship Id="rId47" Type="http://schemas.openxmlformats.org/officeDocument/2006/relationships/hyperlink" Target="http://cran.r-project.org/web/packages/selfea/" TargetMode="External"/><Relationship Id="rId48" Type="http://schemas.openxmlformats.org/officeDocument/2006/relationships/hyperlink" Target="http://sourceforge.net/projects/qprot" TargetMode="External"/><Relationship Id="rId49" Type="http://schemas.openxmlformats.org/officeDocument/2006/relationships/hyperlink" Target="http://cran.r-project.org/web/packages/selfea/selfea.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30" Type="http://schemas.openxmlformats.org/officeDocument/2006/relationships/image" Target="media/image17.jpeg"/><Relationship Id="rId31" Type="http://schemas.openxmlformats.org/officeDocument/2006/relationships/image" Target="media/image18.png"/><Relationship Id="rId32" Type="http://schemas.openxmlformats.org/officeDocument/2006/relationships/hyperlink" Target="https://usegalaxyp.org/" TargetMode="External"/><Relationship Id="rId33" Type="http://schemas.openxmlformats.org/officeDocument/2006/relationships/hyperlink" Target="https://wiki.galaxyproject.org/PublicGalaxyServers" TargetMode="External"/><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jp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70" Type="http://schemas.openxmlformats.org/officeDocument/2006/relationships/hyperlink" Target="http://www.promega.com/resources/pubhub/the-advantages-to-using-arg-c-elastase-thermolysin-and-pepsin-for-protein-analysis/" TargetMode="External"/><Relationship Id="rId71" Type="http://schemas.openxmlformats.org/officeDocument/2006/relationships/hyperlink" Target="http://www.bioconductor.org/packages/release/bioc/html/msmsTests.html" TargetMode="External"/><Relationship Id="rId72" Type="http://schemas.openxmlformats.org/officeDocument/2006/relationships/hyperlink" Target="http://www.statmethods.net/stats/power.html" TargetMode="External"/><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hyperlink" Target="http://msr.dom.wustl.edu/ms-peptide-mapping/" TargetMode="External"/><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jpg"/><Relationship Id="rId73" Type="http://schemas.openxmlformats.org/officeDocument/2006/relationships/hyperlink" Target="http://en.wikipedia.org/wiki/Effect_size" TargetMode="External"/><Relationship Id="rId74" Type="http://schemas.openxmlformats.org/officeDocument/2006/relationships/fontTable" Target="fontTable.xml"/><Relationship Id="rId75" Type="http://schemas.openxmlformats.org/officeDocument/2006/relationships/theme" Target="theme/theme1.xml"/><Relationship Id="rId60" Type="http://schemas.openxmlformats.org/officeDocument/2006/relationships/image" Target="media/image40.tif"/><Relationship Id="rId61" Type="http://schemas.openxmlformats.org/officeDocument/2006/relationships/image" Target="media/image41.tif"/><Relationship Id="rId62" Type="http://schemas.openxmlformats.org/officeDocument/2006/relationships/image" Target="media/image42.tiff"/><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BackUp_Drive:ORNL:05_Berg:diet_study:Analysis_201503:Proteomics_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bar"/>
        <c:grouping val="percentStacked"/>
        <c:varyColors val="0"/>
        <c:ser>
          <c:idx val="0"/>
          <c:order val="0"/>
          <c:tx>
            <c:strRef>
              <c:f>'Significant KEGG'!$L$1</c:f>
              <c:strCache>
                <c:ptCount val="1"/>
                <c:pt idx="0">
                  <c:v>Sum of SC in 2A</c:v>
                </c:pt>
              </c:strCache>
            </c:strRef>
          </c:tx>
          <c:invertIfNegative val="0"/>
          <c:cat>
            <c:strRef>
              <c:f>'Significant KEGG'!$B$2:$B$21</c:f>
              <c:strCache>
                <c:ptCount val="20"/>
                <c:pt idx="0">
                  <c:v>Hypertrophic cardiomyopathy (HCM)</c:v>
                </c:pt>
                <c:pt idx="1">
                  <c:v>Dilated cardiomyopathy</c:v>
                </c:pt>
                <c:pt idx="2">
                  <c:v>Cardiac muscle contraction</c:v>
                </c:pt>
                <c:pt idx="3">
                  <c:v>Starch and sucrose metabolism</c:v>
                </c:pt>
                <c:pt idx="4">
                  <c:v>Insulin signaling pathway</c:v>
                </c:pt>
                <c:pt idx="5">
                  <c:v>Metabolic pathways</c:v>
                </c:pt>
                <c:pt idx="6">
                  <c:v>Gluconeogenesis, oxaloacetate =&gt; fructose-6P</c:v>
                </c:pt>
                <c:pt idx="7">
                  <c:v>Pentose phosphate pathway</c:v>
                </c:pt>
                <c:pt idx="8">
                  <c:v>Carbon metabolism</c:v>
                </c:pt>
                <c:pt idx="9">
                  <c:v>Fructose and mannose metabolism</c:v>
                </c:pt>
                <c:pt idx="10">
                  <c:v>AMPK signaling pathway</c:v>
                </c:pt>
                <c:pt idx="11">
                  <c:v>Glycolysis (Embden-Meyerhof pathway), glucose =&gt; pyruvate</c:v>
                </c:pt>
                <c:pt idx="12">
                  <c:v>Glycolysis / Gluconeogenesis</c:v>
                </c:pt>
                <c:pt idx="13">
                  <c:v>Proteasome, 20S core particle</c:v>
                </c:pt>
                <c:pt idx="14">
                  <c:v>Immunoproteasome</c:v>
                </c:pt>
                <c:pt idx="15">
                  <c:v>Proteasome</c:v>
                </c:pt>
                <c:pt idx="16">
                  <c:v>Central carbon metabolism in cancer</c:v>
                </c:pt>
                <c:pt idx="17">
                  <c:v>Galactose metabolism</c:v>
                </c:pt>
                <c:pt idx="18">
                  <c:v>Biosynthesis of amino acids</c:v>
                </c:pt>
                <c:pt idx="19">
                  <c:v>HIF-1 signaling pathway</c:v>
                </c:pt>
              </c:strCache>
            </c:strRef>
          </c:cat>
          <c:val>
            <c:numRef>
              <c:f>'Significant KEGG'!$L$2:$L$21</c:f>
              <c:numCache>
                <c:formatCode>#,##0.0000</c:formatCode>
                <c:ptCount val="20"/>
                <c:pt idx="0">
                  <c:v>61.3389</c:v>
                </c:pt>
                <c:pt idx="1">
                  <c:v>61.3389</c:v>
                </c:pt>
                <c:pt idx="2">
                  <c:v>0.0</c:v>
                </c:pt>
                <c:pt idx="3">
                  <c:v>73.7872</c:v>
                </c:pt>
                <c:pt idx="4">
                  <c:v>73.7872</c:v>
                </c:pt>
                <c:pt idx="5">
                  <c:v>141.4004</c:v>
                </c:pt>
                <c:pt idx="6">
                  <c:v>0.0</c:v>
                </c:pt>
                <c:pt idx="7">
                  <c:v>0.0</c:v>
                </c:pt>
                <c:pt idx="8">
                  <c:v>0.0</c:v>
                </c:pt>
                <c:pt idx="9">
                  <c:v>0.0</c:v>
                </c:pt>
                <c:pt idx="10">
                  <c:v>1.4252</c:v>
                </c:pt>
                <c:pt idx="11">
                  <c:v>0.0</c:v>
                </c:pt>
                <c:pt idx="12">
                  <c:v>0.0</c:v>
                </c:pt>
                <c:pt idx="13">
                  <c:v>0.7126</c:v>
                </c:pt>
                <c:pt idx="14">
                  <c:v>0.7126</c:v>
                </c:pt>
                <c:pt idx="15">
                  <c:v>0.7126</c:v>
                </c:pt>
                <c:pt idx="16">
                  <c:v>0.0</c:v>
                </c:pt>
                <c:pt idx="17">
                  <c:v>0.0</c:v>
                </c:pt>
                <c:pt idx="18">
                  <c:v>0.0</c:v>
                </c:pt>
                <c:pt idx="19">
                  <c:v>0.0</c:v>
                </c:pt>
              </c:numCache>
            </c:numRef>
          </c:val>
        </c:ser>
        <c:ser>
          <c:idx val="1"/>
          <c:order val="1"/>
          <c:tx>
            <c:strRef>
              <c:f>'Significant KEGG'!$M$1</c:f>
              <c:strCache>
                <c:ptCount val="1"/>
                <c:pt idx="0">
                  <c:v>Sum of SC in HRS</c:v>
                </c:pt>
              </c:strCache>
            </c:strRef>
          </c:tx>
          <c:invertIfNegative val="0"/>
          <c:cat>
            <c:strRef>
              <c:f>'Significant KEGG'!$B$2:$B$21</c:f>
              <c:strCache>
                <c:ptCount val="20"/>
                <c:pt idx="0">
                  <c:v>Hypertrophic cardiomyopathy (HCM)</c:v>
                </c:pt>
                <c:pt idx="1">
                  <c:v>Dilated cardiomyopathy</c:v>
                </c:pt>
                <c:pt idx="2">
                  <c:v>Cardiac muscle contraction</c:v>
                </c:pt>
                <c:pt idx="3">
                  <c:v>Starch and sucrose metabolism</c:v>
                </c:pt>
                <c:pt idx="4">
                  <c:v>Insulin signaling pathway</c:v>
                </c:pt>
                <c:pt idx="5">
                  <c:v>Metabolic pathways</c:v>
                </c:pt>
                <c:pt idx="6">
                  <c:v>Gluconeogenesis, oxaloacetate =&gt; fructose-6P</c:v>
                </c:pt>
                <c:pt idx="7">
                  <c:v>Pentose phosphate pathway</c:v>
                </c:pt>
                <c:pt idx="8">
                  <c:v>Carbon metabolism</c:v>
                </c:pt>
                <c:pt idx="9">
                  <c:v>Fructose and mannose metabolism</c:v>
                </c:pt>
                <c:pt idx="10">
                  <c:v>AMPK signaling pathway</c:v>
                </c:pt>
                <c:pt idx="11">
                  <c:v>Glycolysis (Embden-Meyerhof pathway), glucose =&gt; pyruvate</c:v>
                </c:pt>
                <c:pt idx="12">
                  <c:v>Glycolysis / Gluconeogenesis</c:v>
                </c:pt>
                <c:pt idx="13">
                  <c:v>Proteasome, 20S core particle</c:v>
                </c:pt>
                <c:pt idx="14">
                  <c:v>Immunoproteasome</c:v>
                </c:pt>
                <c:pt idx="15">
                  <c:v>Proteasome</c:v>
                </c:pt>
                <c:pt idx="16">
                  <c:v>Central carbon metabolism in cancer</c:v>
                </c:pt>
                <c:pt idx="17">
                  <c:v>Galactose metabolism</c:v>
                </c:pt>
                <c:pt idx="18">
                  <c:v>Biosynthesis of amino acids</c:v>
                </c:pt>
                <c:pt idx="19">
                  <c:v>HIF-1 signaling pathway</c:v>
                </c:pt>
              </c:strCache>
            </c:strRef>
          </c:cat>
          <c:val>
            <c:numRef>
              <c:f>'Significant KEGG'!$M$2:$M$21</c:f>
              <c:numCache>
                <c:formatCode>#,##0.0000</c:formatCode>
                <c:ptCount val="20"/>
                <c:pt idx="0">
                  <c:v>51.7565</c:v>
                </c:pt>
                <c:pt idx="1">
                  <c:v>51.7565</c:v>
                </c:pt>
                <c:pt idx="2">
                  <c:v>77.9832</c:v>
                </c:pt>
                <c:pt idx="3">
                  <c:v>767.3689999999995</c:v>
                </c:pt>
                <c:pt idx="4">
                  <c:v>671.1013</c:v>
                </c:pt>
                <c:pt idx="5">
                  <c:v>840.7454</c:v>
                </c:pt>
                <c:pt idx="6">
                  <c:v>43.781</c:v>
                </c:pt>
                <c:pt idx="7">
                  <c:v>80.17310000000001</c:v>
                </c:pt>
                <c:pt idx="8">
                  <c:v>80.17310000000001</c:v>
                </c:pt>
                <c:pt idx="9">
                  <c:v>43.781</c:v>
                </c:pt>
                <c:pt idx="10">
                  <c:v>49.2944</c:v>
                </c:pt>
                <c:pt idx="11">
                  <c:v>36.3921</c:v>
                </c:pt>
                <c:pt idx="12">
                  <c:v>80.17310000000001</c:v>
                </c:pt>
                <c:pt idx="13">
                  <c:v>0.0</c:v>
                </c:pt>
                <c:pt idx="14">
                  <c:v>0.0</c:v>
                </c:pt>
                <c:pt idx="15">
                  <c:v>0.0</c:v>
                </c:pt>
                <c:pt idx="16">
                  <c:v>0.0</c:v>
                </c:pt>
                <c:pt idx="17">
                  <c:v>0.0</c:v>
                </c:pt>
                <c:pt idx="18">
                  <c:v>0.0</c:v>
                </c:pt>
                <c:pt idx="19">
                  <c:v>0.0</c:v>
                </c:pt>
              </c:numCache>
            </c:numRef>
          </c:val>
        </c:ser>
        <c:ser>
          <c:idx val="2"/>
          <c:order val="2"/>
          <c:tx>
            <c:strRef>
              <c:f>'Significant KEGG'!$N$1</c:f>
              <c:strCache>
                <c:ptCount val="1"/>
                <c:pt idx="0">
                  <c:v>Sum of SC in LRS</c:v>
                </c:pt>
              </c:strCache>
            </c:strRef>
          </c:tx>
          <c:invertIfNegative val="0"/>
          <c:cat>
            <c:strRef>
              <c:f>'Significant KEGG'!$B$2:$B$21</c:f>
              <c:strCache>
                <c:ptCount val="20"/>
                <c:pt idx="0">
                  <c:v>Hypertrophic cardiomyopathy (HCM)</c:v>
                </c:pt>
                <c:pt idx="1">
                  <c:v>Dilated cardiomyopathy</c:v>
                </c:pt>
                <c:pt idx="2">
                  <c:v>Cardiac muscle contraction</c:v>
                </c:pt>
                <c:pt idx="3">
                  <c:v>Starch and sucrose metabolism</c:v>
                </c:pt>
                <c:pt idx="4">
                  <c:v>Insulin signaling pathway</c:v>
                </c:pt>
                <c:pt idx="5">
                  <c:v>Metabolic pathways</c:v>
                </c:pt>
                <c:pt idx="6">
                  <c:v>Gluconeogenesis, oxaloacetate =&gt; fructose-6P</c:v>
                </c:pt>
                <c:pt idx="7">
                  <c:v>Pentose phosphate pathway</c:v>
                </c:pt>
                <c:pt idx="8">
                  <c:v>Carbon metabolism</c:v>
                </c:pt>
                <c:pt idx="9">
                  <c:v>Fructose and mannose metabolism</c:v>
                </c:pt>
                <c:pt idx="10">
                  <c:v>AMPK signaling pathway</c:v>
                </c:pt>
                <c:pt idx="11">
                  <c:v>Glycolysis (Embden-Meyerhof pathway), glucose =&gt; pyruvate</c:v>
                </c:pt>
                <c:pt idx="12">
                  <c:v>Glycolysis / Gluconeogenesis</c:v>
                </c:pt>
                <c:pt idx="13">
                  <c:v>Proteasome, 20S core particle</c:v>
                </c:pt>
                <c:pt idx="14">
                  <c:v>Immunoproteasome</c:v>
                </c:pt>
                <c:pt idx="15">
                  <c:v>Proteasome</c:v>
                </c:pt>
                <c:pt idx="16">
                  <c:v>Central carbon metabolism in cancer</c:v>
                </c:pt>
                <c:pt idx="17">
                  <c:v>Galactose metabolism</c:v>
                </c:pt>
                <c:pt idx="18">
                  <c:v>Biosynthesis of amino acids</c:v>
                </c:pt>
                <c:pt idx="19">
                  <c:v>HIF-1 signaling pathway</c:v>
                </c:pt>
              </c:strCache>
            </c:strRef>
          </c:cat>
          <c:val>
            <c:numRef>
              <c:f>'Significant KEGG'!$N$2:$N$21</c:f>
              <c:numCache>
                <c:formatCode>#,##0.0000</c:formatCode>
                <c:ptCount val="20"/>
                <c:pt idx="0">
                  <c:v>0.0</c:v>
                </c:pt>
                <c:pt idx="1">
                  <c:v>0.0</c:v>
                </c:pt>
                <c:pt idx="2">
                  <c:v>2.4897</c:v>
                </c:pt>
                <c:pt idx="3">
                  <c:v>99.5862</c:v>
                </c:pt>
                <c:pt idx="4">
                  <c:v>104.5656</c:v>
                </c:pt>
                <c:pt idx="5">
                  <c:v>242.9548</c:v>
                </c:pt>
                <c:pt idx="6">
                  <c:v>13.968</c:v>
                </c:pt>
                <c:pt idx="7">
                  <c:v>61.7307</c:v>
                </c:pt>
                <c:pt idx="8">
                  <c:v>82.18049999999998</c:v>
                </c:pt>
                <c:pt idx="9">
                  <c:v>73.1919</c:v>
                </c:pt>
                <c:pt idx="10">
                  <c:v>98.82550000000001</c:v>
                </c:pt>
                <c:pt idx="11">
                  <c:v>77.2011</c:v>
                </c:pt>
                <c:pt idx="12">
                  <c:v>186.559</c:v>
                </c:pt>
                <c:pt idx="13">
                  <c:v>63.0366</c:v>
                </c:pt>
                <c:pt idx="14">
                  <c:v>63.0366</c:v>
                </c:pt>
                <c:pt idx="15">
                  <c:v>63.0366</c:v>
                </c:pt>
                <c:pt idx="16">
                  <c:v>181.5796</c:v>
                </c:pt>
                <c:pt idx="17">
                  <c:v>68.2125</c:v>
                </c:pt>
                <c:pt idx="18">
                  <c:v>65.7399</c:v>
                </c:pt>
                <c:pt idx="19">
                  <c:v>140.1948</c:v>
                </c:pt>
              </c:numCache>
            </c:numRef>
          </c:val>
        </c:ser>
        <c:dLbls>
          <c:showLegendKey val="0"/>
          <c:showVal val="0"/>
          <c:showCatName val="0"/>
          <c:showSerName val="0"/>
          <c:showPercent val="0"/>
          <c:showBubbleSize val="0"/>
        </c:dLbls>
        <c:gapWidth val="300"/>
        <c:overlap val="100"/>
        <c:serLines/>
        <c:axId val="2062996056"/>
        <c:axId val="2063001800"/>
      </c:barChart>
      <c:catAx>
        <c:axId val="2062996056"/>
        <c:scaling>
          <c:orientation val="minMax"/>
        </c:scaling>
        <c:delete val="0"/>
        <c:axPos val="l"/>
        <c:title>
          <c:tx>
            <c:rich>
              <a:bodyPr/>
              <a:lstStyle/>
              <a:p>
                <a:pPr>
                  <a:defRPr sz="800"/>
                </a:pPr>
                <a:r>
                  <a:rPr lang="en-US" sz="800"/>
                  <a:t>KEGG</a:t>
                </a:r>
                <a:r>
                  <a:rPr lang="en-US" sz="800" baseline="0"/>
                  <a:t> Pathways</a:t>
                </a:r>
                <a:endParaRPr lang="en-US" sz="800"/>
              </a:p>
            </c:rich>
          </c:tx>
          <c:layout/>
          <c:overlay val="0"/>
        </c:title>
        <c:majorTickMark val="none"/>
        <c:minorTickMark val="none"/>
        <c:tickLblPos val="nextTo"/>
        <c:txPr>
          <a:bodyPr/>
          <a:lstStyle/>
          <a:p>
            <a:pPr>
              <a:defRPr sz="800"/>
            </a:pPr>
            <a:endParaRPr lang="en-US"/>
          </a:p>
        </c:txPr>
        <c:crossAx val="2063001800"/>
        <c:crosses val="autoZero"/>
        <c:auto val="1"/>
        <c:lblAlgn val="ctr"/>
        <c:lblOffset val="100"/>
        <c:noMultiLvlLbl val="0"/>
      </c:catAx>
      <c:valAx>
        <c:axId val="2063001800"/>
        <c:scaling>
          <c:orientation val="minMax"/>
        </c:scaling>
        <c:delete val="0"/>
        <c:axPos val="b"/>
        <c:majorGridlines/>
        <c:numFmt formatCode="0%" sourceLinked="1"/>
        <c:majorTickMark val="out"/>
        <c:minorTickMark val="none"/>
        <c:tickLblPos val="nextTo"/>
        <c:txPr>
          <a:bodyPr/>
          <a:lstStyle/>
          <a:p>
            <a:pPr>
              <a:defRPr sz="700"/>
            </a:pPr>
            <a:endParaRPr lang="en-US"/>
          </a:p>
        </c:txPr>
        <c:crossAx val="2062996056"/>
        <c:crosses val="autoZero"/>
        <c:crossBetween val="between"/>
      </c:valAx>
    </c:plotArea>
    <c:legend>
      <c:legendPos val="t"/>
      <c:layout/>
      <c:overlay val="0"/>
      <c:txPr>
        <a:bodyPr/>
        <a:lstStyle/>
        <a:p>
          <a:pPr>
            <a:defRPr sz="9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B6CC9-9D33-F14B-BEBF-252C1B5DC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5295</TotalTime>
  <Pages>192</Pages>
  <Words>68425</Words>
  <Characters>390029</Characters>
  <Application>Microsoft Macintosh Word</Application>
  <DocSecurity>0</DocSecurity>
  <Lines>3250</Lines>
  <Paragraphs>915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457539</CharactersWithSpaces>
  <SharedDoc>false</SharedDoc>
  <HLinks>
    <vt:vector size="204" baseType="variant">
      <vt:variant>
        <vt:i4>6946926</vt:i4>
      </vt:variant>
      <vt:variant>
        <vt:i4>213</vt:i4>
      </vt:variant>
      <vt:variant>
        <vt:i4>0</vt:i4>
      </vt:variant>
      <vt:variant>
        <vt:i4>5</vt:i4>
      </vt:variant>
      <vt:variant>
        <vt:lpwstr>http://web.utk.edu/~thesis/Guide11.pdf</vt:lpwstr>
      </vt:variant>
      <vt:variant>
        <vt:lpwstr/>
      </vt:variant>
      <vt:variant>
        <vt:i4>3473418</vt:i4>
      </vt:variant>
      <vt:variant>
        <vt:i4>201</vt:i4>
      </vt:variant>
      <vt:variant>
        <vt:i4>0</vt:i4>
      </vt:variant>
      <vt:variant>
        <vt:i4>5</vt:i4>
      </vt:variant>
      <vt:variant>
        <vt:lpwstr>http://gradschool.utk.edu/ddategraduation.shtml</vt:lpwstr>
      </vt:variant>
      <vt:variant>
        <vt:lpwstr/>
      </vt:variant>
      <vt:variant>
        <vt:i4>1769473</vt:i4>
      </vt:variant>
      <vt:variant>
        <vt:i4>194</vt:i4>
      </vt:variant>
      <vt:variant>
        <vt:i4>0</vt:i4>
      </vt:variant>
      <vt:variant>
        <vt:i4>5</vt:i4>
      </vt:variant>
      <vt:variant>
        <vt:lpwstr/>
      </vt:variant>
      <vt:variant>
        <vt:lpwstr>_Toc140575285</vt:lpwstr>
      </vt:variant>
      <vt:variant>
        <vt:i4>1900555</vt:i4>
      </vt:variant>
      <vt:variant>
        <vt:i4>185</vt:i4>
      </vt:variant>
      <vt:variant>
        <vt:i4>0</vt:i4>
      </vt:variant>
      <vt:variant>
        <vt:i4>5</vt:i4>
      </vt:variant>
      <vt:variant>
        <vt:lpwstr/>
      </vt:variant>
      <vt:variant>
        <vt:lpwstr>_Toc140573588</vt:lpwstr>
      </vt:variant>
      <vt:variant>
        <vt:i4>1310720</vt:i4>
      </vt:variant>
      <vt:variant>
        <vt:i4>176</vt:i4>
      </vt:variant>
      <vt:variant>
        <vt:i4>0</vt:i4>
      </vt:variant>
      <vt:variant>
        <vt:i4>5</vt:i4>
      </vt:variant>
      <vt:variant>
        <vt:lpwstr/>
      </vt:variant>
      <vt:variant>
        <vt:lpwstr>_Toc143332869</vt:lpwstr>
      </vt:variant>
      <vt:variant>
        <vt:i4>1310721</vt:i4>
      </vt:variant>
      <vt:variant>
        <vt:i4>170</vt:i4>
      </vt:variant>
      <vt:variant>
        <vt:i4>0</vt:i4>
      </vt:variant>
      <vt:variant>
        <vt:i4>5</vt:i4>
      </vt:variant>
      <vt:variant>
        <vt:lpwstr/>
      </vt:variant>
      <vt:variant>
        <vt:lpwstr>_Toc143332868</vt:lpwstr>
      </vt:variant>
      <vt:variant>
        <vt:i4>1310734</vt:i4>
      </vt:variant>
      <vt:variant>
        <vt:i4>164</vt:i4>
      </vt:variant>
      <vt:variant>
        <vt:i4>0</vt:i4>
      </vt:variant>
      <vt:variant>
        <vt:i4>5</vt:i4>
      </vt:variant>
      <vt:variant>
        <vt:lpwstr/>
      </vt:variant>
      <vt:variant>
        <vt:lpwstr>_Toc143332867</vt:lpwstr>
      </vt:variant>
      <vt:variant>
        <vt:i4>1310735</vt:i4>
      </vt:variant>
      <vt:variant>
        <vt:i4>158</vt:i4>
      </vt:variant>
      <vt:variant>
        <vt:i4>0</vt:i4>
      </vt:variant>
      <vt:variant>
        <vt:i4>5</vt:i4>
      </vt:variant>
      <vt:variant>
        <vt:lpwstr/>
      </vt:variant>
      <vt:variant>
        <vt:lpwstr>_Toc143332866</vt:lpwstr>
      </vt:variant>
      <vt:variant>
        <vt:i4>1310732</vt:i4>
      </vt:variant>
      <vt:variant>
        <vt:i4>152</vt:i4>
      </vt:variant>
      <vt:variant>
        <vt:i4>0</vt:i4>
      </vt:variant>
      <vt:variant>
        <vt:i4>5</vt:i4>
      </vt:variant>
      <vt:variant>
        <vt:lpwstr/>
      </vt:variant>
      <vt:variant>
        <vt:lpwstr>_Toc143332865</vt:lpwstr>
      </vt:variant>
      <vt:variant>
        <vt:i4>1310733</vt:i4>
      </vt:variant>
      <vt:variant>
        <vt:i4>146</vt:i4>
      </vt:variant>
      <vt:variant>
        <vt:i4>0</vt:i4>
      </vt:variant>
      <vt:variant>
        <vt:i4>5</vt:i4>
      </vt:variant>
      <vt:variant>
        <vt:lpwstr/>
      </vt:variant>
      <vt:variant>
        <vt:lpwstr>_Toc143332864</vt:lpwstr>
      </vt:variant>
      <vt:variant>
        <vt:i4>1310730</vt:i4>
      </vt:variant>
      <vt:variant>
        <vt:i4>140</vt:i4>
      </vt:variant>
      <vt:variant>
        <vt:i4>0</vt:i4>
      </vt:variant>
      <vt:variant>
        <vt:i4>5</vt:i4>
      </vt:variant>
      <vt:variant>
        <vt:lpwstr/>
      </vt:variant>
      <vt:variant>
        <vt:lpwstr>_Toc143332863</vt:lpwstr>
      </vt:variant>
      <vt:variant>
        <vt:i4>1310731</vt:i4>
      </vt:variant>
      <vt:variant>
        <vt:i4>134</vt:i4>
      </vt:variant>
      <vt:variant>
        <vt:i4>0</vt:i4>
      </vt:variant>
      <vt:variant>
        <vt:i4>5</vt:i4>
      </vt:variant>
      <vt:variant>
        <vt:lpwstr/>
      </vt:variant>
      <vt:variant>
        <vt:lpwstr>_Toc143332862</vt:lpwstr>
      </vt:variant>
      <vt:variant>
        <vt:i4>1310728</vt:i4>
      </vt:variant>
      <vt:variant>
        <vt:i4>128</vt:i4>
      </vt:variant>
      <vt:variant>
        <vt:i4>0</vt:i4>
      </vt:variant>
      <vt:variant>
        <vt:i4>5</vt:i4>
      </vt:variant>
      <vt:variant>
        <vt:lpwstr/>
      </vt:variant>
      <vt:variant>
        <vt:lpwstr>_Toc143332861</vt:lpwstr>
      </vt:variant>
      <vt:variant>
        <vt:i4>1310729</vt:i4>
      </vt:variant>
      <vt:variant>
        <vt:i4>122</vt:i4>
      </vt:variant>
      <vt:variant>
        <vt:i4>0</vt:i4>
      </vt:variant>
      <vt:variant>
        <vt:i4>5</vt:i4>
      </vt:variant>
      <vt:variant>
        <vt:lpwstr/>
      </vt:variant>
      <vt:variant>
        <vt:lpwstr>_Toc143332860</vt:lpwstr>
      </vt:variant>
      <vt:variant>
        <vt:i4>1507328</vt:i4>
      </vt:variant>
      <vt:variant>
        <vt:i4>116</vt:i4>
      </vt:variant>
      <vt:variant>
        <vt:i4>0</vt:i4>
      </vt:variant>
      <vt:variant>
        <vt:i4>5</vt:i4>
      </vt:variant>
      <vt:variant>
        <vt:lpwstr/>
      </vt:variant>
      <vt:variant>
        <vt:lpwstr>_Toc143332859</vt:lpwstr>
      </vt:variant>
      <vt:variant>
        <vt:i4>1507329</vt:i4>
      </vt:variant>
      <vt:variant>
        <vt:i4>110</vt:i4>
      </vt:variant>
      <vt:variant>
        <vt:i4>0</vt:i4>
      </vt:variant>
      <vt:variant>
        <vt:i4>5</vt:i4>
      </vt:variant>
      <vt:variant>
        <vt:lpwstr/>
      </vt:variant>
      <vt:variant>
        <vt:lpwstr>_Toc143332858</vt:lpwstr>
      </vt:variant>
      <vt:variant>
        <vt:i4>1507342</vt:i4>
      </vt:variant>
      <vt:variant>
        <vt:i4>104</vt:i4>
      </vt:variant>
      <vt:variant>
        <vt:i4>0</vt:i4>
      </vt:variant>
      <vt:variant>
        <vt:i4>5</vt:i4>
      </vt:variant>
      <vt:variant>
        <vt:lpwstr/>
      </vt:variant>
      <vt:variant>
        <vt:lpwstr>_Toc143332857</vt:lpwstr>
      </vt:variant>
      <vt:variant>
        <vt:i4>1507343</vt:i4>
      </vt:variant>
      <vt:variant>
        <vt:i4>98</vt:i4>
      </vt:variant>
      <vt:variant>
        <vt:i4>0</vt:i4>
      </vt:variant>
      <vt:variant>
        <vt:i4>5</vt:i4>
      </vt:variant>
      <vt:variant>
        <vt:lpwstr/>
      </vt:variant>
      <vt:variant>
        <vt:lpwstr>_Toc143332856</vt:lpwstr>
      </vt:variant>
      <vt:variant>
        <vt:i4>1507340</vt:i4>
      </vt:variant>
      <vt:variant>
        <vt:i4>92</vt:i4>
      </vt:variant>
      <vt:variant>
        <vt:i4>0</vt:i4>
      </vt:variant>
      <vt:variant>
        <vt:i4>5</vt:i4>
      </vt:variant>
      <vt:variant>
        <vt:lpwstr/>
      </vt:variant>
      <vt:variant>
        <vt:lpwstr>_Toc143332855</vt:lpwstr>
      </vt:variant>
      <vt:variant>
        <vt:i4>1507341</vt:i4>
      </vt:variant>
      <vt:variant>
        <vt:i4>86</vt:i4>
      </vt:variant>
      <vt:variant>
        <vt:i4>0</vt:i4>
      </vt:variant>
      <vt:variant>
        <vt:i4>5</vt:i4>
      </vt:variant>
      <vt:variant>
        <vt:lpwstr/>
      </vt:variant>
      <vt:variant>
        <vt:lpwstr>_Toc143332854</vt:lpwstr>
      </vt:variant>
      <vt:variant>
        <vt:i4>1507338</vt:i4>
      </vt:variant>
      <vt:variant>
        <vt:i4>80</vt:i4>
      </vt:variant>
      <vt:variant>
        <vt:i4>0</vt:i4>
      </vt:variant>
      <vt:variant>
        <vt:i4>5</vt:i4>
      </vt:variant>
      <vt:variant>
        <vt:lpwstr/>
      </vt:variant>
      <vt:variant>
        <vt:lpwstr>_Toc143332853</vt:lpwstr>
      </vt:variant>
      <vt:variant>
        <vt:i4>1507339</vt:i4>
      </vt:variant>
      <vt:variant>
        <vt:i4>74</vt:i4>
      </vt:variant>
      <vt:variant>
        <vt:i4>0</vt:i4>
      </vt:variant>
      <vt:variant>
        <vt:i4>5</vt:i4>
      </vt:variant>
      <vt:variant>
        <vt:lpwstr/>
      </vt:variant>
      <vt:variant>
        <vt:lpwstr>_Toc143332852</vt:lpwstr>
      </vt:variant>
      <vt:variant>
        <vt:i4>1507336</vt:i4>
      </vt:variant>
      <vt:variant>
        <vt:i4>68</vt:i4>
      </vt:variant>
      <vt:variant>
        <vt:i4>0</vt:i4>
      </vt:variant>
      <vt:variant>
        <vt:i4>5</vt:i4>
      </vt:variant>
      <vt:variant>
        <vt:lpwstr/>
      </vt:variant>
      <vt:variant>
        <vt:lpwstr>_Toc143332851</vt:lpwstr>
      </vt:variant>
      <vt:variant>
        <vt:i4>1507337</vt:i4>
      </vt:variant>
      <vt:variant>
        <vt:i4>62</vt:i4>
      </vt:variant>
      <vt:variant>
        <vt:i4>0</vt:i4>
      </vt:variant>
      <vt:variant>
        <vt:i4>5</vt:i4>
      </vt:variant>
      <vt:variant>
        <vt:lpwstr/>
      </vt:variant>
      <vt:variant>
        <vt:lpwstr>_Toc143332850</vt:lpwstr>
      </vt:variant>
      <vt:variant>
        <vt:i4>1441792</vt:i4>
      </vt:variant>
      <vt:variant>
        <vt:i4>56</vt:i4>
      </vt:variant>
      <vt:variant>
        <vt:i4>0</vt:i4>
      </vt:variant>
      <vt:variant>
        <vt:i4>5</vt:i4>
      </vt:variant>
      <vt:variant>
        <vt:lpwstr/>
      </vt:variant>
      <vt:variant>
        <vt:lpwstr>_Toc143332849</vt:lpwstr>
      </vt:variant>
      <vt:variant>
        <vt:i4>1441793</vt:i4>
      </vt:variant>
      <vt:variant>
        <vt:i4>50</vt:i4>
      </vt:variant>
      <vt:variant>
        <vt:i4>0</vt:i4>
      </vt:variant>
      <vt:variant>
        <vt:i4>5</vt:i4>
      </vt:variant>
      <vt:variant>
        <vt:lpwstr/>
      </vt:variant>
      <vt:variant>
        <vt:lpwstr>_Toc143332848</vt:lpwstr>
      </vt:variant>
      <vt:variant>
        <vt:i4>1441806</vt:i4>
      </vt:variant>
      <vt:variant>
        <vt:i4>44</vt:i4>
      </vt:variant>
      <vt:variant>
        <vt:i4>0</vt:i4>
      </vt:variant>
      <vt:variant>
        <vt:i4>5</vt:i4>
      </vt:variant>
      <vt:variant>
        <vt:lpwstr/>
      </vt:variant>
      <vt:variant>
        <vt:lpwstr>_Toc143332847</vt:lpwstr>
      </vt:variant>
      <vt:variant>
        <vt:i4>1441807</vt:i4>
      </vt:variant>
      <vt:variant>
        <vt:i4>38</vt:i4>
      </vt:variant>
      <vt:variant>
        <vt:i4>0</vt:i4>
      </vt:variant>
      <vt:variant>
        <vt:i4>5</vt:i4>
      </vt:variant>
      <vt:variant>
        <vt:lpwstr/>
      </vt:variant>
      <vt:variant>
        <vt:lpwstr>_Toc143332846</vt:lpwstr>
      </vt:variant>
      <vt:variant>
        <vt:i4>1441804</vt:i4>
      </vt:variant>
      <vt:variant>
        <vt:i4>32</vt:i4>
      </vt:variant>
      <vt:variant>
        <vt:i4>0</vt:i4>
      </vt:variant>
      <vt:variant>
        <vt:i4>5</vt:i4>
      </vt:variant>
      <vt:variant>
        <vt:lpwstr/>
      </vt:variant>
      <vt:variant>
        <vt:lpwstr>_Toc143332845</vt:lpwstr>
      </vt:variant>
      <vt:variant>
        <vt:i4>1441805</vt:i4>
      </vt:variant>
      <vt:variant>
        <vt:i4>26</vt:i4>
      </vt:variant>
      <vt:variant>
        <vt:i4>0</vt:i4>
      </vt:variant>
      <vt:variant>
        <vt:i4>5</vt:i4>
      </vt:variant>
      <vt:variant>
        <vt:lpwstr/>
      </vt:variant>
      <vt:variant>
        <vt:lpwstr>_Toc143332844</vt:lpwstr>
      </vt:variant>
      <vt:variant>
        <vt:i4>1441802</vt:i4>
      </vt:variant>
      <vt:variant>
        <vt:i4>20</vt:i4>
      </vt:variant>
      <vt:variant>
        <vt:i4>0</vt:i4>
      </vt:variant>
      <vt:variant>
        <vt:i4>5</vt:i4>
      </vt:variant>
      <vt:variant>
        <vt:lpwstr/>
      </vt:variant>
      <vt:variant>
        <vt:lpwstr>_Toc143332843</vt:lpwstr>
      </vt:variant>
      <vt:variant>
        <vt:i4>1441803</vt:i4>
      </vt:variant>
      <vt:variant>
        <vt:i4>14</vt:i4>
      </vt:variant>
      <vt:variant>
        <vt:i4>0</vt:i4>
      </vt:variant>
      <vt:variant>
        <vt:i4>5</vt:i4>
      </vt:variant>
      <vt:variant>
        <vt:lpwstr/>
      </vt:variant>
      <vt:variant>
        <vt:lpwstr>_Toc143332842</vt:lpwstr>
      </vt:variant>
      <vt:variant>
        <vt:i4>1441800</vt:i4>
      </vt:variant>
      <vt:variant>
        <vt:i4>8</vt:i4>
      </vt:variant>
      <vt:variant>
        <vt:i4>0</vt:i4>
      </vt:variant>
      <vt:variant>
        <vt:i4>5</vt:i4>
      </vt:variant>
      <vt:variant>
        <vt:lpwstr/>
      </vt:variant>
      <vt:variant>
        <vt:lpwstr>_Toc143332841</vt:lpwstr>
      </vt:variant>
      <vt:variant>
        <vt:i4>1441801</vt:i4>
      </vt:variant>
      <vt:variant>
        <vt:i4>2</vt:i4>
      </vt:variant>
      <vt:variant>
        <vt:i4>0</vt:i4>
      </vt:variant>
      <vt:variant>
        <vt:i4>5</vt:i4>
      </vt:variant>
      <vt:variant>
        <vt:lpwstr/>
      </vt:variant>
      <vt:variant>
        <vt:lpwstr>_Toc143332840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cp:lastModifiedBy>Lang Ho Lee</cp:lastModifiedBy>
  <cp:revision>4824</cp:revision>
  <cp:lastPrinted>2005-09-22T13:02:00Z</cp:lastPrinted>
  <dcterms:created xsi:type="dcterms:W3CDTF">2015-04-06T16:47:00Z</dcterms:created>
  <dcterms:modified xsi:type="dcterms:W3CDTF">2015-06-19T19:07:00Z</dcterms:modified>
</cp:coreProperties>
</file>