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58D218" w14:textId="79231803" w:rsidR="00017E8F" w:rsidRPr="00994531" w:rsidRDefault="00A40111" w:rsidP="001B567A">
      <w:pPr>
        <w:spacing w:after="0" w:line="480" w:lineRule="auto"/>
        <w:jc w:val="center"/>
        <w:rPr>
          <w:szCs w:val="24"/>
        </w:rPr>
      </w:pPr>
      <w:r w:rsidRPr="00A40111">
        <w:rPr>
          <w:b/>
          <w:bCs/>
          <w:szCs w:val="24"/>
        </w:rPr>
        <w:t xml:space="preserve">Soil </w:t>
      </w:r>
      <w:r>
        <w:rPr>
          <w:b/>
          <w:bCs/>
          <w:szCs w:val="24"/>
        </w:rPr>
        <w:t>N</w:t>
      </w:r>
      <w:r w:rsidRPr="00A40111">
        <w:rPr>
          <w:b/>
          <w:bCs/>
          <w:szCs w:val="24"/>
        </w:rPr>
        <w:t xml:space="preserve">itrous </w:t>
      </w:r>
      <w:r>
        <w:rPr>
          <w:b/>
          <w:bCs/>
          <w:szCs w:val="24"/>
        </w:rPr>
        <w:t>O</w:t>
      </w:r>
      <w:r w:rsidRPr="00A40111">
        <w:rPr>
          <w:b/>
          <w:bCs/>
          <w:szCs w:val="24"/>
        </w:rPr>
        <w:t xml:space="preserve">xide </w:t>
      </w:r>
      <w:r>
        <w:rPr>
          <w:b/>
          <w:bCs/>
          <w:szCs w:val="24"/>
        </w:rPr>
        <w:t>H</w:t>
      </w:r>
      <w:r w:rsidRPr="00A40111">
        <w:rPr>
          <w:b/>
          <w:bCs/>
          <w:szCs w:val="24"/>
        </w:rPr>
        <w:t xml:space="preserve">ot </w:t>
      </w:r>
      <w:r>
        <w:rPr>
          <w:b/>
          <w:bCs/>
          <w:szCs w:val="24"/>
        </w:rPr>
        <w:t>M</w:t>
      </w:r>
      <w:r w:rsidRPr="00A40111">
        <w:rPr>
          <w:b/>
          <w:bCs/>
          <w:szCs w:val="24"/>
        </w:rPr>
        <w:t xml:space="preserve">oments: Identification, </w:t>
      </w:r>
      <w:r>
        <w:rPr>
          <w:b/>
          <w:bCs/>
          <w:szCs w:val="24"/>
        </w:rPr>
        <w:t>C</w:t>
      </w:r>
      <w:r w:rsidRPr="00A40111">
        <w:rPr>
          <w:b/>
          <w:bCs/>
          <w:szCs w:val="24"/>
        </w:rPr>
        <w:t xml:space="preserve">haracterization, and </w:t>
      </w:r>
      <w:r>
        <w:rPr>
          <w:b/>
          <w:bCs/>
          <w:szCs w:val="24"/>
        </w:rPr>
        <w:t>P</w:t>
      </w:r>
      <w:r w:rsidRPr="00A40111">
        <w:rPr>
          <w:b/>
          <w:bCs/>
          <w:szCs w:val="24"/>
        </w:rPr>
        <w:t xml:space="preserve">rediction </w:t>
      </w:r>
      <w:r>
        <w:rPr>
          <w:b/>
          <w:bCs/>
          <w:szCs w:val="24"/>
        </w:rPr>
        <w:t>A</w:t>
      </w:r>
      <w:r w:rsidRPr="00A40111">
        <w:rPr>
          <w:b/>
          <w:bCs/>
          <w:szCs w:val="24"/>
        </w:rPr>
        <w:t xml:space="preserve">cross </w:t>
      </w:r>
      <w:r>
        <w:rPr>
          <w:b/>
          <w:bCs/>
          <w:szCs w:val="24"/>
        </w:rPr>
        <w:t>A</w:t>
      </w:r>
      <w:r w:rsidRPr="00A40111">
        <w:rPr>
          <w:b/>
          <w:bCs/>
          <w:szCs w:val="24"/>
        </w:rPr>
        <w:t>groecosystems</w:t>
      </w:r>
    </w:p>
    <w:p w14:paraId="7F55FC8F" w14:textId="77777777" w:rsidR="00017E8F" w:rsidRPr="00994531" w:rsidRDefault="00017E8F" w:rsidP="001B567A">
      <w:pPr>
        <w:spacing w:after="0" w:line="480" w:lineRule="auto"/>
        <w:jc w:val="center"/>
        <w:rPr>
          <w:szCs w:val="24"/>
        </w:rPr>
      </w:pPr>
    </w:p>
    <w:p w14:paraId="0CD097FC" w14:textId="77777777" w:rsidR="00017E8F" w:rsidRPr="00994531" w:rsidRDefault="00017E8F" w:rsidP="001B567A">
      <w:pPr>
        <w:spacing w:after="0" w:line="480" w:lineRule="auto"/>
        <w:jc w:val="center"/>
        <w:rPr>
          <w:szCs w:val="24"/>
        </w:rPr>
      </w:pPr>
    </w:p>
    <w:p w14:paraId="3ADAA41A" w14:textId="77777777" w:rsidR="000E1229" w:rsidRPr="00994531" w:rsidRDefault="000E1229" w:rsidP="001B567A">
      <w:pPr>
        <w:spacing w:after="0" w:line="480" w:lineRule="auto"/>
        <w:rPr>
          <w:szCs w:val="24"/>
        </w:rPr>
      </w:pPr>
    </w:p>
    <w:p w14:paraId="6A1D7F7D" w14:textId="77777777" w:rsidR="000E1229" w:rsidRPr="00994531" w:rsidRDefault="000E1229" w:rsidP="001B567A">
      <w:pPr>
        <w:spacing w:after="0" w:line="480" w:lineRule="auto"/>
        <w:jc w:val="center"/>
        <w:rPr>
          <w:szCs w:val="24"/>
        </w:rPr>
      </w:pPr>
    </w:p>
    <w:p w14:paraId="62708E91" w14:textId="77777777" w:rsidR="00017E8F" w:rsidRPr="00994531" w:rsidRDefault="00017E8F" w:rsidP="001B567A">
      <w:pPr>
        <w:spacing w:after="0" w:line="480" w:lineRule="auto"/>
        <w:rPr>
          <w:szCs w:val="24"/>
        </w:rPr>
      </w:pPr>
    </w:p>
    <w:p w14:paraId="272F6401" w14:textId="7C44474F" w:rsidR="00CA485A" w:rsidRPr="00994531" w:rsidRDefault="00CA485A" w:rsidP="001B567A">
      <w:pPr>
        <w:spacing w:after="0" w:line="480" w:lineRule="auto"/>
        <w:jc w:val="center"/>
        <w:rPr>
          <w:szCs w:val="24"/>
        </w:rPr>
      </w:pPr>
      <w:r w:rsidRPr="00994531">
        <w:rPr>
          <w:szCs w:val="24"/>
        </w:rPr>
        <w:t>A Dissertation Presented for the</w:t>
      </w:r>
    </w:p>
    <w:p w14:paraId="3387524B" w14:textId="77777777" w:rsidR="006E6E3F" w:rsidRPr="00994531" w:rsidRDefault="00CA485A" w:rsidP="001B567A">
      <w:pPr>
        <w:spacing w:after="0" w:line="480" w:lineRule="auto"/>
        <w:jc w:val="center"/>
        <w:rPr>
          <w:szCs w:val="24"/>
        </w:rPr>
      </w:pPr>
      <w:r w:rsidRPr="00994531">
        <w:rPr>
          <w:szCs w:val="24"/>
        </w:rPr>
        <w:t>Doctor of Philosophy</w:t>
      </w:r>
      <w:r w:rsidR="0037386E" w:rsidRPr="00994531">
        <w:rPr>
          <w:szCs w:val="24"/>
        </w:rPr>
        <w:t xml:space="preserve"> </w:t>
      </w:r>
    </w:p>
    <w:p w14:paraId="39CE80F3" w14:textId="34AB87D9" w:rsidR="00CA485A" w:rsidRPr="00994531" w:rsidRDefault="00CA485A" w:rsidP="001B567A">
      <w:pPr>
        <w:spacing w:after="0" w:line="480" w:lineRule="auto"/>
        <w:jc w:val="center"/>
        <w:rPr>
          <w:szCs w:val="24"/>
        </w:rPr>
      </w:pPr>
      <w:r w:rsidRPr="00994531">
        <w:rPr>
          <w:szCs w:val="24"/>
        </w:rPr>
        <w:t>Degree</w:t>
      </w:r>
    </w:p>
    <w:p w14:paraId="4235D008" w14:textId="77777777" w:rsidR="00CA485A" w:rsidRPr="00994531" w:rsidRDefault="00CA485A" w:rsidP="001B567A">
      <w:pPr>
        <w:spacing w:after="0" w:line="480" w:lineRule="auto"/>
        <w:jc w:val="center"/>
        <w:rPr>
          <w:szCs w:val="24"/>
        </w:rPr>
      </w:pPr>
      <w:r w:rsidRPr="00994531">
        <w:rPr>
          <w:szCs w:val="24"/>
        </w:rPr>
        <w:t>The University of Tennessee, Knoxville</w:t>
      </w:r>
    </w:p>
    <w:p w14:paraId="03F7431C" w14:textId="77777777" w:rsidR="000E1229" w:rsidRPr="00994531" w:rsidRDefault="000E1229" w:rsidP="001B567A">
      <w:pPr>
        <w:spacing w:after="0" w:line="480" w:lineRule="auto"/>
        <w:rPr>
          <w:szCs w:val="24"/>
        </w:rPr>
      </w:pPr>
    </w:p>
    <w:p w14:paraId="16D095C6" w14:textId="77777777" w:rsidR="000E1229" w:rsidRPr="00994531" w:rsidRDefault="000E1229" w:rsidP="001B567A">
      <w:pPr>
        <w:spacing w:after="0" w:line="480" w:lineRule="auto"/>
        <w:jc w:val="center"/>
        <w:rPr>
          <w:szCs w:val="24"/>
        </w:rPr>
      </w:pPr>
    </w:p>
    <w:p w14:paraId="5AB67588" w14:textId="77777777" w:rsidR="000E1229" w:rsidRPr="00994531" w:rsidRDefault="000E1229" w:rsidP="001B567A">
      <w:pPr>
        <w:spacing w:after="0" w:line="480" w:lineRule="auto"/>
        <w:jc w:val="center"/>
        <w:rPr>
          <w:szCs w:val="24"/>
        </w:rPr>
      </w:pPr>
    </w:p>
    <w:p w14:paraId="084EDE3D" w14:textId="77777777" w:rsidR="00017E8F" w:rsidRPr="00994531" w:rsidRDefault="00017E8F" w:rsidP="001B567A">
      <w:pPr>
        <w:spacing w:after="0" w:line="480" w:lineRule="auto"/>
        <w:jc w:val="center"/>
        <w:rPr>
          <w:szCs w:val="24"/>
        </w:rPr>
      </w:pPr>
    </w:p>
    <w:p w14:paraId="0F63C3D3" w14:textId="77777777" w:rsidR="00017E8F" w:rsidRPr="00994531" w:rsidRDefault="00017E8F" w:rsidP="001B567A">
      <w:pPr>
        <w:spacing w:after="0" w:line="480" w:lineRule="auto"/>
        <w:jc w:val="center"/>
        <w:rPr>
          <w:szCs w:val="24"/>
        </w:rPr>
      </w:pPr>
    </w:p>
    <w:p w14:paraId="48BC5BFC" w14:textId="77777777" w:rsidR="00017E8F" w:rsidRPr="00994531" w:rsidRDefault="00017E8F" w:rsidP="001B567A">
      <w:pPr>
        <w:spacing w:after="0" w:line="480" w:lineRule="auto"/>
        <w:jc w:val="center"/>
        <w:rPr>
          <w:szCs w:val="24"/>
        </w:rPr>
      </w:pPr>
    </w:p>
    <w:p w14:paraId="65907B47" w14:textId="77777777" w:rsidR="007C0556" w:rsidRDefault="007C0556" w:rsidP="001B567A">
      <w:pPr>
        <w:spacing w:after="0" w:line="480" w:lineRule="auto"/>
        <w:jc w:val="center"/>
        <w:rPr>
          <w:szCs w:val="24"/>
        </w:rPr>
      </w:pPr>
    </w:p>
    <w:p w14:paraId="6474FD77" w14:textId="77777777" w:rsidR="0021728C" w:rsidRPr="0051651C" w:rsidRDefault="0021728C" w:rsidP="001B567A">
      <w:pPr>
        <w:spacing w:after="0" w:line="480" w:lineRule="auto"/>
        <w:jc w:val="center"/>
        <w:rPr>
          <w:szCs w:val="24"/>
        </w:rPr>
      </w:pPr>
    </w:p>
    <w:p w14:paraId="257A9002" w14:textId="5D49F9E3" w:rsidR="00CA485A" w:rsidRPr="00994531" w:rsidRDefault="00CA485A" w:rsidP="001B567A">
      <w:pPr>
        <w:spacing w:after="0" w:line="480" w:lineRule="auto"/>
        <w:jc w:val="center"/>
        <w:rPr>
          <w:szCs w:val="24"/>
        </w:rPr>
      </w:pPr>
      <w:r w:rsidRPr="00994531">
        <w:rPr>
          <w:szCs w:val="24"/>
        </w:rPr>
        <w:t>Ryan Ackett</w:t>
      </w:r>
    </w:p>
    <w:p w14:paraId="4376B777" w14:textId="1B541B4B" w:rsidR="00277381" w:rsidRPr="00994531" w:rsidRDefault="00CA485A" w:rsidP="001B567A">
      <w:pPr>
        <w:spacing w:after="0" w:line="480" w:lineRule="auto"/>
        <w:jc w:val="center"/>
        <w:rPr>
          <w:szCs w:val="24"/>
        </w:rPr>
      </w:pPr>
      <w:r w:rsidRPr="00994531">
        <w:rPr>
          <w:szCs w:val="24"/>
        </w:rPr>
        <w:t>August 2025</w:t>
      </w:r>
    </w:p>
    <w:p w14:paraId="6509428B" w14:textId="77777777" w:rsidR="005820AC" w:rsidRPr="00994531" w:rsidRDefault="005820AC" w:rsidP="00BA6169">
      <w:pPr>
        <w:pStyle w:val="Heading1"/>
        <w:sectPr w:rsidR="005820AC" w:rsidRPr="00994531" w:rsidSect="003E0936">
          <w:footerReference w:type="default" r:id="rId8"/>
          <w:footerReference w:type="first" r:id="rId9"/>
          <w:pgSz w:w="12240" w:h="15840"/>
          <w:pgMar w:top="1440" w:right="1440" w:bottom="1440" w:left="1440" w:header="720" w:footer="720" w:gutter="0"/>
          <w:pgNumType w:fmt="lowerRoman" w:start="2"/>
          <w:cols w:space="720"/>
          <w:titlePg/>
          <w:docGrid w:linePitch="360"/>
        </w:sectPr>
      </w:pPr>
    </w:p>
    <w:p w14:paraId="0B5A360A" w14:textId="3AB1BA7E" w:rsidR="00277381" w:rsidRPr="00994531" w:rsidRDefault="00277381" w:rsidP="001B567A">
      <w:pPr>
        <w:pStyle w:val="Heading1"/>
      </w:pPr>
      <w:bookmarkStart w:id="0" w:name="_Toc202172940"/>
      <w:bookmarkStart w:id="1" w:name="_Toc204263679"/>
      <w:bookmarkStart w:id="2" w:name="_Toc204270481"/>
      <w:bookmarkStart w:id="3" w:name="_Toc204282727"/>
      <w:r w:rsidRPr="00994531">
        <w:lastRenderedPageBreak/>
        <w:t>ACKNOWLEDGEMENTS</w:t>
      </w:r>
      <w:bookmarkEnd w:id="0"/>
      <w:bookmarkEnd w:id="1"/>
      <w:bookmarkEnd w:id="2"/>
      <w:bookmarkEnd w:id="3"/>
    </w:p>
    <w:p w14:paraId="57B1DA06" w14:textId="39816BBD" w:rsidR="00277381" w:rsidRPr="00994531" w:rsidRDefault="00C02CC7" w:rsidP="001B567A">
      <w:pPr>
        <w:spacing w:after="0" w:line="480" w:lineRule="auto"/>
        <w:rPr>
          <w:szCs w:val="24"/>
        </w:rPr>
      </w:pPr>
      <w:r w:rsidRPr="00994531">
        <w:rPr>
          <w:szCs w:val="24"/>
        </w:rPr>
        <w:t xml:space="preserve">I would like to thank first </w:t>
      </w:r>
      <w:r w:rsidR="007628ED" w:rsidRPr="00994531">
        <w:rPr>
          <w:szCs w:val="24"/>
        </w:rPr>
        <w:t xml:space="preserve">of all </w:t>
      </w:r>
      <w:r w:rsidRPr="00994531">
        <w:rPr>
          <w:szCs w:val="24"/>
        </w:rPr>
        <w:t>Dr. Debasish Saha</w:t>
      </w:r>
      <w:r w:rsidR="0035113D" w:rsidRPr="00994531">
        <w:rPr>
          <w:szCs w:val="24"/>
        </w:rPr>
        <w:t>, my advisor and mentor</w:t>
      </w:r>
      <w:r w:rsidR="00C15D18" w:rsidRPr="00994531">
        <w:rPr>
          <w:szCs w:val="24"/>
        </w:rPr>
        <w:t xml:space="preserve">, </w:t>
      </w:r>
      <w:r w:rsidR="00792B0B" w:rsidRPr="00994531">
        <w:rPr>
          <w:szCs w:val="24"/>
        </w:rPr>
        <w:t>for the time</w:t>
      </w:r>
      <w:r w:rsidR="00465C46" w:rsidRPr="00994531">
        <w:rPr>
          <w:szCs w:val="24"/>
        </w:rPr>
        <w:t xml:space="preserve">, energy, and guidance he has invested in me over these last years. </w:t>
      </w:r>
      <w:r w:rsidR="00A73288" w:rsidRPr="00994531">
        <w:rPr>
          <w:szCs w:val="24"/>
        </w:rPr>
        <w:t>I have grown tremendously</w:t>
      </w:r>
      <w:r w:rsidR="00081CC6" w:rsidRPr="00994531">
        <w:rPr>
          <w:szCs w:val="24"/>
        </w:rPr>
        <w:t xml:space="preserve"> as a </w:t>
      </w:r>
      <w:r w:rsidR="000250CF" w:rsidRPr="00994531">
        <w:rPr>
          <w:szCs w:val="24"/>
        </w:rPr>
        <w:t>scientist</w:t>
      </w:r>
      <w:r w:rsidR="00D41966" w:rsidRPr="00994531">
        <w:rPr>
          <w:szCs w:val="24"/>
        </w:rPr>
        <w:t xml:space="preserve"> and </w:t>
      </w:r>
      <w:r w:rsidR="00081CC6" w:rsidRPr="00994531">
        <w:rPr>
          <w:szCs w:val="24"/>
        </w:rPr>
        <w:t>writer</w:t>
      </w:r>
      <w:r w:rsidR="00F32940" w:rsidRPr="00994531">
        <w:rPr>
          <w:szCs w:val="24"/>
        </w:rPr>
        <w:t>, not to mention as a person, and I have</w:t>
      </w:r>
      <w:r w:rsidR="008F19C5" w:rsidRPr="00994531">
        <w:rPr>
          <w:szCs w:val="24"/>
        </w:rPr>
        <w:t xml:space="preserve"> him to thank for so much of that. </w:t>
      </w:r>
      <w:r w:rsidR="00755365">
        <w:rPr>
          <w:szCs w:val="24"/>
        </w:rPr>
        <w:t>As well, I have benefited tremendously from the knowledge</w:t>
      </w:r>
      <w:r w:rsidR="00121ADF">
        <w:rPr>
          <w:szCs w:val="24"/>
        </w:rPr>
        <w:t>, wisdom, and effort imparted to me by my</w:t>
      </w:r>
      <w:r w:rsidR="008C7169">
        <w:rPr>
          <w:szCs w:val="24"/>
        </w:rPr>
        <w:t xml:space="preserve"> committee members: Dr. Haileab Hilafu, Dr. Sin</w:t>
      </w:r>
      <w:r w:rsidR="00FC2EA2">
        <w:rPr>
          <w:szCs w:val="24"/>
        </w:rPr>
        <w:t>d</w:t>
      </w:r>
      <w:r w:rsidR="008C7169">
        <w:rPr>
          <w:szCs w:val="24"/>
        </w:rPr>
        <w:t>hu Jagadamma, Dr. Emine Fidan, and Dr. Sean Schaeffer.</w:t>
      </w:r>
      <w:r w:rsidR="009429AA">
        <w:rPr>
          <w:szCs w:val="24"/>
        </w:rPr>
        <w:t xml:space="preserve"> I am deeply indebted and</w:t>
      </w:r>
      <w:r w:rsidR="00972CBA">
        <w:rPr>
          <w:szCs w:val="24"/>
        </w:rPr>
        <w:t xml:space="preserve"> profoundly appreciative of the</w:t>
      </w:r>
      <w:r w:rsidR="00690A73">
        <w:rPr>
          <w:szCs w:val="24"/>
        </w:rPr>
        <w:t xml:space="preserve"> gift of your time</w:t>
      </w:r>
      <w:r w:rsidR="00C14EDF">
        <w:rPr>
          <w:szCs w:val="24"/>
        </w:rPr>
        <w:t xml:space="preserve"> and faith in me.</w:t>
      </w:r>
    </w:p>
    <w:p w14:paraId="1EDAF647" w14:textId="68E54B9C" w:rsidR="002D359F" w:rsidRPr="00994531" w:rsidRDefault="002D359F" w:rsidP="001B567A">
      <w:pPr>
        <w:spacing w:after="0" w:line="480" w:lineRule="auto"/>
        <w:rPr>
          <w:szCs w:val="24"/>
        </w:rPr>
      </w:pPr>
      <w:r w:rsidRPr="00994531">
        <w:rPr>
          <w:szCs w:val="24"/>
        </w:rPr>
        <w:t>I would also like to thank my lab members</w:t>
      </w:r>
      <w:r w:rsidR="006A0E2E" w:rsidRPr="00994531">
        <w:rPr>
          <w:szCs w:val="24"/>
        </w:rPr>
        <w:t xml:space="preserve"> Facundo Lussich, </w:t>
      </w:r>
      <w:r w:rsidR="007D58DD" w:rsidRPr="00994531">
        <w:rPr>
          <w:szCs w:val="24"/>
        </w:rPr>
        <w:t>Arjun Ch</w:t>
      </w:r>
      <w:r w:rsidR="002063B8" w:rsidRPr="00994531">
        <w:rPr>
          <w:szCs w:val="24"/>
        </w:rPr>
        <w:t>h</w:t>
      </w:r>
      <w:r w:rsidR="007D58DD" w:rsidRPr="00994531">
        <w:rPr>
          <w:szCs w:val="24"/>
        </w:rPr>
        <w:t xml:space="preserve">etri, </w:t>
      </w:r>
      <w:r w:rsidR="00F711F9" w:rsidRPr="00994531">
        <w:rPr>
          <w:szCs w:val="24"/>
        </w:rPr>
        <w:t xml:space="preserve">Jashan Dhaliwal, </w:t>
      </w:r>
      <w:r w:rsidR="00DE72E1" w:rsidRPr="00994531">
        <w:rPr>
          <w:szCs w:val="24"/>
        </w:rPr>
        <w:t xml:space="preserve">and </w:t>
      </w:r>
      <w:r w:rsidR="00F711F9" w:rsidRPr="00994531">
        <w:rPr>
          <w:szCs w:val="24"/>
        </w:rPr>
        <w:t>Presley</w:t>
      </w:r>
      <w:r w:rsidR="006B44C8" w:rsidRPr="00994531">
        <w:rPr>
          <w:szCs w:val="24"/>
        </w:rPr>
        <w:t xml:space="preserve"> Nickens</w:t>
      </w:r>
      <w:r w:rsidR="00DE72E1" w:rsidRPr="00994531">
        <w:rPr>
          <w:szCs w:val="24"/>
        </w:rPr>
        <w:t xml:space="preserve"> who have been with me over the years</w:t>
      </w:r>
      <w:r w:rsidR="00CA535E" w:rsidRPr="00994531">
        <w:rPr>
          <w:szCs w:val="24"/>
        </w:rPr>
        <w:t xml:space="preserve">, and who have always been there when I needed you. </w:t>
      </w:r>
      <w:r w:rsidR="003D3788" w:rsidRPr="00994531">
        <w:rPr>
          <w:szCs w:val="24"/>
        </w:rPr>
        <w:t>I could not have asked for a kinder or more supportive lab group</w:t>
      </w:r>
      <w:r w:rsidR="003658DD" w:rsidRPr="00994531">
        <w:rPr>
          <w:szCs w:val="24"/>
        </w:rPr>
        <w:t>. Each of you has gone out of your way to help me along the way</w:t>
      </w:r>
      <w:r w:rsidR="007628ED" w:rsidRPr="00994531">
        <w:rPr>
          <w:szCs w:val="24"/>
        </w:rPr>
        <w:t xml:space="preserve">, and I could not have </w:t>
      </w:r>
      <w:r w:rsidR="001A11ED" w:rsidRPr="00994531">
        <w:rPr>
          <w:szCs w:val="24"/>
        </w:rPr>
        <w:t>done this without you.</w:t>
      </w:r>
      <w:r w:rsidR="004647DC">
        <w:rPr>
          <w:szCs w:val="24"/>
        </w:rPr>
        <w:t xml:space="preserve"> </w:t>
      </w:r>
      <w:r w:rsidR="00A51127">
        <w:rPr>
          <w:szCs w:val="24"/>
        </w:rPr>
        <w:t>I am also</w:t>
      </w:r>
      <w:r w:rsidR="0064193E">
        <w:rPr>
          <w:szCs w:val="24"/>
        </w:rPr>
        <w:t xml:space="preserve"> grateful for the many other</w:t>
      </w:r>
      <w:r w:rsidR="00F15806">
        <w:rPr>
          <w:szCs w:val="24"/>
        </w:rPr>
        <w:t>s who generously contributed their time</w:t>
      </w:r>
      <w:r w:rsidR="000203F5">
        <w:rPr>
          <w:szCs w:val="24"/>
        </w:rPr>
        <w:t xml:space="preserve"> to assist me in </w:t>
      </w:r>
      <w:r w:rsidR="00E5312A">
        <w:rPr>
          <w:szCs w:val="24"/>
        </w:rPr>
        <w:t xml:space="preserve">conducting </w:t>
      </w:r>
      <w:r w:rsidR="00117628">
        <w:rPr>
          <w:szCs w:val="24"/>
        </w:rPr>
        <w:t>soil</w:t>
      </w:r>
      <w:r w:rsidR="00E5312A">
        <w:rPr>
          <w:szCs w:val="24"/>
        </w:rPr>
        <w:t xml:space="preserve"> analyses</w:t>
      </w:r>
      <w:r w:rsidR="00117628">
        <w:rPr>
          <w:szCs w:val="24"/>
        </w:rPr>
        <w:t xml:space="preserve"> and guiding me throughout the lab</w:t>
      </w:r>
      <w:r w:rsidR="004E2A19">
        <w:rPr>
          <w:szCs w:val="24"/>
        </w:rPr>
        <w:t>, especially</w:t>
      </w:r>
      <w:r w:rsidR="00117628">
        <w:rPr>
          <w:szCs w:val="24"/>
        </w:rPr>
        <w:t xml:space="preserve"> </w:t>
      </w:r>
      <w:r w:rsidR="000858C2">
        <w:rPr>
          <w:szCs w:val="24"/>
        </w:rPr>
        <w:t>Rachel Wooliver, Bin</w:t>
      </w:r>
      <w:r w:rsidR="00D82F0C">
        <w:rPr>
          <w:szCs w:val="24"/>
        </w:rPr>
        <w:t>siya Kallingal, Rounak Patra</w:t>
      </w:r>
      <w:r w:rsidR="00CD1029">
        <w:rPr>
          <w:szCs w:val="24"/>
        </w:rPr>
        <w:t>, and Duncan Mc</w:t>
      </w:r>
      <w:r w:rsidR="00683D16">
        <w:rPr>
          <w:szCs w:val="24"/>
        </w:rPr>
        <w:t>N</w:t>
      </w:r>
      <w:r w:rsidR="00CD1029">
        <w:rPr>
          <w:szCs w:val="24"/>
        </w:rPr>
        <w:t>amara.</w:t>
      </w:r>
      <w:r w:rsidR="004E2A19">
        <w:rPr>
          <w:szCs w:val="24"/>
        </w:rPr>
        <w:t xml:space="preserve"> </w:t>
      </w:r>
      <w:r w:rsidR="000C4AF9">
        <w:rPr>
          <w:szCs w:val="24"/>
        </w:rPr>
        <w:t xml:space="preserve">And an additional thanks to Arjun, who </w:t>
      </w:r>
      <w:r w:rsidR="00635EB9">
        <w:rPr>
          <w:szCs w:val="24"/>
        </w:rPr>
        <w:t xml:space="preserve">worked </w:t>
      </w:r>
      <w:r w:rsidR="000C4AF9">
        <w:rPr>
          <w:szCs w:val="24"/>
        </w:rPr>
        <w:t>tirelessly</w:t>
      </w:r>
      <w:r w:rsidR="00635EB9">
        <w:rPr>
          <w:szCs w:val="24"/>
        </w:rPr>
        <w:t xml:space="preserve"> to keep the gas chromatograph </w:t>
      </w:r>
      <w:r w:rsidR="005D680D">
        <w:rPr>
          <w:szCs w:val="24"/>
        </w:rPr>
        <w:t>running despite its many attempts to fail</w:t>
      </w:r>
      <w:r w:rsidR="00381965">
        <w:rPr>
          <w:szCs w:val="24"/>
        </w:rPr>
        <w:t>.</w:t>
      </w:r>
    </w:p>
    <w:p w14:paraId="621DE2BB" w14:textId="1EED35A4" w:rsidR="001A11ED" w:rsidRPr="00994531" w:rsidRDefault="008855B5" w:rsidP="001B567A">
      <w:pPr>
        <w:spacing w:after="0" w:line="480" w:lineRule="auto"/>
        <w:rPr>
          <w:szCs w:val="24"/>
        </w:rPr>
      </w:pPr>
      <w:r w:rsidRPr="00994531">
        <w:rPr>
          <w:szCs w:val="24"/>
        </w:rPr>
        <w:t xml:space="preserve">I also </w:t>
      </w:r>
      <w:r w:rsidR="00A81EC3">
        <w:rPr>
          <w:szCs w:val="24"/>
        </w:rPr>
        <w:t>extend</w:t>
      </w:r>
      <w:r w:rsidRPr="00994531">
        <w:rPr>
          <w:szCs w:val="24"/>
        </w:rPr>
        <w:t xml:space="preserve"> my deepest gratitude to my friends and comrades</w:t>
      </w:r>
      <w:r w:rsidR="00A14E34" w:rsidRPr="00994531">
        <w:rPr>
          <w:szCs w:val="24"/>
        </w:rPr>
        <w:t xml:space="preserve"> of United Campus Workers</w:t>
      </w:r>
      <w:r w:rsidR="005C65AD" w:rsidRPr="00994531">
        <w:rPr>
          <w:szCs w:val="24"/>
        </w:rPr>
        <w:t xml:space="preserve">. </w:t>
      </w:r>
      <w:r w:rsidR="00813943" w:rsidRPr="00994531">
        <w:rPr>
          <w:szCs w:val="24"/>
        </w:rPr>
        <w:t xml:space="preserve">It is no understatement to say that </w:t>
      </w:r>
      <w:r w:rsidR="00DD6A15" w:rsidRPr="00994531">
        <w:rPr>
          <w:szCs w:val="24"/>
        </w:rPr>
        <w:t xml:space="preserve">I would </w:t>
      </w:r>
      <w:r w:rsidR="00763991" w:rsidRPr="00994531">
        <w:rPr>
          <w:szCs w:val="24"/>
        </w:rPr>
        <w:t xml:space="preserve">not </w:t>
      </w:r>
      <w:r w:rsidR="00142D0F" w:rsidRPr="00994531">
        <w:rPr>
          <w:szCs w:val="24"/>
        </w:rPr>
        <w:t>have made it through this</w:t>
      </w:r>
      <w:r w:rsidR="005F73D7" w:rsidRPr="00994531">
        <w:rPr>
          <w:szCs w:val="24"/>
        </w:rPr>
        <w:t xml:space="preserve"> </w:t>
      </w:r>
      <w:r w:rsidR="00763991" w:rsidRPr="00994531">
        <w:rPr>
          <w:szCs w:val="24"/>
        </w:rPr>
        <w:t>if it had not been for</w:t>
      </w:r>
      <w:r w:rsidR="005F73D7" w:rsidRPr="00994531">
        <w:rPr>
          <w:szCs w:val="24"/>
        </w:rPr>
        <w:t xml:space="preserve"> </w:t>
      </w:r>
      <w:r w:rsidR="00763991" w:rsidRPr="00994531">
        <w:rPr>
          <w:szCs w:val="24"/>
        </w:rPr>
        <w:t>the success this union has had</w:t>
      </w:r>
      <w:r w:rsidR="008955FC" w:rsidRPr="00994531">
        <w:rPr>
          <w:szCs w:val="24"/>
        </w:rPr>
        <w:t xml:space="preserve"> </w:t>
      </w:r>
      <w:r w:rsidR="00763991" w:rsidRPr="00994531">
        <w:rPr>
          <w:szCs w:val="24"/>
        </w:rPr>
        <w:t>in</w:t>
      </w:r>
      <w:r w:rsidR="008955FC" w:rsidRPr="00994531">
        <w:rPr>
          <w:szCs w:val="24"/>
        </w:rPr>
        <w:t xml:space="preserve"> mak</w:t>
      </w:r>
      <w:r w:rsidR="00763991" w:rsidRPr="00994531">
        <w:rPr>
          <w:szCs w:val="24"/>
        </w:rPr>
        <w:t>ing</w:t>
      </w:r>
      <w:r w:rsidR="00DF7B05" w:rsidRPr="00994531">
        <w:rPr>
          <w:szCs w:val="24"/>
        </w:rPr>
        <w:t xml:space="preserve"> this campus a better place for all graduate workers</w:t>
      </w:r>
      <w:r w:rsidR="00347B4E" w:rsidRPr="00994531">
        <w:rPr>
          <w:szCs w:val="24"/>
        </w:rPr>
        <w:t xml:space="preserve">. </w:t>
      </w:r>
      <w:r w:rsidR="00763991" w:rsidRPr="00994531">
        <w:rPr>
          <w:szCs w:val="24"/>
        </w:rPr>
        <w:t xml:space="preserve">So many of you have </w:t>
      </w:r>
      <w:r w:rsidR="0085059B" w:rsidRPr="00994531">
        <w:rPr>
          <w:szCs w:val="24"/>
        </w:rPr>
        <w:t xml:space="preserve">truly stood up for me, and I hope I have been able to do the same for you. Solidarity forever. </w:t>
      </w:r>
    </w:p>
    <w:p w14:paraId="7A15DEE0" w14:textId="05B46B02" w:rsidR="0085059B" w:rsidRPr="00994531" w:rsidRDefault="000B10A2" w:rsidP="001B567A">
      <w:pPr>
        <w:spacing w:after="0" w:line="480" w:lineRule="auto"/>
        <w:rPr>
          <w:szCs w:val="24"/>
        </w:rPr>
      </w:pPr>
      <w:r w:rsidRPr="00994531">
        <w:rPr>
          <w:szCs w:val="24"/>
        </w:rPr>
        <w:t>Most of all I thank my family who ha</w:t>
      </w:r>
      <w:r w:rsidR="00686A2A" w:rsidRPr="00994531">
        <w:rPr>
          <w:szCs w:val="24"/>
        </w:rPr>
        <w:t>ve</w:t>
      </w:r>
      <w:r w:rsidRPr="00994531">
        <w:rPr>
          <w:szCs w:val="24"/>
        </w:rPr>
        <w:t xml:space="preserve"> never stopped supporting and believing in me. </w:t>
      </w:r>
      <w:r w:rsidR="0077110F" w:rsidRPr="00994531">
        <w:rPr>
          <w:szCs w:val="24"/>
        </w:rPr>
        <w:t xml:space="preserve">To my parents, Wayne and Jennifer, </w:t>
      </w:r>
      <w:r w:rsidR="008F2A18" w:rsidRPr="00994531">
        <w:rPr>
          <w:szCs w:val="24"/>
        </w:rPr>
        <w:t>I thank you for instilling in m</w:t>
      </w:r>
      <w:r w:rsidR="0051512B" w:rsidRPr="00994531">
        <w:rPr>
          <w:szCs w:val="24"/>
        </w:rPr>
        <w:t>e</w:t>
      </w:r>
      <w:r w:rsidR="008F2A18" w:rsidRPr="00994531">
        <w:rPr>
          <w:szCs w:val="24"/>
        </w:rPr>
        <w:t xml:space="preserve"> a love of learning and science</w:t>
      </w:r>
      <w:r w:rsidR="0051512B" w:rsidRPr="00994531">
        <w:rPr>
          <w:szCs w:val="24"/>
        </w:rPr>
        <w:t xml:space="preserve"> which </w:t>
      </w:r>
      <w:r w:rsidR="0051512B" w:rsidRPr="00994531">
        <w:rPr>
          <w:szCs w:val="24"/>
        </w:rPr>
        <w:lastRenderedPageBreak/>
        <w:t xml:space="preserve">I have pursued all my life. </w:t>
      </w:r>
      <w:r w:rsidR="002919BD" w:rsidRPr="00994531">
        <w:rPr>
          <w:szCs w:val="24"/>
        </w:rPr>
        <w:t xml:space="preserve">And to Onyx, who has been by </w:t>
      </w:r>
      <w:r w:rsidR="008E490B" w:rsidRPr="00994531">
        <w:rPr>
          <w:szCs w:val="24"/>
        </w:rPr>
        <w:t>my side and my most loyal ally,</w:t>
      </w:r>
      <w:r w:rsidR="0069001C" w:rsidRPr="00994531">
        <w:rPr>
          <w:szCs w:val="24"/>
        </w:rPr>
        <w:t xml:space="preserve"> my</w:t>
      </w:r>
      <w:r w:rsidR="00CD0C8F" w:rsidRPr="00994531">
        <w:rPr>
          <w:szCs w:val="24"/>
        </w:rPr>
        <w:t xml:space="preserve"> most patient listener,</w:t>
      </w:r>
      <w:r w:rsidR="008E490B" w:rsidRPr="00994531">
        <w:rPr>
          <w:szCs w:val="24"/>
        </w:rPr>
        <w:t xml:space="preserve"> my fiercest defender</w:t>
      </w:r>
      <w:r w:rsidR="00CD0C8F" w:rsidRPr="00994531">
        <w:rPr>
          <w:szCs w:val="24"/>
        </w:rPr>
        <w:t xml:space="preserve">. My greatest love to you all. </w:t>
      </w:r>
    </w:p>
    <w:p w14:paraId="0E99B76A" w14:textId="77777777" w:rsidR="0085059B" w:rsidRPr="00994531" w:rsidRDefault="0085059B" w:rsidP="00BA6169">
      <w:pPr>
        <w:pStyle w:val="Heading1"/>
        <w:sectPr w:rsidR="0085059B" w:rsidRPr="00994531" w:rsidSect="00CA1D20">
          <w:footerReference w:type="default" r:id="rId10"/>
          <w:pgSz w:w="12240" w:h="15840"/>
          <w:pgMar w:top="1440" w:right="1440" w:bottom="1440" w:left="1440" w:header="720" w:footer="720" w:gutter="0"/>
          <w:pgNumType w:fmt="lowerRoman" w:start="2"/>
          <w:cols w:space="720"/>
          <w:docGrid w:linePitch="360"/>
        </w:sectPr>
      </w:pPr>
    </w:p>
    <w:p w14:paraId="16CB99CA" w14:textId="77777777" w:rsidR="00CA3F28" w:rsidRPr="00994531" w:rsidRDefault="00CA3F28" w:rsidP="001B567A">
      <w:pPr>
        <w:pStyle w:val="Heading1"/>
      </w:pPr>
      <w:bookmarkStart w:id="4" w:name="_Toc202172941"/>
      <w:bookmarkStart w:id="5" w:name="_Toc204263680"/>
      <w:bookmarkStart w:id="6" w:name="_Toc204270482"/>
      <w:bookmarkStart w:id="7" w:name="_Toc204282728"/>
      <w:r w:rsidRPr="00994531">
        <w:lastRenderedPageBreak/>
        <w:t>ABSTRACT</w:t>
      </w:r>
      <w:bookmarkEnd w:id="4"/>
      <w:bookmarkEnd w:id="5"/>
      <w:bookmarkEnd w:id="6"/>
      <w:bookmarkEnd w:id="7"/>
    </w:p>
    <w:p w14:paraId="61A0BC64" w14:textId="29497687" w:rsidR="00CA3F28" w:rsidRPr="00A930DC" w:rsidRDefault="00CE090F" w:rsidP="001B567A">
      <w:pPr>
        <w:spacing w:after="0" w:line="480" w:lineRule="auto"/>
        <w:rPr>
          <w:rFonts w:eastAsia="Calibri" w:cs="Times New Roman"/>
          <w:kern w:val="0"/>
          <w:szCs w:val="24"/>
          <w14:ligatures w14:val="none"/>
        </w:rPr>
      </w:pPr>
      <w:r w:rsidRPr="00856751">
        <w:rPr>
          <w:rFonts w:eastAsia="Times New Roman" w:cs="Times New Roman"/>
          <w:kern w:val="0"/>
          <w:szCs w:val="24"/>
          <w14:ligatures w14:val="none"/>
        </w:rPr>
        <w:t>Nitrous oxide (N</w:t>
      </w:r>
      <w:r w:rsidRPr="00856751">
        <w:rPr>
          <w:rFonts w:eastAsia="Times New Roman" w:cs="Times New Roman"/>
          <w:kern w:val="0"/>
          <w:szCs w:val="24"/>
          <w:vertAlign w:val="subscript"/>
          <w14:ligatures w14:val="none"/>
        </w:rPr>
        <w:t>2</w:t>
      </w:r>
      <w:r w:rsidRPr="00856751">
        <w:rPr>
          <w:rFonts w:eastAsia="Times New Roman" w:cs="Times New Roman"/>
          <w:kern w:val="0"/>
          <w:szCs w:val="24"/>
          <w14:ligatures w14:val="none"/>
        </w:rPr>
        <w:t xml:space="preserve">O) emissions from agricultural soils contribute ~4% of total anthropogenic greenhouse gases (GHG) emissions globally. </w:t>
      </w:r>
      <w:r>
        <w:rPr>
          <w:rFonts w:eastAsia="Times New Roman" w:cs="Times New Roman"/>
          <w:kern w:val="0"/>
          <w:szCs w:val="24"/>
          <w14:ligatures w14:val="none"/>
        </w:rPr>
        <w:t>E</w:t>
      </w:r>
      <w:r w:rsidRPr="00856751">
        <w:rPr>
          <w:rFonts w:eastAsia="Times New Roman" w:cs="Times New Roman"/>
          <w:kern w:val="0"/>
          <w:szCs w:val="24"/>
          <w14:ligatures w14:val="none"/>
        </w:rPr>
        <w:t>vents known as ‘hot moments’</w:t>
      </w:r>
      <w:r>
        <w:rPr>
          <w:rFonts w:eastAsia="Times New Roman" w:cs="Times New Roman"/>
          <w:kern w:val="0"/>
          <w:szCs w:val="24"/>
          <w14:ligatures w14:val="none"/>
        </w:rPr>
        <w:t xml:space="preserve"> can occur following environmental changes that favor N</w:t>
      </w:r>
      <w:r>
        <w:rPr>
          <w:rFonts w:eastAsia="Times New Roman" w:cs="Times New Roman"/>
          <w:kern w:val="0"/>
          <w:szCs w:val="24"/>
          <w:vertAlign w:val="subscript"/>
          <w14:ligatures w14:val="none"/>
        </w:rPr>
        <w:t>2</w:t>
      </w:r>
      <w:r>
        <w:rPr>
          <w:rFonts w:eastAsia="Times New Roman" w:cs="Times New Roman"/>
          <w:kern w:val="0"/>
          <w:szCs w:val="24"/>
          <w14:ligatures w14:val="none"/>
        </w:rPr>
        <w:t>O production, which</w:t>
      </w:r>
      <w:r w:rsidRPr="00856751">
        <w:rPr>
          <w:rFonts w:eastAsia="Times New Roman" w:cs="Times New Roman"/>
          <w:kern w:val="0"/>
          <w:szCs w:val="24"/>
          <w14:ligatures w14:val="none"/>
        </w:rPr>
        <w:t xml:space="preserve"> contribute disproportionately to annual cumulative emissions. Despite their significance, hot moments have not been statistically well defined</w:t>
      </w:r>
      <w:r>
        <w:rPr>
          <w:rFonts w:eastAsia="Times New Roman" w:cs="Times New Roman"/>
          <w:kern w:val="0"/>
          <w:szCs w:val="24"/>
          <w14:ligatures w14:val="none"/>
        </w:rPr>
        <w:t>, particularly on a global scale</w:t>
      </w:r>
      <w:r w:rsidRPr="00856751">
        <w:rPr>
          <w:rFonts w:eastAsia="Times New Roman" w:cs="Times New Roman"/>
          <w:kern w:val="0"/>
          <w:szCs w:val="24"/>
          <w14:ligatures w14:val="none"/>
        </w:rPr>
        <w:t xml:space="preserve">. </w:t>
      </w:r>
      <w:r>
        <w:rPr>
          <w:rFonts w:eastAsia="Times New Roman" w:cs="Times New Roman"/>
          <w:kern w:val="0"/>
          <w:szCs w:val="24"/>
          <w14:ligatures w14:val="none"/>
        </w:rPr>
        <w:t>I</w:t>
      </w:r>
      <w:r w:rsidRPr="00856751">
        <w:rPr>
          <w:rFonts w:eastAsia="Times New Roman" w:cs="Times New Roman"/>
          <w:kern w:val="0"/>
          <w:szCs w:val="24"/>
          <w14:ligatures w14:val="none"/>
        </w:rPr>
        <w:t xml:space="preserve"> </w:t>
      </w:r>
      <w:r>
        <w:rPr>
          <w:rFonts w:eastAsia="Times New Roman" w:cs="Times New Roman"/>
          <w:kern w:val="0"/>
          <w:szCs w:val="24"/>
          <w14:ligatures w14:val="none"/>
        </w:rPr>
        <w:t>collected 13,787</w:t>
      </w:r>
      <w:r w:rsidRPr="00856751">
        <w:rPr>
          <w:rFonts w:eastAsia="Times New Roman" w:cs="Times New Roman"/>
          <w:kern w:val="0"/>
          <w:szCs w:val="24"/>
          <w14:ligatures w14:val="none"/>
        </w:rPr>
        <w:t xml:space="preserve"> soil N</w:t>
      </w:r>
      <w:r w:rsidRPr="00856751">
        <w:rPr>
          <w:rFonts w:eastAsia="Times New Roman" w:cs="Times New Roman"/>
          <w:kern w:val="0"/>
          <w:szCs w:val="24"/>
          <w:vertAlign w:val="subscript"/>
          <w14:ligatures w14:val="none"/>
        </w:rPr>
        <w:t>2</w:t>
      </w:r>
      <w:r w:rsidRPr="00856751">
        <w:rPr>
          <w:rFonts w:eastAsia="Times New Roman" w:cs="Times New Roman"/>
          <w:kern w:val="0"/>
          <w:szCs w:val="24"/>
          <w14:ligatures w14:val="none"/>
        </w:rPr>
        <w:t>O flux measurements fro</w:t>
      </w:r>
      <w:r>
        <w:rPr>
          <w:rFonts w:eastAsia="Times New Roman" w:cs="Times New Roman"/>
          <w:kern w:val="0"/>
          <w:szCs w:val="24"/>
          <w14:ligatures w14:val="none"/>
        </w:rPr>
        <w:t>m</w:t>
      </w:r>
      <w:r w:rsidRPr="00856751">
        <w:rPr>
          <w:rFonts w:eastAsia="Times New Roman" w:cs="Times New Roman"/>
          <w:kern w:val="0"/>
          <w:szCs w:val="24"/>
          <w14:ligatures w14:val="none"/>
        </w:rPr>
        <w:t xml:space="preserve"> 42 publications</w:t>
      </w:r>
      <w:r>
        <w:rPr>
          <w:rFonts w:eastAsia="Times New Roman" w:cs="Times New Roman"/>
          <w:kern w:val="0"/>
          <w:szCs w:val="24"/>
          <w14:ligatures w14:val="none"/>
        </w:rPr>
        <w:t xml:space="preserve"> and</w:t>
      </w:r>
      <w:r w:rsidRPr="00856751">
        <w:rPr>
          <w:rFonts w:eastAsia="Times New Roman" w:cs="Times New Roman"/>
          <w:kern w:val="0"/>
          <w:szCs w:val="24"/>
          <w14:ligatures w14:val="none"/>
        </w:rPr>
        <w:t xml:space="preserve"> evaluated 14 methods of </w:t>
      </w:r>
      <w:r>
        <w:rPr>
          <w:rFonts w:eastAsia="Times New Roman" w:cs="Times New Roman"/>
          <w:kern w:val="0"/>
          <w:szCs w:val="24"/>
          <w14:ligatures w14:val="none"/>
        </w:rPr>
        <w:t xml:space="preserve">statistical </w:t>
      </w:r>
      <w:r w:rsidRPr="00856751">
        <w:rPr>
          <w:rFonts w:eastAsia="Times New Roman" w:cs="Times New Roman"/>
          <w:kern w:val="0"/>
          <w:szCs w:val="24"/>
          <w14:ligatures w14:val="none"/>
        </w:rPr>
        <w:t xml:space="preserve">anomaly detection for </w:t>
      </w:r>
      <w:r>
        <w:rPr>
          <w:rFonts w:eastAsia="Times New Roman" w:cs="Times New Roman"/>
          <w:kern w:val="0"/>
          <w:szCs w:val="24"/>
          <w14:ligatures w14:val="none"/>
        </w:rPr>
        <w:t>their ability to identify hot moments within datasets</w:t>
      </w:r>
      <w:r w:rsidRPr="00856751">
        <w:rPr>
          <w:rFonts w:eastAsia="Times New Roman" w:cs="Times New Roman"/>
          <w:kern w:val="0"/>
          <w:szCs w:val="24"/>
          <w14:ligatures w14:val="none"/>
        </w:rPr>
        <w:t xml:space="preserve">. Two methods </w:t>
      </w:r>
      <w:r>
        <w:rPr>
          <w:rFonts w:eastAsia="Times New Roman" w:cs="Times New Roman"/>
          <w:kern w:val="0"/>
          <w:szCs w:val="24"/>
          <w14:ligatures w14:val="none"/>
        </w:rPr>
        <w:t>achieved highest overall performance by Matthews correlation coefficient (MCC)</w:t>
      </w:r>
      <w:r w:rsidRPr="00856751">
        <w:rPr>
          <w:rFonts w:eastAsia="Times New Roman" w:cs="Times New Roman"/>
          <w:kern w:val="0"/>
          <w:szCs w:val="24"/>
          <w14:ligatures w14:val="none"/>
        </w:rPr>
        <w:t>: median absolute deviation (MCC</w:t>
      </w:r>
      <w:r>
        <w:rPr>
          <w:rFonts w:eastAsia="Times New Roman" w:cs="Times New Roman"/>
          <w:kern w:val="0"/>
          <w:szCs w:val="24"/>
          <w14:ligatures w14:val="none"/>
        </w:rPr>
        <w:t>:</w:t>
      </w:r>
      <w:r w:rsidRPr="00856751">
        <w:rPr>
          <w:rFonts w:eastAsia="Times New Roman" w:cs="Times New Roman"/>
          <w:kern w:val="0"/>
          <w:szCs w:val="24"/>
          <w14:ligatures w14:val="none"/>
        </w:rPr>
        <w:t xml:space="preserve"> 0.</w:t>
      </w:r>
      <w:r>
        <w:rPr>
          <w:rFonts w:eastAsia="Times New Roman" w:cs="Times New Roman"/>
          <w:kern w:val="0"/>
          <w:szCs w:val="24"/>
          <w14:ligatures w14:val="none"/>
        </w:rPr>
        <w:t>80</w:t>
      </w:r>
      <w:r w:rsidRPr="00856751">
        <w:rPr>
          <w:rFonts w:eastAsia="Times New Roman" w:cs="Times New Roman"/>
          <w:kern w:val="0"/>
          <w:szCs w:val="24"/>
          <w14:ligatures w14:val="none"/>
        </w:rPr>
        <w:t>) and minimum covariance determinant (MCC</w:t>
      </w:r>
      <w:r>
        <w:rPr>
          <w:rFonts w:eastAsia="Times New Roman" w:cs="Times New Roman"/>
          <w:kern w:val="0"/>
          <w:szCs w:val="24"/>
          <w14:ligatures w14:val="none"/>
        </w:rPr>
        <w:t>:</w:t>
      </w:r>
      <w:r w:rsidRPr="00856751">
        <w:rPr>
          <w:rFonts w:eastAsia="Times New Roman" w:cs="Times New Roman"/>
          <w:kern w:val="0"/>
          <w:szCs w:val="24"/>
          <w14:ligatures w14:val="none"/>
        </w:rPr>
        <w:t xml:space="preserve"> 0.</w:t>
      </w:r>
      <w:r>
        <w:rPr>
          <w:rFonts w:eastAsia="Times New Roman" w:cs="Times New Roman"/>
          <w:kern w:val="0"/>
          <w:szCs w:val="24"/>
          <w14:ligatures w14:val="none"/>
        </w:rPr>
        <w:t>80</w:t>
      </w:r>
      <w:r w:rsidRPr="00856751">
        <w:rPr>
          <w:rFonts w:eastAsia="Times New Roman" w:cs="Times New Roman"/>
          <w:kern w:val="0"/>
          <w:szCs w:val="24"/>
          <w14:ligatures w14:val="none"/>
        </w:rPr>
        <w:t xml:space="preserve">), </w:t>
      </w:r>
      <w:r>
        <w:rPr>
          <w:rFonts w:eastAsia="Times New Roman" w:cs="Times New Roman"/>
          <w:kern w:val="0"/>
          <w:szCs w:val="24"/>
          <w14:ligatures w14:val="none"/>
        </w:rPr>
        <w:t xml:space="preserve">the latter </w:t>
      </w:r>
      <w:r w:rsidRPr="00856751">
        <w:rPr>
          <w:rFonts w:eastAsia="Times New Roman" w:cs="Times New Roman"/>
          <w:kern w:val="0"/>
          <w:szCs w:val="24"/>
          <w14:ligatures w14:val="none"/>
        </w:rPr>
        <w:t>which</w:t>
      </w:r>
      <w:r>
        <w:rPr>
          <w:rFonts w:eastAsia="Times New Roman" w:cs="Times New Roman"/>
          <w:kern w:val="0"/>
          <w:szCs w:val="24"/>
          <w14:ligatures w14:val="none"/>
        </w:rPr>
        <w:t xml:space="preserve"> also</w:t>
      </w:r>
      <w:r w:rsidRPr="00856751">
        <w:rPr>
          <w:rFonts w:eastAsia="Times New Roman" w:cs="Times New Roman"/>
          <w:kern w:val="0"/>
          <w:szCs w:val="24"/>
          <w14:ligatures w14:val="none"/>
        </w:rPr>
        <w:t xml:space="preserve"> performed evenly across highly dissimilar datasets and </w:t>
      </w:r>
      <w:r>
        <w:rPr>
          <w:rFonts w:eastAsia="Times New Roman" w:cs="Times New Roman"/>
          <w:kern w:val="0"/>
          <w:szCs w:val="24"/>
          <w14:ligatures w14:val="none"/>
        </w:rPr>
        <w:t xml:space="preserve">identified more </w:t>
      </w:r>
      <w:r w:rsidRPr="00856751">
        <w:rPr>
          <w:rFonts w:eastAsia="Times New Roman" w:cs="Times New Roman"/>
          <w:kern w:val="0"/>
          <w:szCs w:val="24"/>
          <w14:ligatures w14:val="none"/>
        </w:rPr>
        <w:t xml:space="preserve">difficult-to-detect </w:t>
      </w:r>
      <w:r>
        <w:rPr>
          <w:rFonts w:eastAsia="Times New Roman" w:cs="Times New Roman"/>
          <w:kern w:val="0"/>
          <w:szCs w:val="24"/>
          <w14:ligatures w14:val="none"/>
        </w:rPr>
        <w:t>contextual</w:t>
      </w:r>
      <w:r w:rsidRPr="00856751">
        <w:rPr>
          <w:rFonts w:eastAsia="Times New Roman" w:cs="Times New Roman"/>
          <w:kern w:val="0"/>
          <w:szCs w:val="24"/>
          <w14:ligatures w14:val="none"/>
        </w:rPr>
        <w:t xml:space="preserve"> hot moments</w:t>
      </w:r>
      <w:r>
        <w:rPr>
          <w:rFonts w:eastAsia="Times New Roman" w:cs="Times New Roman"/>
          <w:kern w:val="0"/>
          <w:szCs w:val="24"/>
          <w14:ligatures w14:val="none"/>
        </w:rPr>
        <w:t xml:space="preserve"> than other top overall performers</w:t>
      </w:r>
      <w:r w:rsidRPr="00856751">
        <w:rPr>
          <w:rFonts w:eastAsia="Times New Roman" w:cs="Times New Roman"/>
          <w:kern w:val="0"/>
          <w:szCs w:val="24"/>
          <w14:ligatures w14:val="none"/>
        </w:rPr>
        <w:t xml:space="preserve"> (</w:t>
      </w:r>
      <w:r>
        <w:rPr>
          <w:rFonts w:eastAsia="Times New Roman" w:cs="Times New Roman"/>
          <w:kern w:val="0"/>
          <w:szCs w:val="24"/>
          <w14:ligatures w14:val="none"/>
        </w:rPr>
        <w:t>39</w:t>
      </w:r>
      <w:r w:rsidRPr="00856751">
        <w:rPr>
          <w:rFonts w:eastAsia="Times New Roman" w:cs="Times New Roman"/>
          <w:kern w:val="0"/>
          <w:szCs w:val="24"/>
          <w14:ligatures w14:val="none"/>
        </w:rPr>
        <w:t>%).</w:t>
      </w:r>
      <w:r w:rsidR="00687ED8">
        <w:rPr>
          <w:rFonts w:eastAsia="Calibri" w:cs="Times New Roman"/>
          <w:kern w:val="0"/>
          <w:szCs w:val="24"/>
          <w14:ligatures w14:val="none"/>
        </w:rPr>
        <w:t xml:space="preserve"> I next</w:t>
      </w:r>
      <w:r w:rsidR="00CB6112" w:rsidRPr="0085558C">
        <w:rPr>
          <w:rFonts w:eastAsia="Calibri" w:cs="Times New Roman"/>
          <w:kern w:val="0"/>
          <w:szCs w:val="24"/>
          <w14:ligatures w14:val="none"/>
        </w:rPr>
        <w:t xml:space="preserve"> evaluated a variety of machine learning classification models for their performance in predicting daily hot moments from a limited set of management, environmental, and climate data. The XGBoost model trained using data labels of N</w:t>
      </w:r>
      <w:r w:rsidR="00CB6112" w:rsidRPr="0085558C">
        <w:rPr>
          <w:rFonts w:eastAsia="Calibri" w:cs="Times New Roman"/>
          <w:kern w:val="0"/>
          <w:szCs w:val="24"/>
          <w:vertAlign w:val="subscript"/>
          <w14:ligatures w14:val="none"/>
        </w:rPr>
        <w:t>2</w:t>
      </w:r>
      <w:r w:rsidR="00CB6112" w:rsidRPr="0085558C">
        <w:rPr>
          <w:rFonts w:eastAsia="Calibri" w:cs="Times New Roman"/>
          <w:kern w:val="0"/>
          <w:szCs w:val="24"/>
          <w14:ligatures w14:val="none"/>
        </w:rPr>
        <w:t>O flux measurements generated through a context-informed hand labeling process produced the best overall performance (Matthews Correlation Coefficient, MCC: 0.69; Accuracy: 90%), with fewer errors made when flux was &lt;10 g N ha</w:t>
      </w:r>
      <w:r w:rsidR="00CB6112" w:rsidRPr="0085558C">
        <w:rPr>
          <w:rFonts w:eastAsia="Calibri" w:cs="Times New Roman"/>
          <w:kern w:val="0"/>
          <w:szCs w:val="24"/>
          <w:vertAlign w:val="superscript"/>
          <w14:ligatures w14:val="none"/>
        </w:rPr>
        <w:t>-1</w:t>
      </w:r>
      <w:r w:rsidR="00CB6112" w:rsidRPr="0085558C">
        <w:rPr>
          <w:rFonts w:eastAsia="Calibri" w:cs="Times New Roman"/>
          <w:kern w:val="0"/>
          <w:szCs w:val="24"/>
          <w14:ligatures w14:val="none"/>
        </w:rPr>
        <w:t xml:space="preserve"> d</w:t>
      </w:r>
      <w:r w:rsidR="00CB6112" w:rsidRPr="0085558C">
        <w:rPr>
          <w:rFonts w:eastAsia="Calibri" w:cs="Times New Roman"/>
          <w:kern w:val="0"/>
          <w:szCs w:val="24"/>
          <w:vertAlign w:val="superscript"/>
          <w14:ligatures w14:val="none"/>
        </w:rPr>
        <w:t>-1</w:t>
      </w:r>
      <w:r w:rsidR="00CB6112" w:rsidRPr="0085558C">
        <w:rPr>
          <w:rFonts w:eastAsia="Calibri" w:cs="Times New Roman"/>
          <w:kern w:val="0"/>
          <w:szCs w:val="24"/>
          <w14:ligatures w14:val="none"/>
        </w:rPr>
        <w:t xml:space="preserve"> or &gt;50 g N ha</w:t>
      </w:r>
      <w:r w:rsidR="00CB6112" w:rsidRPr="0085558C">
        <w:rPr>
          <w:rFonts w:eastAsia="Calibri" w:cs="Times New Roman"/>
          <w:kern w:val="0"/>
          <w:szCs w:val="24"/>
          <w:vertAlign w:val="superscript"/>
          <w14:ligatures w14:val="none"/>
        </w:rPr>
        <w:t>-1</w:t>
      </w:r>
      <w:r w:rsidR="00CB6112" w:rsidRPr="0085558C">
        <w:rPr>
          <w:rFonts w:eastAsia="Calibri" w:cs="Times New Roman"/>
          <w:kern w:val="0"/>
          <w:szCs w:val="24"/>
          <w14:ligatures w14:val="none"/>
        </w:rPr>
        <w:t xml:space="preserve"> d</w:t>
      </w:r>
      <w:r w:rsidR="00CB6112" w:rsidRPr="0085558C">
        <w:rPr>
          <w:rFonts w:eastAsia="Calibri" w:cs="Times New Roman"/>
          <w:kern w:val="0"/>
          <w:szCs w:val="24"/>
          <w:vertAlign w:val="superscript"/>
          <w14:ligatures w14:val="none"/>
        </w:rPr>
        <w:t>-1</w:t>
      </w:r>
      <w:r w:rsidR="00CB6112" w:rsidRPr="0085558C">
        <w:rPr>
          <w:rFonts w:eastAsia="Calibri" w:cs="Times New Roman"/>
          <w:kern w:val="0"/>
          <w:szCs w:val="24"/>
          <w14:ligatures w14:val="none"/>
        </w:rPr>
        <w:t xml:space="preserve">. </w:t>
      </w:r>
      <w:r w:rsidR="00687ED8">
        <w:rPr>
          <w:rFonts w:eastAsia="Calibri" w:cs="Times New Roman"/>
          <w:kern w:val="0"/>
          <w:szCs w:val="24"/>
          <w14:ligatures w14:val="none"/>
        </w:rPr>
        <w:t xml:space="preserve">Finally, </w:t>
      </w:r>
      <w:r w:rsidR="00533667">
        <w:rPr>
          <w:rFonts w:eastAsia="Calibri" w:cs="Times New Roman"/>
          <w:kern w:val="0"/>
          <w:szCs w:val="24"/>
          <w14:ligatures w14:val="none"/>
        </w:rPr>
        <w:t>I investigated the impact of extreme weather events</w:t>
      </w:r>
      <w:r w:rsidR="00B04A2D">
        <w:rPr>
          <w:rFonts w:eastAsia="Calibri" w:cs="Times New Roman"/>
          <w:kern w:val="0"/>
          <w:szCs w:val="24"/>
          <w14:ligatures w14:val="none"/>
        </w:rPr>
        <w:t xml:space="preserve"> on N</w:t>
      </w:r>
      <w:r w:rsidR="00B04A2D">
        <w:rPr>
          <w:rFonts w:eastAsia="Calibri" w:cs="Times New Roman"/>
          <w:kern w:val="0"/>
          <w:szCs w:val="24"/>
          <w:vertAlign w:val="subscript"/>
          <w14:ligatures w14:val="none"/>
        </w:rPr>
        <w:t>2</w:t>
      </w:r>
      <w:r w:rsidR="00B04A2D">
        <w:rPr>
          <w:rFonts w:eastAsia="Calibri" w:cs="Times New Roman"/>
          <w:kern w:val="0"/>
          <w:szCs w:val="24"/>
          <w14:ligatures w14:val="none"/>
        </w:rPr>
        <w:t>O emissions across soils ranging widely in climatological histories and textures</w:t>
      </w:r>
      <w:r w:rsidR="00542C9A">
        <w:rPr>
          <w:rFonts w:eastAsia="Calibri" w:cs="Times New Roman"/>
          <w:kern w:val="0"/>
          <w:szCs w:val="24"/>
          <w14:ligatures w14:val="none"/>
        </w:rPr>
        <w:t xml:space="preserve"> collected from the Levant region.</w:t>
      </w:r>
      <w:r w:rsidR="005569FF">
        <w:rPr>
          <w:rFonts w:eastAsia="Calibri" w:cs="Times New Roman"/>
          <w:kern w:val="0"/>
          <w:szCs w:val="24"/>
          <w14:ligatures w14:val="none"/>
        </w:rPr>
        <w:t xml:space="preserve"> Soil cores were subjected to varying periods of </w:t>
      </w:r>
      <w:r w:rsidR="004E544F">
        <w:rPr>
          <w:rFonts w:eastAsia="Calibri" w:cs="Times New Roman"/>
          <w:kern w:val="0"/>
          <w:szCs w:val="24"/>
          <w14:ligatures w14:val="none"/>
        </w:rPr>
        <w:t>very high moisture (90% water filled pore space)</w:t>
      </w:r>
      <w:r w:rsidR="00FE257C">
        <w:rPr>
          <w:rFonts w:eastAsia="Calibri" w:cs="Times New Roman"/>
          <w:kern w:val="0"/>
          <w:szCs w:val="24"/>
          <w14:ligatures w14:val="none"/>
        </w:rPr>
        <w:t xml:space="preserve"> ranging from a transient flooding to seven days in an incubation experiment.</w:t>
      </w:r>
      <w:r w:rsidR="00542C9A">
        <w:rPr>
          <w:rFonts w:eastAsia="Calibri" w:cs="Times New Roman"/>
          <w:kern w:val="0"/>
          <w:szCs w:val="24"/>
          <w14:ligatures w14:val="none"/>
        </w:rPr>
        <w:t xml:space="preserve"> </w:t>
      </w:r>
      <w:r w:rsidR="005569FF">
        <w:rPr>
          <w:rFonts w:eastAsia="Calibri" w:cs="Times New Roman"/>
          <w:kern w:val="0"/>
          <w:szCs w:val="24"/>
          <w14:ligatures w14:val="none"/>
        </w:rPr>
        <w:t>I found that while cumulative emissions were</w:t>
      </w:r>
      <w:r w:rsidR="00382C62">
        <w:rPr>
          <w:rFonts w:eastAsia="Calibri" w:cs="Times New Roman"/>
          <w:kern w:val="0"/>
          <w:szCs w:val="24"/>
          <w14:ligatures w14:val="none"/>
        </w:rPr>
        <w:t xml:space="preserve"> primarily driven by carbon availability, longer periods of flooding significantly increased cumulative N</w:t>
      </w:r>
      <w:r w:rsidR="00382C62">
        <w:rPr>
          <w:rFonts w:eastAsia="Calibri" w:cs="Times New Roman"/>
          <w:kern w:val="0"/>
          <w:szCs w:val="24"/>
          <w:vertAlign w:val="subscript"/>
          <w14:ligatures w14:val="none"/>
        </w:rPr>
        <w:t>2</w:t>
      </w:r>
      <w:r w:rsidR="00382C62">
        <w:rPr>
          <w:rFonts w:eastAsia="Calibri" w:cs="Times New Roman"/>
          <w:kern w:val="0"/>
          <w:szCs w:val="24"/>
          <w14:ligatures w14:val="none"/>
        </w:rPr>
        <w:t>O emissions (p&lt;0.0001)</w:t>
      </w:r>
      <w:r w:rsidR="00820BCC">
        <w:rPr>
          <w:rFonts w:eastAsia="Calibri" w:cs="Times New Roman"/>
          <w:kern w:val="0"/>
          <w:szCs w:val="24"/>
          <w14:ligatures w14:val="none"/>
        </w:rPr>
        <w:t xml:space="preserve"> both in soils which experienced</w:t>
      </w:r>
      <w:r w:rsidR="00B0413E">
        <w:rPr>
          <w:rFonts w:eastAsia="Calibri" w:cs="Times New Roman"/>
          <w:kern w:val="0"/>
          <w:szCs w:val="24"/>
          <w14:ligatures w14:val="none"/>
        </w:rPr>
        <w:t xml:space="preserve"> impeded gas diffusion by </w:t>
      </w:r>
      <w:r w:rsidR="00B0413E">
        <w:rPr>
          <w:rFonts w:eastAsia="Calibri" w:cs="Times New Roman"/>
          <w:kern w:val="0"/>
          <w:szCs w:val="24"/>
          <w14:ligatures w14:val="none"/>
        </w:rPr>
        <w:lastRenderedPageBreak/>
        <w:t>high moisture and those that did not</w:t>
      </w:r>
      <w:r w:rsidR="002417E3">
        <w:rPr>
          <w:rFonts w:eastAsia="Calibri" w:cs="Times New Roman"/>
          <w:kern w:val="0"/>
          <w:szCs w:val="24"/>
          <w14:ligatures w14:val="none"/>
        </w:rPr>
        <w:t>.</w:t>
      </w:r>
      <w:r w:rsidR="00B0413E">
        <w:rPr>
          <w:rFonts w:eastAsia="Calibri" w:cs="Times New Roman"/>
          <w:kern w:val="0"/>
          <w:szCs w:val="24"/>
          <w14:ligatures w14:val="none"/>
        </w:rPr>
        <w:t xml:space="preserve"> </w:t>
      </w:r>
      <w:r w:rsidR="000735EF">
        <w:rPr>
          <w:rFonts w:eastAsia="Calibri" w:cs="Times New Roman"/>
          <w:kern w:val="0"/>
          <w:szCs w:val="24"/>
          <w14:ligatures w14:val="none"/>
        </w:rPr>
        <w:t xml:space="preserve">These findings suggest </w:t>
      </w:r>
      <w:r w:rsidR="008F6D24">
        <w:rPr>
          <w:rFonts w:eastAsia="Calibri" w:cs="Times New Roman"/>
          <w:kern w:val="0"/>
          <w:szCs w:val="24"/>
          <w14:ligatures w14:val="none"/>
        </w:rPr>
        <w:t>the possibility of a positive feedback loop as climate change increases the frequency of extreme weather events</w:t>
      </w:r>
      <w:r w:rsidR="00A930DC">
        <w:rPr>
          <w:rFonts w:eastAsia="Calibri" w:cs="Times New Roman"/>
          <w:kern w:val="0"/>
          <w:szCs w:val="24"/>
          <w14:ligatures w14:val="none"/>
        </w:rPr>
        <w:t xml:space="preserve"> and flooding, which in turn contribute to greater N</w:t>
      </w:r>
      <w:r w:rsidR="00A930DC">
        <w:rPr>
          <w:rFonts w:eastAsia="Calibri" w:cs="Times New Roman"/>
          <w:kern w:val="0"/>
          <w:szCs w:val="24"/>
          <w:vertAlign w:val="subscript"/>
          <w14:ligatures w14:val="none"/>
        </w:rPr>
        <w:t>2</w:t>
      </w:r>
      <w:r w:rsidR="00A930DC">
        <w:rPr>
          <w:rFonts w:eastAsia="Calibri" w:cs="Times New Roman"/>
          <w:kern w:val="0"/>
          <w:szCs w:val="24"/>
          <w14:ligatures w14:val="none"/>
        </w:rPr>
        <w:t>O emissions.</w:t>
      </w:r>
    </w:p>
    <w:p w14:paraId="2CF091EA" w14:textId="77777777" w:rsidR="00CA3F28" w:rsidRPr="00994531" w:rsidRDefault="00CA3F28" w:rsidP="00017E8F">
      <w:pPr>
        <w:jc w:val="center"/>
        <w:rPr>
          <w:szCs w:val="24"/>
        </w:rPr>
      </w:pPr>
    </w:p>
    <w:p w14:paraId="2899D007" w14:textId="77777777" w:rsidR="00CA3F28" w:rsidRPr="00994531" w:rsidRDefault="00CA3F28" w:rsidP="00017E8F">
      <w:pPr>
        <w:jc w:val="center"/>
        <w:rPr>
          <w:szCs w:val="24"/>
        </w:rPr>
      </w:pPr>
    </w:p>
    <w:p w14:paraId="1AD4CAFD" w14:textId="77777777" w:rsidR="00CA3F28" w:rsidRPr="00994531" w:rsidRDefault="00CA3F28" w:rsidP="00017E8F">
      <w:pPr>
        <w:jc w:val="center"/>
        <w:rPr>
          <w:szCs w:val="24"/>
        </w:rPr>
      </w:pPr>
    </w:p>
    <w:p w14:paraId="61B636FA" w14:textId="77777777" w:rsidR="00CA3F28" w:rsidRPr="00994531" w:rsidRDefault="00CA3F28" w:rsidP="00017E8F">
      <w:pPr>
        <w:jc w:val="center"/>
        <w:rPr>
          <w:szCs w:val="24"/>
        </w:rPr>
      </w:pPr>
    </w:p>
    <w:p w14:paraId="000CEF1A" w14:textId="77777777" w:rsidR="00CA3F28" w:rsidRPr="00994531" w:rsidRDefault="00CA3F28" w:rsidP="00017E8F">
      <w:pPr>
        <w:jc w:val="center"/>
        <w:rPr>
          <w:szCs w:val="24"/>
        </w:rPr>
      </w:pPr>
    </w:p>
    <w:p w14:paraId="4B4E71D8" w14:textId="77777777" w:rsidR="00CA3F28" w:rsidRPr="00994531" w:rsidRDefault="00CA3F28" w:rsidP="00017E8F">
      <w:pPr>
        <w:jc w:val="center"/>
        <w:rPr>
          <w:szCs w:val="24"/>
        </w:rPr>
      </w:pPr>
    </w:p>
    <w:p w14:paraId="0892C011" w14:textId="77777777" w:rsidR="00CA3F28" w:rsidRPr="00994531" w:rsidRDefault="00CA3F28" w:rsidP="00017E8F">
      <w:pPr>
        <w:jc w:val="center"/>
        <w:rPr>
          <w:szCs w:val="24"/>
        </w:rPr>
      </w:pPr>
    </w:p>
    <w:p w14:paraId="06F1109C" w14:textId="77777777" w:rsidR="00CA3F28" w:rsidRPr="00994531" w:rsidRDefault="00CA3F28" w:rsidP="00017E8F">
      <w:pPr>
        <w:jc w:val="center"/>
        <w:rPr>
          <w:szCs w:val="24"/>
        </w:rPr>
      </w:pPr>
    </w:p>
    <w:p w14:paraId="08FA16BF" w14:textId="77777777" w:rsidR="00CA3F28" w:rsidRPr="00994531" w:rsidRDefault="00CA3F28" w:rsidP="00CB6112">
      <w:pPr>
        <w:rPr>
          <w:szCs w:val="24"/>
        </w:rPr>
      </w:pPr>
    </w:p>
    <w:p w14:paraId="2F5DC184" w14:textId="77777777" w:rsidR="00A61056" w:rsidRDefault="00A61056" w:rsidP="00BA6169">
      <w:pPr>
        <w:pStyle w:val="Heading1"/>
        <w:sectPr w:rsidR="00A61056" w:rsidSect="008D0EA9">
          <w:pgSz w:w="12240" w:h="15840"/>
          <w:pgMar w:top="1440" w:right="1440" w:bottom="1440" w:left="1440" w:header="720" w:footer="720" w:gutter="0"/>
          <w:pgNumType w:fmt="lowerRoman"/>
          <w:cols w:space="720"/>
          <w:docGrid w:linePitch="360"/>
        </w:sectPr>
      </w:pPr>
      <w:bookmarkStart w:id="8" w:name="_Toc202172942"/>
    </w:p>
    <w:p w14:paraId="514FE10C" w14:textId="77777777" w:rsidR="0050642E" w:rsidRPr="00994531" w:rsidRDefault="00CA3F28" w:rsidP="00BA6169">
      <w:pPr>
        <w:pStyle w:val="Heading1"/>
      </w:pPr>
      <w:bookmarkStart w:id="9" w:name="_Toc204263681"/>
      <w:bookmarkStart w:id="10" w:name="_Toc204270483"/>
      <w:bookmarkStart w:id="11" w:name="_Toc204282729"/>
      <w:r w:rsidRPr="00994531">
        <w:lastRenderedPageBreak/>
        <w:t>TABLE OF CONTENTS</w:t>
      </w:r>
      <w:bookmarkEnd w:id="8"/>
      <w:bookmarkEnd w:id="9"/>
      <w:bookmarkEnd w:id="10"/>
      <w:bookmarkEnd w:id="11"/>
    </w:p>
    <w:sdt>
      <w:sdtPr>
        <w:rPr>
          <w:caps/>
        </w:rPr>
        <w:id w:val="-2108483907"/>
        <w:docPartObj>
          <w:docPartGallery w:val="Table of Contents"/>
          <w:docPartUnique/>
        </w:docPartObj>
      </w:sdtPr>
      <w:sdtEndPr>
        <w:rPr>
          <w:b/>
          <w:bCs/>
          <w:caps w:val="0"/>
          <w:noProof/>
        </w:rPr>
      </w:sdtEndPr>
      <w:sdtContent>
        <w:p w14:paraId="0771B7A8" w14:textId="2336A4FF" w:rsidR="007E7018" w:rsidRPr="0051651C" w:rsidRDefault="0050642E" w:rsidP="007E7018">
          <w:pPr>
            <w:pStyle w:val="TOC1"/>
            <w:tabs>
              <w:tab w:val="right" w:leader="dot" w:pos="9350"/>
            </w:tabs>
            <w:spacing w:after="0" w:line="480" w:lineRule="auto"/>
            <w:rPr>
              <w:rFonts w:asciiTheme="minorHAnsi" w:eastAsiaTheme="minorEastAsia" w:hAnsiTheme="minorHAnsi"/>
              <w:noProof/>
              <w:szCs w:val="24"/>
            </w:rPr>
          </w:pPr>
          <w:r w:rsidRPr="0051651C">
            <w:fldChar w:fldCharType="begin"/>
          </w:r>
          <w:r w:rsidRPr="0051651C">
            <w:instrText xml:space="preserve"> TOC \o "1-3" \h \z \u </w:instrText>
          </w:r>
          <w:r w:rsidRPr="0051651C">
            <w:fldChar w:fldCharType="separate"/>
          </w:r>
          <w:hyperlink w:anchor="_Toc204282732" w:history="1">
            <w:r w:rsidR="007E7018" w:rsidRPr="0051651C">
              <w:rPr>
                <w:rStyle w:val="Hyperlink"/>
                <w:noProof/>
                <w:color w:val="auto"/>
              </w:rPr>
              <w:t>CHAPTER 1: INTRODUCTION AND LITERATURE REVIEW</w:t>
            </w:r>
            <w:r w:rsidR="007E7018" w:rsidRPr="0051651C">
              <w:rPr>
                <w:noProof/>
                <w:webHidden/>
              </w:rPr>
              <w:tab/>
            </w:r>
            <w:r w:rsidR="007E7018" w:rsidRPr="0051651C">
              <w:rPr>
                <w:noProof/>
                <w:webHidden/>
              </w:rPr>
              <w:fldChar w:fldCharType="begin"/>
            </w:r>
            <w:r w:rsidR="007E7018" w:rsidRPr="0051651C">
              <w:rPr>
                <w:noProof/>
                <w:webHidden/>
              </w:rPr>
              <w:instrText xml:space="preserve"> PAGEREF _Toc204282732 \h </w:instrText>
            </w:r>
            <w:r w:rsidR="007E7018" w:rsidRPr="0051651C">
              <w:rPr>
                <w:noProof/>
                <w:webHidden/>
              </w:rPr>
            </w:r>
            <w:r w:rsidR="007E7018" w:rsidRPr="0051651C">
              <w:rPr>
                <w:noProof/>
                <w:webHidden/>
              </w:rPr>
              <w:fldChar w:fldCharType="separate"/>
            </w:r>
            <w:r w:rsidR="008C132D">
              <w:rPr>
                <w:noProof/>
                <w:webHidden/>
              </w:rPr>
              <w:t>1</w:t>
            </w:r>
            <w:r w:rsidR="007E7018" w:rsidRPr="0051651C">
              <w:rPr>
                <w:noProof/>
                <w:webHidden/>
              </w:rPr>
              <w:fldChar w:fldCharType="end"/>
            </w:r>
          </w:hyperlink>
        </w:p>
        <w:p w14:paraId="309F5909" w14:textId="31C60099" w:rsidR="007E7018" w:rsidRPr="0051651C" w:rsidRDefault="007E7018" w:rsidP="007E7018">
          <w:pPr>
            <w:pStyle w:val="TOC2"/>
            <w:tabs>
              <w:tab w:val="right" w:leader="dot" w:pos="9350"/>
            </w:tabs>
            <w:spacing w:after="0" w:line="480" w:lineRule="auto"/>
            <w:rPr>
              <w:rFonts w:asciiTheme="minorHAnsi" w:eastAsiaTheme="minorEastAsia" w:hAnsiTheme="minorHAnsi"/>
              <w:noProof/>
              <w:szCs w:val="24"/>
            </w:rPr>
          </w:pPr>
          <w:hyperlink w:anchor="_Toc204282733" w:history="1">
            <w:r w:rsidRPr="0051651C">
              <w:rPr>
                <w:rStyle w:val="Hyperlink"/>
                <w:noProof/>
                <w:color w:val="auto"/>
              </w:rPr>
              <w:t>Background</w:t>
            </w:r>
            <w:r w:rsidRPr="0051651C">
              <w:rPr>
                <w:noProof/>
                <w:webHidden/>
              </w:rPr>
              <w:tab/>
            </w:r>
            <w:r w:rsidRPr="0051651C">
              <w:rPr>
                <w:noProof/>
                <w:webHidden/>
              </w:rPr>
              <w:fldChar w:fldCharType="begin"/>
            </w:r>
            <w:r w:rsidRPr="0051651C">
              <w:rPr>
                <w:noProof/>
                <w:webHidden/>
              </w:rPr>
              <w:instrText xml:space="preserve"> PAGEREF _Toc204282733 \h </w:instrText>
            </w:r>
            <w:r w:rsidRPr="0051651C">
              <w:rPr>
                <w:noProof/>
                <w:webHidden/>
              </w:rPr>
            </w:r>
            <w:r w:rsidRPr="0051651C">
              <w:rPr>
                <w:noProof/>
                <w:webHidden/>
              </w:rPr>
              <w:fldChar w:fldCharType="separate"/>
            </w:r>
            <w:r w:rsidR="008C132D">
              <w:rPr>
                <w:noProof/>
                <w:webHidden/>
              </w:rPr>
              <w:t>2</w:t>
            </w:r>
            <w:r w:rsidRPr="0051651C">
              <w:rPr>
                <w:noProof/>
                <w:webHidden/>
              </w:rPr>
              <w:fldChar w:fldCharType="end"/>
            </w:r>
          </w:hyperlink>
        </w:p>
        <w:p w14:paraId="6C27802A" w14:textId="27F97226" w:rsidR="007E7018" w:rsidRPr="0051651C" w:rsidRDefault="007E7018" w:rsidP="007E7018">
          <w:pPr>
            <w:pStyle w:val="TOC2"/>
            <w:tabs>
              <w:tab w:val="right" w:leader="dot" w:pos="9350"/>
            </w:tabs>
            <w:spacing w:after="0" w:line="480" w:lineRule="auto"/>
            <w:rPr>
              <w:rFonts w:asciiTheme="minorHAnsi" w:eastAsiaTheme="minorEastAsia" w:hAnsiTheme="minorHAnsi"/>
              <w:noProof/>
              <w:szCs w:val="24"/>
            </w:rPr>
          </w:pPr>
          <w:hyperlink w:anchor="_Toc204282734" w:history="1">
            <w:r w:rsidRPr="0051651C">
              <w:rPr>
                <w:rStyle w:val="Hyperlink"/>
                <w:noProof/>
                <w:color w:val="auto"/>
              </w:rPr>
              <w:t>Statement of Purpose</w:t>
            </w:r>
            <w:r w:rsidRPr="0051651C">
              <w:rPr>
                <w:noProof/>
                <w:webHidden/>
              </w:rPr>
              <w:tab/>
            </w:r>
            <w:r w:rsidRPr="0051651C">
              <w:rPr>
                <w:noProof/>
                <w:webHidden/>
              </w:rPr>
              <w:fldChar w:fldCharType="begin"/>
            </w:r>
            <w:r w:rsidRPr="0051651C">
              <w:rPr>
                <w:noProof/>
                <w:webHidden/>
              </w:rPr>
              <w:instrText xml:space="preserve"> PAGEREF _Toc204282734 \h </w:instrText>
            </w:r>
            <w:r w:rsidRPr="0051651C">
              <w:rPr>
                <w:noProof/>
                <w:webHidden/>
              </w:rPr>
            </w:r>
            <w:r w:rsidRPr="0051651C">
              <w:rPr>
                <w:noProof/>
                <w:webHidden/>
              </w:rPr>
              <w:fldChar w:fldCharType="separate"/>
            </w:r>
            <w:r w:rsidR="008C132D">
              <w:rPr>
                <w:noProof/>
                <w:webHidden/>
              </w:rPr>
              <w:t>7</w:t>
            </w:r>
            <w:r w:rsidRPr="0051651C">
              <w:rPr>
                <w:noProof/>
                <w:webHidden/>
              </w:rPr>
              <w:fldChar w:fldCharType="end"/>
            </w:r>
          </w:hyperlink>
        </w:p>
        <w:p w14:paraId="426CB98D" w14:textId="3533F4A7" w:rsidR="007E7018" w:rsidRPr="0051651C" w:rsidRDefault="007E7018" w:rsidP="007E7018">
          <w:pPr>
            <w:pStyle w:val="TOC2"/>
            <w:tabs>
              <w:tab w:val="right" w:leader="dot" w:pos="9350"/>
            </w:tabs>
            <w:spacing w:after="0" w:line="480" w:lineRule="auto"/>
            <w:rPr>
              <w:rFonts w:asciiTheme="minorHAnsi" w:eastAsiaTheme="minorEastAsia" w:hAnsiTheme="minorHAnsi"/>
              <w:noProof/>
              <w:szCs w:val="24"/>
            </w:rPr>
          </w:pPr>
          <w:hyperlink w:anchor="_Toc204282735" w:history="1">
            <w:r w:rsidRPr="0051651C">
              <w:rPr>
                <w:rStyle w:val="Hyperlink"/>
                <w:noProof/>
                <w:color w:val="auto"/>
              </w:rPr>
              <w:t>Literature Review</w:t>
            </w:r>
            <w:r w:rsidRPr="0051651C">
              <w:rPr>
                <w:noProof/>
                <w:webHidden/>
              </w:rPr>
              <w:tab/>
            </w:r>
            <w:r w:rsidRPr="0051651C">
              <w:rPr>
                <w:noProof/>
                <w:webHidden/>
              </w:rPr>
              <w:fldChar w:fldCharType="begin"/>
            </w:r>
            <w:r w:rsidRPr="0051651C">
              <w:rPr>
                <w:noProof/>
                <w:webHidden/>
              </w:rPr>
              <w:instrText xml:space="preserve"> PAGEREF _Toc204282735 \h </w:instrText>
            </w:r>
            <w:r w:rsidRPr="0051651C">
              <w:rPr>
                <w:noProof/>
                <w:webHidden/>
              </w:rPr>
            </w:r>
            <w:r w:rsidRPr="0051651C">
              <w:rPr>
                <w:noProof/>
                <w:webHidden/>
              </w:rPr>
              <w:fldChar w:fldCharType="separate"/>
            </w:r>
            <w:r w:rsidR="008C132D">
              <w:rPr>
                <w:noProof/>
                <w:webHidden/>
              </w:rPr>
              <w:t>8</w:t>
            </w:r>
            <w:r w:rsidRPr="0051651C">
              <w:rPr>
                <w:noProof/>
                <w:webHidden/>
              </w:rPr>
              <w:fldChar w:fldCharType="end"/>
            </w:r>
          </w:hyperlink>
        </w:p>
        <w:p w14:paraId="60173E72" w14:textId="7EE9BB3E" w:rsidR="007E7018" w:rsidRPr="0051651C" w:rsidRDefault="007E7018" w:rsidP="007E7018">
          <w:pPr>
            <w:pStyle w:val="TOC3"/>
            <w:tabs>
              <w:tab w:val="right" w:leader="dot" w:pos="9350"/>
            </w:tabs>
            <w:spacing w:after="0" w:line="480" w:lineRule="auto"/>
            <w:rPr>
              <w:rFonts w:asciiTheme="minorHAnsi" w:eastAsiaTheme="minorEastAsia" w:hAnsiTheme="minorHAnsi"/>
              <w:noProof/>
              <w:szCs w:val="24"/>
            </w:rPr>
          </w:pPr>
          <w:hyperlink w:anchor="_Toc204282736" w:history="1">
            <w:r w:rsidRPr="0051651C">
              <w:rPr>
                <w:rStyle w:val="Hyperlink"/>
                <w:noProof/>
                <w:color w:val="auto"/>
              </w:rPr>
              <w:t>Key microbiological pathways of soil N</w:t>
            </w:r>
            <w:r w:rsidRPr="0051651C">
              <w:rPr>
                <w:rStyle w:val="Hyperlink"/>
                <w:noProof/>
                <w:color w:val="auto"/>
                <w:vertAlign w:val="subscript"/>
              </w:rPr>
              <w:t>2</w:t>
            </w:r>
            <w:r w:rsidRPr="0051651C">
              <w:rPr>
                <w:rStyle w:val="Hyperlink"/>
                <w:noProof/>
                <w:color w:val="auto"/>
              </w:rPr>
              <w:t>O production and their controls</w:t>
            </w:r>
            <w:r w:rsidRPr="0051651C">
              <w:rPr>
                <w:noProof/>
                <w:webHidden/>
              </w:rPr>
              <w:tab/>
            </w:r>
            <w:r w:rsidRPr="0051651C">
              <w:rPr>
                <w:noProof/>
                <w:webHidden/>
              </w:rPr>
              <w:fldChar w:fldCharType="begin"/>
            </w:r>
            <w:r w:rsidRPr="0051651C">
              <w:rPr>
                <w:noProof/>
                <w:webHidden/>
              </w:rPr>
              <w:instrText xml:space="preserve"> PAGEREF _Toc204282736 \h </w:instrText>
            </w:r>
            <w:r w:rsidRPr="0051651C">
              <w:rPr>
                <w:noProof/>
                <w:webHidden/>
              </w:rPr>
            </w:r>
            <w:r w:rsidRPr="0051651C">
              <w:rPr>
                <w:noProof/>
                <w:webHidden/>
              </w:rPr>
              <w:fldChar w:fldCharType="separate"/>
            </w:r>
            <w:r w:rsidR="008C132D">
              <w:rPr>
                <w:noProof/>
                <w:webHidden/>
              </w:rPr>
              <w:t>8</w:t>
            </w:r>
            <w:r w:rsidRPr="0051651C">
              <w:rPr>
                <w:noProof/>
                <w:webHidden/>
              </w:rPr>
              <w:fldChar w:fldCharType="end"/>
            </w:r>
          </w:hyperlink>
        </w:p>
        <w:p w14:paraId="76C38EA7" w14:textId="6D119C93" w:rsidR="007E7018" w:rsidRPr="0051651C" w:rsidRDefault="007E7018" w:rsidP="007E7018">
          <w:pPr>
            <w:pStyle w:val="TOC3"/>
            <w:tabs>
              <w:tab w:val="right" w:leader="dot" w:pos="9350"/>
            </w:tabs>
            <w:spacing w:after="0" w:line="480" w:lineRule="auto"/>
            <w:rPr>
              <w:rFonts w:asciiTheme="minorHAnsi" w:eastAsiaTheme="minorEastAsia" w:hAnsiTheme="minorHAnsi"/>
              <w:noProof/>
              <w:szCs w:val="24"/>
            </w:rPr>
          </w:pPr>
          <w:hyperlink w:anchor="_Toc204282737" w:history="1">
            <w:r w:rsidRPr="0051651C">
              <w:rPr>
                <w:rStyle w:val="Hyperlink"/>
                <w:noProof/>
                <w:color w:val="auto"/>
              </w:rPr>
              <w:t>Hot moments and their environmental drivers</w:t>
            </w:r>
            <w:r w:rsidRPr="0051651C">
              <w:rPr>
                <w:noProof/>
                <w:webHidden/>
              </w:rPr>
              <w:tab/>
            </w:r>
            <w:r w:rsidRPr="0051651C">
              <w:rPr>
                <w:noProof/>
                <w:webHidden/>
              </w:rPr>
              <w:fldChar w:fldCharType="begin"/>
            </w:r>
            <w:r w:rsidRPr="0051651C">
              <w:rPr>
                <w:noProof/>
                <w:webHidden/>
              </w:rPr>
              <w:instrText xml:space="preserve"> PAGEREF _Toc204282737 \h </w:instrText>
            </w:r>
            <w:r w:rsidRPr="0051651C">
              <w:rPr>
                <w:noProof/>
                <w:webHidden/>
              </w:rPr>
            </w:r>
            <w:r w:rsidRPr="0051651C">
              <w:rPr>
                <w:noProof/>
                <w:webHidden/>
              </w:rPr>
              <w:fldChar w:fldCharType="separate"/>
            </w:r>
            <w:r w:rsidR="008C132D">
              <w:rPr>
                <w:noProof/>
                <w:webHidden/>
              </w:rPr>
              <w:t>14</w:t>
            </w:r>
            <w:r w:rsidRPr="0051651C">
              <w:rPr>
                <w:noProof/>
                <w:webHidden/>
              </w:rPr>
              <w:fldChar w:fldCharType="end"/>
            </w:r>
          </w:hyperlink>
        </w:p>
        <w:p w14:paraId="47448472" w14:textId="0A84C74B" w:rsidR="007E7018" w:rsidRPr="0051651C" w:rsidRDefault="007E7018" w:rsidP="007E7018">
          <w:pPr>
            <w:pStyle w:val="TOC3"/>
            <w:tabs>
              <w:tab w:val="right" w:leader="dot" w:pos="9350"/>
            </w:tabs>
            <w:spacing w:after="0" w:line="480" w:lineRule="auto"/>
            <w:rPr>
              <w:rFonts w:asciiTheme="minorHAnsi" w:eastAsiaTheme="minorEastAsia" w:hAnsiTheme="minorHAnsi"/>
              <w:noProof/>
              <w:szCs w:val="24"/>
            </w:rPr>
          </w:pPr>
          <w:hyperlink w:anchor="_Toc204282738" w:history="1">
            <w:r w:rsidRPr="0051651C">
              <w:rPr>
                <w:rStyle w:val="Hyperlink"/>
                <w:noProof/>
                <w:color w:val="auto"/>
              </w:rPr>
              <w:t>Anomaly detection</w:t>
            </w:r>
            <w:r w:rsidRPr="0051651C">
              <w:rPr>
                <w:noProof/>
                <w:webHidden/>
              </w:rPr>
              <w:tab/>
            </w:r>
            <w:r w:rsidRPr="0051651C">
              <w:rPr>
                <w:noProof/>
                <w:webHidden/>
              </w:rPr>
              <w:fldChar w:fldCharType="begin"/>
            </w:r>
            <w:r w:rsidRPr="0051651C">
              <w:rPr>
                <w:noProof/>
                <w:webHidden/>
              </w:rPr>
              <w:instrText xml:space="preserve"> PAGEREF _Toc204282738 \h </w:instrText>
            </w:r>
            <w:r w:rsidRPr="0051651C">
              <w:rPr>
                <w:noProof/>
                <w:webHidden/>
              </w:rPr>
            </w:r>
            <w:r w:rsidRPr="0051651C">
              <w:rPr>
                <w:noProof/>
                <w:webHidden/>
              </w:rPr>
              <w:fldChar w:fldCharType="separate"/>
            </w:r>
            <w:r w:rsidR="008C132D">
              <w:rPr>
                <w:noProof/>
                <w:webHidden/>
              </w:rPr>
              <w:t>16</w:t>
            </w:r>
            <w:r w:rsidRPr="0051651C">
              <w:rPr>
                <w:noProof/>
                <w:webHidden/>
              </w:rPr>
              <w:fldChar w:fldCharType="end"/>
            </w:r>
          </w:hyperlink>
        </w:p>
        <w:p w14:paraId="2A99D2EC" w14:textId="69B8AC92" w:rsidR="007E7018" w:rsidRPr="0051651C" w:rsidRDefault="007E7018" w:rsidP="007E7018">
          <w:pPr>
            <w:pStyle w:val="TOC3"/>
            <w:tabs>
              <w:tab w:val="right" w:leader="dot" w:pos="9350"/>
            </w:tabs>
            <w:spacing w:after="0" w:line="480" w:lineRule="auto"/>
            <w:rPr>
              <w:rFonts w:asciiTheme="minorHAnsi" w:eastAsiaTheme="minorEastAsia" w:hAnsiTheme="minorHAnsi"/>
              <w:noProof/>
              <w:szCs w:val="24"/>
            </w:rPr>
          </w:pPr>
          <w:hyperlink w:anchor="_Toc204282739" w:history="1">
            <w:r w:rsidRPr="0051651C">
              <w:rPr>
                <w:rStyle w:val="Hyperlink"/>
                <w:noProof/>
                <w:color w:val="auto"/>
              </w:rPr>
              <w:t>Research gaps and implications</w:t>
            </w:r>
            <w:r w:rsidRPr="0051651C">
              <w:rPr>
                <w:noProof/>
                <w:webHidden/>
              </w:rPr>
              <w:tab/>
            </w:r>
            <w:r w:rsidRPr="0051651C">
              <w:rPr>
                <w:noProof/>
                <w:webHidden/>
              </w:rPr>
              <w:fldChar w:fldCharType="begin"/>
            </w:r>
            <w:r w:rsidRPr="0051651C">
              <w:rPr>
                <w:noProof/>
                <w:webHidden/>
              </w:rPr>
              <w:instrText xml:space="preserve"> PAGEREF _Toc204282739 \h </w:instrText>
            </w:r>
            <w:r w:rsidRPr="0051651C">
              <w:rPr>
                <w:noProof/>
                <w:webHidden/>
              </w:rPr>
            </w:r>
            <w:r w:rsidRPr="0051651C">
              <w:rPr>
                <w:noProof/>
                <w:webHidden/>
              </w:rPr>
              <w:fldChar w:fldCharType="separate"/>
            </w:r>
            <w:r w:rsidR="008C132D">
              <w:rPr>
                <w:noProof/>
                <w:webHidden/>
              </w:rPr>
              <w:t>20</w:t>
            </w:r>
            <w:r w:rsidRPr="0051651C">
              <w:rPr>
                <w:noProof/>
                <w:webHidden/>
              </w:rPr>
              <w:fldChar w:fldCharType="end"/>
            </w:r>
          </w:hyperlink>
        </w:p>
        <w:p w14:paraId="6A3D627A" w14:textId="4911B679" w:rsidR="007E7018" w:rsidRPr="0051651C" w:rsidRDefault="007E7018" w:rsidP="007E7018">
          <w:pPr>
            <w:pStyle w:val="TOC1"/>
            <w:tabs>
              <w:tab w:val="right" w:leader="dot" w:pos="9350"/>
            </w:tabs>
            <w:spacing w:after="0" w:line="480" w:lineRule="auto"/>
            <w:rPr>
              <w:rFonts w:asciiTheme="minorHAnsi" w:eastAsiaTheme="minorEastAsia" w:hAnsiTheme="minorHAnsi"/>
              <w:noProof/>
              <w:szCs w:val="24"/>
            </w:rPr>
          </w:pPr>
          <w:hyperlink w:anchor="_Toc204282740" w:history="1">
            <w:r w:rsidRPr="0051651C">
              <w:rPr>
                <w:rStyle w:val="Hyperlink"/>
                <w:noProof/>
                <w:color w:val="auto"/>
              </w:rPr>
              <w:t>CHAPTER 2: STATISTICAL IDENTIFICATION OF NITROUS OXIDE HOT MOMENTS AND THEIR SIGNIFICANCE ACROSS GLOBAL AGROECOSYSTEMS</w:t>
            </w:r>
            <w:r w:rsidRPr="0051651C">
              <w:rPr>
                <w:noProof/>
                <w:webHidden/>
              </w:rPr>
              <w:tab/>
            </w:r>
            <w:r w:rsidRPr="0051651C">
              <w:rPr>
                <w:noProof/>
                <w:webHidden/>
              </w:rPr>
              <w:fldChar w:fldCharType="begin"/>
            </w:r>
            <w:r w:rsidRPr="0051651C">
              <w:rPr>
                <w:noProof/>
                <w:webHidden/>
              </w:rPr>
              <w:instrText xml:space="preserve"> PAGEREF _Toc204282740 \h </w:instrText>
            </w:r>
            <w:r w:rsidRPr="0051651C">
              <w:rPr>
                <w:noProof/>
                <w:webHidden/>
              </w:rPr>
            </w:r>
            <w:r w:rsidRPr="0051651C">
              <w:rPr>
                <w:noProof/>
                <w:webHidden/>
              </w:rPr>
              <w:fldChar w:fldCharType="separate"/>
            </w:r>
            <w:r w:rsidR="008C132D">
              <w:rPr>
                <w:noProof/>
                <w:webHidden/>
              </w:rPr>
              <w:t>22</w:t>
            </w:r>
            <w:r w:rsidRPr="0051651C">
              <w:rPr>
                <w:noProof/>
                <w:webHidden/>
              </w:rPr>
              <w:fldChar w:fldCharType="end"/>
            </w:r>
          </w:hyperlink>
        </w:p>
        <w:p w14:paraId="4FF7CBBE" w14:textId="1CB1EA6A" w:rsidR="007E7018" w:rsidRPr="0051651C" w:rsidRDefault="007E7018" w:rsidP="007E7018">
          <w:pPr>
            <w:pStyle w:val="TOC2"/>
            <w:tabs>
              <w:tab w:val="right" w:leader="dot" w:pos="9350"/>
            </w:tabs>
            <w:spacing w:after="0" w:line="480" w:lineRule="auto"/>
            <w:rPr>
              <w:rFonts w:asciiTheme="minorHAnsi" w:eastAsiaTheme="minorEastAsia" w:hAnsiTheme="minorHAnsi"/>
              <w:noProof/>
              <w:szCs w:val="24"/>
            </w:rPr>
          </w:pPr>
          <w:hyperlink w:anchor="_Toc204282741" w:history="1">
            <w:r w:rsidRPr="0051651C">
              <w:rPr>
                <w:rStyle w:val="Hyperlink"/>
                <w:noProof/>
                <w:color w:val="auto"/>
              </w:rPr>
              <w:t>Abstract</w:t>
            </w:r>
            <w:r w:rsidRPr="0051651C">
              <w:rPr>
                <w:noProof/>
                <w:webHidden/>
              </w:rPr>
              <w:tab/>
            </w:r>
            <w:r w:rsidRPr="0051651C">
              <w:rPr>
                <w:noProof/>
                <w:webHidden/>
              </w:rPr>
              <w:fldChar w:fldCharType="begin"/>
            </w:r>
            <w:r w:rsidRPr="0051651C">
              <w:rPr>
                <w:noProof/>
                <w:webHidden/>
              </w:rPr>
              <w:instrText xml:space="preserve"> PAGEREF _Toc204282741 \h </w:instrText>
            </w:r>
            <w:r w:rsidRPr="0051651C">
              <w:rPr>
                <w:noProof/>
                <w:webHidden/>
              </w:rPr>
            </w:r>
            <w:r w:rsidRPr="0051651C">
              <w:rPr>
                <w:noProof/>
                <w:webHidden/>
              </w:rPr>
              <w:fldChar w:fldCharType="separate"/>
            </w:r>
            <w:r w:rsidR="008C132D">
              <w:rPr>
                <w:noProof/>
                <w:webHidden/>
              </w:rPr>
              <w:t>23</w:t>
            </w:r>
            <w:r w:rsidRPr="0051651C">
              <w:rPr>
                <w:noProof/>
                <w:webHidden/>
              </w:rPr>
              <w:fldChar w:fldCharType="end"/>
            </w:r>
          </w:hyperlink>
        </w:p>
        <w:p w14:paraId="705027AA" w14:textId="2B5747E9" w:rsidR="007E7018" w:rsidRPr="0051651C" w:rsidRDefault="007E7018" w:rsidP="007E7018">
          <w:pPr>
            <w:pStyle w:val="TOC2"/>
            <w:tabs>
              <w:tab w:val="right" w:leader="dot" w:pos="9350"/>
            </w:tabs>
            <w:spacing w:after="0" w:line="480" w:lineRule="auto"/>
            <w:rPr>
              <w:rFonts w:asciiTheme="minorHAnsi" w:eastAsiaTheme="minorEastAsia" w:hAnsiTheme="minorHAnsi"/>
              <w:noProof/>
              <w:szCs w:val="24"/>
            </w:rPr>
          </w:pPr>
          <w:hyperlink w:anchor="_Toc204282742" w:history="1">
            <w:r w:rsidRPr="0051651C">
              <w:rPr>
                <w:rStyle w:val="Hyperlink"/>
                <w:noProof/>
                <w:color w:val="auto"/>
              </w:rPr>
              <w:t>Introduction</w:t>
            </w:r>
            <w:r w:rsidRPr="0051651C">
              <w:rPr>
                <w:noProof/>
                <w:webHidden/>
              </w:rPr>
              <w:tab/>
            </w:r>
            <w:r w:rsidRPr="0051651C">
              <w:rPr>
                <w:noProof/>
                <w:webHidden/>
              </w:rPr>
              <w:fldChar w:fldCharType="begin"/>
            </w:r>
            <w:r w:rsidRPr="0051651C">
              <w:rPr>
                <w:noProof/>
                <w:webHidden/>
              </w:rPr>
              <w:instrText xml:space="preserve"> PAGEREF _Toc204282742 \h </w:instrText>
            </w:r>
            <w:r w:rsidRPr="0051651C">
              <w:rPr>
                <w:noProof/>
                <w:webHidden/>
              </w:rPr>
            </w:r>
            <w:r w:rsidRPr="0051651C">
              <w:rPr>
                <w:noProof/>
                <w:webHidden/>
              </w:rPr>
              <w:fldChar w:fldCharType="separate"/>
            </w:r>
            <w:r w:rsidR="008C132D">
              <w:rPr>
                <w:noProof/>
                <w:webHidden/>
              </w:rPr>
              <w:t>24</w:t>
            </w:r>
            <w:r w:rsidRPr="0051651C">
              <w:rPr>
                <w:noProof/>
                <w:webHidden/>
              </w:rPr>
              <w:fldChar w:fldCharType="end"/>
            </w:r>
          </w:hyperlink>
        </w:p>
        <w:p w14:paraId="4E0E9753" w14:textId="68441B45" w:rsidR="007E7018" w:rsidRPr="0051651C" w:rsidRDefault="007E7018" w:rsidP="007E7018">
          <w:pPr>
            <w:pStyle w:val="TOC2"/>
            <w:tabs>
              <w:tab w:val="right" w:leader="dot" w:pos="9350"/>
            </w:tabs>
            <w:spacing w:after="0" w:line="480" w:lineRule="auto"/>
            <w:rPr>
              <w:rFonts w:asciiTheme="minorHAnsi" w:eastAsiaTheme="minorEastAsia" w:hAnsiTheme="minorHAnsi"/>
              <w:noProof/>
              <w:szCs w:val="24"/>
            </w:rPr>
          </w:pPr>
          <w:hyperlink w:anchor="_Toc204282743" w:history="1">
            <w:r w:rsidRPr="0051651C">
              <w:rPr>
                <w:rStyle w:val="Hyperlink"/>
                <w:noProof/>
                <w:color w:val="auto"/>
              </w:rPr>
              <w:t>Materials and Methods</w:t>
            </w:r>
            <w:r w:rsidRPr="0051651C">
              <w:rPr>
                <w:noProof/>
                <w:webHidden/>
              </w:rPr>
              <w:tab/>
            </w:r>
            <w:r w:rsidRPr="0051651C">
              <w:rPr>
                <w:noProof/>
                <w:webHidden/>
              </w:rPr>
              <w:fldChar w:fldCharType="begin"/>
            </w:r>
            <w:r w:rsidRPr="0051651C">
              <w:rPr>
                <w:noProof/>
                <w:webHidden/>
              </w:rPr>
              <w:instrText xml:space="preserve"> PAGEREF _Toc204282743 \h </w:instrText>
            </w:r>
            <w:r w:rsidRPr="0051651C">
              <w:rPr>
                <w:noProof/>
                <w:webHidden/>
              </w:rPr>
            </w:r>
            <w:r w:rsidRPr="0051651C">
              <w:rPr>
                <w:noProof/>
                <w:webHidden/>
              </w:rPr>
              <w:fldChar w:fldCharType="separate"/>
            </w:r>
            <w:r w:rsidR="008C132D">
              <w:rPr>
                <w:noProof/>
                <w:webHidden/>
              </w:rPr>
              <w:t>27</w:t>
            </w:r>
            <w:r w:rsidRPr="0051651C">
              <w:rPr>
                <w:noProof/>
                <w:webHidden/>
              </w:rPr>
              <w:fldChar w:fldCharType="end"/>
            </w:r>
          </w:hyperlink>
        </w:p>
        <w:p w14:paraId="20D01AA7" w14:textId="44136553" w:rsidR="007E7018" w:rsidRPr="0051651C" w:rsidRDefault="007E7018" w:rsidP="007E7018">
          <w:pPr>
            <w:pStyle w:val="TOC3"/>
            <w:tabs>
              <w:tab w:val="right" w:leader="dot" w:pos="9350"/>
            </w:tabs>
            <w:spacing w:after="0" w:line="480" w:lineRule="auto"/>
            <w:rPr>
              <w:rFonts w:asciiTheme="minorHAnsi" w:eastAsiaTheme="minorEastAsia" w:hAnsiTheme="minorHAnsi"/>
              <w:noProof/>
              <w:szCs w:val="24"/>
            </w:rPr>
          </w:pPr>
          <w:hyperlink w:anchor="_Toc204282744" w:history="1">
            <w:r w:rsidRPr="0051651C">
              <w:rPr>
                <w:rStyle w:val="Hyperlink"/>
                <w:noProof/>
                <w:color w:val="auto"/>
              </w:rPr>
              <w:t>Data collection and diversity of N</w:t>
            </w:r>
            <w:r w:rsidRPr="0051651C">
              <w:rPr>
                <w:rStyle w:val="Hyperlink"/>
                <w:noProof/>
                <w:color w:val="auto"/>
                <w:vertAlign w:val="subscript"/>
              </w:rPr>
              <w:t>2</w:t>
            </w:r>
            <w:r w:rsidRPr="0051651C">
              <w:rPr>
                <w:rStyle w:val="Hyperlink"/>
                <w:noProof/>
                <w:color w:val="auto"/>
              </w:rPr>
              <w:t>O flux distribution</w:t>
            </w:r>
            <w:r w:rsidRPr="0051651C">
              <w:rPr>
                <w:noProof/>
                <w:webHidden/>
              </w:rPr>
              <w:tab/>
            </w:r>
            <w:r w:rsidRPr="0051651C">
              <w:rPr>
                <w:noProof/>
                <w:webHidden/>
              </w:rPr>
              <w:fldChar w:fldCharType="begin"/>
            </w:r>
            <w:r w:rsidRPr="0051651C">
              <w:rPr>
                <w:noProof/>
                <w:webHidden/>
              </w:rPr>
              <w:instrText xml:space="preserve"> PAGEREF _Toc204282744 \h </w:instrText>
            </w:r>
            <w:r w:rsidRPr="0051651C">
              <w:rPr>
                <w:noProof/>
                <w:webHidden/>
              </w:rPr>
            </w:r>
            <w:r w:rsidRPr="0051651C">
              <w:rPr>
                <w:noProof/>
                <w:webHidden/>
              </w:rPr>
              <w:fldChar w:fldCharType="separate"/>
            </w:r>
            <w:r w:rsidR="008C132D">
              <w:rPr>
                <w:noProof/>
                <w:webHidden/>
              </w:rPr>
              <w:t>27</w:t>
            </w:r>
            <w:r w:rsidRPr="0051651C">
              <w:rPr>
                <w:noProof/>
                <w:webHidden/>
              </w:rPr>
              <w:fldChar w:fldCharType="end"/>
            </w:r>
          </w:hyperlink>
        </w:p>
        <w:p w14:paraId="6A9B47CA" w14:textId="6A1EA05E" w:rsidR="007E7018" w:rsidRPr="0051651C" w:rsidRDefault="007E7018" w:rsidP="007E7018">
          <w:pPr>
            <w:pStyle w:val="TOC3"/>
            <w:tabs>
              <w:tab w:val="right" w:leader="dot" w:pos="9350"/>
            </w:tabs>
            <w:spacing w:after="0" w:line="480" w:lineRule="auto"/>
            <w:rPr>
              <w:rFonts w:asciiTheme="minorHAnsi" w:eastAsiaTheme="minorEastAsia" w:hAnsiTheme="minorHAnsi"/>
              <w:noProof/>
              <w:szCs w:val="24"/>
            </w:rPr>
          </w:pPr>
          <w:hyperlink w:anchor="_Toc204282745" w:history="1">
            <w:r w:rsidRPr="0051651C">
              <w:rPr>
                <w:rStyle w:val="Hyperlink"/>
                <w:noProof/>
                <w:color w:val="auto"/>
              </w:rPr>
              <w:t>Supervised and contextualized identification of hot moments</w:t>
            </w:r>
            <w:r w:rsidRPr="0051651C">
              <w:rPr>
                <w:noProof/>
                <w:webHidden/>
              </w:rPr>
              <w:tab/>
            </w:r>
            <w:r w:rsidRPr="0051651C">
              <w:rPr>
                <w:noProof/>
                <w:webHidden/>
              </w:rPr>
              <w:fldChar w:fldCharType="begin"/>
            </w:r>
            <w:r w:rsidRPr="0051651C">
              <w:rPr>
                <w:noProof/>
                <w:webHidden/>
              </w:rPr>
              <w:instrText xml:space="preserve"> PAGEREF _Toc204282745 \h </w:instrText>
            </w:r>
            <w:r w:rsidRPr="0051651C">
              <w:rPr>
                <w:noProof/>
                <w:webHidden/>
              </w:rPr>
            </w:r>
            <w:r w:rsidRPr="0051651C">
              <w:rPr>
                <w:noProof/>
                <w:webHidden/>
              </w:rPr>
              <w:fldChar w:fldCharType="separate"/>
            </w:r>
            <w:r w:rsidR="008C132D">
              <w:rPr>
                <w:noProof/>
                <w:webHidden/>
              </w:rPr>
              <w:t>29</w:t>
            </w:r>
            <w:r w:rsidRPr="0051651C">
              <w:rPr>
                <w:noProof/>
                <w:webHidden/>
              </w:rPr>
              <w:fldChar w:fldCharType="end"/>
            </w:r>
          </w:hyperlink>
        </w:p>
        <w:p w14:paraId="621E0964" w14:textId="758FC223" w:rsidR="007E7018" w:rsidRPr="0051651C" w:rsidRDefault="007E7018" w:rsidP="007E7018">
          <w:pPr>
            <w:pStyle w:val="TOC3"/>
            <w:tabs>
              <w:tab w:val="right" w:leader="dot" w:pos="9350"/>
            </w:tabs>
            <w:spacing w:after="0" w:line="480" w:lineRule="auto"/>
            <w:rPr>
              <w:rFonts w:asciiTheme="minorHAnsi" w:eastAsiaTheme="minorEastAsia" w:hAnsiTheme="minorHAnsi"/>
              <w:noProof/>
              <w:szCs w:val="24"/>
            </w:rPr>
          </w:pPr>
          <w:hyperlink w:anchor="_Toc204282746" w:history="1">
            <w:r w:rsidRPr="0051651C">
              <w:rPr>
                <w:rStyle w:val="Hyperlink"/>
                <w:noProof/>
                <w:color w:val="auto"/>
              </w:rPr>
              <w:t>Anomaly detection methods</w:t>
            </w:r>
            <w:r w:rsidRPr="0051651C">
              <w:rPr>
                <w:noProof/>
                <w:webHidden/>
              </w:rPr>
              <w:tab/>
            </w:r>
            <w:r w:rsidRPr="0051651C">
              <w:rPr>
                <w:noProof/>
                <w:webHidden/>
              </w:rPr>
              <w:fldChar w:fldCharType="begin"/>
            </w:r>
            <w:r w:rsidRPr="0051651C">
              <w:rPr>
                <w:noProof/>
                <w:webHidden/>
              </w:rPr>
              <w:instrText xml:space="preserve"> PAGEREF _Toc204282746 \h </w:instrText>
            </w:r>
            <w:r w:rsidRPr="0051651C">
              <w:rPr>
                <w:noProof/>
                <w:webHidden/>
              </w:rPr>
            </w:r>
            <w:r w:rsidRPr="0051651C">
              <w:rPr>
                <w:noProof/>
                <w:webHidden/>
              </w:rPr>
              <w:fldChar w:fldCharType="separate"/>
            </w:r>
            <w:r w:rsidR="008C132D">
              <w:rPr>
                <w:noProof/>
                <w:webHidden/>
              </w:rPr>
              <w:t>32</w:t>
            </w:r>
            <w:r w:rsidRPr="0051651C">
              <w:rPr>
                <w:noProof/>
                <w:webHidden/>
              </w:rPr>
              <w:fldChar w:fldCharType="end"/>
            </w:r>
          </w:hyperlink>
        </w:p>
        <w:p w14:paraId="355B2895" w14:textId="25A69C84" w:rsidR="007E7018" w:rsidRPr="0051651C" w:rsidRDefault="007E7018" w:rsidP="007E7018">
          <w:pPr>
            <w:pStyle w:val="TOC3"/>
            <w:tabs>
              <w:tab w:val="right" w:leader="dot" w:pos="9350"/>
            </w:tabs>
            <w:spacing w:after="0" w:line="480" w:lineRule="auto"/>
            <w:rPr>
              <w:rFonts w:asciiTheme="minorHAnsi" w:eastAsiaTheme="minorEastAsia" w:hAnsiTheme="minorHAnsi"/>
              <w:noProof/>
              <w:szCs w:val="24"/>
            </w:rPr>
          </w:pPr>
          <w:hyperlink w:anchor="_Toc204282747" w:history="1">
            <w:r w:rsidRPr="0051651C">
              <w:rPr>
                <w:rStyle w:val="Hyperlink"/>
                <w:noProof/>
                <w:color w:val="auto"/>
              </w:rPr>
              <w:t>Data handling for training and testing</w:t>
            </w:r>
            <w:r w:rsidRPr="0051651C">
              <w:rPr>
                <w:noProof/>
                <w:webHidden/>
              </w:rPr>
              <w:tab/>
            </w:r>
            <w:r w:rsidRPr="0051651C">
              <w:rPr>
                <w:noProof/>
                <w:webHidden/>
              </w:rPr>
              <w:fldChar w:fldCharType="begin"/>
            </w:r>
            <w:r w:rsidRPr="0051651C">
              <w:rPr>
                <w:noProof/>
                <w:webHidden/>
              </w:rPr>
              <w:instrText xml:space="preserve"> PAGEREF _Toc204282747 \h </w:instrText>
            </w:r>
            <w:r w:rsidRPr="0051651C">
              <w:rPr>
                <w:noProof/>
                <w:webHidden/>
              </w:rPr>
            </w:r>
            <w:r w:rsidRPr="0051651C">
              <w:rPr>
                <w:noProof/>
                <w:webHidden/>
              </w:rPr>
              <w:fldChar w:fldCharType="separate"/>
            </w:r>
            <w:r w:rsidR="008C132D">
              <w:rPr>
                <w:noProof/>
                <w:webHidden/>
              </w:rPr>
              <w:t>35</w:t>
            </w:r>
            <w:r w:rsidRPr="0051651C">
              <w:rPr>
                <w:noProof/>
                <w:webHidden/>
              </w:rPr>
              <w:fldChar w:fldCharType="end"/>
            </w:r>
          </w:hyperlink>
        </w:p>
        <w:p w14:paraId="05309B26" w14:textId="7943B8E9" w:rsidR="007E7018" w:rsidRPr="0051651C" w:rsidRDefault="007E7018" w:rsidP="007E7018">
          <w:pPr>
            <w:pStyle w:val="TOC3"/>
            <w:tabs>
              <w:tab w:val="right" w:leader="dot" w:pos="9350"/>
            </w:tabs>
            <w:spacing w:after="0" w:line="480" w:lineRule="auto"/>
            <w:rPr>
              <w:rFonts w:asciiTheme="minorHAnsi" w:eastAsiaTheme="minorEastAsia" w:hAnsiTheme="minorHAnsi"/>
              <w:noProof/>
              <w:szCs w:val="24"/>
            </w:rPr>
          </w:pPr>
          <w:hyperlink w:anchor="_Toc204282748" w:history="1">
            <w:r w:rsidRPr="0051651C">
              <w:rPr>
                <w:rStyle w:val="Hyperlink"/>
                <w:noProof/>
                <w:color w:val="auto"/>
              </w:rPr>
              <w:t>Method tuning</w:t>
            </w:r>
            <w:r w:rsidRPr="0051651C">
              <w:rPr>
                <w:noProof/>
                <w:webHidden/>
              </w:rPr>
              <w:tab/>
            </w:r>
            <w:r w:rsidRPr="0051651C">
              <w:rPr>
                <w:noProof/>
                <w:webHidden/>
              </w:rPr>
              <w:fldChar w:fldCharType="begin"/>
            </w:r>
            <w:r w:rsidRPr="0051651C">
              <w:rPr>
                <w:noProof/>
                <w:webHidden/>
              </w:rPr>
              <w:instrText xml:space="preserve"> PAGEREF _Toc204282748 \h </w:instrText>
            </w:r>
            <w:r w:rsidRPr="0051651C">
              <w:rPr>
                <w:noProof/>
                <w:webHidden/>
              </w:rPr>
            </w:r>
            <w:r w:rsidRPr="0051651C">
              <w:rPr>
                <w:noProof/>
                <w:webHidden/>
              </w:rPr>
              <w:fldChar w:fldCharType="separate"/>
            </w:r>
            <w:r w:rsidR="008C132D">
              <w:rPr>
                <w:noProof/>
                <w:webHidden/>
              </w:rPr>
              <w:t>35</w:t>
            </w:r>
            <w:r w:rsidRPr="0051651C">
              <w:rPr>
                <w:noProof/>
                <w:webHidden/>
              </w:rPr>
              <w:fldChar w:fldCharType="end"/>
            </w:r>
          </w:hyperlink>
        </w:p>
        <w:p w14:paraId="34BCAB11" w14:textId="240F7722" w:rsidR="007E7018" w:rsidRPr="0051651C" w:rsidRDefault="007E7018" w:rsidP="007E7018">
          <w:pPr>
            <w:pStyle w:val="TOC3"/>
            <w:tabs>
              <w:tab w:val="right" w:leader="dot" w:pos="9350"/>
            </w:tabs>
            <w:spacing w:after="0" w:line="480" w:lineRule="auto"/>
            <w:rPr>
              <w:rFonts w:asciiTheme="minorHAnsi" w:eastAsiaTheme="minorEastAsia" w:hAnsiTheme="minorHAnsi"/>
              <w:noProof/>
              <w:szCs w:val="24"/>
            </w:rPr>
          </w:pPr>
          <w:hyperlink w:anchor="_Toc204282749" w:history="1">
            <w:r w:rsidRPr="0051651C">
              <w:rPr>
                <w:rStyle w:val="Hyperlink"/>
                <w:noProof/>
                <w:color w:val="auto"/>
              </w:rPr>
              <w:t>Evaluating the performance of hot moment identification methods</w:t>
            </w:r>
            <w:r w:rsidRPr="0051651C">
              <w:rPr>
                <w:noProof/>
                <w:webHidden/>
              </w:rPr>
              <w:tab/>
            </w:r>
            <w:r w:rsidRPr="0051651C">
              <w:rPr>
                <w:noProof/>
                <w:webHidden/>
              </w:rPr>
              <w:fldChar w:fldCharType="begin"/>
            </w:r>
            <w:r w:rsidRPr="0051651C">
              <w:rPr>
                <w:noProof/>
                <w:webHidden/>
              </w:rPr>
              <w:instrText xml:space="preserve"> PAGEREF _Toc204282749 \h </w:instrText>
            </w:r>
            <w:r w:rsidRPr="0051651C">
              <w:rPr>
                <w:noProof/>
                <w:webHidden/>
              </w:rPr>
            </w:r>
            <w:r w:rsidRPr="0051651C">
              <w:rPr>
                <w:noProof/>
                <w:webHidden/>
              </w:rPr>
              <w:fldChar w:fldCharType="separate"/>
            </w:r>
            <w:r w:rsidR="008C132D">
              <w:rPr>
                <w:noProof/>
                <w:webHidden/>
              </w:rPr>
              <w:t>37</w:t>
            </w:r>
            <w:r w:rsidRPr="0051651C">
              <w:rPr>
                <w:noProof/>
                <w:webHidden/>
              </w:rPr>
              <w:fldChar w:fldCharType="end"/>
            </w:r>
          </w:hyperlink>
        </w:p>
        <w:p w14:paraId="44FB6FBC" w14:textId="341C1B80" w:rsidR="007E7018" w:rsidRPr="0051651C" w:rsidRDefault="007E7018" w:rsidP="007E7018">
          <w:pPr>
            <w:pStyle w:val="TOC3"/>
            <w:tabs>
              <w:tab w:val="right" w:leader="dot" w:pos="9350"/>
            </w:tabs>
            <w:spacing w:after="0" w:line="480" w:lineRule="auto"/>
            <w:rPr>
              <w:rFonts w:asciiTheme="minorHAnsi" w:eastAsiaTheme="minorEastAsia" w:hAnsiTheme="minorHAnsi"/>
              <w:noProof/>
              <w:szCs w:val="24"/>
            </w:rPr>
          </w:pPr>
          <w:hyperlink w:anchor="_Toc204282750" w:history="1">
            <w:r w:rsidRPr="0051651C">
              <w:rPr>
                <w:rStyle w:val="Hyperlink"/>
                <w:noProof/>
                <w:color w:val="auto"/>
              </w:rPr>
              <w:t>Evaluating the impact of hot moments on total N</w:t>
            </w:r>
            <w:r w:rsidRPr="0051651C">
              <w:rPr>
                <w:rStyle w:val="Hyperlink"/>
                <w:noProof/>
                <w:color w:val="auto"/>
                <w:vertAlign w:val="subscript"/>
              </w:rPr>
              <w:t>2</w:t>
            </w:r>
            <w:r w:rsidRPr="0051651C">
              <w:rPr>
                <w:rStyle w:val="Hyperlink"/>
                <w:noProof/>
                <w:color w:val="auto"/>
              </w:rPr>
              <w:t>O emissions</w:t>
            </w:r>
            <w:r w:rsidRPr="0051651C">
              <w:rPr>
                <w:noProof/>
                <w:webHidden/>
              </w:rPr>
              <w:tab/>
            </w:r>
            <w:r w:rsidRPr="0051651C">
              <w:rPr>
                <w:noProof/>
                <w:webHidden/>
              </w:rPr>
              <w:fldChar w:fldCharType="begin"/>
            </w:r>
            <w:r w:rsidRPr="0051651C">
              <w:rPr>
                <w:noProof/>
                <w:webHidden/>
              </w:rPr>
              <w:instrText xml:space="preserve"> PAGEREF _Toc204282750 \h </w:instrText>
            </w:r>
            <w:r w:rsidRPr="0051651C">
              <w:rPr>
                <w:noProof/>
                <w:webHidden/>
              </w:rPr>
            </w:r>
            <w:r w:rsidRPr="0051651C">
              <w:rPr>
                <w:noProof/>
                <w:webHidden/>
              </w:rPr>
              <w:fldChar w:fldCharType="separate"/>
            </w:r>
            <w:r w:rsidR="008C132D">
              <w:rPr>
                <w:noProof/>
                <w:webHidden/>
              </w:rPr>
              <w:t>38</w:t>
            </w:r>
            <w:r w:rsidRPr="0051651C">
              <w:rPr>
                <w:noProof/>
                <w:webHidden/>
              </w:rPr>
              <w:fldChar w:fldCharType="end"/>
            </w:r>
          </w:hyperlink>
        </w:p>
        <w:p w14:paraId="7CFA60DA" w14:textId="78CA0D80" w:rsidR="007E7018" w:rsidRPr="0051651C" w:rsidRDefault="007E7018" w:rsidP="007E7018">
          <w:pPr>
            <w:pStyle w:val="TOC2"/>
            <w:tabs>
              <w:tab w:val="right" w:leader="dot" w:pos="9350"/>
            </w:tabs>
            <w:spacing w:after="0" w:line="480" w:lineRule="auto"/>
            <w:rPr>
              <w:rFonts w:asciiTheme="minorHAnsi" w:eastAsiaTheme="minorEastAsia" w:hAnsiTheme="minorHAnsi"/>
              <w:noProof/>
              <w:szCs w:val="24"/>
            </w:rPr>
          </w:pPr>
          <w:hyperlink w:anchor="_Toc204282751" w:history="1">
            <w:r w:rsidRPr="0051651C">
              <w:rPr>
                <w:rStyle w:val="Hyperlink"/>
                <w:noProof/>
                <w:color w:val="auto"/>
              </w:rPr>
              <w:t>Results</w:t>
            </w:r>
            <w:r w:rsidRPr="0051651C">
              <w:rPr>
                <w:noProof/>
                <w:webHidden/>
              </w:rPr>
              <w:tab/>
            </w:r>
            <w:r w:rsidRPr="0051651C">
              <w:rPr>
                <w:noProof/>
                <w:webHidden/>
              </w:rPr>
              <w:fldChar w:fldCharType="begin"/>
            </w:r>
            <w:r w:rsidRPr="0051651C">
              <w:rPr>
                <w:noProof/>
                <w:webHidden/>
              </w:rPr>
              <w:instrText xml:space="preserve"> PAGEREF _Toc204282751 \h </w:instrText>
            </w:r>
            <w:r w:rsidRPr="0051651C">
              <w:rPr>
                <w:noProof/>
                <w:webHidden/>
              </w:rPr>
            </w:r>
            <w:r w:rsidRPr="0051651C">
              <w:rPr>
                <w:noProof/>
                <w:webHidden/>
              </w:rPr>
              <w:fldChar w:fldCharType="separate"/>
            </w:r>
            <w:r w:rsidR="008C132D">
              <w:rPr>
                <w:noProof/>
                <w:webHidden/>
              </w:rPr>
              <w:t>39</w:t>
            </w:r>
            <w:r w:rsidRPr="0051651C">
              <w:rPr>
                <w:noProof/>
                <w:webHidden/>
              </w:rPr>
              <w:fldChar w:fldCharType="end"/>
            </w:r>
          </w:hyperlink>
        </w:p>
        <w:p w14:paraId="2C627811" w14:textId="364B9B8A" w:rsidR="007E7018" w:rsidRPr="0051651C" w:rsidRDefault="007E7018" w:rsidP="007E7018">
          <w:pPr>
            <w:pStyle w:val="TOC3"/>
            <w:tabs>
              <w:tab w:val="right" w:leader="dot" w:pos="9350"/>
            </w:tabs>
            <w:spacing w:after="0" w:line="480" w:lineRule="auto"/>
            <w:rPr>
              <w:rFonts w:asciiTheme="minorHAnsi" w:eastAsiaTheme="minorEastAsia" w:hAnsiTheme="minorHAnsi"/>
              <w:noProof/>
              <w:szCs w:val="24"/>
            </w:rPr>
          </w:pPr>
          <w:hyperlink w:anchor="_Toc204282752" w:history="1">
            <w:r w:rsidRPr="0051651C">
              <w:rPr>
                <w:rStyle w:val="Hyperlink"/>
                <w:noProof/>
                <w:color w:val="auto"/>
              </w:rPr>
              <w:t>Performance of methods using optimized thresholds</w:t>
            </w:r>
            <w:r w:rsidRPr="0051651C">
              <w:rPr>
                <w:noProof/>
                <w:webHidden/>
              </w:rPr>
              <w:tab/>
            </w:r>
            <w:r w:rsidRPr="0051651C">
              <w:rPr>
                <w:noProof/>
                <w:webHidden/>
              </w:rPr>
              <w:fldChar w:fldCharType="begin"/>
            </w:r>
            <w:r w:rsidRPr="0051651C">
              <w:rPr>
                <w:noProof/>
                <w:webHidden/>
              </w:rPr>
              <w:instrText xml:space="preserve"> PAGEREF _Toc204282752 \h </w:instrText>
            </w:r>
            <w:r w:rsidRPr="0051651C">
              <w:rPr>
                <w:noProof/>
                <w:webHidden/>
              </w:rPr>
            </w:r>
            <w:r w:rsidRPr="0051651C">
              <w:rPr>
                <w:noProof/>
                <w:webHidden/>
              </w:rPr>
              <w:fldChar w:fldCharType="separate"/>
            </w:r>
            <w:r w:rsidR="008C132D">
              <w:rPr>
                <w:noProof/>
                <w:webHidden/>
              </w:rPr>
              <w:t>39</w:t>
            </w:r>
            <w:r w:rsidRPr="0051651C">
              <w:rPr>
                <w:noProof/>
                <w:webHidden/>
              </w:rPr>
              <w:fldChar w:fldCharType="end"/>
            </w:r>
          </w:hyperlink>
        </w:p>
        <w:p w14:paraId="58A4FB2B" w14:textId="4BC59C87" w:rsidR="007E7018" w:rsidRPr="0051651C" w:rsidRDefault="007E7018" w:rsidP="007E7018">
          <w:pPr>
            <w:pStyle w:val="TOC3"/>
            <w:tabs>
              <w:tab w:val="right" w:leader="dot" w:pos="9350"/>
            </w:tabs>
            <w:spacing w:after="0" w:line="480" w:lineRule="auto"/>
            <w:rPr>
              <w:rFonts w:asciiTheme="minorHAnsi" w:eastAsiaTheme="minorEastAsia" w:hAnsiTheme="minorHAnsi"/>
              <w:noProof/>
              <w:szCs w:val="24"/>
            </w:rPr>
          </w:pPr>
          <w:hyperlink w:anchor="_Toc204282753" w:history="1">
            <w:r w:rsidRPr="0051651C">
              <w:rPr>
                <w:rStyle w:val="Hyperlink"/>
                <w:noProof/>
                <w:color w:val="auto"/>
              </w:rPr>
              <w:t>Hot moments and overall N</w:t>
            </w:r>
            <w:r w:rsidRPr="0051651C">
              <w:rPr>
                <w:rStyle w:val="Hyperlink"/>
                <w:noProof/>
                <w:color w:val="auto"/>
                <w:vertAlign w:val="subscript"/>
              </w:rPr>
              <w:t>2</w:t>
            </w:r>
            <w:r w:rsidRPr="0051651C">
              <w:rPr>
                <w:rStyle w:val="Hyperlink"/>
                <w:noProof/>
                <w:color w:val="auto"/>
              </w:rPr>
              <w:t>O emissions</w:t>
            </w:r>
            <w:r w:rsidRPr="0051651C">
              <w:rPr>
                <w:noProof/>
                <w:webHidden/>
              </w:rPr>
              <w:tab/>
            </w:r>
            <w:r w:rsidRPr="0051651C">
              <w:rPr>
                <w:noProof/>
                <w:webHidden/>
              </w:rPr>
              <w:fldChar w:fldCharType="begin"/>
            </w:r>
            <w:r w:rsidRPr="0051651C">
              <w:rPr>
                <w:noProof/>
                <w:webHidden/>
              </w:rPr>
              <w:instrText xml:space="preserve"> PAGEREF _Toc204282753 \h </w:instrText>
            </w:r>
            <w:r w:rsidRPr="0051651C">
              <w:rPr>
                <w:noProof/>
                <w:webHidden/>
              </w:rPr>
            </w:r>
            <w:r w:rsidRPr="0051651C">
              <w:rPr>
                <w:noProof/>
                <w:webHidden/>
              </w:rPr>
              <w:fldChar w:fldCharType="separate"/>
            </w:r>
            <w:r w:rsidR="008C132D">
              <w:rPr>
                <w:noProof/>
                <w:webHidden/>
              </w:rPr>
              <w:t>42</w:t>
            </w:r>
            <w:r w:rsidRPr="0051651C">
              <w:rPr>
                <w:noProof/>
                <w:webHidden/>
              </w:rPr>
              <w:fldChar w:fldCharType="end"/>
            </w:r>
          </w:hyperlink>
        </w:p>
        <w:p w14:paraId="4C44760A" w14:textId="42CC9D8B" w:rsidR="007E7018" w:rsidRPr="0051651C" w:rsidRDefault="007E7018" w:rsidP="007E7018">
          <w:pPr>
            <w:pStyle w:val="TOC2"/>
            <w:tabs>
              <w:tab w:val="right" w:leader="dot" w:pos="9350"/>
            </w:tabs>
            <w:spacing w:after="0" w:line="480" w:lineRule="auto"/>
            <w:rPr>
              <w:rFonts w:asciiTheme="minorHAnsi" w:eastAsiaTheme="minorEastAsia" w:hAnsiTheme="minorHAnsi"/>
              <w:noProof/>
              <w:szCs w:val="24"/>
            </w:rPr>
          </w:pPr>
          <w:hyperlink w:anchor="_Toc204282754" w:history="1">
            <w:r w:rsidRPr="0051651C">
              <w:rPr>
                <w:rStyle w:val="Hyperlink"/>
                <w:noProof/>
                <w:color w:val="auto"/>
              </w:rPr>
              <w:t>Discussion</w:t>
            </w:r>
            <w:r w:rsidRPr="0051651C">
              <w:rPr>
                <w:noProof/>
                <w:webHidden/>
              </w:rPr>
              <w:tab/>
            </w:r>
            <w:r w:rsidRPr="0051651C">
              <w:rPr>
                <w:noProof/>
                <w:webHidden/>
              </w:rPr>
              <w:fldChar w:fldCharType="begin"/>
            </w:r>
            <w:r w:rsidRPr="0051651C">
              <w:rPr>
                <w:noProof/>
                <w:webHidden/>
              </w:rPr>
              <w:instrText xml:space="preserve"> PAGEREF _Toc204282754 \h </w:instrText>
            </w:r>
            <w:r w:rsidRPr="0051651C">
              <w:rPr>
                <w:noProof/>
                <w:webHidden/>
              </w:rPr>
            </w:r>
            <w:r w:rsidRPr="0051651C">
              <w:rPr>
                <w:noProof/>
                <w:webHidden/>
              </w:rPr>
              <w:fldChar w:fldCharType="separate"/>
            </w:r>
            <w:r w:rsidR="008C132D">
              <w:rPr>
                <w:noProof/>
                <w:webHidden/>
              </w:rPr>
              <w:t>43</w:t>
            </w:r>
            <w:r w:rsidRPr="0051651C">
              <w:rPr>
                <w:noProof/>
                <w:webHidden/>
              </w:rPr>
              <w:fldChar w:fldCharType="end"/>
            </w:r>
          </w:hyperlink>
        </w:p>
        <w:p w14:paraId="79713A2B" w14:textId="0BF63288" w:rsidR="007E7018" w:rsidRPr="0051651C" w:rsidRDefault="007E7018" w:rsidP="007E7018">
          <w:pPr>
            <w:pStyle w:val="TOC3"/>
            <w:tabs>
              <w:tab w:val="right" w:leader="dot" w:pos="9350"/>
            </w:tabs>
            <w:spacing w:after="0" w:line="480" w:lineRule="auto"/>
            <w:rPr>
              <w:rFonts w:asciiTheme="minorHAnsi" w:eastAsiaTheme="minorEastAsia" w:hAnsiTheme="minorHAnsi"/>
              <w:noProof/>
              <w:szCs w:val="24"/>
            </w:rPr>
          </w:pPr>
          <w:hyperlink w:anchor="_Toc204282755" w:history="1">
            <w:r w:rsidRPr="0051651C">
              <w:rPr>
                <w:rStyle w:val="Hyperlink"/>
                <w:noProof/>
                <w:color w:val="auto"/>
              </w:rPr>
              <w:t>Statistical strengths and limitations of hot moment detection methods within the research context</w:t>
            </w:r>
            <w:r w:rsidRPr="0051651C">
              <w:rPr>
                <w:noProof/>
                <w:webHidden/>
              </w:rPr>
              <w:tab/>
            </w:r>
            <w:r w:rsidRPr="0051651C">
              <w:rPr>
                <w:noProof/>
                <w:webHidden/>
              </w:rPr>
              <w:fldChar w:fldCharType="begin"/>
            </w:r>
            <w:r w:rsidRPr="0051651C">
              <w:rPr>
                <w:noProof/>
                <w:webHidden/>
              </w:rPr>
              <w:instrText xml:space="preserve"> PAGEREF _Toc204282755 \h </w:instrText>
            </w:r>
            <w:r w:rsidRPr="0051651C">
              <w:rPr>
                <w:noProof/>
                <w:webHidden/>
              </w:rPr>
            </w:r>
            <w:r w:rsidRPr="0051651C">
              <w:rPr>
                <w:noProof/>
                <w:webHidden/>
              </w:rPr>
              <w:fldChar w:fldCharType="separate"/>
            </w:r>
            <w:r w:rsidR="008C132D">
              <w:rPr>
                <w:noProof/>
                <w:webHidden/>
              </w:rPr>
              <w:t>44</w:t>
            </w:r>
            <w:r w:rsidRPr="0051651C">
              <w:rPr>
                <w:noProof/>
                <w:webHidden/>
              </w:rPr>
              <w:fldChar w:fldCharType="end"/>
            </w:r>
          </w:hyperlink>
        </w:p>
        <w:p w14:paraId="07D169FA" w14:textId="09298C8B" w:rsidR="007E7018" w:rsidRPr="0051651C" w:rsidRDefault="007E7018" w:rsidP="007E7018">
          <w:pPr>
            <w:pStyle w:val="TOC3"/>
            <w:tabs>
              <w:tab w:val="right" w:leader="dot" w:pos="9350"/>
            </w:tabs>
            <w:spacing w:after="0" w:line="480" w:lineRule="auto"/>
            <w:rPr>
              <w:rFonts w:asciiTheme="minorHAnsi" w:eastAsiaTheme="minorEastAsia" w:hAnsiTheme="minorHAnsi"/>
              <w:noProof/>
              <w:szCs w:val="24"/>
            </w:rPr>
          </w:pPr>
          <w:hyperlink w:anchor="_Toc204282756" w:history="1">
            <w:r w:rsidRPr="0051651C">
              <w:rPr>
                <w:rStyle w:val="Hyperlink"/>
                <w:noProof/>
                <w:color w:val="auto"/>
              </w:rPr>
              <w:t>The impact of hot moments</w:t>
            </w:r>
            <w:r w:rsidRPr="0051651C">
              <w:rPr>
                <w:noProof/>
                <w:webHidden/>
              </w:rPr>
              <w:tab/>
            </w:r>
            <w:r w:rsidRPr="0051651C">
              <w:rPr>
                <w:noProof/>
                <w:webHidden/>
              </w:rPr>
              <w:fldChar w:fldCharType="begin"/>
            </w:r>
            <w:r w:rsidRPr="0051651C">
              <w:rPr>
                <w:noProof/>
                <w:webHidden/>
              </w:rPr>
              <w:instrText xml:space="preserve"> PAGEREF _Toc204282756 \h </w:instrText>
            </w:r>
            <w:r w:rsidRPr="0051651C">
              <w:rPr>
                <w:noProof/>
                <w:webHidden/>
              </w:rPr>
            </w:r>
            <w:r w:rsidRPr="0051651C">
              <w:rPr>
                <w:noProof/>
                <w:webHidden/>
              </w:rPr>
              <w:fldChar w:fldCharType="separate"/>
            </w:r>
            <w:r w:rsidR="008C132D">
              <w:rPr>
                <w:noProof/>
                <w:webHidden/>
              </w:rPr>
              <w:t>47</w:t>
            </w:r>
            <w:r w:rsidRPr="0051651C">
              <w:rPr>
                <w:noProof/>
                <w:webHidden/>
              </w:rPr>
              <w:fldChar w:fldCharType="end"/>
            </w:r>
          </w:hyperlink>
        </w:p>
        <w:p w14:paraId="07DB5418" w14:textId="43C06B56" w:rsidR="007E7018" w:rsidRPr="0051651C" w:rsidRDefault="007E7018" w:rsidP="007E7018">
          <w:pPr>
            <w:pStyle w:val="TOC3"/>
            <w:tabs>
              <w:tab w:val="right" w:leader="dot" w:pos="9350"/>
            </w:tabs>
            <w:spacing w:after="0" w:line="480" w:lineRule="auto"/>
            <w:rPr>
              <w:rFonts w:asciiTheme="minorHAnsi" w:eastAsiaTheme="minorEastAsia" w:hAnsiTheme="minorHAnsi"/>
              <w:noProof/>
              <w:szCs w:val="24"/>
            </w:rPr>
          </w:pPr>
          <w:hyperlink w:anchor="_Toc204282757" w:history="1">
            <w:r w:rsidRPr="0051651C">
              <w:rPr>
                <w:rStyle w:val="Hyperlink"/>
                <w:noProof/>
                <w:color w:val="auto"/>
              </w:rPr>
              <w:t>Potential implications, limitations, and future work</w:t>
            </w:r>
            <w:r w:rsidRPr="0051651C">
              <w:rPr>
                <w:noProof/>
                <w:webHidden/>
              </w:rPr>
              <w:tab/>
            </w:r>
            <w:r w:rsidRPr="0051651C">
              <w:rPr>
                <w:noProof/>
                <w:webHidden/>
              </w:rPr>
              <w:fldChar w:fldCharType="begin"/>
            </w:r>
            <w:r w:rsidRPr="0051651C">
              <w:rPr>
                <w:noProof/>
                <w:webHidden/>
              </w:rPr>
              <w:instrText xml:space="preserve"> PAGEREF _Toc204282757 \h </w:instrText>
            </w:r>
            <w:r w:rsidRPr="0051651C">
              <w:rPr>
                <w:noProof/>
                <w:webHidden/>
              </w:rPr>
            </w:r>
            <w:r w:rsidRPr="0051651C">
              <w:rPr>
                <w:noProof/>
                <w:webHidden/>
              </w:rPr>
              <w:fldChar w:fldCharType="separate"/>
            </w:r>
            <w:r w:rsidR="008C132D">
              <w:rPr>
                <w:noProof/>
                <w:webHidden/>
              </w:rPr>
              <w:t>49</w:t>
            </w:r>
            <w:r w:rsidRPr="0051651C">
              <w:rPr>
                <w:noProof/>
                <w:webHidden/>
              </w:rPr>
              <w:fldChar w:fldCharType="end"/>
            </w:r>
          </w:hyperlink>
        </w:p>
        <w:p w14:paraId="0435E002" w14:textId="0A000AB4" w:rsidR="007E7018" w:rsidRPr="0051651C" w:rsidRDefault="007E7018" w:rsidP="007E7018">
          <w:pPr>
            <w:pStyle w:val="TOC2"/>
            <w:tabs>
              <w:tab w:val="right" w:leader="dot" w:pos="9350"/>
            </w:tabs>
            <w:spacing w:after="0" w:line="480" w:lineRule="auto"/>
            <w:rPr>
              <w:rFonts w:asciiTheme="minorHAnsi" w:eastAsiaTheme="minorEastAsia" w:hAnsiTheme="minorHAnsi"/>
              <w:noProof/>
              <w:szCs w:val="24"/>
            </w:rPr>
          </w:pPr>
          <w:hyperlink w:anchor="_Toc204282758" w:history="1">
            <w:r w:rsidRPr="0051651C">
              <w:rPr>
                <w:rStyle w:val="Hyperlink"/>
                <w:noProof/>
                <w:color w:val="auto"/>
              </w:rPr>
              <w:t>Conclusion</w:t>
            </w:r>
            <w:r w:rsidRPr="0051651C">
              <w:rPr>
                <w:noProof/>
                <w:webHidden/>
              </w:rPr>
              <w:tab/>
            </w:r>
            <w:r w:rsidRPr="0051651C">
              <w:rPr>
                <w:noProof/>
                <w:webHidden/>
              </w:rPr>
              <w:fldChar w:fldCharType="begin"/>
            </w:r>
            <w:r w:rsidRPr="0051651C">
              <w:rPr>
                <w:noProof/>
                <w:webHidden/>
              </w:rPr>
              <w:instrText xml:space="preserve"> PAGEREF _Toc204282758 \h </w:instrText>
            </w:r>
            <w:r w:rsidRPr="0051651C">
              <w:rPr>
                <w:noProof/>
                <w:webHidden/>
              </w:rPr>
            </w:r>
            <w:r w:rsidRPr="0051651C">
              <w:rPr>
                <w:noProof/>
                <w:webHidden/>
              </w:rPr>
              <w:fldChar w:fldCharType="separate"/>
            </w:r>
            <w:r w:rsidR="008C132D">
              <w:rPr>
                <w:noProof/>
                <w:webHidden/>
              </w:rPr>
              <w:t>49</w:t>
            </w:r>
            <w:r w:rsidRPr="0051651C">
              <w:rPr>
                <w:noProof/>
                <w:webHidden/>
              </w:rPr>
              <w:fldChar w:fldCharType="end"/>
            </w:r>
          </w:hyperlink>
        </w:p>
        <w:p w14:paraId="21DF648D" w14:textId="21ED2C48" w:rsidR="007E7018" w:rsidRPr="0051651C" w:rsidRDefault="007E7018" w:rsidP="007E7018">
          <w:pPr>
            <w:pStyle w:val="TOC1"/>
            <w:tabs>
              <w:tab w:val="right" w:leader="dot" w:pos="9350"/>
            </w:tabs>
            <w:spacing w:after="0" w:line="480" w:lineRule="auto"/>
            <w:rPr>
              <w:rFonts w:asciiTheme="minorHAnsi" w:eastAsiaTheme="minorEastAsia" w:hAnsiTheme="minorHAnsi"/>
              <w:noProof/>
              <w:szCs w:val="24"/>
            </w:rPr>
          </w:pPr>
          <w:hyperlink w:anchor="_Toc204282759" w:history="1">
            <w:r w:rsidRPr="0051651C">
              <w:rPr>
                <w:rStyle w:val="Hyperlink"/>
                <w:noProof/>
                <w:color w:val="auto"/>
              </w:rPr>
              <w:t>CHAPTER 3: MACHINE LEARNING PREDICTS NITROUS OXIDE HOT MOMENTS ACROSS GLOBAL AGROECOSYSTEMS</w:t>
            </w:r>
            <w:r w:rsidRPr="0051651C">
              <w:rPr>
                <w:noProof/>
                <w:webHidden/>
              </w:rPr>
              <w:tab/>
            </w:r>
            <w:r w:rsidRPr="0051651C">
              <w:rPr>
                <w:noProof/>
                <w:webHidden/>
              </w:rPr>
              <w:fldChar w:fldCharType="begin"/>
            </w:r>
            <w:r w:rsidRPr="0051651C">
              <w:rPr>
                <w:noProof/>
                <w:webHidden/>
              </w:rPr>
              <w:instrText xml:space="preserve"> PAGEREF _Toc204282759 \h </w:instrText>
            </w:r>
            <w:r w:rsidRPr="0051651C">
              <w:rPr>
                <w:noProof/>
                <w:webHidden/>
              </w:rPr>
            </w:r>
            <w:r w:rsidRPr="0051651C">
              <w:rPr>
                <w:noProof/>
                <w:webHidden/>
              </w:rPr>
              <w:fldChar w:fldCharType="separate"/>
            </w:r>
            <w:r w:rsidR="008C132D">
              <w:rPr>
                <w:noProof/>
                <w:webHidden/>
              </w:rPr>
              <w:t>51</w:t>
            </w:r>
            <w:r w:rsidRPr="0051651C">
              <w:rPr>
                <w:noProof/>
                <w:webHidden/>
              </w:rPr>
              <w:fldChar w:fldCharType="end"/>
            </w:r>
          </w:hyperlink>
        </w:p>
        <w:p w14:paraId="12213511" w14:textId="30692F03" w:rsidR="007E7018" w:rsidRPr="0051651C" w:rsidRDefault="007E7018" w:rsidP="007E7018">
          <w:pPr>
            <w:pStyle w:val="TOC2"/>
            <w:tabs>
              <w:tab w:val="right" w:leader="dot" w:pos="9350"/>
            </w:tabs>
            <w:spacing w:after="0" w:line="480" w:lineRule="auto"/>
            <w:rPr>
              <w:rFonts w:asciiTheme="minorHAnsi" w:eastAsiaTheme="minorEastAsia" w:hAnsiTheme="minorHAnsi"/>
              <w:noProof/>
              <w:szCs w:val="24"/>
            </w:rPr>
          </w:pPr>
          <w:hyperlink w:anchor="_Toc204282760" w:history="1">
            <w:r w:rsidRPr="0051651C">
              <w:rPr>
                <w:rStyle w:val="Hyperlink"/>
                <w:noProof/>
                <w:color w:val="auto"/>
              </w:rPr>
              <w:t>Abstract</w:t>
            </w:r>
            <w:r w:rsidRPr="0051651C">
              <w:rPr>
                <w:noProof/>
                <w:webHidden/>
              </w:rPr>
              <w:tab/>
            </w:r>
            <w:r w:rsidRPr="0051651C">
              <w:rPr>
                <w:noProof/>
                <w:webHidden/>
              </w:rPr>
              <w:fldChar w:fldCharType="begin"/>
            </w:r>
            <w:r w:rsidRPr="0051651C">
              <w:rPr>
                <w:noProof/>
                <w:webHidden/>
              </w:rPr>
              <w:instrText xml:space="preserve"> PAGEREF _Toc204282760 \h </w:instrText>
            </w:r>
            <w:r w:rsidRPr="0051651C">
              <w:rPr>
                <w:noProof/>
                <w:webHidden/>
              </w:rPr>
            </w:r>
            <w:r w:rsidRPr="0051651C">
              <w:rPr>
                <w:noProof/>
                <w:webHidden/>
              </w:rPr>
              <w:fldChar w:fldCharType="separate"/>
            </w:r>
            <w:r w:rsidR="008C132D">
              <w:rPr>
                <w:noProof/>
                <w:webHidden/>
              </w:rPr>
              <w:t>52</w:t>
            </w:r>
            <w:r w:rsidRPr="0051651C">
              <w:rPr>
                <w:noProof/>
                <w:webHidden/>
              </w:rPr>
              <w:fldChar w:fldCharType="end"/>
            </w:r>
          </w:hyperlink>
        </w:p>
        <w:p w14:paraId="1EFD775D" w14:textId="7F221B64" w:rsidR="007E7018" w:rsidRPr="0051651C" w:rsidRDefault="007E7018" w:rsidP="007E7018">
          <w:pPr>
            <w:pStyle w:val="TOC2"/>
            <w:tabs>
              <w:tab w:val="right" w:leader="dot" w:pos="9350"/>
            </w:tabs>
            <w:spacing w:after="0" w:line="480" w:lineRule="auto"/>
            <w:rPr>
              <w:rFonts w:asciiTheme="minorHAnsi" w:eastAsiaTheme="minorEastAsia" w:hAnsiTheme="minorHAnsi"/>
              <w:noProof/>
              <w:szCs w:val="24"/>
            </w:rPr>
          </w:pPr>
          <w:hyperlink w:anchor="_Toc204282761" w:history="1">
            <w:r w:rsidRPr="0051651C">
              <w:rPr>
                <w:rStyle w:val="Hyperlink"/>
                <w:noProof/>
                <w:color w:val="auto"/>
              </w:rPr>
              <w:t>Introduction</w:t>
            </w:r>
            <w:r w:rsidRPr="0051651C">
              <w:rPr>
                <w:noProof/>
                <w:webHidden/>
              </w:rPr>
              <w:tab/>
            </w:r>
            <w:r w:rsidRPr="0051651C">
              <w:rPr>
                <w:noProof/>
                <w:webHidden/>
              </w:rPr>
              <w:fldChar w:fldCharType="begin"/>
            </w:r>
            <w:r w:rsidRPr="0051651C">
              <w:rPr>
                <w:noProof/>
                <w:webHidden/>
              </w:rPr>
              <w:instrText xml:space="preserve"> PAGEREF _Toc204282761 \h </w:instrText>
            </w:r>
            <w:r w:rsidRPr="0051651C">
              <w:rPr>
                <w:noProof/>
                <w:webHidden/>
              </w:rPr>
            </w:r>
            <w:r w:rsidRPr="0051651C">
              <w:rPr>
                <w:noProof/>
                <w:webHidden/>
              </w:rPr>
              <w:fldChar w:fldCharType="separate"/>
            </w:r>
            <w:r w:rsidR="008C132D">
              <w:rPr>
                <w:noProof/>
                <w:webHidden/>
              </w:rPr>
              <w:t>52</w:t>
            </w:r>
            <w:r w:rsidRPr="0051651C">
              <w:rPr>
                <w:noProof/>
                <w:webHidden/>
              </w:rPr>
              <w:fldChar w:fldCharType="end"/>
            </w:r>
          </w:hyperlink>
        </w:p>
        <w:p w14:paraId="7CD8E85F" w14:textId="06667DF9" w:rsidR="007E7018" w:rsidRPr="0051651C" w:rsidRDefault="007E7018" w:rsidP="007E7018">
          <w:pPr>
            <w:pStyle w:val="TOC2"/>
            <w:tabs>
              <w:tab w:val="right" w:leader="dot" w:pos="9350"/>
            </w:tabs>
            <w:spacing w:after="0" w:line="480" w:lineRule="auto"/>
            <w:rPr>
              <w:rFonts w:asciiTheme="minorHAnsi" w:eastAsiaTheme="minorEastAsia" w:hAnsiTheme="minorHAnsi"/>
              <w:noProof/>
              <w:szCs w:val="24"/>
            </w:rPr>
          </w:pPr>
          <w:hyperlink w:anchor="_Toc204282762" w:history="1">
            <w:r w:rsidRPr="0051651C">
              <w:rPr>
                <w:rStyle w:val="Hyperlink"/>
                <w:noProof/>
                <w:color w:val="auto"/>
              </w:rPr>
              <w:t>Methods</w:t>
            </w:r>
            <w:r w:rsidRPr="0051651C">
              <w:rPr>
                <w:noProof/>
                <w:webHidden/>
              </w:rPr>
              <w:tab/>
            </w:r>
            <w:r w:rsidRPr="0051651C">
              <w:rPr>
                <w:noProof/>
                <w:webHidden/>
              </w:rPr>
              <w:fldChar w:fldCharType="begin"/>
            </w:r>
            <w:r w:rsidRPr="0051651C">
              <w:rPr>
                <w:noProof/>
                <w:webHidden/>
              </w:rPr>
              <w:instrText xml:space="preserve"> PAGEREF _Toc204282762 \h </w:instrText>
            </w:r>
            <w:r w:rsidRPr="0051651C">
              <w:rPr>
                <w:noProof/>
                <w:webHidden/>
              </w:rPr>
            </w:r>
            <w:r w:rsidRPr="0051651C">
              <w:rPr>
                <w:noProof/>
                <w:webHidden/>
              </w:rPr>
              <w:fldChar w:fldCharType="separate"/>
            </w:r>
            <w:r w:rsidR="008C132D">
              <w:rPr>
                <w:noProof/>
                <w:webHidden/>
              </w:rPr>
              <w:t>55</w:t>
            </w:r>
            <w:r w:rsidRPr="0051651C">
              <w:rPr>
                <w:noProof/>
                <w:webHidden/>
              </w:rPr>
              <w:fldChar w:fldCharType="end"/>
            </w:r>
          </w:hyperlink>
        </w:p>
        <w:p w14:paraId="2857908E" w14:textId="6CC84407" w:rsidR="007E7018" w:rsidRPr="0051651C" w:rsidRDefault="007E7018" w:rsidP="007E7018">
          <w:pPr>
            <w:pStyle w:val="TOC3"/>
            <w:tabs>
              <w:tab w:val="right" w:leader="dot" w:pos="9350"/>
            </w:tabs>
            <w:spacing w:after="0" w:line="480" w:lineRule="auto"/>
            <w:rPr>
              <w:rFonts w:asciiTheme="minorHAnsi" w:eastAsiaTheme="minorEastAsia" w:hAnsiTheme="minorHAnsi"/>
              <w:noProof/>
              <w:szCs w:val="24"/>
            </w:rPr>
          </w:pPr>
          <w:hyperlink w:anchor="_Toc204282763" w:history="1">
            <w:r w:rsidRPr="0051651C">
              <w:rPr>
                <w:rStyle w:val="Hyperlink"/>
                <w:noProof/>
                <w:color w:val="auto"/>
              </w:rPr>
              <w:t>Collection and description of a diverse agroecosystem database</w:t>
            </w:r>
            <w:r w:rsidRPr="0051651C">
              <w:rPr>
                <w:noProof/>
                <w:webHidden/>
              </w:rPr>
              <w:tab/>
            </w:r>
            <w:r w:rsidRPr="0051651C">
              <w:rPr>
                <w:noProof/>
                <w:webHidden/>
              </w:rPr>
              <w:fldChar w:fldCharType="begin"/>
            </w:r>
            <w:r w:rsidRPr="0051651C">
              <w:rPr>
                <w:noProof/>
                <w:webHidden/>
              </w:rPr>
              <w:instrText xml:space="preserve"> PAGEREF _Toc204282763 \h </w:instrText>
            </w:r>
            <w:r w:rsidRPr="0051651C">
              <w:rPr>
                <w:noProof/>
                <w:webHidden/>
              </w:rPr>
            </w:r>
            <w:r w:rsidRPr="0051651C">
              <w:rPr>
                <w:noProof/>
                <w:webHidden/>
              </w:rPr>
              <w:fldChar w:fldCharType="separate"/>
            </w:r>
            <w:r w:rsidR="008C132D">
              <w:rPr>
                <w:noProof/>
                <w:webHidden/>
              </w:rPr>
              <w:t>55</w:t>
            </w:r>
            <w:r w:rsidRPr="0051651C">
              <w:rPr>
                <w:noProof/>
                <w:webHidden/>
              </w:rPr>
              <w:fldChar w:fldCharType="end"/>
            </w:r>
          </w:hyperlink>
        </w:p>
        <w:p w14:paraId="42515DCB" w14:textId="0A843156" w:rsidR="007E7018" w:rsidRPr="0051651C" w:rsidRDefault="007E7018" w:rsidP="007E7018">
          <w:pPr>
            <w:pStyle w:val="TOC3"/>
            <w:tabs>
              <w:tab w:val="right" w:leader="dot" w:pos="9350"/>
            </w:tabs>
            <w:spacing w:after="0" w:line="480" w:lineRule="auto"/>
            <w:rPr>
              <w:rFonts w:asciiTheme="minorHAnsi" w:eastAsiaTheme="minorEastAsia" w:hAnsiTheme="minorHAnsi"/>
              <w:noProof/>
              <w:szCs w:val="24"/>
            </w:rPr>
          </w:pPr>
          <w:hyperlink w:anchor="_Toc204282764" w:history="1">
            <w:r w:rsidRPr="0051651C">
              <w:rPr>
                <w:rStyle w:val="Hyperlink"/>
                <w:noProof/>
                <w:color w:val="auto"/>
              </w:rPr>
              <w:t>Classification of true hot moments</w:t>
            </w:r>
            <w:r w:rsidRPr="0051651C">
              <w:rPr>
                <w:noProof/>
                <w:webHidden/>
              </w:rPr>
              <w:tab/>
            </w:r>
            <w:r w:rsidRPr="0051651C">
              <w:rPr>
                <w:noProof/>
                <w:webHidden/>
              </w:rPr>
              <w:fldChar w:fldCharType="begin"/>
            </w:r>
            <w:r w:rsidRPr="0051651C">
              <w:rPr>
                <w:noProof/>
                <w:webHidden/>
              </w:rPr>
              <w:instrText xml:space="preserve"> PAGEREF _Toc204282764 \h </w:instrText>
            </w:r>
            <w:r w:rsidRPr="0051651C">
              <w:rPr>
                <w:noProof/>
                <w:webHidden/>
              </w:rPr>
            </w:r>
            <w:r w:rsidRPr="0051651C">
              <w:rPr>
                <w:noProof/>
                <w:webHidden/>
              </w:rPr>
              <w:fldChar w:fldCharType="separate"/>
            </w:r>
            <w:r w:rsidR="008C132D">
              <w:rPr>
                <w:noProof/>
                <w:webHidden/>
              </w:rPr>
              <w:t>61</w:t>
            </w:r>
            <w:r w:rsidRPr="0051651C">
              <w:rPr>
                <w:noProof/>
                <w:webHidden/>
              </w:rPr>
              <w:fldChar w:fldCharType="end"/>
            </w:r>
          </w:hyperlink>
        </w:p>
        <w:p w14:paraId="46881627" w14:textId="53E1A376" w:rsidR="007E7018" w:rsidRPr="0051651C" w:rsidRDefault="007E7018" w:rsidP="007E7018">
          <w:pPr>
            <w:pStyle w:val="TOC3"/>
            <w:tabs>
              <w:tab w:val="right" w:leader="dot" w:pos="9350"/>
            </w:tabs>
            <w:spacing w:after="0" w:line="480" w:lineRule="auto"/>
            <w:rPr>
              <w:rFonts w:asciiTheme="minorHAnsi" w:eastAsiaTheme="minorEastAsia" w:hAnsiTheme="minorHAnsi"/>
              <w:noProof/>
              <w:szCs w:val="24"/>
            </w:rPr>
          </w:pPr>
          <w:hyperlink w:anchor="_Toc204282765" w:history="1">
            <w:r w:rsidRPr="0051651C">
              <w:rPr>
                <w:rStyle w:val="Hyperlink"/>
                <w:noProof/>
                <w:color w:val="auto"/>
              </w:rPr>
              <w:t>Model tuning</w:t>
            </w:r>
            <w:r w:rsidRPr="0051651C">
              <w:rPr>
                <w:noProof/>
                <w:webHidden/>
              </w:rPr>
              <w:tab/>
            </w:r>
            <w:r w:rsidRPr="0051651C">
              <w:rPr>
                <w:noProof/>
                <w:webHidden/>
              </w:rPr>
              <w:fldChar w:fldCharType="begin"/>
            </w:r>
            <w:r w:rsidRPr="0051651C">
              <w:rPr>
                <w:noProof/>
                <w:webHidden/>
              </w:rPr>
              <w:instrText xml:space="preserve"> PAGEREF _Toc204282765 \h </w:instrText>
            </w:r>
            <w:r w:rsidRPr="0051651C">
              <w:rPr>
                <w:noProof/>
                <w:webHidden/>
              </w:rPr>
            </w:r>
            <w:r w:rsidRPr="0051651C">
              <w:rPr>
                <w:noProof/>
                <w:webHidden/>
              </w:rPr>
              <w:fldChar w:fldCharType="separate"/>
            </w:r>
            <w:r w:rsidR="008C132D">
              <w:rPr>
                <w:noProof/>
                <w:webHidden/>
              </w:rPr>
              <w:t>63</w:t>
            </w:r>
            <w:r w:rsidRPr="0051651C">
              <w:rPr>
                <w:noProof/>
                <w:webHidden/>
              </w:rPr>
              <w:fldChar w:fldCharType="end"/>
            </w:r>
          </w:hyperlink>
        </w:p>
        <w:p w14:paraId="6DC6B51A" w14:textId="1957435B" w:rsidR="007E7018" w:rsidRPr="0051651C" w:rsidRDefault="007E7018" w:rsidP="007E7018">
          <w:pPr>
            <w:pStyle w:val="TOC3"/>
            <w:tabs>
              <w:tab w:val="right" w:leader="dot" w:pos="9350"/>
            </w:tabs>
            <w:spacing w:after="0" w:line="480" w:lineRule="auto"/>
            <w:rPr>
              <w:rFonts w:asciiTheme="minorHAnsi" w:eastAsiaTheme="minorEastAsia" w:hAnsiTheme="minorHAnsi"/>
              <w:noProof/>
              <w:szCs w:val="24"/>
            </w:rPr>
          </w:pPr>
          <w:hyperlink w:anchor="_Toc204282766" w:history="1">
            <w:r w:rsidRPr="0051651C">
              <w:rPr>
                <w:rStyle w:val="Hyperlink"/>
                <w:noProof/>
                <w:color w:val="auto"/>
              </w:rPr>
              <w:t>Model evaluation</w:t>
            </w:r>
            <w:r w:rsidRPr="0051651C">
              <w:rPr>
                <w:noProof/>
                <w:webHidden/>
              </w:rPr>
              <w:tab/>
            </w:r>
            <w:r w:rsidRPr="0051651C">
              <w:rPr>
                <w:noProof/>
                <w:webHidden/>
              </w:rPr>
              <w:fldChar w:fldCharType="begin"/>
            </w:r>
            <w:r w:rsidRPr="0051651C">
              <w:rPr>
                <w:noProof/>
                <w:webHidden/>
              </w:rPr>
              <w:instrText xml:space="preserve"> PAGEREF _Toc204282766 \h </w:instrText>
            </w:r>
            <w:r w:rsidRPr="0051651C">
              <w:rPr>
                <w:noProof/>
                <w:webHidden/>
              </w:rPr>
            </w:r>
            <w:r w:rsidRPr="0051651C">
              <w:rPr>
                <w:noProof/>
                <w:webHidden/>
              </w:rPr>
              <w:fldChar w:fldCharType="separate"/>
            </w:r>
            <w:r w:rsidR="008C132D">
              <w:rPr>
                <w:noProof/>
                <w:webHidden/>
              </w:rPr>
              <w:t>64</w:t>
            </w:r>
            <w:r w:rsidRPr="0051651C">
              <w:rPr>
                <w:noProof/>
                <w:webHidden/>
              </w:rPr>
              <w:fldChar w:fldCharType="end"/>
            </w:r>
          </w:hyperlink>
        </w:p>
        <w:p w14:paraId="7B1E859A" w14:textId="66EECFCA" w:rsidR="007E7018" w:rsidRPr="0051651C" w:rsidRDefault="007E7018" w:rsidP="007E7018">
          <w:pPr>
            <w:pStyle w:val="TOC3"/>
            <w:tabs>
              <w:tab w:val="right" w:leader="dot" w:pos="9350"/>
            </w:tabs>
            <w:spacing w:after="0" w:line="480" w:lineRule="auto"/>
            <w:rPr>
              <w:rFonts w:asciiTheme="minorHAnsi" w:eastAsiaTheme="minorEastAsia" w:hAnsiTheme="minorHAnsi"/>
              <w:noProof/>
              <w:szCs w:val="24"/>
            </w:rPr>
          </w:pPr>
          <w:hyperlink w:anchor="_Toc204282767" w:history="1">
            <w:r w:rsidRPr="0051651C">
              <w:rPr>
                <w:rStyle w:val="Hyperlink"/>
                <w:noProof/>
                <w:color w:val="auto"/>
              </w:rPr>
              <w:t>Model interpretation</w:t>
            </w:r>
            <w:r w:rsidRPr="0051651C">
              <w:rPr>
                <w:noProof/>
                <w:webHidden/>
              </w:rPr>
              <w:tab/>
            </w:r>
            <w:r w:rsidRPr="0051651C">
              <w:rPr>
                <w:noProof/>
                <w:webHidden/>
              </w:rPr>
              <w:fldChar w:fldCharType="begin"/>
            </w:r>
            <w:r w:rsidRPr="0051651C">
              <w:rPr>
                <w:noProof/>
                <w:webHidden/>
              </w:rPr>
              <w:instrText xml:space="preserve"> PAGEREF _Toc204282767 \h </w:instrText>
            </w:r>
            <w:r w:rsidRPr="0051651C">
              <w:rPr>
                <w:noProof/>
                <w:webHidden/>
              </w:rPr>
            </w:r>
            <w:r w:rsidRPr="0051651C">
              <w:rPr>
                <w:noProof/>
                <w:webHidden/>
              </w:rPr>
              <w:fldChar w:fldCharType="separate"/>
            </w:r>
            <w:r w:rsidR="008C132D">
              <w:rPr>
                <w:noProof/>
                <w:webHidden/>
              </w:rPr>
              <w:t>65</w:t>
            </w:r>
            <w:r w:rsidRPr="0051651C">
              <w:rPr>
                <w:noProof/>
                <w:webHidden/>
              </w:rPr>
              <w:fldChar w:fldCharType="end"/>
            </w:r>
          </w:hyperlink>
        </w:p>
        <w:p w14:paraId="5CF85928" w14:textId="15490F7E" w:rsidR="007E7018" w:rsidRPr="0051651C" w:rsidRDefault="007E7018" w:rsidP="007E7018">
          <w:pPr>
            <w:pStyle w:val="TOC2"/>
            <w:tabs>
              <w:tab w:val="right" w:leader="dot" w:pos="9350"/>
            </w:tabs>
            <w:spacing w:after="0" w:line="480" w:lineRule="auto"/>
            <w:rPr>
              <w:rFonts w:asciiTheme="minorHAnsi" w:eastAsiaTheme="minorEastAsia" w:hAnsiTheme="minorHAnsi"/>
              <w:noProof/>
              <w:szCs w:val="24"/>
            </w:rPr>
          </w:pPr>
          <w:hyperlink w:anchor="_Toc204282768" w:history="1">
            <w:r w:rsidRPr="0051651C">
              <w:rPr>
                <w:rStyle w:val="Hyperlink"/>
                <w:noProof/>
                <w:color w:val="auto"/>
              </w:rPr>
              <w:t>Results</w:t>
            </w:r>
            <w:r w:rsidRPr="0051651C">
              <w:rPr>
                <w:noProof/>
                <w:webHidden/>
              </w:rPr>
              <w:tab/>
            </w:r>
            <w:r w:rsidRPr="0051651C">
              <w:rPr>
                <w:noProof/>
                <w:webHidden/>
              </w:rPr>
              <w:fldChar w:fldCharType="begin"/>
            </w:r>
            <w:r w:rsidRPr="0051651C">
              <w:rPr>
                <w:noProof/>
                <w:webHidden/>
              </w:rPr>
              <w:instrText xml:space="preserve"> PAGEREF _Toc204282768 \h </w:instrText>
            </w:r>
            <w:r w:rsidRPr="0051651C">
              <w:rPr>
                <w:noProof/>
                <w:webHidden/>
              </w:rPr>
            </w:r>
            <w:r w:rsidRPr="0051651C">
              <w:rPr>
                <w:noProof/>
                <w:webHidden/>
              </w:rPr>
              <w:fldChar w:fldCharType="separate"/>
            </w:r>
            <w:r w:rsidR="008C132D">
              <w:rPr>
                <w:noProof/>
                <w:webHidden/>
              </w:rPr>
              <w:t>66</w:t>
            </w:r>
            <w:r w:rsidRPr="0051651C">
              <w:rPr>
                <w:noProof/>
                <w:webHidden/>
              </w:rPr>
              <w:fldChar w:fldCharType="end"/>
            </w:r>
          </w:hyperlink>
        </w:p>
        <w:p w14:paraId="3E81493E" w14:textId="0B7431D9" w:rsidR="007E7018" w:rsidRPr="0051651C" w:rsidRDefault="007E7018" w:rsidP="007E7018">
          <w:pPr>
            <w:pStyle w:val="TOC3"/>
            <w:tabs>
              <w:tab w:val="right" w:leader="dot" w:pos="9350"/>
            </w:tabs>
            <w:spacing w:after="0" w:line="480" w:lineRule="auto"/>
            <w:rPr>
              <w:rFonts w:asciiTheme="minorHAnsi" w:eastAsiaTheme="minorEastAsia" w:hAnsiTheme="minorHAnsi"/>
              <w:noProof/>
              <w:szCs w:val="24"/>
            </w:rPr>
          </w:pPr>
          <w:hyperlink w:anchor="_Toc204282769" w:history="1">
            <w:r w:rsidRPr="0051651C">
              <w:rPr>
                <w:rStyle w:val="Hyperlink"/>
                <w:noProof/>
                <w:color w:val="auto"/>
              </w:rPr>
              <w:t>Model performances</w:t>
            </w:r>
            <w:r w:rsidRPr="0051651C">
              <w:rPr>
                <w:noProof/>
                <w:webHidden/>
              </w:rPr>
              <w:tab/>
            </w:r>
            <w:r w:rsidRPr="0051651C">
              <w:rPr>
                <w:noProof/>
                <w:webHidden/>
              </w:rPr>
              <w:fldChar w:fldCharType="begin"/>
            </w:r>
            <w:r w:rsidRPr="0051651C">
              <w:rPr>
                <w:noProof/>
                <w:webHidden/>
              </w:rPr>
              <w:instrText xml:space="preserve"> PAGEREF _Toc204282769 \h </w:instrText>
            </w:r>
            <w:r w:rsidRPr="0051651C">
              <w:rPr>
                <w:noProof/>
                <w:webHidden/>
              </w:rPr>
            </w:r>
            <w:r w:rsidRPr="0051651C">
              <w:rPr>
                <w:noProof/>
                <w:webHidden/>
              </w:rPr>
              <w:fldChar w:fldCharType="separate"/>
            </w:r>
            <w:r w:rsidR="008C132D">
              <w:rPr>
                <w:noProof/>
                <w:webHidden/>
              </w:rPr>
              <w:t>66</w:t>
            </w:r>
            <w:r w:rsidRPr="0051651C">
              <w:rPr>
                <w:noProof/>
                <w:webHidden/>
              </w:rPr>
              <w:fldChar w:fldCharType="end"/>
            </w:r>
          </w:hyperlink>
        </w:p>
        <w:p w14:paraId="00E3B714" w14:textId="0F9A61DC" w:rsidR="007E7018" w:rsidRPr="0051651C" w:rsidRDefault="007E7018" w:rsidP="007E7018">
          <w:pPr>
            <w:pStyle w:val="TOC3"/>
            <w:tabs>
              <w:tab w:val="right" w:leader="dot" w:pos="9350"/>
            </w:tabs>
            <w:spacing w:after="0" w:line="480" w:lineRule="auto"/>
            <w:rPr>
              <w:rFonts w:asciiTheme="minorHAnsi" w:eastAsiaTheme="minorEastAsia" w:hAnsiTheme="minorHAnsi"/>
              <w:noProof/>
              <w:szCs w:val="24"/>
            </w:rPr>
          </w:pPr>
          <w:hyperlink w:anchor="_Toc204282770" w:history="1">
            <w:r w:rsidRPr="0051651C">
              <w:rPr>
                <w:rStyle w:val="Hyperlink"/>
                <w:noProof/>
                <w:color w:val="auto"/>
              </w:rPr>
              <w:t>Key model drivers and interactions</w:t>
            </w:r>
            <w:r w:rsidRPr="0051651C">
              <w:rPr>
                <w:noProof/>
                <w:webHidden/>
              </w:rPr>
              <w:tab/>
            </w:r>
            <w:r w:rsidRPr="0051651C">
              <w:rPr>
                <w:noProof/>
                <w:webHidden/>
              </w:rPr>
              <w:fldChar w:fldCharType="begin"/>
            </w:r>
            <w:r w:rsidRPr="0051651C">
              <w:rPr>
                <w:noProof/>
                <w:webHidden/>
              </w:rPr>
              <w:instrText xml:space="preserve"> PAGEREF _Toc204282770 \h </w:instrText>
            </w:r>
            <w:r w:rsidRPr="0051651C">
              <w:rPr>
                <w:noProof/>
                <w:webHidden/>
              </w:rPr>
            </w:r>
            <w:r w:rsidRPr="0051651C">
              <w:rPr>
                <w:noProof/>
                <w:webHidden/>
              </w:rPr>
              <w:fldChar w:fldCharType="separate"/>
            </w:r>
            <w:r w:rsidR="008C132D">
              <w:rPr>
                <w:noProof/>
                <w:webHidden/>
              </w:rPr>
              <w:t>68</w:t>
            </w:r>
            <w:r w:rsidRPr="0051651C">
              <w:rPr>
                <w:noProof/>
                <w:webHidden/>
              </w:rPr>
              <w:fldChar w:fldCharType="end"/>
            </w:r>
          </w:hyperlink>
        </w:p>
        <w:p w14:paraId="3AF32ECA" w14:textId="29B6526F" w:rsidR="007E7018" w:rsidRPr="0051651C" w:rsidRDefault="007E7018" w:rsidP="007E7018">
          <w:pPr>
            <w:pStyle w:val="TOC2"/>
            <w:tabs>
              <w:tab w:val="right" w:leader="dot" w:pos="9350"/>
            </w:tabs>
            <w:spacing w:after="0" w:line="480" w:lineRule="auto"/>
            <w:rPr>
              <w:rFonts w:asciiTheme="minorHAnsi" w:eastAsiaTheme="minorEastAsia" w:hAnsiTheme="minorHAnsi"/>
              <w:noProof/>
              <w:szCs w:val="24"/>
            </w:rPr>
          </w:pPr>
          <w:hyperlink w:anchor="_Toc204282771" w:history="1">
            <w:r w:rsidRPr="0051651C">
              <w:rPr>
                <w:rStyle w:val="Hyperlink"/>
                <w:noProof/>
                <w:color w:val="auto"/>
              </w:rPr>
              <w:t>Discussion</w:t>
            </w:r>
            <w:r w:rsidRPr="0051651C">
              <w:rPr>
                <w:noProof/>
                <w:webHidden/>
              </w:rPr>
              <w:tab/>
            </w:r>
            <w:r w:rsidRPr="0051651C">
              <w:rPr>
                <w:noProof/>
                <w:webHidden/>
              </w:rPr>
              <w:fldChar w:fldCharType="begin"/>
            </w:r>
            <w:r w:rsidRPr="0051651C">
              <w:rPr>
                <w:noProof/>
                <w:webHidden/>
              </w:rPr>
              <w:instrText xml:space="preserve"> PAGEREF _Toc204282771 \h </w:instrText>
            </w:r>
            <w:r w:rsidRPr="0051651C">
              <w:rPr>
                <w:noProof/>
                <w:webHidden/>
              </w:rPr>
            </w:r>
            <w:r w:rsidRPr="0051651C">
              <w:rPr>
                <w:noProof/>
                <w:webHidden/>
              </w:rPr>
              <w:fldChar w:fldCharType="separate"/>
            </w:r>
            <w:r w:rsidR="008C132D">
              <w:rPr>
                <w:noProof/>
                <w:webHidden/>
              </w:rPr>
              <w:t>72</w:t>
            </w:r>
            <w:r w:rsidRPr="0051651C">
              <w:rPr>
                <w:noProof/>
                <w:webHidden/>
              </w:rPr>
              <w:fldChar w:fldCharType="end"/>
            </w:r>
          </w:hyperlink>
        </w:p>
        <w:p w14:paraId="1E56E1E3" w14:textId="7B703CFF" w:rsidR="007E7018" w:rsidRPr="0051651C" w:rsidRDefault="007E7018" w:rsidP="007E7018">
          <w:pPr>
            <w:pStyle w:val="TOC3"/>
            <w:tabs>
              <w:tab w:val="right" w:leader="dot" w:pos="9350"/>
            </w:tabs>
            <w:spacing w:after="0" w:line="480" w:lineRule="auto"/>
            <w:rPr>
              <w:rFonts w:asciiTheme="minorHAnsi" w:eastAsiaTheme="minorEastAsia" w:hAnsiTheme="minorHAnsi"/>
              <w:noProof/>
              <w:szCs w:val="24"/>
            </w:rPr>
          </w:pPr>
          <w:hyperlink w:anchor="_Toc204282772" w:history="1">
            <w:r w:rsidRPr="0051651C">
              <w:rPr>
                <w:rStyle w:val="Hyperlink"/>
                <w:noProof/>
                <w:color w:val="auto"/>
              </w:rPr>
              <w:t>ML classification models accurately predict the occurrences of hot moments</w:t>
            </w:r>
            <w:r w:rsidRPr="0051651C">
              <w:rPr>
                <w:noProof/>
                <w:webHidden/>
              </w:rPr>
              <w:tab/>
            </w:r>
            <w:r w:rsidRPr="0051651C">
              <w:rPr>
                <w:noProof/>
                <w:webHidden/>
              </w:rPr>
              <w:fldChar w:fldCharType="begin"/>
            </w:r>
            <w:r w:rsidRPr="0051651C">
              <w:rPr>
                <w:noProof/>
                <w:webHidden/>
              </w:rPr>
              <w:instrText xml:space="preserve"> PAGEREF _Toc204282772 \h </w:instrText>
            </w:r>
            <w:r w:rsidRPr="0051651C">
              <w:rPr>
                <w:noProof/>
                <w:webHidden/>
              </w:rPr>
            </w:r>
            <w:r w:rsidRPr="0051651C">
              <w:rPr>
                <w:noProof/>
                <w:webHidden/>
              </w:rPr>
              <w:fldChar w:fldCharType="separate"/>
            </w:r>
            <w:r w:rsidR="008C132D">
              <w:rPr>
                <w:noProof/>
                <w:webHidden/>
              </w:rPr>
              <w:t>72</w:t>
            </w:r>
            <w:r w:rsidRPr="0051651C">
              <w:rPr>
                <w:noProof/>
                <w:webHidden/>
              </w:rPr>
              <w:fldChar w:fldCharType="end"/>
            </w:r>
          </w:hyperlink>
        </w:p>
        <w:p w14:paraId="062492FE" w14:textId="4F14FFF7" w:rsidR="007E7018" w:rsidRPr="0051651C" w:rsidRDefault="007E7018" w:rsidP="007E7018">
          <w:pPr>
            <w:pStyle w:val="TOC3"/>
            <w:tabs>
              <w:tab w:val="right" w:leader="dot" w:pos="9350"/>
            </w:tabs>
            <w:spacing w:after="0" w:line="480" w:lineRule="auto"/>
            <w:rPr>
              <w:rFonts w:asciiTheme="minorHAnsi" w:eastAsiaTheme="minorEastAsia" w:hAnsiTheme="minorHAnsi"/>
              <w:noProof/>
              <w:szCs w:val="24"/>
            </w:rPr>
          </w:pPr>
          <w:hyperlink w:anchor="_Toc204282773" w:history="1">
            <w:r w:rsidRPr="0051651C">
              <w:rPr>
                <w:rStyle w:val="Hyperlink"/>
                <w:noProof/>
                <w:color w:val="auto"/>
              </w:rPr>
              <w:t>Model behavior replicates biogeochemical processes</w:t>
            </w:r>
            <w:r w:rsidRPr="0051651C">
              <w:rPr>
                <w:noProof/>
                <w:webHidden/>
              </w:rPr>
              <w:tab/>
            </w:r>
            <w:r w:rsidRPr="0051651C">
              <w:rPr>
                <w:noProof/>
                <w:webHidden/>
              </w:rPr>
              <w:fldChar w:fldCharType="begin"/>
            </w:r>
            <w:r w:rsidRPr="0051651C">
              <w:rPr>
                <w:noProof/>
                <w:webHidden/>
              </w:rPr>
              <w:instrText xml:space="preserve"> PAGEREF _Toc204282773 \h </w:instrText>
            </w:r>
            <w:r w:rsidRPr="0051651C">
              <w:rPr>
                <w:noProof/>
                <w:webHidden/>
              </w:rPr>
            </w:r>
            <w:r w:rsidRPr="0051651C">
              <w:rPr>
                <w:noProof/>
                <w:webHidden/>
              </w:rPr>
              <w:fldChar w:fldCharType="separate"/>
            </w:r>
            <w:r w:rsidR="008C132D">
              <w:rPr>
                <w:noProof/>
                <w:webHidden/>
              </w:rPr>
              <w:t>73</w:t>
            </w:r>
            <w:r w:rsidRPr="0051651C">
              <w:rPr>
                <w:noProof/>
                <w:webHidden/>
              </w:rPr>
              <w:fldChar w:fldCharType="end"/>
            </w:r>
          </w:hyperlink>
        </w:p>
        <w:p w14:paraId="4427BF5D" w14:textId="3AFCEE61" w:rsidR="007E7018" w:rsidRPr="0051651C" w:rsidRDefault="007E7018" w:rsidP="007E7018">
          <w:pPr>
            <w:pStyle w:val="TOC3"/>
            <w:tabs>
              <w:tab w:val="right" w:leader="dot" w:pos="9350"/>
            </w:tabs>
            <w:spacing w:after="0" w:line="480" w:lineRule="auto"/>
            <w:rPr>
              <w:rFonts w:asciiTheme="minorHAnsi" w:eastAsiaTheme="minorEastAsia" w:hAnsiTheme="minorHAnsi"/>
              <w:noProof/>
              <w:szCs w:val="24"/>
            </w:rPr>
          </w:pPr>
          <w:hyperlink w:anchor="_Toc204282774" w:history="1">
            <w:r w:rsidRPr="0051651C">
              <w:rPr>
                <w:rStyle w:val="Hyperlink"/>
                <w:noProof/>
                <w:color w:val="auto"/>
              </w:rPr>
              <w:t>Potential applications and future directions</w:t>
            </w:r>
            <w:r w:rsidRPr="0051651C">
              <w:rPr>
                <w:noProof/>
                <w:webHidden/>
              </w:rPr>
              <w:tab/>
            </w:r>
            <w:r w:rsidRPr="0051651C">
              <w:rPr>
                <w:noProof/>
                <w:webHidden/>
              </w:rPr>
              <w:fldChar w:fldCharType="begin"/>
            </w:r>
            <w:r w:rsidRPr="0051651C">
              <w:rPr>
                <w:noProof/>
                <w:webHidden/>
              </w:rPr>
              <w:instrText xml:space="preserve"> PAGEREF _Toc204282774 \h </w:instrText>
            </w:r>
            <w:r w:rsidRPr="0051651C">
              <w:rPr>
                <w:noProof/>
                <w:webHidden/>
              </w:rPr>
            </w:r>
            <w:r w:rsidRPr="0051651C">
              <w:rPr>
                <w:noProof/>
                <w:webHidden/>
              </w:rPr>
              <w:fldChar w:fldCharType="separate"/>
            </w:r>
            <w:r w:rsidR="008C132D">
              <w:rPr>
                <w:noProof/>
                <w:webHidden/>
              </w:rPr>
              <w:t>75</w:t>
            </w:r>
            <w:r w:rsidRPr="0051651C">
              <w:rPr>
                <w:noProof/>
                <w:webHidden/>
              </w:rPr>
              <w:fldChar w:fldCharType="end"/>
            </w:r>
          </w:hyperlink>
        </w:p>
        <w:p w14:paraId="43E52941" w14:textId="03AD2111" w:rsidR="007E7018" w:rsidRPr="0051651C" w:rsidRDefault="007E7018" w:rsidP="007E7018">
          <w:pPr>
            <w:pStyle w:val="TOC2"/>
            <w:tabs>
              <w:tab w:val="right" w:leader="dot" w:pos="9350"/>
            </w:tabs>
            <w:spacing w:after="0" w:line="480" w:lineRule="auto"/>
            <w:rPr>
              <w:rFonts w:asciiTheme="minorHAnsi" w:eastAsiaTheme="minorEastAsia" w:hAnsiTheme="minorHAnsi"/>
              <w:noProof/>
              <w:szCs w:val="24"/>
            </w:rPr>
          </w:pPr>
          <w:hyperlink w:anchor="_Toc204282775" w:history="1">
            <w:r w:rsidRPr="0051651C">
              <w:rPr>
                <w:rStyle w:val="Hyperlink"/>
                <w:noProof/>
                <w:color w:val="auto"/>
              </w:rPr>
              <w:t>Conclusion</w:t>
            </w:r>
            <w:r w:rsidRPr="0051651C">
              <w:rPr>
                <w:noProof/>
                <w:webHidden/>
              </w:rPr>
              <w:tab/>
            </w:r>
            <w:r w:rsidRPr="0051651C">
              <w:rPr>
                <w:noProof/>
                <w:webHidden/>
              </w:rPr>
              <w:fldChar w:fldCharType="begin"/>
            </w:r>
            <w:r w:rsidRPr="0051651C">
              <w:rPr>
                <w:noProof/>
                <w:webHidden/>
              </w:rPr>
              <w:instrText xml:space="preserve"> PAGEREF _Toc204282775 \h </w:instrText>
            </w:r>
            <w:r w:rsidRPr="0051651C">
              <w:rPr>
                <w:noProof/>
                <w:webHidden/>
              </w:rPr>
            </w:r>
            <w:r w:rsidRPr="0051651C">
              <w:rPr>
                <w:noProof/>
                <w:webHidden/>
              </w:rPr>
              <w:fldChar w:fldCharType="separate"/>
            </w:r>
            <w:r w:rsidR="008C132D">
              <w:rPr>
                <w:noProof/>
                <w:webHidden/>
              </w:rPr>
              <w:t>76</w:t>
            </w:r>
            <w:r w:rsidRPr="0051651C">
              <w:rPr>
                <w:noProof/>
                <w:webHidden/>
              </w:rPr>
              <w:fldChar w:fldCharType="end"/>
            </w:r>
          </w:hyperlink>
        </w:p>
        <w:p w14:paraId="496C6D9E" w14:textId="6B6A731E" w:rsidR="007E7018" w:rsidRPr="0051651C" w:rsidRDefault="007E7018" w:rsidP="007E7018">
          <w:pPr>
            <w:pStyle w:val="TOC1"/>
            <w:tabs>
              <w:tab w:val="right" w:leader="dot" w:pos="9350"/>
            </w:tabs>
            <w:spacing w:after="0" w:line="480" w:lineRule="auto"/>
            <w:rPr>
              <w:rFonts w:asciiTheme="minorHAnsi" w:eastAsiaTheme="minorEastAsia" w:hAnsiTheme="minorHAnsi"/>
              <w:noProof/>
              <w:szCs w:val="24"/>
            </w:rPr>
          </w:pPr>
          <w:hyperlink w:anchor="_Toc204282776" w:history="1">
            <w:r w:rsidRPr="0051651C">
              <w:rPr>
                <w:rStyle w:val="Hyperlink"/>
                <w:noProof/>
                <w:color w:val="auto"/>
              </w:rPr>
              <w:t>CHAPTER 4: THE EFFECT OF EXTENDED SOIL SATURATION ON NITROUS OXIDE EMISSIONS IN MEDITERRANEAN SOILS</w:t>
            </w:r>
            <w:r w:rsidRPr="0051651C">
              <w:rPr>
                <w:noProof/>
                <w:webHidden/>
              </w:rPr>
              <w:tab/>
            </w:r>
            <w:r w:rsidRPr="0051651C">
              <w:rPr>
                <w:noProof/>
                <w:webHidden/>
              </w:rPr>
              <w:fldChar w:fldCharType="begin"/>
            </w:r>
            <w:r w:rsidRPr="0051651C">
              <w:rPr>
                <w:noProof/>
                <w:webHidden/>
              </w:rPr>
              <w:instrText xml:space="preserve"> PAGEREF _Toc204282776 \h </w:instrText>
            </w:r>
            <w:r w:rsidRPr="0051651C">
              <w:rPr>
                <w:noProof/>
                <w:webHidden/>
              </w:rPr>
            </w:r>
            <w:r w:rsidRPr="0051651C">
              <w:rPr>
                <w:noProof/>
                <w:webHidden/>
              </w:rPr>
              <w:fldChar w:fldCharType="separate"/>
            </w:r>
            <w:r w:rsidR="008C132D">
              <w:rPr>
                <w:noProof/>
                <w:webHidden/>
              </w:rPr>
              <w:t>78</w:t>
            </w:r>
            <w:r w:rsidRPr="0051651C">
              <w:rPr>
                <w:noProof/>
                <w:webHidden/>
              </w:rPr>
              <w:fldChar w:fldCharType="end"/>
            </w:r>
          </w:hyperlink>
        </w:p>
        <w:p w14:paraId="5FB6196B" w14:textId="6CEABD90" w:rsidR="007E7018" w:rsidRPr="0051651C" w:rsidRDefault="007E7018" w:rsidP="007E7018">
          <w:pPr>
            <w:pStyle w:val="TOC2"/>
            <w:tabs>
              <w:tab w:val="right" w:leader="dot" w:pos="9350"/>
            </w:tabs>
            <w:spacing w:after="0" w:line="480" w:lineRule="auto"/>
            <w:rPr>
              <w:rFonts w:asciiTheme="minorHAnsi" w:eastAsiaTheme="minorEastAsia" w:hAnsiTheme="minorHAnsi"/>
              <w:noProof/>
              <w:szCs w:val="24"/>
            </w:rPr>
          </w:pPr>
          <w:hyperlink w:anchor="_Toc204282777" w:history="1">
            <w:r w:rsidRPr="0051651C">
              <w:rPr>
                <w:rStyle w:val="Hyperlink"/>
                <w:noProof/>
                <w:color w:val="auto"/>
              </w:rPr>
              <w:t>Abstract</w:t>
            </w:r>
            <w:r w:rsidRPr="0051651C">
              <w:rPr>
                <w:noProof/>
                <w:webHidden/>
              </w:rPr>
              <w:tab/>
            </w:r>
            <w:r w:rsidRPr="0051651C">
              <w:rPr>
                <w:noProof/>
                <w:webHidden/>
              </w:rPr>
              <w:fldChar w:fldCharType="begin"/>
            </w:r>
            <w:r w:rsidRPr="0051651C">
              <w:rPr>
                <w:noProof/>
                <w:webHidden/>
              </w:rPr>
              <w:instrText xml:space="preserve"> PAGEREF _Toc204282777 \h </w:instrText>
            </w:r>
            <w:r w:rsidRPr="0051651C">
              <w:rPr>
                <w:noProof/>
                <w:webHidden/>
              </w:rPr>
            </w:r>
            <w:r w:rsidRPr="0051651C">
              <w:rPr>
                <w:noProof/>
                <w:webHidden/>
              </w:rPr>
              <w:fldChar w:fldCharType="separate"/>
            </w:r>
            <w:r w:rsidR="008C132D">
              <w:rPr>
                <w:noProof/>
                <w:webHidden/>
              </w:rPr>
              <w:t>79</w:t>
            </w:r>
            <w:r w:rsidRPr="0051651C">
              <w:rPr>
                <w:noProof/>
                <w:webHidden/>
              </w:rPr>
              <w:fldChar w:fldCharType="end"/>
            </w:r>
          </w:hyperlink>
        </w:p>
        <w:p w14:paraId="67FA0199" w14:textId="50F3C61C" w:rsidR="007E7018" w:rsidRPr="0051651C" w:rsidRDefault="007E7018" w:rsidP="007E7018">
          <w:pPr>
            <w:pStyle w:val="TOC2"/>
            <w:tabs>
              <w:tab w:val="right" w:leader="dot" w:pos="9350"/>
            </w:tabs>
            <w:spacing w:after="0" w:line="480" w:lineRule="auto"/>
            <w:rPr>
              <w:rFonts w:asciiTheme="minorHAnsi" w:eastAsiaTheme="minorEastAsia" w:hAnsiTheme="minorHAnsi"/>
              <w:noProof/>
              <w:szCs w:val="24"/>
            </w:rPr>
          </w:pPr>
          <w:hyperlink w:anchor="_Toc204282778" w:history="1">
            <w:r w:rsidRPr="0051651C">
              <w:rPr>
                <w:rStyle w:val="Hyperlink"/>
                <w:noProof/>
                <w:color w:val="auto"/>
              </w:rPr>
              <w:t>Introduction</w:t>
            </w:r>
            <w:r w:rsidRPr="0051651C">
              <w:rPr>
                <w:noProof/>
                <w:webHidden/>
              </w:rPr>
              <w:tab/>
            </w:r>
            <w:r w:rsidRPr="0051651C">
              <w:rPr>
                <w:noProof/>
                <w:webHidden/>
              </w:rPr>
              <w:fldChar w:fldCharType="begin"/>
            </w:r>
            <w:r w:rsidRPr="0051651C">
              <w:rPr>
                <w:noProof/>
                <w:webHidden/>
              </w:rPr>
              <w:instrText xml:space="preserve"> PAGEREF _Toc204282778 \h </w:instrText>
            </w:r>
            <w:r w:rsidRPr="0051651C">
              <w:rPr>
                <w:noProof/>
                <w:webHidden/>
              </w:rPr>
            </w:r>
            <w:r w:rsidRPr="0051651C">
              <w:rPr>
                <w:noProof/>
                <w:webHidden/>
              </w:rPr>
              <w:fldChar w:fldCharType="separate"/>
            </w:r>
            <w:r w:rsidR="008C132D">
              <w:rPr>
                <w:noProof/>
                <w:webHidden/>
              </w:rPr>
              <w:t>80</w:t>
            </w:r>
            <w:r w:rsidRPr="0051651C">
              <w:rPr>
                <w:noProof/>
                <w:webHidden/>
              </w:rPr>
              <w:fldChar w:fldCharType="end"/>
            </w:r>
          </w:hyperlink>
        </w:p>
        <w:p w14:paraId="7D1C41B7" w14:textId="4FC14FA1" w:rsidR="007E7018" w:rsidRPr="0051651C" w:rsidRDefault="007E7018" w:rsidP="007E7018">
          <w:pPr>
            <w:pStyle w:val="TOC2"/>
            <w:tabs>
              <w:tab w:val="right" w:leader="dot" w:pos="9350"/>
            </w:tabs>
            <w:spacing w:after="0" w:line="480" w:lineRule="auto"/>
            <w:rPr>
              <w:rFonts w:asciiTheme="minorHAnsi" w:eastAsiaTheme="minorEastAsia" w:hAnsiTheme="minorHAnsi"/>
              <w:noProof/>
              <w:szCs w:val="24"/>
            </w:rPr>
          </w:pPr>
          <w:hyperlink w:anchor="_Toc204282779" w:history="1">
            <w:r w:rsidRPr="0051651C">
              <w:rPr>
                <w:rStyle w:val="Hyperlink"/>
                <w:noProof/>
                <w:color w:val="auto"/>
              </w:rPr>
              <w:t>Materials and Methods</w:t>
            </w:r>
            <w:r w:rsidRPr="0051651C">
              <w:rPr>
                <w:noProof/>
                <w:webHidden/>
              </w:rPr>
              <w:tab/>
            </w:r>
            <w:r w:rsidRPr="0051651C">
              <w:rPr>
                <w:noProof/>
                <w:webHidden/>
              </w:rPr>
              <w:fldChar w:fldCharType="begin"/>
            </w:r>
            <w:r w:rsidRPr="0051651C">
              <w:rPr>
                <w:noProof/>
                <w:webHidden/>
              </w:rPr>
              <w:instrText xml:space="preserve"> PAGEREF _Toc204282779 \h </w:instrText>
            </w:r>
            <w:r w:rsidRPr="0051651C">
              <w:rPr>
                <w:noProof/>
                <w:webHidden/>
              </w:rPr>
            </w:r>
            <w:r w:rsidRPr="0051651C">
              <w:rPr>
                <w:noProof/>
                <w:webHidden/>
              </w:rPr>
              <w:fldChar w:fldCharType="separate"/>
            </w:r>
            <w:r w:rsidR="008C132D">
              <w:rPr>
                <w:noProof/>
                <w:webHidden/>
              </w:rPr>
              <w:t>83</w:t>
            </w:r>
            <w:r w:rsidRPr="0051651C">
              <w:rPr>
                <w:noProof/>
                <w:webHidden/>
              </w:rPr>
              <w:fldChar w:fldCharType="end"/>
            </w:r>
          </w:hyperlink>
        </w:p>
        <w:p w14:paraId="40120257" w14:textId="71976FBB" w:rsidR="007E7018" w:rsidRPr="0051651C" w:rsidRDefault="007E7018" w:rsidP="007E7018">
          <w:pPr>
            <w:pStyle w:val="TOC3"/>
            <w:tabs>
              <w:tab w:val="right" w:leader="dot" w:pos="9350"/>
            </w:tabs>
            <w:spacing w:after="0" w:line="480" w:lineRule="auto"/>
            <w:rPr>
              <w:rFonts w:asciiTheme="minorHAnsi" w:eastAsiaTheme="minorEastAsia" w:hAnsiTheme="minorHAnsi"/>
              <w:noProof/>
              <w:szCs w:val="24"/>
            </w:rPr>
          </w:pPr>
          <w:hyperlink w:anchor="_Toc204282780" w:history="1">
            <w:r w:rsidRPr="0051651C">
              <w:rPr>
                <w:rStyle w:val="Hyperlink"/>
                <w:noProof/>
                <w:color w:val="auto"/>
              </w:rPr>
              <w:t>Soil collection and characterization</w:t>
            </w:r>
            <w:r w:rsidRPr="0051651C">
              <w:rPr>
                <w:noProof/>
                <w:webHidden/>
              </w:rPr>
              <w:tab/>
            </w:r>
            <w:r w:rsidRPr="0051651C">
              <w:rPr>
                <w:noProof/>
                <w:webHidden/>
              </w:rPr>
              <w:fldChar w:fldCharType="begin"/>
            </w:r>
            <w:r w:rsidRPr="0051651C">
              <w:rPr>
                <w:noProof/>
                <w:webHidden/>
              </w:rPr>
              <w:instrText xml:space="preserve"> PAGEREF _Toc204282780 \h </w:instrText>
            </w:r>
            <w:r w:rsidRPr="0051651C">
              <w:rPr>
                <w:noProof/>
                <w:webHidden/>
              </w:rPr>
            </w:r>
            <w:r w:rsidRPr="0051651C">
              <w:rPr>
                <w:noProof/>
                <w:webHidden/>
              </w:rPr>
              <w:fldChar w:fldCharType="separate"/>
            </w:r>
            <w:r w:rsidR="008C132D">
              <w:rPr>
                <w:noProof/>
                <w:webHidden/>
              </w:rPr>
              <w:t>83</w:t>
            </w:r>
            <w:r w:rsidRPr="0051651C">
              <w:rPr>
                <w:noProof/>
                <w:webHidden/>
              </w:rPr>
              <w:fldChar w:fldCharType="end"/>
            </w:r>
          </w:hyperlink>
        </w:p>
        <w:p w14:paraId="0DF09D00" w14:textId="66C7533D" w:rsidR="007E7018" w:rsidRPr="0051651C" w:rsidRDefault="007E7018" w:rsidP="007E7018">
          <w:pPr>
            <w:pStyle w:val="TOC3"/>
            <w:tabs>
              <w:tab w:val="right" w:leader="dot" w:pos="9350"/>
            </w:tabs>
            <w:spacing w:after="0" w:line="480" w:lineRule="auto"/>
            <w:rPr>
              <w:rFonts w:asciiTheme="minorHAnsi" w:eastAsiaTheme="minorEastAsia" w:hAnsiTheme="minorHAnsi"/>
              <w:noProof/>
              <w:szCs w:val="24"/>
            </w:rPr>
          </w:pPr>
          <w:hyperlink w:anchor="_Toc204282781" w:history="1">
            <w:r w:rsidRPr="0051651C">
              <w:rPr>
                <w:rStyle w:val="Hyperlink"/>
                <w:noProof/>
                <w:color w:val="auto"/>
              </w:rPr>
              <w:t>Experimental design</w:t>
            </w:r>
            <w:r w:rsidRPr="0051651C">
              <w:rPr>
                <w:noProof/>
                <w:webHidden/>
              </w:rPr>
              <w:tab/>
            </w:r>
            <w:r w:rsidRPr="0051651C">
              <w:rPr>
                <w:noProof/>
                <w:webHidden/>
              </w:rPr>
              <w:fldChar w:fldCharType="begin"/>
            </w:r>
            <w:r w:rsidRPr="0051651C">
              <w:rPr>
                <w:noProof/>
                <w:webHidden/>
              </w:rPr>
              <w:instrText xml:space="preserve"> PAGEREF _Toc204282781 \h </w:instrText>
            </w:r>
            <w:r w:rsidRPr="0051651C">
              <w:rPr>
                <w:noProof/>
                <w:webHidden/>
              </w:rPr>
            </w:r>
            <w:r w:rsidRPr="0051651C">
              <w:rPr>
                <w:noProof/>
                <w:webHidden/>
              </w:rPr>
              <w:fldChar w:fldCharType="separate"/>
            </w:r>
            <w:r w:rsidR="008C132D">
              <w:rPr>
                <w:noProof/>
                <w:webHidden/>
              </w:rPr>
              <w:t>85</w:t>
            </w:r>
            <w:r w:rsidRPr="0051651C">
              <w:rPr>
                <w:noProof/>
                <w:webHidden/>
              </w:rPr>
              <w:fldChar w:fldCharType="end"/>
            </w:r>
          </w:hyperlink>
        </w:p>
        <w:p w14:paraId="62C3B0DC" w14:textId="0933B648" w:rsidR="007E7018" w:rsidRPr="0051651C" w:rsidRDefault="007E7018" w:rsidP="007E7018">
          <w:pPr>
            <w:pStyle w:val="TOC3"/>
            <w:tabs>
              <w:tab w:val="right" w:leader="dot" w:pos="9350"/>
            </w:tabs>
            <w:spacing w:after="0" w:line="480" w:lineRule="auto"/>
            <w:rPr>
              <w:rFonts w:asciiTheme="minorHAnsi" w:eastAsiaTheme="minorEastAsia" w:hAnsiTheme="minorHAnsi"/>
              <w:noProof/>
              <w:szCs w:val="24"/>
            </w:rPr>
          </w:pPr>
          <w:hyperlink w:anchor="_Toc204282782" w:history="1">
            <w:r w:rsidRPr="0051651C">
              <w:rPr>
                <w:rStyle w:val="Hyperlink"/>
                <w:noProof/>
                <w:color w:val="auto"/>
              </w:rPr>
              <w:t>Soil moisture management</w:t>
            </w:r>
            <w:r w:rsidRPr="0051651C">
              <w:rPr>
                <w:noProof/>
                <w:webHidden/>
              </w:rPr>
              <w:tab/>
            </w:r>
            <w:r w:rsidRPr="0051651C">
              <w:rPr>
                <w:noProof/>
                <w:webHidden/>
              </w:rPr>
              <w:fldChar w:fldCharType="begin"/>
            </w:r>
            <w:r w:rsidRPr="0051651C">
              <w:rPr>
                <w:noProof/>
                <w:webHidden/>
              </w:rPr>
              <w:instrText xml:space="preserve"> PAGEREF _Toc204282782 \h </w:instrText>
            </w:r>
            <w:r w:rsidRPr="0051651C">
              <w:rPr>
                <w:noProof/>
                <w:webHidden/>
              </w:rPr>
            </w:r>
            <w:r w:rsidRPr="0051651C">
              <w:rPr>
                <w:noProof/>
                <w:webHidden/>
              </w:rPr>
              <w:fldChar w:fldCharType="separate"/>
            </w:r>
            <w:r w:rsidR="008C132D">
              <w:rPr>
                <w:noProof/>
                <w:webHidden/>
              </w:rPr>
              <w:t>86</w:t>
            </w:r>
            <w:r w:rsidRPr="0051651C">
              <w:rPr>
                <w:noProof/>
                <w:webHidden/>
              </w:rPr>
              <w:fldChar w:fldCharType="end"/>
            </w:r>
          </w:hyperlink>
        </w:p>
        <w:p w14:paraId="0864DA0B" w14:textId="183D25D8" w:rsidR="007E7018" w:rsidRPr="0051651C" w:rsidRDefault="007E7018" w:rsidP="007E7018">
          <w:pPr>
            <w:pStyle w:val="TOC3"/>
            <w:tabs>
              <w:tab w:val="right" w:leader="dot" w:pos="9350"/>
            </w:tabs>
            <w:spacing w:after="0" w:line="480" w:lineRule="auto"/>
            <w:rPr>
              <w:rFonts w:asciiTheme="minorHAnsi" w:eastAsiaTheme="minorEastAsia" w:hAnsiTheme="minorHAnsi"/>
              <w:noProof/>
              <w:szCs w:val="24"/>
            </w:rPr>
          </w:pPr>
          <w:hyperlink w:anchor="_Toc204282783" w:history="1">
            <w:r w:rsidRPr="0051651C">
              <w:rPr>
                <w:rStyle w:val="Hyperlink"/>
                <w:noProof/>
                <w:color w:val="auto"/>
              </w:rPr>
              <w:t>N</w:t>
            </w:r>
            <w:r w:rsidRPr="0051651C">
              <w:rPr>
                <w:rStyle w:val="Hyperlink"/>
                <w:noProof/>
                <w:color w:val="auto"/>
                <w:vertAlign w:val="subscript"/>
              </w:rPr>
              <w:t>2</w:t>
            </w:r>
            <w:r w:rsidRPr="0051651C">
              <w:rPr>
                <w:rStyle w:val="Hyperlink"/>
                <w:noProof/>
                <w:color w:val="auto"/>
              </w:rPr>
              <w:t>O flux measurements</w:t>
            </w:r>
            <w:r w:rsidRPr="0051651C">
              <w:rPr>
                <w:noProof/>
                <w:webHidden/>
              </w:rPr>
              <w:tab/>
            </w:r>
            <w:r w:rsidRPr="0051651C">
              <w:rPr>
                <w:noProof/>
                <w:webHidden/>
              </w:rPr>
              <w:fldChar w:fldCharType="begin"/>
            </w:r>
            <w:r w:rsidRPr="0051651C">
              <w:rPr>
                <w:noProof/>
                <w:webHidden/>
              </w:rPr>
              <w:instrText xml:space="preserve"> PAGEREF _Toc204282783 \h </w:instrText>
            </w:r>
            <w:r w:rsidRPr="0051651C">
              <w:rPr>
                <w:noProof/>
                <w:webHidden/>
              </w:rPr>
            </w:r>
            <w:r w:rsidRPr="0051651C">
              <w:rPr>
                <w:noProof/>
                <w:webHidden/>
              </w:rPr>
              <w:fldChar w:fldCharType="separate"/>
            </w:r>
            <w:r w:rsidR="008C132D">
              <w:rPr>
                <w:noProof/>
                <w:webHidden/>
              </w:rPr>
              <w:t>87</w:t>
            </w:r>
            <w:r w:rsidRPr="0051651C">
              <w:rPr>
                <w:noProof/>
                <w:webHidden/>
              </w:rPr>
              <w:fldChar w:fldCharType="end"/>
            </w:r>
          </w:hyperlink>
        </w:p>
        <w:p w14:paraId="200D7D9D" w14:textId="3B69120C" w:rsidR="007E7018" w:rsidRPr="0051651C" w:rsidRDefault="007E7018" w:rsidP="007E7018">
          <w:pPr>
            <w:pStyle w:val="TOC3"/>
            <w:tabs>
              <w:tab w:val="right" w:leader="dot" w:pos="9350"/>
            </w:tabs>
            <w:spacing w:after="0" w:line="480" w:lineRule="auto"/>
            <w:rPr>
              <w:rFonts w:asciiTheme="minorHAnsi" w:eastAsiaTheme="minorEastAsia" w:hAnsiTheme="minorHAnsi"/>
              <w:noProof/>
              <w:szCs w:val="24"/>
            </w:rPr>
          </w:pPr>
          <w:hyperlink w:anchor="_Toc204282784" w:history="1">
            <w:r w:rsidRPr="0051651C">
              <w:rPr>
                <w:rStyle w:val="Hyperlink"/>
                <w:noProof/>
                <w:color w:val="auto"/>
              </w:rPr>
              <w:t>N</w:t>
            </w:r>
            <w:r w:rsidRPr="0051651C">
              <w:rPr>
                <w:rStyle w:val="Hyperlink"/>
                <w:noProof/>
                <w:color w:val="auto"/>
                <w:vertAlign w:val="subscript"/>
              </w:rPr>
              <w:t>2</w:t>
            </w:r>
            <w:r w:rsidRPr="0051651C">
              <w:rPr>
                <w:rStyle w:val="Hyperlink"/>
                <w:noProof/>
                <w:color w:val="auto"/>
              </w:rPr>
              <w:t>O isotopomer analysis for microbial source identification</w:t>
            </w:r>
            <w:r w:rsidRPr="0051651C">
              <w:rPr>
                <w:noProof/>
                <w:webHidden/>
              </w:rPr>
              <w:tab/>
            </w:r>
            <w:r w:rsidRPr="0051651C">
              <w:rPr>
                <w:noProof/>
                <w:webHidden/>
              </w:rPr>
              <w:fldChar w:fldCharType="begin"/>
            </w:r>
            <w:r w:rsidRPr="0051651C">
              <w:rPr>
                <w:noProof/>
                <w:webHidden/>
              </w:rPr>
              <w:instrText xml:space="preserve"> PAGEREF _Toc204282784 \h </w:instrText>
            </w:r>
            <w:r w:rsidRPr="0051651C">
              <w:rPr>
                <w:noProof/>
                <w:webHidden/>
              </w:rPr>
            </w:r>
            <w:r w:rsidRPr="0051651C">
              <w:rPr>
                <w:noProof/>
                <w:webHidden/>
              </w:rPr>
              <w:fldChar w:fldCharType="separate"/>
            </w:r>
            <w:r w:rsidR="008C132D">
              <w:rPr>
                <w:noProof/>
                <w:webHidden/>
              </w:rPr>
              <w:t>88</w:t>
            </w:r>
            <w:r w:rsidRPr="0051651C">
              <w:rPr>
                <w:noProof/>
                <w:webHidden/>
              </w:rPr>
              <w:fldChar w:fldCharType="end"/>
            </w:r>
          </w:hyperlink>
        </w:p>
        <w:p w14:paraId="4098AA8E" w14:textId="4D733604" w:rsidR="007E7018" w:rsidRPr="0051651C" w:rsidRDefault="007E7018" w:rsidP="007E7018">
          <w:pPr>
            <w:pStyle w:val="TOC3"/>
            <w:tabs>
              <w:tab w:val="right" w:leader="dot" w:pos="9350"/>
            </w:tabs>
            <w:spacing w:after="0" w:line="480" w:lineRule="auto"/>
            <w:rPr>
              <w:rFonts w:asciiTheme="minorHAnsi" w:eastAsiaTheme="minorEastAsia" w:hAnsiTheme="minorHAnsi"/>
              <w:noProof/>
              <w:szCs w:val="24"/>
            </w:rPr>
          </w:pPr>
          <w:hyperlink w:anchor="_Toc204282785" w:history="1">
            <w:r w:rsidRPr="0051651C">
              <w:rPr>
                <w:rStyle w:val="Hyperlink"/>
                <w:noProof/>
                <w:color w:val="auto"/>
              </w:rPr>
              <w:t>Soil chemical property measurements</w:t>
            </w:r>
            <w:r w:rsidRPr="0051651C">
              <w:rPr>
                <w:noProof/>
                <w:webHidden/>
              </w:rPr>
              <w:tab/>
            </w:r>
            <w:r w:rsidRPr="0051651C">
              <w:rPr>
                <w:noProof/>
                <w:webHidden/>
              </w:rPr>
              <w:fldChar w:fldCharType="begin"/>
            </w:r>
            <w:r w:rsidRPr="0051651C">
              <w:rPr>
                <w:noProof/>
                <w:webHidden/>
              </w:rPr>
              <w:instrText xml:space="preserve"> PAGEREF _Toc204282785 \h </w:instrText>
            </w:r>
            <w:r w:rsidRPr="0051651C">
              <w:rPr>
                <w:noProof/>
                <w:webHidden/>
              </w:rPr>
            </w:r>
            <w:r w:rsidRPr="0051651C">
              <w:rPr>
                <w:noProof/>
                <w:webHidden/>
              </w:rPr>
              <w:fldChar w:fldCharType="separate"/>
            </w:r>
            <w:r w:rsidR="008C132D">
              <w:rPr>
                <w:noProof/>
                <w:webHidden/>
              </w:rPr>
              <w:t>89</w:t>
            </w:r>
            <w:r w:rsidRPr="0051651C">
              <w:rPr>
                <w:noProof/>
                <w:webHidden/>
              </w:rPr>
              <w:fldChar w:fldCharType="end"/>
            </w:r>
          </w:hyperlink>
        </w:p>
        <w:p w14:paraId="3BD3DE1B" w14:textId="32EBE941" w:rsidR="007E7018" w:rsidRPr="0051651C" w:rsidRDefault="007E7018" w:rsidP="007E7018">
          <w:pPr>
            <w:pStyle w:val="TOC3"/>
            <w:tabs>
              <w:tab w:val="right" w:leader="dot" w:pos="9350"/>
            </w:tabs>
            <w:spacing w:after="0" w:line="480" w:lineRule="auto"/>
            <w:rPr>
              <w:rFonts w:asciiTheme="minorHAnsi" w:eastAsiaTheme="minorEastAsia" w:hAnsiTheme="minorHAnsi"/>
              <w:noProof/>
              <w:szCs w:val="24"/>
            </w:rPr>
          </w:pPr>
          <w:hyperlink w:anchor="_Toc204282786" w:history="1">
            <w:r w:rsidRPr="0051651C">
              <w:rPr>
                <w:rStyle w:val="Hyperlink"/>
                <w:noProof/>
                <w:color w:val="auto"/>
              </w:rPr>
              <w:t>Statistical analysis</w:t>
            </w:r>
            <w:r w:rsidRPr="0051651C">
              <w:rPr>
                <w:noProof/>
                <w:webHidden/>
              </w:rPr>
              <w:tab/>
            </w:r>
            <w:r w:rsidRPr="0051651C">
              <w:rPr>
                <w:noProof/>
                <w:webHidden/>
              </w:rPr>
              <w:fldChar w:fldCharType="begin"/>
            </w:r>
            <w:r w:rsidRPr="0051651C">
              <w:rPr>
                <w:noProof/>
                <w:webHidden/>
              </w:rPr>
              <w:instrText xml:space="preserve"> PAGEREF _Toc204282786 \h </w:instrText>
            </w:r>
            <w:r w:rsidRPr="0051651C">
              <w:rPr>
                <w:noProof/>
                <w:webHidden/>
              </w:rPr>
            </w:r>
            <w:r w:rsidRPr="0051651C">
              <w:rPr>
                <w:noProof/>
                <w:webHidden/>
              </w:rPr>
              <w:fldChar w:fldCharType="separate"/>
            </w:r>
            <w:r w:rsidR="008C132D">
              <w:rPr>
                <w:noProof/>
                <w:webHidden/>
              </w:rPr>
              <w:t>89</w:t>
            </w:r>
            <w:r w:rsidRPr="0051651C">
              <w:rPr>
                <w:noProof/>
                <w:webHidden/>
              </w:rPr>
              <w:fldChar w:fldCharType="end"/>
            </w:r>
          </w:hyperlink>
        </w:p>
        <w:p w14:paraId="49FC8774" w14:textId="65E509DD" w:rsidR="007E7018" w:rsidRPr="0051651C" w:rsidRDefault="007E7018" w:rsidP="007E7018">
          <w:pPr>
            <w:pStyle w:val="TOC2"/>
            <w:tabs>
              <w:tab w:val="right" w:leader="dot" w:pos="9350"/>
            </w:tabs>
            <w:spacing w:after="0" w:line="480" w:lineRule="auto"/>
            <w:rPr>
              <w:rFonts w:asciiTheme="minorHAnsi" w:eastAsiaTheme="minorEastAsia" w:hAnsiTheme="minorHAnsi"/>
              <w:noProof/>
              <w:szCs w:val="24"/>
            </w:rPr>
          </w:pPr>
          <w:hyperlink w:anchor="_Toc204282787" w:history="1">
            <w:r w:rsidRPr="0051651C">
              <w:rPr>
                <w:rStyle w:val="Hyperlink"/>
                <w:noProof/>
                <w:color w:val="auto"/>
              </w:rPr>
              <w:t>Results</w:t>
            </w:r>
            <w:r w:rsidRPr="0051651C">
              <w:rPr>
                <w:noProof/>
                <w:webHidden/>
              </w:rPr>
              <w:tab/>
            </w:r>
            <w:r w:rsidRPr="0051651C">
              <w:rPr>
                <w:noProof/>
                <w:webHidden/>
              </w:rPr>
              <w:fldChar w:fldCharType="begin"/>
            </w:r>
            <w:r w:rsidRPr="0051651C">
              <w:rPr>
                <w:noProof/>
                <w:webHidden/>
              </w:rPr>
              <w:instrText xml:space="preserve"> PAGEREF _Toc204282787 \h </w:instrText>
            </w:r>
            <w:r w:rsidRPr="0051651C">
              <w:rPr>
                <w:noProof/>
                <w:webHidden/>
              </w:rPr>
            </w:r>
            <w:r w:rsidRPr="0051651C">
              <w:rPr>
                <w:noProof/>
                <w:webHidden/>
              </w:rPr>
              <w:fldChar w:fldCharType="separate"/>
            </w:r>
            <w:r w:rsidR="008C132D">
              <w:rPr>
                <w:noProof/>
                <w:webHidden/>
              </w:rPr>
              <w:t>90</w:t>
            </w:r>
            <w:r w:rsidRPr="0051651C">
              <w:rPr>
                <w:noProof/>
                <w:webHidden/>
              </w:rPr>
              <w:fldChar w:fldCharType="end"/>
            </w:r>
          </w:hyperlink>
        </w:p>
        <w:p w14:paraId="77E53837" w14:textId="6D7CEEEB" w:rsidR="007E7018" w:rsidRPr="0051651C" w:rsidRDefault="007E7018" w:rsidP="007E7018">
          <w:pPr>
            <w:pStyle w:val="TOC3"/>
            <w:tabs>
              <w:tab w:val="right" w:leader="dot" w:pos="9350"/>
            </w:tabs>
            <w:spacing w:after="0" w:line="480" w:lineRule="auto"/>
            <w:rPr>
              <w:rFonts w:asciiTheme="minorHAnsi" w:eastAsiaTheme="minorEastAsia" w:hAnsiTheme="minorHAnsi"/>
              <w:noProof/>
              <w:szCs w:val="24"/>
            </w:rPr>
          </w:pPr>
          <w:hyperlink w:anchor="_Toc204282788" w:history="1">
            <w:r w:rsidRPr="0051651C">
              <w:rPr>
                <w:rStyle w:val="Hyperlink"/>
                <w:noProof/>
                <w:color w:val="auto"/>
              </w:rPr>
              <w:t>Temporal N</w:t>
            </w:r>
            <w:r w:rsidRPr="0051651C">
              <w:rPr>
                <w:rStyle w:val="Hyperlink"/>
                <w:noProof/>
                <w:color w:val="auto"/>
                <w:vertAlign w:val="subscript"/>
              </w:rPr>
              <w:t>2</w:t>
            </w:r>
            <w:r w:rsidRPr="0051651C">
              <w:rPr>
                <w:rStyle w:val="Hyperlink"/>
                <w:noProof/>
                <w:color w:val="auto"/>
              </w:rPr>
              <w:t>O fluxes in response to flooding under different soil textures</w:t>
            </w:r>
            <w:r w:rsidRPr="0051651C">
              <w:rPr>
                <w:noProof/>
                <w:webHidden/>
              </w:rPr>
              <w:tab/>
            </w:r>
            <w:r w:rsidRPr="0051651C">
              <w:rPr>
                <w:noProof/>
                <w:webHidden/>
              </w:rPr>
              <w:fldChar w:fldCharType="begin"/>
            </w:r>
            <w:r w:rsidRPr="0051651C">
              <w:rPr>
                <w:noProof/>
                <w:webHidden/>
              </w:rPr>
              <w:instrText xml:space="preserve"> PAGEREF _Toc204282788 \h </w:instrText>
            </w:r>
            <w:r w:rsidRPr="0051651C">
              <w:rPr>
                <w:noProof/>
                <w:webHidden/>
              </w:rPr>
            </w:r>
            <w:r w:rsidRPr="0051651C">
              <w:rPr>
                <w:noProof/>
                <w:webHidden/>
              </w:rPr>
              <w:fldChar w:fldCharType="separate"/>
            </w:r>
            <w:r w:rsidR="008C132D">
              <w:rPr>
                <w:noProof/>
                <w:webHidden/>
              </w:rPr>
              <w:t>90</w:t>
            </w:r>
            <w:r w:rsidRPr="0051651C">
              <w:rPr>
                <w:noProof/>
                <w:webHidden/>
              </w:rPr>
              <w:fldChar w:fldCharType="end"/>
            </w:r>
          </w:hyperlink>
        </w:p>
        <w:p w14:paraId="2FAA9655" w14:textId="580A35E0" w:rsidR="007E7018" w:rsidRPr="0051651C" w:rsidRDefault="007E7018" w:rsidP="007E7018">
          <w:pPr>
            <w:pStyle w:val="TOC3"/>
            <w:tabs>
              <w:tab w:val="right" w:leader="dot" w:pos="9350"/>
            </w:tabs>
            <w:spacing w:after="0" w:line="480" w:lineRule="auto"/>
            <w:rPr>
              <w:rFonts w:asciiTheme="minorHAnsi" w:eastAsiaTheme="minorEastAsia" w:hAnsiTheme="minorHAnsi"/>
              <w:noProof/>
              <w:szCs w:val="24"/>
            </w:rPr>
          </w:pPr>
          <w:hyperlink w:anchor="_Toc204282789" w:history="1">
            <w:r w:rsidRPr="0051651C">
              <w:rPr>
                <w:rStyle w:val="Hyperlink"/>
                <w:noProof/>
                <w:color w:val="auto"/>
              </w:rPr>
              <w:t>Changes in soil chemical properties</w:t>
            </w:r>
            <w:r w:rsidRPr="0051651C">
              <w:rPr>
                <w:noProof/>
                <w:webHidden/>
              </w:rPr>
              <w:tab/>
            </w:r>
            <w:r w:rsidRPr="0051651C">
              <w:rPr>
                <w:noProof/>
                <w:webHidden/>
              </w:rPr>
              <w:fldChar w:fldCharType="begin"/>
            </w:r>
            <w:r w:rsidRPr="0051651C">
              <w:rPr>
                <w:noProof/>
                <w:webHidden/>
              </w:rPr>
              <w:instrText xml:space="preserve"> PAGEREF _Toc204282789 \h </w:instrText>
            </w:r>
            <w:r w:rsidRPr="0051651C">
              <w:rPr>
                <w:noProof/>
                <w:webHidden/>
              </w:rPr>
            </w:r>
            <w:r w:rsidRPr="0051651C">
              <w:rPr>
                <w:noProof/>
                <w:webHidden/>
              </w:rPr>
              <w:fldChar w:fldCharType="separate"/>
            </w:r>
            <w:r w:rsidR="008C132D">
              <w:rPr>
                <w:noProof/>
                <w:webHidden/>
              </w:rPr>
              <w:t>91</w:t>
            </w:r>
            <w:r w:rsidRPr="0051651C">
              <w:rPr>
                <w:noProof/>
                <w:webHidden/>
              </w:rPr>
              <w:fldChar w:fldCharType="end"/>
            </w:r>
          </w:hyperlink>
        </w:p>
        <w:p w14:paraId="3E561A90" w14:textId="24F9F6D5" w:rsidR="007E7018" w:rsidRPr="0051651C" w:rsidRDefault="007E7018" w:rsidP="007E7018">
          <w:pPr>
            <w:pStyle w:val="TOC3"/>
            <w:tabs>
              <w:tab w:val="right" w:leader="dot" w:pos="9350"/>
            </w:tabs>
            <w:spacing w:after="0" w:line="480" w:lineRule="auto"/>
            <w:rPr>
              <w:rFonts w:asciiTheme="minorHAnsi" w:eastAsiaTheme="minorEastAsia" w:hAnsiTheme="minorHAnsi"/>
              <w:noProof/>
              <w:szCs w:val="24"/>
            </w:rPr>
          </w:pPr>
          <w:hyperlink w:anchor="_Toc204282790" w:history="1">
            <w:r w:rsidRPr="0051651C">
              <w:rPr>
                <w:rStyle w:val="Hyperlink"/>
                <w:noProof/>
                <w:color w:val="auto"/>
              </w:rPr>
              <w:t>Isotopomer analysis and biological processes driving hot moments</w:t>
            </w:r>
            <w:r w:rsidRPr="0051651C">
              <w:rPr>
                <w:noProof/>
                <w:webHidden/>
              </w:rPr>
              <w:tab/>
            </w:r>
            <w:r w:rsidRPr="0051651C">
              <w:rPr>
                <w:noProof/>
                <w:webHidden/>
              </w:rPr>
              <w:fldChar w:fldCharType="begin"/>
            </w:r>
            <w:r w:rsidRPr="0051651C">
              <w:rPr>
                <w:noProof/>
                <w:webHidden/>
              </w:rPr>
              <w:instrText xml:space="preserve"> PAGEREF _Toc204282790 \h </w:instrText>
            </w:r>
            <w:r w:rsidRPr="0051651C">
              <w:rPr>
                <w:noProof/>
                <w:webHidden/>
              </w:rPr>
            </w:r>
            <w:r w:rsidRPr="0051651C">
              <w:rPr>
                <w:noProof/>
                <w:webHidden/>
              </w:rPr>
              <w:fldChar w:fldCharType="separate"/>
            </w:r>
            <w:r w:rsidR="008C132D">
              <w:rPr>
                <w:noProof/>
                <w:webHidden/>
              </w:rPr>
              <w:t>94</w:t>
            </w:r>
            <w:r w:rsidRPr="0051651C">
              <w:rPr>
                <w:noProof/>
                <w:webHidden/>
              </w:rPr>
              <w:fldChar w:fldCharType="end"/>
            </w:r>
          </w:hyperlink>
        </w:p>
        <w:p w14:paraId="0845DE6F" w14:textId="34409EB8" w:rsidR="007E7018" w:rsidRPr="0051651C" w:rsidRDefault="007E7018" w:rsidP="007E7018">
          <w:pPr>
            <w:pStyle w:val="TOC3"/>
            <w:tabs>
              <w:tab w:val="right" w:leader="dot" w:pos="9350"/>
            </w:tabs>
            <w:spacing w:after="0" w:line="480" w:lineRule="auto"/>
            <w:rPr>
              <w:rFonts w:asciiTheme="minorHAnsi" w:eastAsiaTheme="minorEastAsia" w:hAnsiTheme="minorHAnsi"/>
              <w:noProof/>
              <w:szCs w:val="24"/>
            </w:rPr>
          </w:pPr>
          <w:hyperlink w:anchor="_Toc204282791" w:history="1">
            <w:r w:rsidRPr="0051651C">
              <w:rPr>
                <w:rStyle w:val="Hyperlink"/>
                <w:noProof/>
                <w:color w:val="auto"/>
              </w:rPr>
              <w:t>Effect of flooding period and soil properties on cumulative N</w:t>
            </w:r>
            <w:r w:rsidRPr="0051651C">
              <w:rPr>
                <w:rStyle w:val="Hyperlink"/>
                <w:noProof/>
                <w:color w:val="auto"/>
                <w:vertAlign w:val="subscript"/>
              </w:rPr>
              <w:t>2</w:t>
            </w:r>
            <w:r w:rsidRPr="0051651C">
              <w:rPr>
                <w:rStyle w:val="Hyperlink"/>
                <w:noProof/>
                <w:color w:val="auto"/>
              </w:rPr>
              <w:t>O flux</w:t>
            </w:r>
            <w:r w:rsidRPr="0051651C">
              <w:rPr>
                <w:noProof/>
                <w:webHidden/>
              </w:rPr>
              <w:tab/>
            </w:r>
            <w:r w:rsidRPr="0051651C">
              <w:rPr>
                <w:noProof/>
                <w:webHidden/>
              </w:rPr>
              <w:fldChar w:fldCharType="begin"/>
            </w:r>
            <w:r w:rsidRPr="0051651C">
              <w:rPr>
                <w:noProof/>
                <w:webHidden/>
              </w:rPr>
              <w:instrText xml:space="preserve"> PAGEREF _Toc204282791 \h </w:instrText>
            </w:r>
            <w:r w:rsidRPr="0051651C">
              <w:rPr>
                <w:noProof/>
                <w:webHidden/>
              </w:rPr>
            </w:r>
            <w:r w:rsidRPr="0051651C">
              <w:rPr>
                <w:noProof/>
                <w:webHidden/>
              </w:rPr>
              <w:fldChar w:fldCharType="separate"/>
            </w:r>
            <w:r w:rsidR="008C132D">
              <w:rPr>
                <w:noProof/>
                <w:webHidden/>
              </w:rPr>
              <w:t>95</w:t>
            </w:r>
            <w:r w:rsidRPr="0051651C">
              <w:rPr>
                <w:noProof/>
                <w:webHidden/>
              </w:rPr>
              <w:fldChar w:fldCharType="end"/>
            </w:r>
          </w:hyperlink>
        </w:p>
        <w:p w14:paraId="7B72ECD0" w14:textId="64511DEB" w:rsidR="007E7018" w:rsidRPr="0051651C" w:rsidRDefault="007E7018" w:rsidP="007E7018">
          <w:pPr>
            <w:pStyle w:val="TOC2"/>
            <w:tabs>
              <w:tab w:val="right" w:leader="dot" w:pos="9350"/>
            </w:tabs>
            <w:spacing w:after="0" w:line="480" w:lineRule="auto"/>
            <w:rPr>
              <w:rFonts w:asciiTheme="minorHAnsi" w:eastAsiaTheme="minorEastAsia" w:hAnsiTheme="minorHAnsi"/>
              <w:noProof/>
              <w:szCs w:val="24"/>
            </w:rPr>
          </w:pPr>
          <w:hyperlink w:anchor="_Toc204282792" w:history="1">
            <w:r w:rsidRPr="0051651C">
              <w:rPr>
                <w:rStyle w:val="Hyperlink"/>
                <w:noProof/>
                <w:color w:val="auto"/>
              </w:rPr>
              <w:t>Discussion</w:t>
            </w:r>
            <w:r w:rsidRPr="0051651C">
              <w:rPr>
                <w:noProof/>
                <w:webHidden/>
              </w:rPr>
              <w:tab/>
            </w:r>
            <w:r w:rsidRPr="0051651C">
              <w:rPr>
                <w:noProof/>
                <w:webHidden/>
              </w:rPr>
              <w:fldChar w:fldCharType="begin"/>
            </w:r>
            <w:r w:rsidRPr="0051651C">
              <w:rPr>
                <w:noProof/>
                <w:webHidden/>
              </w:rPr>
              <w:instrText xml:space="preserve"> PAGEREF _Toc204282792 \h </w:instrText>
            </w:r>
            <w:r w:rsidRPr="0051651C">
              <w:rPr>
                <w:noProof/>
                <w:webHidden/>
              </w:rPr>
            </w:r>
            <w:r w:rsidRPr="0051651C">
              <w:rPr>
                <w:noProof/>
                <w:webHidden/>
              </w:rPr>
              <w:fldChar w:fldCharType="separate"/>
            </w:r>
            <w:r w:rsidR="008C132D">
              <w:rPr>
                <w:noProof/>
                <w:webHidden/>
              </w:rPr>
              <w:t>101</w:t>
            </w:r>
            <w:r w:rsidRPr="0051651C">
              <w:rPr>
                <w:noProof/>
                <w:webHidden/>
              </w:rPr>
              <w:fldChar w:fldCharType="end"/>
            </w:r>
          </w:hyperlink>
        </w:p>
        <w:p w14:paraId="02F3D304" w14:textId="58D03E37" w:rsidR="007E7018" w:rsidRPr="0051651C" w:rsidRDefault="007E7018" w:rsidP="007E7018">
          <w:pPr>
            <w:pStyle w:val="TOC3"/>
            <w:tabs>
              <w:tab w:val="right" w:leader="dot" w:pos="9350"/>
            </w:tabs>
            <w:spacing w:after="0" w:line="480" w:lineRule="auto"/>
            <w:rPr>
              <w:rFonts w:asciiTheme="minorHAnsi" w:eastAsiaTheme="minorEastAsia" w:hAnsiTheme="minorHAnsi"/>
              <w:noProof/>
              <w:szCs w:val="24"/>
            </w:rPr>
          </w:pPr>
          <w:hyperlink w:anchor="_Toc204282793" w:history="1">
            <w:r w:rsidRPr="0051651C">
              <w:rPr>
                <w:rStyle w:val="Hyperlink"/>
                <w:noProof/>
                <w:color w:val="auto"/>
              </w:rPr>
              <w:t>Expansion of clay promoted gas diffusivity during flooding period</w:t>
            </w:r>
            <w:r w:rsidRPr="0051651C">
              <w:rPr>
                <w:noProof/>
                <w:webHidden/>
              </w:rPr>
              <w:tab/>
            </w:r>
            <w:r w:rsidRPr="0051651C">
              <w:rPr>
                <w:noProof/>
                <w:webHidden/>
              </w:rPr>
              <w:fldChar w:fldCharType="begin"/>
            </w:r>
            <w:r w:rsidRPr="0051651C">
              <w:rPr>
                <w:noProof/>
                <w:webHidden/>
              </w:rPr>
              <w:instrText xml:space="preserve"> PAGEREF _Toc204282793 \h </w:instrText>
            </w:r>
            <w:r w:rsidRPr="0051651C">
              <w:rPr>
                <w:noProof/>
                <w:webHidden/>
              </w:rPr>
            </w:r>
            <w:r w:rsidRPr="0051651C">
              <w:rPr>
                <w:noProof/>
                <w:webHidden/>
              </w:rPr>
              <w:fldChar w:fldCharType="separate"/>
            </w:r>
            <w:r w:rsidR="008C132D">
              <w:rPr>
                <w:noProof/>
                <w:webHidden/>
              </w:rPr>
              <w:t>101</w:t>
            </w:r>
            <w:r w:rsidRPr="0051651C">
              <w:rPr>
                <w:noProof/>
                <w:webHidden/>
              </w:rPr>
              <w:fldChar w:fldCharType="end"/>
            </w:r>
          </w:hyperlink>
        </w:p>
        <w:p w14:paraId="5EF2DFD9" w14:textId="3E4E1F10" w:rsidR="007E7018" w:rsidRPr="0051651C" w:rsidRDefault="007E7018" w:rsidP="007E7018">
          <w:pPr>
            <w:pStyle w:val="TOC3"/>
            <w:tabs>
              <w:tab w:val="right" w:leader="dot" w:pos="9350"/>
            </w:tabs>
            <w:spacing w:after="0" w:line="480" w:lineRule="auto"/>
            <w:rPr>
              <w:rFonts w:asciiTheme="minorHAnsi" w:eastAsiaTheme="minorEastAsia" w:hAnsiTheme="minorHAnsi"/>
              <w:noProof/>
              <w:szCs w:val="24"/>
            </w:rPr>
          </w:pPr>
          <w:hyperlink w:anchor="_Toc204282794" w:history="1">
            <w:r w:rsidRPr="0051651C">
              <w:rPr>
                <w:rStyle w:val="Hyperlink"/>
                <w:noProof/>
                <w:color w:val="auto"/>
              </w:rPr>
              <w:t>Texture impacted the timing of hot moments and underlying biological drivers</w:t>
            </w:r>
            <w:r w:rsidRPr="0051651C">
              <w:rPr>
                <w:noProof/>
                <w:webHidden/>
              </w:rPr>
              <w:tab/>
            </w:r>
            <w:r w:rsidRPr="0051651C">
              <w:rPr>
                <w:noProof/>
                <w:webHidden/>
              </w:rPr>
              <w:fldChar w:fldCharType="begin"/>
            </w:r>
            <w:r w:rsidRPr="0051651C">
              <w:rPr>
                <w:noProof/>
                <w:webHidden/>
              </w:rPr>
              <w:instrText xml:space="preserve"> PAGEREF _Toc204282794 \h </w:instrText>
            </w:r>
            <w:r w:rsidRPr="0051651C">
              <w:rPr>
                <w:noProof/>
                <w:webHidden/>
              </w:rPr>
            </w:r>
            <w:r w:rsidRPr="0051651C">
              <w:rPr>
                <w:noProof/>
                <w:webHidden/>
              </w:rPr>
              <w:fldChar w:fldCharType="separate"/>
            </w:r>
            <w:r w:rsidR="008C132D">
              <w:rPr>
                <w:noProof/>
                <w:webHidden/>
              </w:rPr>
              <w:t>102</w:t>
            </w:r>
            <w:r w:rsidRPr="0051651C">
              <w:rPr>
                <w:noProof/>
                <w:webHidden/>
              </w:rPr>
              <w:fldChar w:fldCharType="end"/>
            </w:r>
          </w:hyperlink>
        </w:p>
        <w:p w14:paraId="268265CC" w14:textId="3AF82953" w:rsidR="007E7018" w:rsidRPr="0051651C" w:rsidRDefault="007E7018" w:rsidP="007E7018">
          <w:pPr>
            <w:pStyle w:val="TOC3"/>
            <w:tabs>
              <w:tab w:val="right" w:leader="dot" w:pos="9350"/>
            </w:tabs>
            <w:spacing w:after="0" w:line="480" w:lineRule="auto"/>
            <w:rPr>
              <w:rFonts w:asciiTheme="minorHAnsi" w:eastAsiaTheme="minorEastAsia" w:hAnsiTheme="minorHAnsi"/>
              <w:noProof/>
              <w:szCs w:val="24"/>
            </w:rPr>
          </w:pPr>
          <w:hyperlink w:anchor="_Toc204282795" w:history="1">
            <w:r w:rsidRPr="0051651C">
              <w:rPr>
                <w:rStyle w:val="Hyperlink"/>
                <w:noProof/>
                <w:color w:val="auto"/>
              </w:rPr>
              <w:t>Dissolved organic carbon availability primarily drove cumulative emissions</w:t>
            </w:r>
            <w:r w:rsidRPr="0051651C">
              <w:rPr>
                <w:noProof/>
                <w:webHidden/>
              </w:rPr>
              <w:tab/>
            </w:r>
            <w:r w:rsidRPr="0051651C">
              <w:rPr>
                <w:noProof/>
                <w:webHidden/>
              </w:rPr>
              <w:fldChar w:fldCharType="begin"/>
            </w:r>
            <w:r w:rsidRPr="0051651C">
              <w:rPr>
                <w:noProof/>
                <w:webHidden/>
              </w:rPr>
              <w:instrText xml:space="preserve"> PAGEREF _Toc204282795 \h </w:instrText>
            </w:r>
            <w:r w:rsidRPr="0051651C">
              <w:rPr>
                <w:noProof/>
                <w:webHidden/>
              </w:rPr>
            </w:r>
            <w:r w:rsidRPr="0051651C">
              <w:rPr>
                <w:noProof/>
                <w:webHidden/>
              </w:rPr>
              <w:fldChar w:fldCharType="separate"/>
            </w:r>
            <w:r w:rsidR="008C132D">
              <w:rPr>
                <w:noProof/>
                <w:webHidden/>
              </w:rPr>
              <w:t>105</w:t>
            </w:r>
            <w:r w:rsidRPr="0051651C">
              <w:rPr>
                <w:noProof/>
                <w:webHidden/>
              </w:rPr>
              <w:fldChar w:fldCharType="end"/>
            </w:r>
          </w:hyperlink>
        </w:p>
        <w:p w14:paraId="7388050B" w14:textId="0CADB61A" w:rsidR="007E7018" w:rsidRPr="0051651C" w:rsidRDefault="007E7018" w:rsidP="007E7018">
          <w:pPr>
            <w:pStyle w:val="TOC3"/>
            <w:tabs>
              <w:tab w:val="right" w:leader="dot" w:pos="9350"/>
            </w:tabs>
            <w:spacing w:after="0" w:line="480" w:lineRule="auto"/>
            <w:rPr>
              <w:rFonts w:asciiTheme="minorHAnsi" w:eastAsiaTheme="minorEastAsia" w:hAnsiTheme="minorHAnsi"/>
              <w:noProof/>
              <w:szCs w:val="24"/>
            </w:rPr>
          </w:pPr>
          <w:hyperlink w:anchor="_Toc204282796" w:history="1">
            <w:r w:rsidRPr="0051651C">
              <w:rPr>
                <w:rStyle w:val="Hyperlink"/>
                <w:noProof/>
                <w:color w:val="auto"/>
              </w:rPr>
              <w:t>Flooding duration increased cumulative emissions to a limited extent</w:t>
            </w:r>
            <w:r w:rsidRPr="0051651C">
              <w:rPr>
                <w:noProof/>
                <w:webHidden/>
              </w:rPr>
              <w:tab/>
            </w:r>
            <w:r w:rsidRPr="0051651C">
              <w:rPr>
                <w:noProof/>
                <w:webHidden/>
              </w:rPr>
              <w:fldChar w:fldCharType="begin"/>
            </w:r>
            <w:r w:rsidRPr="0051651C">
              <w:rPr>
                <w:noProof/>
                <w:webHidden/>
              </w:rPr>
              <w:instrText xml:space="preserve"> PAGEREF _Toc204282796 \h </w:instrText>
            </w:r>
            <w:r w:rsidRPr="0051651C">
              <w:rPr>
                <w:noProof/>
                <w:webHidden/>
              </w:rPr>
            </w:r>
            <w:r w:rsidRPr="0051651C">
              <w:rPr>
                <w:noProof/>
                <w:webHidden/>
              </w:rPr>
              <w:fldChar w:fldCharType="separate"/>
            </w:r>
            <w:r w:rsidR="008C132D">
              <w:rPr>
                <w:noProof/>
                <w:webHidden/>
              </w:rPr>
              <w:t>105</w:t>
            </w:r>
            <w:r w:rsidRPr="0051651C">
              <w:rPr>
                <w:noProof/>
                <w:webHidden/>
              </w:rPr>
              <w:fldChar w:fldCharType="end"/>
            </w:r>
          </w:hyperlink>
        </w:p>
        <w:p w14:paraId="44367134" w14:textId="33E2D97E" w:rsidR="007E7018" w:rsidRPr="0051651C" w:rsidRDefault="007E7018" w:rsidP="007E7018">
          <w:pPr>
            <w:pStyle w:val="TOC2"/>
            <w:tabs>
              <w:tab w:val="right" w:leader="dot" w:pos="9350"/>
            </w:tabs>
            <w:spacing w:after="0" w:line="480" w:lineRule="auto"/>
            <w:rPr>
              <w:rFonts w:asciiTheme="minorHAnsi" w:eastAsiaTheme="minorEastAsia" w:hAnsiTheme="minorHAnsi"/>
              <w:noProof/>
              <w:szCs w:val="24"/>
            </w:rPr>
          </w:pPr>
          <w:hyperlink w:anchor="_Toc204282797" w:history="1">
            <w:r w:rsidRPr="0051651C">
              <w:rPr>
                <w:rStyle w:val="Hyperlink"/>
                <w:noProof/>
                <w:color w:val="auto"/>
              </w:rPr>
              <w:t>Conclusion</w:t>
            </w:r>
            <w:r w:rsidRPr="0051651C">
              <w:rPr>
                <w:noProof/>
                <w:webHidden/>
              </w:rPr>
              <w:tab/>
            </w:r>
            <w:r w:rsidRPr="0051651C">
              <w:rPr>
                <w:noProof/>
                <w:webHidden/>
              </w:rPr>
              <w:fldChar w:fldCharType="begin"/>
            </w:r>
            <w:r w:rsidRPr="0051651C">
              <w:rPr>
                <w:noProof/>
                <w:webHidden/>
              </w:rPr>
              <w:instrText xml:space="preserve"> PAGEREF _Toc204282797 \h </w:instrText>
            </w:r>
            <w:r w:rsidRPr="0051651C">
              <w:rPr>
                <w:noProof/>
                <w:webHidden/>
              </w:rPr>
            </w:r>
            <w:r w:rsidRPr="0051651C">
              <w:rPr>
                <w:noProof/>
                <w:webHidden/>
              </w:rPr>
              <w:fldChar w:fldCharType="separate"/>
            </w:r>
            <w:r w:rsidR="008C132D">
              <w:rPr>
                <w:noProof/>
                <w:webHidden/>
              </w:rPr>
              <w:t>106</w:t>
            </w:r>
            <w:r w:rsidRPr="0051651C">
              <w:rPr>
                <w:noProof/>
                <w:webHidden/>
              </w:rPr>
              <w:fldChar w:fldCharType="end"/>
            </w:r>
          </w:hyperlink>
        </w:p>
        <w:p w14:paraId="77A1BB9E" w14:textId="75A43023" w:rsidR="007E7018" w:rsidRPr="0051651C" w:rsidRDefault="007E7018" w:rsidP="007E7018">
          <w:pPr>
            <w:pStyle w:val="TOC1"/>
            <w:tabs>
              <w:tab w:val="right" w:leader="dot" w:pos="9350"/>
            </w:tabs>
            <w:spacing w:after="0" w:line="480" w:lineRule="auto"/>
            <w:rPr>
              <w:rFonts w:asciiTheme="minorHAnsi" w:eastAsiaTheme="minorEastAsia" w:hAnsiTheme="minorHAnsi"/>
              <w:noProof/>
              <w:szCs w:val="24"/>
            </w:rPr>
          </w:pPr>
          <w:hyperlink w:anchor="_Toc204282798" w:history="1">
            <w:r w:rsidRPr="0051651C">
              <w:rPr>
                <w:rStyle w:val="Hyperlink"/>
                <w:noProof/>
                <w:color w:val="auto"/>
              </w:rPr>
              <w:t>CHAPTER 5: CONCLUSION</w:t>
            </w:r>
            <w:r w:rsidRPr="0051651C">
              <w:rPr>
                <w:noProof/>
                <w:webHidden/>
              </w:rPr>
              <w:tab/>
            </w:r>
            <w:r w:rsidRPr="0051651C">
              <w:rPr>
                <w:noProof/>
                <w:webHidden/>
              </w:rPr>
              <w:fldChar w:fldCharType="begin"/>
            </w:r>
            <w:r w:rsidRPr="0051651C">
              <w:rPr>
                <w:noProof/>
                <w:webHidden/>
              </w:rPr>
              <w:instrText xml:space="preserve"> PAGEREF _Toc204282798 \h </w:instrText>
            </w:r>
            <w:r w:rsidRPr="0051651C">
              <w:rPr>
                <w:noProof/>
                <w:webHidden/>
              </w:rPr>
            </w:r>
            <w:r w:rsidRPr="0051651C">
              <w:rPr>
                <w:noProof/>
                <w:webHidden/>
              </w:rPr>
              <w:fldChar w:fldCharType="separate"/>
            </w:r>
            <w:r w:rsidR="008C132D">
              <w:rPr>
                <w:noProof/>
                <w:webHidden/>
              </w:rPr>
              <w:t>108</w:t>
            </w:r>
            <w:r w:rsidRPr="0051651C">
              <w:rPr>
                <w:noProof/>
                <w:webHidden/>
              </w:rPr>
              <w:fldChar w:fldCharType="end"/>
            </w:r>
          </w:hyperlink>
        </w:p>
        <w:p w14:paraId="12A7938A" w14:textId="04568FCA" w:rsidR="007E7018" w:rsidRPr="0051651C" w:rsidRDefault="007E7018" w:rsidP="007E7018">
          <w:pPr>
            <w:pStyle w:val="TOC1"/>
            <w:tabs>
              <w:tab w:val="right" w:leader="dot" w:pos="9350"/>
            </w:tabs>
            <w:spacing w:after="0" w:line="480" w:lineRule="auto"/>
            <w:rPr>
              <w:rFonts w:asciiTheme="minorHAnsi" w:eastAsiaTheme="minorEastAsia" w:hAnsiTheme="minorHAnsi"/>
              <w:noProof/>
              <w:szCs w:val="24"/>
            </w:rPr>
          </w:pPr>
          <w:hyperlink w:anchor="_Toc204282799" w:history="1">
            <w:r w:rsidRPr="0051651C">
              <w:rPr>
                <w:rStyle w:val="Hyperlink"/>
                <w:noProof/>
                <w:color w:val="auto"/>
              </w:rPr>
              <w:t>REFERENCES</w:t>
            </w:r>
            <w:r w:rsidRPr="0051651C">
              <w:rPr>
                <w:noProof/>
                <w:webHidden/>
              </w:rPr>
              <w:tab/>
            </w:r>
            <w:r w:rsidRPr="0051651C">
              <w:rPr>
                <w:noProof/>
                <w:webHidden/>
              </w:rPr>
              <w:fldChar w:fldCharType="begin"/>
            </w:r>
            <w:r w:rsidRPr="0051651C">
              <w:rPr>
                <w:noProof/>
                <w:webHidden/>
              </w:rPr>
              <w:instrText xml:space="preserve"> PAGEREF _Toc204282799 \h </w:instrText>
            </w:r>
            <w:r w:rsidRPr="0051651C">
              <w:rPr>
                <w:noProof/>
                <w:webHidden/>
              </w:rPr>
            </w:r>
            <w:r w:rsidRPr="0051651C">
              <w:rPr>
                <w:noProof/>
                <w:webHidden/>
              </w:rPr>
              <w:fldChar w:fldCharType="separate"/>
            </w:r>
            <w:r w:rsidR="008C132D">
              <w:rPr>
                <w:noProof/>
                <w:webHidden/>
              </w:rPr>
              <w:t>112</w:t>
            </w:r>
            <w:r w:rsidRPr="0051651C">
              <w:rPr>
                <w:noProof/>
                <w:webHidden/>
              </w:rPr>
              <w:fldChar w:fldCharType="end"/>
            </w:r>
          </w:hyperlink>
        </w:p>
        <w:p w14:paraId="41D3C16A" w14:textId="208476EB" w:rsidR="007E7018" w:rsidRPr="0051651C" w:rsidRDefault="007E7018" w:rsidP="007E7018">
          <w:pPr>
            <w:pStyle w:val="TOC1"/>
            <w:tabs>
              <w:tab w:val="right" w:leader="dot" w:pos="9350"/>
            </w:tabs>
            <w:spacing w:after="0" w:line="480" w:lineRule="auto"/>
            <w:rPr>
              <w:rFonts w:asciiTheme="minorHAnsi" w:eastAsiaTheme="minorEastAsia" w:hAnsiTheme="minorHAnsi"/>
              <w:noProof/>
              <w:szCs w:val="24"/>
            </w:rPr>
          </w:pPr>
          <w:hyperlink w:anchor="_Toc204282800" w:history="1">
            <w:r w:rsidRPr="0051651C">
              <w:rPr>
                <w:rStyle w:val="Hyperlink"/>
                <w:noProof/>
                <w:color w:val="auto"/>
              </w:rPr>
              <w:t>VITA</w:t>
            </w:r>
            <w:r w:rsidRPr="0051651C">
              <w:rPr>
                <w:noProof/>
                <w:webHidden/>
              </w:rPr>
              <w:tab/>
            </w:r>
            <w:r w:rsidRPr="0051651C">
              <w:rPr>
                <w:noProof/>
                <w:webHidden/>
              </w:rPr>
              <w:fldChar w:fldCharType="begin"/>
            </w:r>
            <w:r w:rsidRPr="0051651C">
              <w:rPr>
                <w:noProof/>
                <w:webHidden/>
              </w:rPr>
              <w:instrText xml:space="preserve"> PAGEREF _Toc204282800 \h </w:instrText>
            </w:r>
            <w:r w:rsidRPr="0051651C">
              <w:rPr>
                <w:noProof/>
                <w:webHidden/>
              </w:rPr>
            </w:r>
            <w:r w:rsidRPr="0051651C">
              <w:rPr>
                <w:noProof/>
                <w:webHidden/>
              </w:rPr>
              <w:fldChar w:fldCharType="separate"/>
            </w:r>
            <w:r w:rsidR="008C132D">
              <w:rPr>
                <w:noProof/>
                <w:webHidden/>
              </w:rPr>
              <w:t>143</w:t>
            </w:r>
            <w:r w:rsidRPr="0051651C">
              <w:rPr>
                <w:noProof/>
                <w:webHidden/>
              </w:rPr>
              <w:fldChar w:fldCharType="end"/>
            </w:r>
          </w:hyperlink>
        </w:p>
        <w:p w14:paraId="5688822A" w14:textId="73AFE6C2" w:rsidR="00B576B2" w:rsidRDefault="0050642E" w:rsidP="00B576B2">
          <w:pPr>
            <w:spacing w:after="0" w:line="480" w:lineRule="auto"/>
            <w:sectPr w:rsidR="00B576B2" w:rsidSect="008D0EA9">
              <w:pgSz w:w="12240" w:h="15840"/>
              <w:pgMar w:top="1440" w:right="1440" w:bottom="1440" w:left="1440" w:header="720" w:footer="720" w:gutter="0"/>
              <w:pgNumType w:fmt="lowerRoman"/>
              <w:cols w:space="720"/>
              <w:docGrid w:linePitch="360"/>
            </w:sectPr>
          </w:pPr>
          <w:r w:rsidRPr="0051651C">
            <w:rPr>
              <w:b/>
              <w:bCs/>
              <w:noProof/>
            </w:rPr>
            <w:fldChar w:fldCharType="end"/>
          </w:r>
        </w:p>
      </w:sdtContent>
    </w:sdt>
    <w:p w14:paraId="136F0DBF" w14:textId="77777777" w:rsidR="00B576B2" w:rsidRPr="00994531" w:rsidRDefault="00B576B2" w:rsidP="00BA6169">
      <w:pPr>
        <w:pStyle w:val="Heading1"/>
      </w:pPr>
      <w:bookmarkStart w:id="12" w:name="_Toc202172944"/>
      <w:bookmarkStart w:id="13" w:name="_Toc204263682"/>
      <w:bookmarkStart w:id="14" w:name="_Toc204270484"/>
      <w:bookmarkStart w:id="15" w:name="_Toc204282730"/>
      <w:r w:rsidRPr="00994531">
        <w:lastRenderedPageBreak/>
        <w:t>LIST OF TABLES</w:t>
      </w:r>
      <w:bookmarkEnd w:id="12"/>
      <w:bookmarkEnd w:id="13"/>
      <w:bookmarkEnd w:id="14"/>
      <w:bookmarkEnd w:id="15"/>
    </w:p>
    <w:p w14:paraId="268549E2" w14:textId="77A36527" w:rsidR="00827B75" w:rsidRDefault="00B576B2" w:rsidP="00827B75">
      <w:pPr>
        <w:pStyle w:val="TableofFigures"/>
        <w:tabs>
          <w:tab w:val="right" w:leader="dot" w:pos="9350"/>
        </w:tabs>
        <w:spacing w:line="480" w:lineRule="auto"/>
        <w:ind w:left="706" w:hanging="706"/>
        <w:rPr>
          <w:rFonts w:asciiTheme="minorHAnsi" w:eastAsiaTheme="minorEastAsia" w:hAnsiTheme="minorHAnsi"/>
          <w:noProof/>
          <w:szCs w:val="24"/>
        </w:rPr>
      </w:pPr>
      <w:r w:rsidRPr="00994531">
        <w:fldChar w:fldCharType="begin"/>
      </w:r>
      <w:r w:rsidRPr="00994531">
        <w:instrText xml:space="preserve"> TOC \c "Table" </w:instrText>
      </w:r>
      <w:r w:rsidRPr="00994531">
        <w:fldChar w:fldCharType="separate"/>
      </w:r>
      <w:r w:rsidR="00827B75" w:rsidRPr="00A31CF9">
        <w:rPr>
          <w:b/>
          <w:bCs/>
          <w:noProof/>
        </w:rPr>
        <w:t>Table 1.1</w:t>
      </w:r>
      <w:r w:rsidR="00827B75">
        <w:rPr>
          <w:noProof/>
        </w:rPr>
        <w:t>: Major soil N</w:t>
      </w:r>
      <w:r w:rsidR="00827B75" w:rsidRPr="00A31CF9">
        <w:rPr>
          <w:noProof/>
          <w:vertAlign w:val="subscript"/>
        </w:rPr>
        <w:t>2</w:t>
      </w:r>
      <w:r w:rsidR="00827B75">
        <w:rPr>
          <w:noProof/>
        </w:rPr>
        <w:t>O producing processes and their key drivers.</w:t>
      </w:r>
      <w:r w:rsidR="00827B75">
        <w:rPr>
          <w:noProof/>
        </w:rPr>
        <w:tab/>
      </w:r>
      <w:r w:rsidR="00827B75">
        <w:rPr>
          <w:noProof/>
        </w:rPr>
        <w:fldChar w:fldCharType="begin"/>
      </w:r>
      <w:r w:rsidR="00827B75">
        <w:rPr>
          <w:noProof/>
        </w:rPr>
        <w:instrText xml:space="preserve"> PAGEREF _Toc204261959 \h </w:instrText>
      </w:r>
      <w:r w:rsidR="00827B75">
        <w:rPr>
          <w:noProof/>
        </w:rPr>
      </w:r>
      <w:r w:rsidR="00827B75">
        <w:rPr>
          <w:noProof/>
        </w:rPr>
        <w:fldChar w:fldCharType="separate"/>
      </w:r>
      <w:r w:rsidR="008C132D">
        <w:rPr>
          <w:noProof/>
        </w:rPr>
        <w:t>13</w:t>
      </w:r>
      <w:r w:rsidR="00827B75">
        <w:rPr>
          <w:noProof/>
        </w:rPr>
        <w:fldChar w:fldCharType="end"/>
      </w:r>
    </w:p>
    <w:p w14:paraId="62703B84" w14:textId="287D17A8" w:rsidR="00827B75" w:rsidRDefault="00827B75" w:rsidP="00827B75">
      <w:pPr>
        <w:pStyle w:val="TableofFigures"/>
        <w:tabs>
          <w:tab w:val="right" w:leader="dot" w:pos="9350"/>
        </w:tabs>
        <w:spacing w:line="480" w:lineRule="auto"/>
        <w:ind w:left="706" w:hanging="706"/>
        <w:rPr>
          <w:rFonts w:asciiTheme="minorHAnsi" w:eastAsiaTheme="minorEastAsia" w:hAnsiTheme="minorHAnsi"/>
          <w:noProof/>
          <w:szCs w:val="24"/>
        </w:rPr>
      </w:pPr>
      <w:r w:rsidRPr="00A31CF9">
        <w:rPr>
          <w:b/>
          <w:bCs/>
          <w:noProof/>
        </w:rPr>
        <w:t>Table 2.1</w:t>
      </w:r>
      <w:r w:rsidRPr="00A31CF9">
        <w:rPr>
          <w:noProof/>
        </w:rPr>
        <w:t xml:space="preserve">: </w:t>
      </w:r>
      <w:r w:rsidRPr="00A31CF9">
        <w:rPr>
          <w:rFonts w:eastAsia="Times New Roman" w:cs="Times New Roman"/>
          <w:noProof/>
          <w:kern w:val="0"/>
          <w14:ligatures w14:val="none"/>
        </w:rPr>
        <w:t>Novel anomaly detection methods evaluated for hot moment identification categorized by the method used to quantify the “anomalousness” of points.</w:t>
      </w:r>
      <w:r>
        <w:rPr>
          <w:noProof/>
        </w:rPr>
        <w:tab/>
      </w:r>
      <w:r>
        <w:rPr>
          <w:noProof/>
        </w:rPr>
        <w:fldChar w:fldCharType="begin"/>
      </w:r>
      <w:r>
        <w:rPr>
          <w:noProof/>
        </w:rPr>
        <w:instrText xml:space="preserve"> PAGEREF _Toc204261960 \h </w:instrText>
      </w:r>
      <w:r>
        <w:rPr>
          <w:noProof/>
        </w:rPr>
      </w:r>
      <w:r>
        <w:rPr>
          <w:noProof/>
        </w:rPr>
        <w:fldChar w:fldCharType="separate"/>
      </w:r>
      <w:r w:rsidR="008C132D">
        <w:rPr>
          <w:noProof/>
        </w:rPr>
        <w:t>34</w:t>
      </w:r>
      <w:r>
        <w:rPr>
          <w:noProof/>
        </w:rPr>
        <w:fldChar w:fldCharType="end"/>
      </w:r>
    </w:p>
    <w:p w14:paraId="06A81DAF" w14:textId="690EE573" w:rsidR="00827B75" w:rsidRDefault="00827B75" w:rsidP="00827B75">
      <w:pPr>
        <w:pStyle w:val="TableofFigures"/>
        <w:tabs>
          <w:tab w:val="right" w:leader="dot" w:pos="9350"/>
        </w:tabs>
        <w:spacing w:line="480" w:lineRule="auto"/>
        <w:ind w:left="706" w:hanging="706"/>
        <w:rPr>
          <w:rFonts w:asciiTheme="minorHAnsi" w:eastAsiaTheme="minorEastAsia" w:hAnsiTheme="minorHAnsi"/>
          <w:noProof/>
          <w:szCs w:val="24"/>
        </w:rPr>
      </w:pPr>
      <w:r w:rsidRPr="00A31CF9">
        <w:rPr>
          <w:b/>
          <w:bCs/>
          <w:noProof/>
        </w:rPr>
        <w:t xml:space="preserve">Table 2.2: </w:t>
      </w:r>
      <w:r>
        <w:rPr>
          <w:noProof/>
        </w:rPr>
        <w:t xml:space="preserve">Parameters for the implementation of anomaly detection methods optimized for performance across a diverse range of datasets. All parameters used by methods which are not shown here were set to their default values in their respective pyOD </w:t>
      </w:r>
      <w:r w:rsidRPr="00A31CF9">
        <w:rPr>
          <w:rFonts w:cs="Times New Roman"/>
          <w:noProof/>
        </w:rPr>
        <w:t>(Zhao et al., 2019)</w:t>
      </w:r>
      <w:r>
        <w:rPr>
          <w:noProof/>
        </w:rPr>
        <w:t xml:space="preserve"> and pyOATS </w:t>
      </w:r>
      <w:r w:rsidRPr="00A31CF9">
        <w:rPr>
          <w:rFonts w:cs="Times New Roman"/>
          <w:noProof/>
        </w:rPr>
        <w:t>(Ye, 2024)</w:t>
      </w:r>
      <w:r>
        <w:rPr>
          <w:noProof/>
        </w:rPr>
        <w:t xml:space="preserve"> implementations.</w:t>
      </w:r>
      <w:r>
        <w:rPr>
          <w:noProof/>
        </w:rPr>
        <w:tab/>
      </w:r>
      <w:r>
        <w:rPr>
          <w:noProof/>
        </w:rPr>
        <w:fldChar w:fldCharType="begin"/>
      </w:r>
      <w:r>
        <w:rPr>
          <w:noProof/>
        </w:rPr>
        <w:instrText xml:space="preserve"> PAGEREF _Toc204261961 \h </w:instrText>
      </w:r>
      <w:r>
        <w:rPr>
          <w:noProof/>
        </w:rPr>
      </w:r>
      <w:r>
        <w:rPr>
          <w:noProof/>
        </w:rPr>
        <w:fldChar w:fldCharType="separate"/>
      </w:r>
      <w:r w:rsidR="008C132D">
        <w:rPr>
          <w:noProof/>
        </w:rPr>
        <w:t>36</w:t>
      </w:r>
      <w:r>
        <w:rPr>
          <w:noProof/>
        </w:rPr>
        <w:fldChar w:fldCharType="end"/>
      </w:r>
    </w:p>
    <w:p w14:paraId="7A87772C" w14:textId="4756DA81" w:rsidR="00827B75" w:rsidRDefault="00827B75" w:rsidP="00827B75">
      <w:pPr>
        <w:pStyle w:val="TableofFigures"/>
        <w:tabs>
          <w:tab w:val="right" w:leader="dot" w:pos="9350"/>
        </w:tabs>
        <w:spacing w:line="480" w:lineRule="auto"/>
        <w:ind w:left="706" w:hanging="706"/>
        <w:rPr>
          <w:rFonts w:asciiTheme="minorHAnsi" w:eastAsiaTheme="minorEastAsia" w:hAnsiTheme="minorHAnsi"/>
          <w:noProof/>
          <w:szCs w:val="24"/>
        </w:rPr>
      </w:pPr>
      <w:r w:rsidRPr="00A31CF9">
        <w:rPr>
          <w:rFonts w:eastAsia="Times New Roman" w:cs="Times New Roman"/>
          <w:b/>
          <w:bCs/>
          <w:noProof/>
          <w:kern w:val="0"/>
          <w14:ligatures w14:val="none"/>
        </w:rPr>
        <w:t>Table 2.3:</w:t>
      </w:r>
      <w:r w:rsidRPr="00A31CF9">
        <w:rPr>
          <w:rFonts w:eastAsia="Times New Roman" w:cs="Times New Roman"/>
          <w:noProof/>
          <w:kern w:val="0"/>
          <w14:ligatures w14:val="none"/>
        </w:rPr>
        <w:t xml:space="preserve"> Optimized method performance evaluated using a variety of metrics using the testing dataset. Matthews Correlation Coefficient (MCC) measures overall model performance across the confusion matrix (Equation 2). R</w:t>
      </w:r>
      <w:r w:rsidRPr="00A31CF9">
        <w:rPr>
          <w:rFonts w:eastAsia="Times New Roman" w:cs="Times New Roman"/>
          <w:noProof/>
          <w:kern w:val="0"/>
          <w:vertAlign w:val="superscript"/>
          <w14:ligatures w14:val="none"/>
        </w:rPr>
        <w:t>2</w:t>
      </w:r>
      <w:r w:rsidRPr="00A31CF9">
        <w:rPr>
          <w:rFonts w:eastAsia="Times New Roman" w:cs="Times New Roman"/>
          <w:noProof/>
          <w:kern w:val="0"/>
          <w14:ligatures w14:val="none"/>
        </w:rPr>
        <w:t xml:space="preserve"> and slope of the regression between method accuracy and the prevalence of hot moments and the measurement frequency are shown. Due to the sharp angular </w:t>
      </w:r>
      <w:r>
        <w:rPr>
          <w:noProof/>
        </w:rPr>
        <w:t>relationship of the accuracy of the 75</w:t>
      </w:r>
      <w:r w:rsidRPr="00A31CF9">
        <w:rPr>
          <w:noProof/>
          <w:vertAlign w:val="superscript"/>
        </w:rPr>
        <w:t>th</w:t>
      </w:r>
      <w:r>
        <w:rPr>
          <w:noProof/>
        </w:rPr>
        <w:t xml:space="preserve"> Percentile method and the hot moment prevalence, two separate linear regressions were fit and the slopes and coefficients of determination are shown: first one where the hot moment prevalence was less than 25%, and another where it was greater than or equal to 25%.</w:t>
      </w:r>
      <w:r>
        <w:rPr>
          <w:noProof/>
        </w:rPr>
        <w:tab/>
      </w:r>
      <w:r>
        <w:rPr>
          <w:noProof/>
        </w:rPr>
        <w:fldChar w:fldCharType="begin"/>
      </w:r>
      <w:r>
        <w:rPr>
          <w:noProof/>
        </w:rPr>
        <w:instrText xml:space="preserve"> PAGEREF _Toc204261962 \h </w:instrText>
      </w:r>
      <w:r>
        <w:rPr>
          <w:noProof/>
        </w:rPr>
      </w:r>
      <w:r>
        <w:rPr>
          <w:noProof/>
        </w:rPr>
        <w:fldChar w:fldCharType="separate"/>
      </w:r>
      <w:r w:rsidR="008C132D">
        <w:rPr>
          <w:noProof/>
        </w:rPr>
        <w:t>40</w:t>
      </w:r>
      <w:r>
        <w:rPr>
          <w:noProof/>
        </w:rPr>
        <w:fldChar w:fldCharType="end"/>
      </w:r>
    </w:p>
    <w:p w14:paraId="39F3C075" w14:textId="04BE6BD8" w:rsidR="00827B75" w:rsidRDefault="00827B75" w:rsidP="00827B75">
      <w:pPr>
        <w:pStyle w:val="TableofFigures"/>
        <w:tabs>
          <w:tab w:val="right" w:leader="dot" w:pos="9350"/>
        </w:tabs>
        <w:spacing w:line="480" w:lineRule="auto"/>
        <w:ind w:left="706" w:hanging="706"/>
        <w:rPr>
          <w:rFonts w:asciiTheme="minorHAnsi" w:eastAsiaTheme="minorEastAsia" w:hAnsiTheme="minorHAnsi"/>
          <w:noProof/>
          <w:szCs w:val="24"/>
        </w:rPr>
      </w:pPr>
      <w:r w:rsidRPr="00A31CF9">
        <w:rPr>
          <w:b/>
          <w:bCs/>
          <w:noProof/>
        </w:rPr>
        <w:t>Table 2.4</w:t>
      </w:r>
      <w:r w:rsidRPr="00A31CF9">
        <w:rPr>
          <w:noProof/>
        </w:rPr>
        <w:t>: Mean daily soil N</w:t>
      </w:r>
      <w:r w:rsidRPr="00A31CF9">
        <w:rPr>
          <w:noProof/>
          <w:vertAlign w:val="subscript"/>
        </w:rPr>
        <w:t>2</w:t>
      </w:r>
      <w:r w:rsidRPr="00A31CF9">
        <w:rPr>
          <w:noProof/>
        </w:rPr>
        <w:t>O flux of background emissions and hot moments emissions, as determined by context-informed labeled data, MAD, MCD, and 1.5 IQR classification methods. The mean values are associated with 95% confidence interval.</w:t>
      </w:r>
      <w:r>
        <w:rPr>
          <w:noProof/>
        </w:rPr>
        <w:tab/>
      </w:r>
      <w:r>
        <w:rPr>
          <w:noProof/>
        </w:rPr>
        <w:fldChar w:fldCharType="begin"/>
      </w:r>
      <w:r>
        <w:rPr>
          <w:noProof/>
        </w:rPr>
        <w:instrText xml:space="preserve"> PAGEREF _Toc204261963 \h </w:instrText>
      </w:r>
      <w:r>
        <w:rPr>
          <w:noProof/>
        </w:rPr>
      </w:r>
      <w:r>
        <w:rPr>
          <w:noProof/>
        </w:rPr>
        <w:fldChar w:fldCharType="separate"/>
      </w:r>
      <w:r w:rsidR="008C132D">
        <w:rPr>
          <w:noProof/>
        </w:rPr>
        <w:t>43</w:t>
      </w:r>
      <w:r>
        <w:rPr>
          <w:noProof/>
        </w:rPr>
        <w:fldChar w:fldCharType="end"/>
      </w:r>
    </w:p>
    <w:p w14:paraId="572B0A84" w14:textId="4C7ADDE6" w:rsidR="00827B75" w:rsidRDefault="00827B75" w:rsidP="00827B75">
      <w:pPr>
        <w:pStyle w:val="TableofFigures"/>
        <w:tabs>
          <w:tab w:val="right" w:leader="dot" w:pos="9350"/>
        </w:tabs>
        <w:spacing w:line="480" w:lineRule="auto"/>
        <w:ind w:left="706" w:hanging="706"/>
        <w:rPr>
          <w:rFonts w:asciiTheme="minorHAnsi" w:eastAsiaTheme="minorEastAsia" w:hAnsiTheme="minorHAnsi"/>
          <w:noProof/>
          <w:szCs w:val="24"/>
        </w:rPr>
      </w:pPr>
      <w:r w:rsidRPr="00A31CF9">
        <w:rPr>
          <w:b/>
          <w:bCs/>
          <w:noProof/>
        </w:rPr>
        <w:t>Table 2.5</w:t>
      </w:r>
      <w:r w:rsidRPr="00A31CF9">
        <w:rPr>
          <w:noProof/>
        </w:rPr>
        <w:t>: Contribution of hot moments to cumulative N</w:t>
      </w:r>
      <w:r w:rsidRPr="00A31CF9">
        <w:rPr>
          <w:noProof/>
          <w:vertAlign w:val="subscript"/>
        </w:rPr>
        <w:t>2</w:t>
      </w:r>
      <w:r w:rsidRPr="00A31CF9">
        <w:rPr>
          <w:noProof/>
        </w:rPr>
        <w:t xml:space="preserve">O flux and their relative duration as estimated by context-informed labeled data, MAD, MCD, and 1.5 IQR methods. Values are shown for the complete dataset, which overrepresents studies emphasizing spring and </w:t>
      </w:r>
      <w:r w:rsidRPr="00A31CF9">
        <w:rPr>
          <w:noProof/>
        </w:rPr>
        <w:lastRenderedPageBreak/>
        <w:t>summer months, and for a subset of the data from experiments with available year-round measurement.</w:t>
      </w:r>
      <w:r>
        <w:rPr>
          <w:noProof/>
        </w:rPr>
        <w:tab/>
      </w:r>
      <w:r>
        <w:rPr>
          <w:noProof/>
        </w:rPr>
        <w:fldChar w:fldCharType="begin"/>
      </w:r>
      <w:r>
        <w:rPr>
          <w:noProof/>
        </w:rPr>
        <w:instrText xml:space="preserve"> PAGEREF _Toc204261964 \h </w:instrText>
      </w:r>
      <w:r>
        <w:rPr>
          <w:noProof/>
        </w:rPr>
      </w:r>
      <w:r>
        <w:rPr>
          <w:noProof/>
        </w:rPr>
        <w:fldChar w:fldCharType="separate"/>
      </w:r>
      <w:r w:rsidR="008C132D">
        <w:rPr>
          <w:noProof/>
        </w:rPr>
        <w:t>44</w:t>
      </w:r>
      <w:r>
        <w:rPr>
          <w:noProof/>
        </w:rPr>
        <w:fldChar w:fldCharType="end"/>
      </w:r>
    </w:p>
    <w:p w14:paraId="293F44C5" w14:textId="27011A35" w:rsidR="00827B75" w:rsidRDefault="00827B75" w:rsidP="00827B75">
      <w:pPr>
        <w:pStyle w:val="TableofFigures"/>
        <w:tabs>
          <w:tab w:val="right" w:leader="dot" w:pos="9350"/>
        </w:tabs>
        <w:spacing w:line="480" w:lineRule="auto"/>
        <w:ind w:left="706" w:hanging="706"/>
        <w:rPr>
          <w:rFonts w:asciiTheme="minorHAnsi" w:eastAsiaTheme="minorEastAsia" w:hAnsiTheme="minorHAnsi"/>
          <w:noProof/>
          <w:szCs w:val="24"/>
        </w:rPr>
      </w:pPr>
      <w:r w:rsidRPr="00A31CF9">
        <w:rPr>
          <w:b/>
          <w:bCs/>
          <w:noProof/>
        </w:rPr>
        <w:t xml:space="preserve">Table 3.1: </w:t>
      </w:r>
      <w:r w:rsidRPr="00A31CF9">
        <w:rPr>
          <w:rFonts w:eastAsia="Calibri" w:cs="Times New Roman"/>
          <w:noProof/>
          <w:kern w:val="0"/>
          <w14:ligatures w14:val="none"/>
        </w:rPr>
        <w:t>Environmental and management drivers of N</w:t>
      </w:r>
      <w:r w:rsidRPr="00A31CF9">
        <w:rPr>
          <w:rFonts w:eastAsia="Calibri" w:cs="Times New Roman"/>
          <w:noProof/>
          <w:kern w:val="0"/>
          <w:vertAlign w:val="subscript"/>
          <w14:ligatures w14:val="none"/>
        </w:rPr>
        <w:t>2</w:t>
      </w:r>
      <w:r w:rsidRPr="00A31CF9">
        <w:rPr>
          <w:rFonts w:eastAsia="Calibri" w:cs="Times New Roman"/>
          <w:noProof/>
          <w:kern w:val="0"/>
          <w14:ligatures w14:val="none"/>
        </w:rPr>
        <w:t>O hot moments and their representation in our ML models.</w:t>
      </w:r>
      <w:r>
        <w:rPr>
          <w:noProof/>
        </w:rPr>
        <w:tab/>
      </w:r>
      <w:r>
        <w:rPr>
          <w:noProof/>
        </w:rPr>
        <w:fldChar w:fldCharType="begin"/>
      </w:r>
      <w:r>
        <w:rPr>
          <w:noProof/>
        </w:rPr>
        <w:instrText xml:space="preserve"> PAGEREF _Toc204261965 \h </w:instrText>
      </w:r>
      <w:r>
        <w:rPr>
          <w:noProof/>
        </w:rPr>
      </w:r>
      <w:r>
        <w:rPr>
          <w:noProof/>
        </w:rPr>
        <w:fldChar w:fldCharType="separate"/>
      </w:r>
      <w:r w:rsidR="008C132D">
        <w:rPr>
          <w:noProof/>
        </w:rPr>
        <w:t>60</w:t>
      </w:r>
      <w:r>
        <w:rPr>
          <w:noProof/>
        </w:rPr>
        <w:fldChar w:fldCharType="end"/>
      </w:r>
    </w:p>
    <w:p w14:paraId="7B3DF2BC" w14:textId="5D2E9AA2" w:rsidR="00827B75" w:rsidRDefault="00827B75" w:rsidP="00827B75">
      <w:pPr>
        <w:pStyle w:val="TableofFigures"/>
        <w:tabs>
          <w:tab w:val="right" w:leader="dot" w:pos="9350"/>
        </w:tabs>
        <w:spacing w:line="480" w:lineRule="auto"/>
        <w:ind w:left="706" w:hanging="706"/>
        <w:rPr>
          <w:rFonts w:asciiTheme="minorHAnsi" w:eastAsiaTheme="minorEastAsia" w:hAnsiTheme="minorHAnsi"/>
          <w:noProof/>
          <w:szCs w:val="24"/>
        </w:rPr>
      </w:pPr>
      <w:r w:rsidRPr="00A31CF9">
        <w:rPr>
          <w:b/>
          <w:bCs/>
          <w:noProof/>
        </w:rPr>
        <w:t>Table 3.2</w:t>
      </w:r>
      <w:r w:rsidRPr="00A31CF9">
        <w:rPr>
          <w:rFonts w:eastAsia="Calibri" w:cs="Times New Roman"/>
          <w:noProof/>
          <w:kern w:val="0"/>
          <w14:ligatures w14:val="none"/>
        </w:rPr>
        <w:t>: Matthews Correlation Coefficient assesses the overall predictive power of 20 hot moment prediction models which varied by ML architecture and the method of classifying N</w:t>
      </w:r>
      <w:r w:rsidRPr="00A31CF9">
        <w:rPr>
          <w:rFonts w:eastAsia="Calibri" w:cs="Times New Roman"/>
          <w:noProof/>
          <w:kern w:val="0"/>
          <w:vertAlign w:val="subscript"/>
          <w14:ligatures w14:val="none"/>
        </w:rPr>
        <w:t>2</w:t>
      </w:r>
      <w:r w:rsidRPr="00A31CF9">
        <w:rPr>
          <w:rFonts w:eastAsia="Calibri" w:cs="Times New Roman"/>
          <w:noProof/>
          <w:kern w:val="0"/>
          <w14:ligatures w14:val="none"/>
        </w:rPr>
        <w:t>O fluxes as hot moments and background emissions in training data. Average MCC of models grouped by architecture and labeling method are also given.</w:t>
      </w:r>
      <w:r>
        <w:rPr>
          <w:noProof/>
        </w:rPr>
        <w:tab/>
      </w:r>
      <w:r>
        <w:rPr>
          <w:noProof/>
        </w:rPr>
        <w:fldChar w:fldCharType="begin"/>
      </w:r>
      <w:r>
        <w:rPr>
          <w:noProof/>
        </w:rPr>
        <w:instrText xml:space="preserve"> PAGEREF _Toc204261966 \h </w:instrText>
      </w:r>
      <w:r>
        <w:rPr>
          <w:noProof/>
        </w:rPr>
      </w:r>
      <w:r>
        <w:rPr>
          <w:noProof/>
        </w:rPr>
        <w:fldChar w:fldCharType="separate"/>
      </w:r>
      <w:r w:rsidR="008C132D">
        <w:rPr>
          <w:noProof/>
        </w:rPr>
        <w:t>67</w:t>
      </w:r>
      <w:r>
        <w:rPr>
          <w:noProof/>
        </w:rPr>
        <w:fldChar w:fldCharType="end"/>
      </w:r>
    </w:p>
    <w:p w14:paraId="129606D8" w14:textId="71B86174" w:rsidR="00827B75" w:rsidRDefault="00827B75" w:rsidP="00827B75">
      <w:pPr>
        <w:pStyle w:val="TableofFigures"/>
        <w:tabs>
          <w:tab w:val="right" w:leader="dot" w:pos="9350"/>
        </w:tabs>
        <w:spacing w:line="480" w:lineRule="auto"/>
        <w:ind w:left="706" w:hanging="706"/>
        <w:rPr>
          <w:rFonts w:asciiTheme="minorHAnsi" w:eastAsiaTheme="minorEastAsia" w:hAnsiTheme="minorHAnsi"/>
          <w:noProof/>
          <w:szCs w:val="24"/>
        </w:rPr>
      </w:pPr>
      <w:r w:rsidRPr="00A31CF9">
        <w:rPr>
          <w:b/>
          <w:bCs/>
          <w:noProof/>
        </w:rPr>
        <w:t>Table 4.1</w:t>
      </w:r>
      <w:r>
        <w:rPr>
          <w:noProof/>
        </w:rPr>
        <w:t>: Soil physical and chemical properties.</w:t>
      </w:r>
      <w:r>
        <w:rPr>
          <w:noProof/>
        </w:rPr>
        <w:tab/>
      </w:r>
      <w:r>
        <w:rPr>
          <w:noProof/>
        </w:rPr>
        <w:fldChar w:fldCharType="begin"/>
      </w:r>
      <w:r>
        <w:rPr>
          <w:noProof/>
        </w:rPr>
        <w:instrText xml:space="preserve"> PAGEREF _Toc204261967 \h </w:instrText>
      </w:r>
      <w:r>
        <w:rPr>
          <w:noProof/>
        </w:rPr>
      </w:r>
      <w:r>
        <w:rPr>
          <w:noProof/>
        </w:rPr>
        <w:fldChar w:fldCharType="separate"/>
      </w:r>
      <w:r w:rsidR="008C132D">
        <w:rPr>
          <w:noProof/>
        </w:rPr>
        <w:t>84</w:t>
      </w:r>
      <w:r>
        <w:rPr>
          <w:noProof/>
        </w:rPr>
        <w:fldChar w:fldCharType="end"/>
      </w:r>
    </w:p>
    <w:p w14:paraId="2091395A" w14:textId="3D8721F2" w:rsidR="00827B75" w:rsidRDefault="00827B75" w:rsidP="00827B75">
      <w:pPr>
        <w:pStyle w:val="TableofFigures"/>
        <w:tabs>
          <w:tab w:val="right" w:leader="dot" w:pos="9350"/>
        </w:tabs>
        <w:spacing w:line="480" w:lineRule="auto"/>
        <w:ind w:left="706" w:hanging="706"/>
        <w:rPr>
          <w:rFonts w:asciiTheme="minorHAnsi" w:eastAsiaTheme="minorEastAsia" w:hAnsiTheme="minorHAnsi"/>
          <w:noProof/>
          <w:szCs w:val="24"/>
        </w:rPr>
      </w:pPr>
      <w:r w:rsidRPr="00A31CF9">
        <w:rPr>
          <w:b/>
          <w:bCs/>
          <w:noProof/>
        </w:rPr>
        <w:t>Table 4.2</w:t>
      </w:r>
      <w:r w:rsidRPr="00A31CF9">
        <w:rPr>
          <w:noProof/>
        </w:rPr>
        <w:t xml:space="preserve">: Isotopomer analysis of gases sampled during periods of elevated emissions. Site preference (SP) of </w:t>
      </w:r>
      <w:r w:rsidRPr="00A31CF9">
        <w:rPr>
          <w:noProof/>
          <w:vertAlign w:val="superscript"/>
        </w:rPr>
        <w:t>15</w:t>
      </w:r>
      <w:r w:rsidRPr="00A31CF9">
        <w:rPr>
          <w:noProof/>
        </w:rPr>
        <w:t>N and relative contributions of bacterial denitrification (ƒ</w:t>
      </w:r>
      <w:r w:rsidRPr="00A31CF9">
        <w:rPr>
          <w:noProof/>
          <w:vertAlign w:val="subscript"/>
        </w:rPr>
        <w:t>D</w:t>
      </w:r>
      <w:r w:rsidRPr="00A31CF9">
        <w:rPr>
          <w:noProof/>
        </w:rPr>
        <w:t>) and nitrification/fungal denitrification (ƒ</w:t>
      </w:r>
      <w:r w:rsidRPr="00A31CF9">
        <w:rPr>
          <w:noProof/>
          <w:vertAlign w:val="subscript"/>
        </w:rPr>
        <w:t>N + FD</w:t>
      </w:r>
      <w:r w:rsidRPr="00A31CF9">
        <w:rPr>
          <w:noProof/>
        </w:rPr>
        <w:t>) and their standard deviations across soil textures are given. Depending on texture and flooding treatment, elevated emissions coincided with isotopomer gas sampling 24 hours after first allowing flooded soils to dry (After Flooding) or at some point during the maintenance of the flooding period (During Flooding).</w:t>
      </w:r>
      <w:r>
        <w:rPr>
          <w:noProof/>
        </w:rPr>
        <w:tab/>
      </w:r>
      <w:r>
        <w:rPr>
          <w:noProof/>
        </w:rPr>
        <w:fldChar w:fldCharType="begin"/>
      </w:r>
      <w:r>
        <w:rPr>
          <w:noProof/>
        </w:rPr>
        <w:instrText xml:space="preserve"> PAGEREF _Toc204261968 \h </w:instrText>
      </w:r>
      <w:r>
        <w:rPr>
          <w:noProof/>
        </w:rPr>
      </w:r>
      <w:r>
        <w:rPr>
          <w:noProof/>
        </w:rPr>
        <w:fldChar w:fldCharType="separate"/>
      </w:r>
      <w:r w:rsidR="008C132D">
        <w:rPr>
          <w:noProof/>
        </w:rPr>
        <w:t>96</w:t>
      </w:r>
      <w:r>
        <w:rPr>
          <w:noProof/>
        </w:rPr>
        <w:fldChar w:fldCharType="end"/>
      </w:r>
    </w:p>
    <w:p w14:paraId="7E5203F7" w14:textId="7497B462" w:rsidR="00827B75" w:rsidRDefault="00827B75" w:rsidP="00827B75">
      <w:pPr>
        <w:pStyle w:val="TableofFigures"/>
        <w:tabs>
          <w:tab w:val="right" w:leader="dot" w:pos="9350"/>
        </w:tabs>
        <w:spacing w:line="480" w:lineRule="auto"/>
        <w:ind w:left="706" w:hanging="706"/>
        <w:rPr>
          <w:rFonts w:asciiTheme="minorHAnsi" w:eastAsiaTheme="minorEastAsia" w:hAnsiTheme="minorHAnsi"/>
          <w:noProof/>
          <w:szCs w:val="24"/>
        </w:rPr>
      </w:pPr>
      <w:r w:rsidRPr="00A31CF9">
        <w:rPr>
          <w:b/>
          <w:bCs/>
          <w:noProof/>
        </w:rPr>
        <w:t>Table 4.3</w:t>
      </w:r>
      <w:r>
        <w:rPr>
          <w:noProof/>
        </w:rPr>
        <w:t>: Ordinary least squares multiple linear regression of cumulative N</w:t>
      </w:r>
      <w:r w:rsidRPr="00A31CF9">
        <w:rPr>
          <w:noProof/>
          <w:vertAlign w:val="subscript"/>
        </w:rPr>
        <w:t>2</w:t>
      </w:r>
      <w:r>
        <w:rPr>
          <w:noProof/>
        </w:rPr>
        <w:t>O flux.</w:t>
      </w:r>
      <w:r>
        <w:rPr>
          <w:noProof/>
        </w:rPr>
        <w:tab/>
      </w:r>
      <w:r>
        <w:rPr>
          <w:noProof/>
        </w:rPr>
        <w:fldChar w:fldCharType="begin"/>
      </w:r>
      <w:r>
        <w:rPr>
          <w:noProof/>
        </w:rPr>
        <w:instrText xml:space="preserve"> PAGEREF _Toc204261969 \h </w:instrText>
      </w:r>
      <w:r>
        <w:rPr>
          <w:noProof/>
        </w:rPr>
      </w:r>
      <w:r>
        <w:rPr>
          <w:noProof/>
        </w:rPr>
        <w:fldChar w:fldCharType="separate"/>
      </w:r>
      <w:r w:rsidR="008C132D">
        <w:rPr>
          <w:noProof/>
        </w:rPr>
        <w:t>99</w:t>
      </w:r>
      <w:r>
        <w:rPr>
          <w:noProof/>
        </w:rPr>
        <w:fldChar w:fldCharType="end"/>
      </w:r>
    </w:p>
    <w:p w14:paraId="0957CD39" w14:textId="2B6F0581" w:rsidR="00E65AD8" w:rsidRPr="00994531" w:rsidRDefault="00B576B2" w:rsidP="00827B75">
      <w:pPr>
        <w:spacing w:after="0" w:line="480" w:lineRule="auto"/>
        <w:ind w:left="706" w:hanging="706"/>
        <w:sectPr w:rsidR="00E65AD8" w:rsidRPr="00994531" w:rsidSect="008D0EA9">
          <w:pgSz w:w="12240" w:h="15840"/>
          <w:pgMar w:top="1440" w:right="1440" w:bottom="1440" w:left="1440" w:header="720" w:footer="720" w:gutter="0"/>
          <w:pgNumType w:fmt="lowerRoman"/>
          <w:cols w:space="720"/>
          <w:docGrid w:linePitch="360"/>
        </w:sectPr>
      </w:pPr>
      <w:r w:rsidRPr="00994531">
        <w:fldChar w:fldCharType="end"/>
      </w:r>
      <w:r w:rsidR="007C42D2" w:rsidRPr="00994531">
        <w:br w:type="page"/>
      </w:r>
    </w:p>
    <w:p w14:paraId="60D197F9" w14:textId="1CD08F15" w:rsidR="000B5129" w:rsidRPr="00994531" w:rsidRDefault="000B5129" w:rsidP="00BA6169">
      <w:pPr>
        <w:pStyle w:val="Heading1"/>
      </w:pPr>
      <w:bookmarkStart w:id="16" w:name="_Toc202172943"/>
      <w:bookmarkStart w:id="17" w:name="_Toc204263683"/>
      <w:bookmarkStart w:id="18" w:name="_Toc204270485"/>
      <w:bookmarkStart w:id="19" w:name="_Toc204282731"/>
      <w:r w:rsidRPr="00994531">
        <w:lastRenderedPageBreak/>
        <w:t>LIST OF FIGURES</w:t>
      </w:r>
      <w:bookmarkEnd w:id="16"/>
      <w:bookmarkEnd w:id="17"/>
      <w:bookmarkEnd w:id="18"/>
      <w:bookmarkEnd w:id="19"/>
    </w:p>
    <w:p w14:paraId="1F282F09" w14:textId="63B0E023" w:rsidR="008200C8" w:rsidRDefault="00E65AD8" w:rsidP="00AF6078">
      <w:pPr>
        <w:pStyle w:val="TableofFigures"/>
        <w:tabs>
          <w:tab w:val="right" w:leader="dot" w:pos="9350"/>
        </w:tabs>
        <w:spacing w:line="480" w:lineRule="auto"/>
        <w:ind w:left="720" w:hanging="706"/>
        <w:rPr>
          <w:rFonts w:asciiTheme="minorHAnsi" w:eastAsiaTheme="minorEastAsia" w:hAnsiTheme="minorHAnsi"/>
          <w:noProof/>
          <w:szCs w:val="24"/>
        </w:rPr>
      </w:pPr>
      <w:r w:rsidRPr="00994531">
        <w:fldChar w:fldCharType="begin"/>
      </w:r>
      <w:r w:rsidRPr="00994531">
        <w:instrText xml:space="preserve"> TOC \c "Figure" </w:instrText>
      </w:r>
      <w:r w:rsidRPr="00994531">
        <w:fldChar w:fldCharType="separate"/>
      </w:r>
      <w:r w:rsidR="008200C8" w:rsidRPr="00EF68E7">
        <w:rPr>
          <w:b/>
          <w:bCs/>
          <w:noProof/>
        </w:rPr>
        <w:t>Figure 1.1</w:t>
      </w:r>
      <w:r w:rsidR="008200C8">
        <w:rPr>
          <w:noProof/>
        </w:rPr>
        <w:t>: Types of outliers. A) global outliers occur where data points deviate significantly from the distribution or behavior of the data set; B) collective outliers are groups of points which when considered together are anomalous, but not individually; C) contextual outliers are anomalous due to their position in relation to the neighbors</w:t>
      </w:r>
      <w:r w:rsidR="008200C8">
        <w:rPr>
          <w:noProof/>
        </w:rPr>
        <w:tab/>
      </w:r>
      <w:r w:rsidR="008200C8">
        <w:rPr>
          <w:noProof/>
        </w:rPr>
        <w:fldChar w:fldCharType="begin"/>
      </w:r>
      <w:r w:rsidR="008200C8">
        <w:rPr>
          <w:noProof/>
        </w:rPr>
        <w:instrText xml:space="preserve"> PAGEREF _Toc204263351 \h </w:instrText>
      </w:r>
      <w:r w:rsidR="008200C8">
        <w:rPr>
          <w:noProof/>
        </w:rPr>
      </w:r>
      <w:r w:rsidR="008200C8">
        <w:rPr>
          <w:noProof/>
        </w:rPr>
        <w:fldChar w:fldCharType="separate"/>
      </w:r>
      <w:r w:rsidR="008C132D">
        <w:rPr>
          <w:noProof/>
        </w:rPr>
        <w:t>20</w:t>
      </w:r>
      <w:r w:rsidR="008200C8">
        <w:rPr>
          <w:noProof/>
        </w:rPr>
        <w:fldChar w:fldCharType="end"/>
      </w:r>
    </w:p>
    <w:p w14:paraId="63A13386" w14:textId="1B6232D0" w:rsidR="008200C8" w:rsidRDefault="008200C8" w:rsidP="00AF6078">
      <w:pPr>
        <w:pStyle w:val="TableofFigures"/>
        <w:tabs>
          <w:tab w:val="right" w:leader="dot" w:pos="9350"/>
        </w:tabs>
        <w:spacing w:line="480" w:lineRule="auto"/>
        <w:ind w:left="720" w:hanging="706"/>
        <w:rPr>
          <w:rFonts w:asciiTheme="minorHAnsi" w:eastAsiaTheme="minorEastAsia" w:hAnsiTheme="minorHAnsi"/>
          <w:noProof/>
          <w:szCs w:val="24"/>
        </w:rPr>
      </w:pPr>
      <w:r w:rsidRPr="00EF68E7">
        <w:rPr>
          <w:b/>
          <w:bCs/>
          <w:noProof/>
        </w:rPr>
        <w:t>Figure 2.1</w:t>
      </w:r>
      <w:r w:rsidRPr="00EF68E7">
        <w:rPr>
          <w:noProof/>
        </w:rPr>
        <w:t>: Schematic diagram of data collection process from published work and preprocessing steps.</w:t>
      </w:r>
      <w:r>
        <w:rPr>
          <w:noProof/>
        </w:rPr>
        <w:tab/>
      </w:r>
      <w:r>
        <w:rPr>
          <w:noProof/>
        </w:rPr>
        <w:fldChar w:fldCharType="begin"/>
      </w:r>
      <w:r>
        <w:rPr>
          <w:noProof/>
        </w:rPr>
        <w:instrText xml:space="preserve"> PAGEREF _Toc204263352 \h </w:instrText>
      </w:r>
      <w:r>
        <w:rPr>
          <w:noProof/>
        </w:rPr>
      </w:r>
      <w:r>
        <w:rPr>
          <w:noProof/>
        </w:rPr>
        <w:fldChar w:fldCharType="separate"/>
      </w:r>
      <w:r w:rsidR="008C132D">
        <w:rPr>
          <w:noProof/>
        </w:rPr>
        <w:t>28</w:t>
      </w:r>
      <w:r>
        <w:rPr>
          <w:noProof/>
        </w:rPr>
        <w:fldChar w:fldCharType="end"/>
      </w:r>
    </w:p>
    <w:p w14:paraId="3A4291EB" w14:textId="4BB3C3F1" w:rsidR="008200C8" w:rsidRDefault="008200C8" w:rsidP="00AF6078">
      <w:pPr>
        <w:pStyle w:val="TableofFigures"/>
        <w:tabs>
          <w:tab w:val="right" w:leader="dot" w:pos="9350"/>
        </w:tabs>
        <w:spacing w:line="480" w:lineRule="auto"/>
        <w:ind w:left="720" w:hanging="706"/>
        <w:rPr>
          <w:rFonts w:asciiTheme="minorHAnsi" w:eastAsiaTheme="minorEastAsia" w:hAnsiTheme="minorHAnsi"/>
          <w:noProof/>
          <w:szCs w:val="24"/>
        </w:rPr>
      </w:pPr>
      <w:r w:rsidRPr="00EF68E7">
        <w:rPr>
          <w:b/>
          <w:bCs/>
          <w:noProof/>
        </w:rPr>
        <w:t>Figure 2.2</w:t>
      </w:r>
      <w:r w:rsidRPr="00EF68E7">
        <w:rPr>
          <w:noProof/>
        </w:rPr>
        <w:t>: Distribution of experimental sites and the primary crops grown at each site across the globe. Many sites performed multiple treatments or experiments using multiple crops. The numbers of time series data for each primary crop includes: 89 Zea mays, 18 Glycine max, 14 grassland, 9 Lolium perenne, 8 Hordeum vulgare, 4 Medicago sativa, 4 Panicum virgatum, 4 fallow, and 20 other various upland crops.</w:t>
      </w:r>
      <w:r>
        <w:rPr>
          <w:noProof/>
        </w:rPr>
        <w:tab/>
      </w:r>
      <w:r>
        <w:rPr>
          <w:noProof/>
        </w:rPr>
        <w:fldChar w:fldCharType="begin"/>
      </w:r>
      <w:r>
        <w:rPr>
          <w:noProof/>
        </w:rPr>
        <w:instrText xml:space="preserve"> PAGEREF _Toc204263353 \h </w:instrText>
      </w:r>
      <w:r>
        <w:rPr>
          <w:noProof/>
        </w:rPr>
      </w:r>
      <w:r>
        <w:rPr>
          <w:noProof/>
        </w:rPr>
        <w:fldChar w:fldCharType="separate"/>
      </w:r>
      <w:r w:rsidR="008C132D">
        <w:rPr>
          <w:noProof/>
        </w:rPr>
        <w:t>30</w:t>
      </w:r>
      <w:r>
        <w:rPr>
          <w:noProof/>
        </w:rPr>
        <w:fldChar w:fldCharType="end"/>
      </w:r>
    </w:p>
    <w:p w14:paraId="26E4AFFA" w14:textId="6323B596" w:rsidR="008200C8" w:rsidRDefault="008200C8" w:rsidP="00AF6078">
      <w:pPr>
        <w:pStyle w:val="TableofFigures"/>
        <w:tabs>
          <w:tab w:val="right" w:leader="dot" w:pos="9350"/>
        </w:tabs>
        <w:spacing w:line="480" w:lineRule="auto"/>
        <w:ind w:left="720" w:hanging="706"/>
        <w:rPr>
          <w:rFonts w:asciiTheme="minorHAnsi" w:eastAsiaTheme="minorEastAsia" w:hAnsiTheme="minorHAnsi"/>
          <w:noProof/>
          <w:szCs w:val="24"/>
        </w:rPr>
      </w:pPr>
      <w:r w:rsidRPr="00EF68E7">
        <w:rPr>
          <w:b/>
          <w:bCs/>
          <w:noProof/>
        </w:rPr>
        <w:t>Figure 2.3</w:t>
      </w:r>
      <w:r w:rsidRPr="00EF68E7">
        <w:rPr>
          <w:noProof/>
        </w:rPr>
        <w:t>:</w:t>
      </w:r>
      <w:r w:rsidRPr="00EF68E7">
        <w:rPr>
          <w:rFonts w:eastAsia="Times New Roman" w:cs="Times New Roman"/>
          <w:noProof/>
          <w:kern w:val="0"/>
          <w14:ligatures w14:val="none"/>
        </w:rPr>
        <w:t xml:space="preserve"> (a) Soil texture observed across the experimental sites, with frequent representation of loam, silt loam, clay loam, and silty clay loam soils (left panel). (b) Rate and nitrogen form used in fertilization events which occurred following experiment commencement (right panel). Diversity of fertilizer types is represented, including urea, urea ammonium nitrate (UAN), environmentally enhanced nitrogen (EEN), ammonium sulfate (AS), ammonium nitrate (AN), ammonium phosphate (AP), anhydrous ammonia (AA), livestock urine, manure, and other unreported fertilizer forms.</w:t>
      </w:r>
      <w:r>
        <w:rPr>
          <w:noProof/>
        </w:rPr>
        <w:tab/>
      </w:r>
      <w:r>
        <w:rPr>
          <w:noProof/>
        </w:rPr>
        <w:fldChar w:fldCharType="begin"/>
      </w:r>
      <w:r>
        <w:rPr>
          <w:noProof/>
        </w:rPr>
        <w:instrText xml:space="preserve"> PAGEREF _Toc204263354 \h </w:instrText>
      </w:r>
      <w:r>
        <w:rPr>
          <w:noProof/>
        </w:rPr>
      </w:r>
      <w:r>
        <w:rPr>
          <w:noProof/>
        </w:rPr>
        <w:fldChar w:fldCharType="separate"/>
      </w:r>
      <w:r w:rsidR="008C132D">
        <w:rPr>
          <w:noProof/>
        </w:rPr>
        <w:t>30</w:t>
      </w:r>
      <w:r>
        <w:rPr>
          <w:noProof/>
        </w:rPr>
        <w:fldChar w:fldCharType="end"/>
      </w:r>
    </w:p>
    <w:p w14:paraId="2E3FC7DD" w14:textId="7780C7F9" w:rsidR="008200C8" w:rsidRDefault="008200C8" w:rsidP="00AF6078">
      <w:pPr>
        <w:pStyle w:val="TableofFigures"/>
        <w:tabs>
          <w:tab w:val="right" w:leader="dot" w:pos="9350"/>
        </w:tabs>
        <w:spacing w:line="480" w:lineRule="auto"/>
        <w:ind w:left="720" w:hanging="706"/>
        <w:rPr>
          <w:rFonts w:asciiTheme="minorHAnsi" w:eastAsiaTheme="minorEastAsia" w:hAnsiTheme="minorHAnsi"/>
          <w:noProof/>
          <w:szCs w:val="24"/>
        </w:rPr>
      </w:pPr>
      <w:r w:rsidRPr="00EF68E7">
        <w:rPr>
          <w:b/>
          <w:bCs/>
          <w:noProof/>
        </w:rPr>
        <w:t>Figure 2.4</w:t>
      </w:r>
      <w:r w:rsidRPr="00EF68E7">
        <w:rPr>
          <w:noProof/>
        </w:rPr>
        <w:t xml:space="preserve">: </w:t>
      </w:r>
      <w:r w:rsidRPr="00EF68E7">
        <w:rPr>
          <w:rFonts w:eastAsia="Times New Roman" w:cs="Times New Roman"/>
          <w:noProof/>
          <w:kern w:val="0"/>
          <w14:ligatures w14:val="none"/>
        </w:rPr>
        <w:t>Distribution of daily average N</w:t>
      </w:r>
      <w:r w:rsidRPr="00EF68E7">
        <w:rPr>
          <w:rFonts w:eastAsia="Times New Roman" w:cs="Times New Roman"/>
          <w:noProof/>
          <w:kern w:val="0"/>
          <w:vertAlign w:val="subscript"/>
          <w14:ligatures w14:val="none"/>
        </w:rPr>
        <w:t>2</w:t>
      </w:r>
      <w:r w:rsidRPr="00EF68E7">
        <w:rPr>
          <w:rFonts w:eastAsia="Times New Roman" w:cs="Times New Roman"/>
          <w:noProof/>
          <w:kern w:val="0"/>
          <w14:ligatures w14:val="none"/>
        </w:rPr>
        <w:t>O flux magnitudes across the entire dataset. Bin width is 100 g N ha</w:t>
      </w:r>
      <w:r w:rsidRPr="00EF68E7">
        <w:rPr>
          <w:rFonts w:eastAsia="Times New Roman" w:cs="Times New Roman"/>
          <w:noProof/>
          <w:kern w:val="0"/>
          <w:vertAlign w:val="superscript"/>
          <w14:ligatures w14:val="none"/>
        </w:rPr>
        <w:t>-1</w:t>
      </w:r>
      <w:r w:rsidRPr="00EF68E7">
        <w:rPr>
          <w:rFonts w:eastAsia="Times New Roman" w:cs="Times New Roman"/>
          <w:noProof/>
          <w:kern w:val="0"/>
          <w14:ligatures w14:val="none"/>
        </w:rPr>
        <w:t xml:space="preserve"> d</w:t>
      </w:r>
      <w:r w:rsidRPr="00EF68E7">
        <w:rPr>
          <w:rFonts w:eastAsia="Times New Roman" w:cs="Times New Roman"/>
          <w:noProof/>
          <w:kern w:val="0"/>
          <w:vertAlign w:val="superscript"/>
          <w14:ligatures w14:val="none"/>
        </w:rPr>
        <w:t>-1</w:t>
      </w:r>
      <w:r w:rsidRPr="00EF68E7">
        <w:rPr>
          <w:rFonts w:eastAsia="Times New Roman" w:cs="Times New Roman"/>
          <w:noProof/>
          <w:kern w:val="0"/>
          <w14:ligatures w14:val="none"/>
        </w:rPr>
        <w:t>. Flux values near zero were orders of magnitude more common than higher flux values, and flux values become rarer with increasing magnitude up to 1500 g N ha</w:t>
      </w:r>
      <w:r w:rsidRPr="00EF68E7">
        <w:rPr>
          <w:rFonts w:eastAsia="Times New Roman" w:cs="Times New Roman"/>
          <w:noProof/>
          <w:kern w:val="0"/>
          <w:vertAlign w:val="superscript"/>
          <w14:ligatures w14:val="none"/>
        </w:rPr>
        <w:t>-1</w:t>
      </w:r>
      <w:r w:rsidRPr="00EF68E7">
        <w:rPr>
          <w:rFonts w:eastAsia="Times New Roman" w:cs="Times New Roman"/>
          <w:noProof/>
          <w:kern w:val="0"/>
          <w14:ligatures w14:val="none"/>
        </w:rPr>
        <w:t xml:space="preserve"> d</w:t>
      </w:r>
      <w:r w:rsidRPr="00EF68E7">
        <w:rPr>
          <w:rFonts w:eastAsia="Times New Roman" w:cs="Times New Roman"/>
          <w:noProof/>
          <w:kern w:val="0"/>
          <w:vertAlign w:val="superscript"/>
          <w14:ligatures w14:val="none"/>
        </w:rPr>
        <w:t>-1</w:t>
      </w:r>
      <w:r w:rsidRPr="00EF68E7">
        <w:rPr>
          <w:rFonts w:eastAsia="Times New Roman" w:cs="Times New Roman"/>
          <w:noProof/>
          <w:kern w:val="0"/>
          <w14:ligatures w14:val="none"/>
        </w:rPr>
        <w:t>.</w:t>
      </w:r>
      <w:r>
        <w:rPr>
          <w:noProof/>
        </w:rPr>
        <w:tab/>
      </w:r>
      <w:r>
        <w:rPr>
          <w:noProof/>
        </w:rPr>
        <w:fldChar w:fldCharType="begin"/>
      </w:r>
      <w:r>
        <w:rPr>
          <w:noProof/>
        </w:rPr>
        <w:instrText xml:space="preserve"> PAGEREF _Toc204263355 \h </w:instrText>
      </w:r>
      <w:r>
        <w:rPr>
          <w:noProof/>
        </w:rPr>
      </w:r>
      <w:r>
        <w:rPr>
          <w:noProof/>
        </w:rPr>
        <w:fldChar w:fldCharType="separate"/>
      </w:r>
      <w:r w:rsidR="008C132D">
        <w:rPr>
          <w:noProof/>
        </w:rPr>
        <w:t>31</w:t>
      </w:r>
      <w:r>
        <w:rPr>
          <w:noProof/>
        </w:rPr>
        <w:fldChar w:fldCharType="end"/>
      </w:r>
    </w:p>
    <w:p w14:paraId="5FE32C0B" w14:textId="5500EC61" w:rsidR="008200C8" w:rsidRDefault="008200C8" w:rsidP="00AF6078">
      <w:pPr>
        <w:pStyle w:val="TableofFigures"/>
        <w:tabs>
          <w:tab w:val="right" w:leader="dot" w:pos="9350"/>
        </w:tabs>
        <w:spacing w:line="480" w:lineRule="auto"/>
        <w:ind w:left="720" w:hanging="706"/>
        <w:rPr>
          <w:rFonts w:asciiTheme="minorHAnsi" w:eastAsiaTheme="minorEastAsia" w:hAnsiTheme="minorHAnsi"/>
          <w:noProof/>
          <w:szCs w:val="24"/>
        </w:rPr>
      </w:pPr>
      <w:r w:rsidRPr="00EF68E7">
        <w:rPr>
          <w:b/>
          <w:bCs/>
          <w:noProof/>
        </w:rPr>
        <w:lastRenderedPageBreak/>
        <w:t>Figure 2.5</w:t>
      </w:r>
      <w:r w:rsidRPr="00EF68E7">
        <w:rPr>
          <w:rFonts w:eastAsia="Times New Roman" w:cs="Times New Roman"/>
          <w:b/>
          <w:bCs/>
          <w:noProof/>
          <w:kern w:val="0"/>
          <w14:ligatures w14:val="none"/>
        </w:rPr>
        <w:t>:</w:t>
      </w:r>
      <w:r w:rsidRPr="00EF68E7">
        <w:rPr>
          <w:rFonts w:eastAsia="Times New Roman" w:cs="Times New Roman"/>
          <w:noProof/>
          <w:kern w:val="0"/>
          <w14:ligatures w14:val="none"/>
        </w:rPr>
        <w:t xml:space="preserve"> An example of data visualization for the hot moment labeling process. In this graph, N</w:t>
      </w:r>
      <w:r w:rsidRPr="00EF68E7">
        <w:rPr>
          <w:rFonts w:eastAsia="Times New Roman" w:cs="Times New Roman"/>
          <w:noProof/>
          <w:kern w:val="0"/>
          <w:vertAlign w:val="subscript"/>
          <w14:ligatures w14:val="none"/>
        </w:rPr>
        <w:t>2</w:t>
      </w:r>
      <w:r w:rsidRPr="00EF68E7">
        <w:rPr>
          <w:rFonts w:eastAsia="Times New Roman" w:cs="Times New Roman"/>
          <w:noProof/>
          <w:kern w:val="0"/>
          <w14:ligatures w14:val="none"/>
        </w:rPr>
        <w:t>O emissions (orange dots, top panel) remain at a consistent background level until approximately June 4. After this date, the combination of high and frequent precipitation (bottom panel) raising the soil moisture (middle panel, blue dots) and a recent fertilizer application (green line, top panel) in the early summer led to a significant rise in emissions consistent with a hot moment. Emissions fluctuate for one month until about July 4, corresponding to fluctuations in soil moisture driven primarily by three large precipitation events above 20 mm per day. After July 4, the soil moisture remained comparatively low, and emissions gradually stabilized at a consistent background level.</w:t>
      </w:r>
      <w:r>
        <w:rPr>
          <w:noProof/>
        </w:rPr>
        <w:tab/>
      </w:r>
      <w:r>
        <w:rPr>
          <w:noProof/>
        </w:rPr>
        <w:fldChar w:fldCharType="begin"/>
      </w:r>
      <w:r>
        <w:rPr>
          <w:noProof/>
        </w:rPr>
        <w:instrText xml:space="preserve"> PAGEREF _Toc204263356 \h </w:instrText>
      </w:r>
      <w:r>
        <w:rPr>
          <w:noProof/>
        </w:rPr>
      </w:r>
      <w:r>
        <w:rPr>
          <w:noProof/>
        </w:rPr>
        <w:fldChar w:fldCharType="separate"/>
      </w:r>
      <w:r w:rsidR="008C132D">
        <w:rPr>
          <w:noProof/>
        </w:rPr>
        <w:t>33</w:t>
      </w:r>
      <w:r>
        <w:rPr>
          <w:noProof/>
        </w:rPr>
        <w:fldChar w:fldCharType="end"/>
      </w:r>
    </w:p>
    <w:p w14:paraId="291D9C22" w14:textId="08D483F6" w:rsidR="008200C8" w:rsidRDefault="008200C8" w:rsidP="00AF6078">
      <w:pPr>
        <w:pStyle w:val="TableofFigures"/>
        <w:tabs>
          <w:tab w:val="right" w:leader="dot" w:pos="9350"/>
        </w:tabs>
        <w:spacing w:line="480" w:lineRule="auto"/>
        <w:ind w:left="720" w:hanging="706"/>
        <w:rPr>
          <w:rFonts w:asciiTheme="minorHAnsi" w:eastAsiaTheme="minorEastAsia" w:hAnsiTheme="minorHAnsi"/>
          <w:noProof/>
          <w:szCs w:val="24"/>
        </w:rPr>
      </w:pPr>
      <w:r w:rsidRPr="00EF68E7">
        <w:rPr>
          <w:b/>
          <w:bCs/>
          <w:noProof/>
        </w:rPr>
        <w:t>Figure 2.6</w:t>
      </w:r>
      <w:r>
        <w:rPr>
          <w:noProof/>
        </w:rPr>
        <w:t>: Impact of hot moment prevalence on the performance of anomaly detection methods. The accuracy of 1.5 IQR was highest when hot moments comprised 5-25% of the dataset, and underperformed other methods when hot moments were very rare or common. The accuracy of MAD and MCD were more consistent across the full range of hot moment prevalences.</w:t>
      </w:r>
      <w:r>
        <w:rPr>
          <w:noProof/>
        </w:rPr>
        <w:tab/>
      </w:r>
      <w:r>
        <w:rPr>
          <w:noProof/>
        </w:rPr>
        <w:fldChar w:fldCharType="begin"/>
      </w:r>
      <w:r>
        <w:rPr>
          <w:noProof/>
        </w:rPr>
        <w:instrText xml:space="preserve"> PAGEREF _Toc204263357 \h </w:instrText>
      </w:r>
      <w:r>
        <w:rPr>
          <w:noProof/>
        </w:rPr>
      </w:r>
      <w:r>
        <w:rPr>
          <w:noProof/>
        </w:rPr>
        <w:fldChar w:fldCharType="separate"/>
      </w:r>
      <w:r w:rsidR="008C132D">
        <w:rPr>
          <w:noProof/>
        </w:rPr>
        <w:t>41</w:t>
      </w:r>
      <w:r>
        <w:rPr>
          <w:noProof/>
        </w:rPr>
        <w:fldChar w:fldCharType="end"/>
      </w:r>
    </w:p>
    <w:p w14:paraId="6FFB7AAC" w14:textId="68E6B237" w:rsidR="008200C8" w:rsidRDefault="008200C8" w:rsidP="00AF6078">
      <w:pPr>
        <w:pStyle w:val="TableofFigures"/>
        <w:tabs>
          <w:tab w:val="right" w:leader="dot" w:pos="9350"/>
        </w:tabs>
        <w:spacing w:line="480" w:lineRule="auto"/>
        <w:ind w:left="720" w:hanging="706"/>
        <w:rPr>
          <w:rFonts w:asciiTheme="minorHAnsi" w:eastAsiaTheme="minorEastAsia" w:hAnsiTheme="minorHAnsi"/>
          <w:noProof/>
          <w:szCs w:val="24"/>
        </w:rPr>
      </w:pPr>
      <w:r w:rsidRPr="00EF68E7">
        <w:rPr>
          <w:b/>
          <w:bCs/>
          <w:noProof/>
        </w:rPr>
        <w:t>Figure 2.7</w:t>
      </w:r>
      <w:r w:rsidRPr="00EF68E7">
        <w:rPr>
          <w:noProof/>
        </w:rPr>
        <w:t>: Temporal distribution of hot moments (red bars) and background emissions (blue bars) as predicted by the top three performing methods in the testing dataset, compared to the labeled data, using a bin width of five days (a). Histogram of the proportion of hot moments in time-series data as predicted by each method. 1.5 IQR rarely predicted hot moments to comprise more than 20% of a dataset, and more often tended to identify 15-20% of data as anomalous.</w:t>
      </w:r>
      <w:r>
        <w:rPr>
          <w:noProof/>
        </w:rPr>
        <w:tab/>
      </w:r>
      <w:r>
        <w:rPr>
          <w:noProof/>
        </w:rPr>
        <w:fldChar w:fldCharType="begin"/>
      </w:r>
      <w:r>
        <w:rPr>
          <w:noProof/>
        </w:rPr>
        <w:instrText xml:space="preserve"> PAGEREF _Toc204263358 \h </w:instrText>
      </w:r>
      <w:r>
        <w:rPr>
          <w:noProof/>
        </w:rPr>
      </w:r>
      <w:r>
        <w:rPr>
          <w:noProof/>
        </w:rPr>
        <w:fldChar w:fldCharType="separate"/>
      </w:r>
      <w:r w:rsidR="008C132D">
        <w:rPr>
          <w:noProof/>
        </w:rPr>
        <w:t>41</w:t>
      </w:r>
      <w:r>
        <w:rPr>
          <w:noProof/>
        </w:rPr>
        <w:fldChar w:fldCharType="end"/>
      </w:r>
    </w:p>
    <w:p w14:paraId="1D9E0CC7" w14:textId="131B60D0" w:rsidR="008200C8" w:rsidRDefault="008200C8" w:rsidP="00AF6078">
      <w:pPr>
        <w:pStyle w:val="TableofFigures"/>
        <w:tabs>
          <w:tab w:val="right" w:leader="dot" w:pos="9350"/>
        </w:tabs>
        <w:spacing w:line="480" w:lineRule="auto"/>
        <w:ind w:left="720" w:hanging="706"/>
        <w:rPr>
          <w:rFonts w:asciiTheme="minorHAnsi" w:eastAsiaTheme="minorEastAsia" w:hAnsiTheme="minorHAnsi"/>
          <w:noProof/>
          <w:szCs w:val="24"/>
        </w:rPr>
      </w:pPr>
      <w:r w:rsidRPr="00EF68E7">
        <w:rPr>
          <w:b/>
          <w:bCs/>
          <w:noProof/>
        </w:rPr>
        <w:t>Figure 2.8</w:t>
      </w:r>
      <w:r w:rsidRPr="00EF68E7">
        <w:rPr>
          <w:noProof/>
        </w:rPr>
        <w:t>: Example visual demonstration of anomaly detection method performance in hot moment identification using a sample time-series data. N</w:t>
      </w:r>
      <w:r w:rsidRPr="00EF68E7">
        <w:rPr>
          <w:noProof/>
          <w:vertAlign w:val="subscript"/>
        </w:rPr>
        <w:t>2</w:t>
      </w:r>
      <w:r w:rsidRPr="00EF68E7">
        <w:rPr>
          <w:noProof/>
        </w:rPr>
        <w:t xml:space="preserve">O flux measurements identified </w:t>
      </w:r>
      <w:r w:rsidRPr="00EF68E7">
        <w:rPr>
          <w:noProof/>
        </w:rPr>
        <w:lastRenderedPageBreak/>
        <w:t>as hot moments are highlighted in red, while background emissions are presented in blue. 1.5 IQR identified only extreme anomalies as hot moments above 60 g N ha</w:t>
      </w:r>
      <w:r w:rsidRPr="00EF68E7">
        <w:rPr>
          <w:noProof/>
          <w:vertAlign w:val="superscript"/>
        </w:rPr>
        <w:t>-1</w:t>
      </w:r>
      <w:r w:rsidRPr="00EF68E7">
        <w:rPr>
          <w:noProof/>
        </w:rPr>
        <w:t xml:space="preserve"> d</w:t>
      </w:r>
      <w:r w:rsidRPr="00EF68E7">
        <w:rPr>
          <w:noProof/>
          <w:vertAlign w:val="superscript"/>
        </w:rPr>
        <w:t>-1</w:t>
      </w:r>
      <w:r w:rsidRPr="00EF68E7">
        <w:rPr>
          <w:noProof/>
        </w:rPr>
        <w:t>, while MCD and MAD were much more sensitive, identifying smaller hot moments with flux magnitudes of 30 g N ha</w:t>
      </w:r>
      <w:r w:rsidRPr="00EF68E7">
        <w:rPr>
          <w:noProof/>
          <w:vertAlign w:val="superscript"/>
        </w:rPr>
        <w:t>-1</w:t>
      </w:r>
      <w:r w:rsidRPr="00EF68E7">
        <w:rPr>
          <w:noProof/>
        </w:rPr>
        <w:t xml:space="preserve"> d</w:t>
      </w:r>
      <w:r w:rsidRPr="00EF68E7">
        <w:rPr>
          <w:noProof/>
          <w:vertAlign w:val="superscript"/>
        </w:rPr>
        <w:t>-1</w:t>
      </w:r>
      <w:r w:rsidRPr="00EF68E7">
        <w:rPr>
          <w:noProof/>
        </w:rPr>
        <w:t>.</w:t>
      </w:r>
      <w:r>
        <w:rPr>
          <w:noProof/>
        </w:rPr>
        <w:tab/>
      </w:r>
      <w:r>
        <w:rPr>
          <w:noProof/>
        </w:rPr>
        <w:fldChar w:fldCharType="begin"/>
      </w:r>
      <w:r>
        <w:rPr>
          <w:noProof/>
        </w:rPr>
        <w:instrText xml:space="preserve"> PAGEREF _Toc204263359 \h </w:instrText>
      </w:r>
      <w:r>
        <w:rPr>
          <w:noProof/>
        </w:rPr>
      </w:r>
      <w:r>
        <w:rPr>
          <w:noProof/>
        </w:rPr>
        <w:fldChar w:fldCharType="separate"/>
      </w:r>
      <w:r w:rsidR="008C132D">
        <w:rPr>
          <w:noProof/>
        </w:rPr>
        <w:t>42</w:t>
      </w:r>
      <w:r>
        <w:rPr>
          <w:noProof/>
        </w:rPr>
        <w:fldChar w:fldCharType="end"/>
      </w:r>
    </w:p>
    <w:p w14:paraId="535CDE2C" w14:textId="55316063" w:rsidR="008200C8" w:rsidRDefault="008200C8" w:rsidP="00AF6078">
      <w:pPr>
        <w:pStyle w:val="TableofFigures"/>
        <w:tabs>
          <w:tab w:val="right" w:leader="dot" w:pos="9350"/>
        </w:tabs>
        <w:spacing w:line="480" w:lineRule="auto"/>
        <w:ind w:left="720" w:hanging="706"/>
        <w:rPr>
          <w:rFonts w:asciiTheme="minorHAnsi" w:eastAsiaTheme="minorEastAsia" w:hAnsiTheme="minorHAnsi"/>
          <w:noProof/>
          <w:szCs w:val="24"/>
        </w:rPr>
      </w:pPr>
      <w:r w:rsidRPr="00EF68E7">
        <w:rPr>
          <w:b/>
          <w:bCs/>
          <w:noProof/>
        </w:rPr>
        <w:t>Figure 3.1</w:t>
      </w:r>
      <w:r w:rsidRPr="00EF68E7">
        <w:rPr>
          <w:noProof/>
        </w:rPr>
        <w:t xml:space="preserve">: </w:t>
      </w:r>
      <w:r w:rsidRPr="00EF68E7">
        <w:rPr>
          <w:rFonts w:eastAsia="Calibri" w:cs="Times New Roman"/>
          <w:noProof/>
          <w:kern w:val="0"/>
          <w14:ligatures w14:val="none"/>
        </w:rPr>
        <w:t>Global distribution of study sites and associated soil textural representation within the model dataset. Seven soil textural classes were represented by color, including a variety of loams and clays. The size of circles represents the number of treatment timeseries datasets at each site.</w:t>
      </w:r>
      <w:r>
        <w:rPr>
          <w:noProof/>
        </w:rPr>
        <w:tab/>
      </w:r>
      <w:r>
        <w:rPr>
          <w:noProof/>
        </w:rPr>
        <w:fldChar w:fldCharType="begin"/>
      </w:r>
      <w:r>
        <w:rPr>
          <w:noProof/>
        </w:rPr>
        <w:instrText xml:space="preserve"> PAGEREF _Toc204263360 \h </w:instrText>
      </w:r>
      <w:r>
        <w:rPr>
          <w:noProof/>
        </w:rPr>
      </w:r>
      <w:r>
        <w:rPr>
          <w:noProof/>
        </w:rPr>
        <w:fldChar w:fldCharType="separate"/>
      </w:r>
      <w:r w:rsidR="008C132D">
        <w:rPr>
          <w:noProof/>
        </w:rPr>
        <w:t>58</w:t>
      </w:r>
      <w:r>
        <w:rPr>
          <w:noProof/>
        </w:rPr>
        <w:fldChar w:fldCharType="end"/>
      </w:r>
    </w:p>
    <w:p w14:paraId="2CC41A73" w14:textId="0A680606" w:rsidR="008200C8" w:rsidRDefault="008200C8" w:rsidP="00AF6078">
      <w:pPr>
        <w:pStyle w:val="TableofFigures"/>
        <w:tabs>
          <w:tab w:val="right" w:leader="dot" w:pos="9350"/>
        </w:tabs>
        <w:spacing w:line="480" w:lineRule="auto"/>
        <w:ind w:left="720" w:hanging="706"/>
        <w:rPr>
          <w:rFonts w:asciiTheme="minorHAnsi" w:eastAsiaTheme="minorEastAsia" w:hAnsiTheme="minorHAnsi"/>
          <w:noProof/>
          <w:szCs w:val="24"/>
        </w:rPr>
      </w:pPr>
      <w:r w:rsidRPr="00EF68E7">
        <w:rPr>
          <w:b/>
          <w:bCs/>
          <w:noProof/>
        </w:rPr>
        <w:t>Figure 3.2</w:t>
      </w:r>
      <w:r w:rsidRPr="00EF68E7">
        <w:rPr>
          <w:noProof/>
        </w:rPr>
        <w:t>:</w:t>
      </w:r>
      <w:r w:rsidRPr="00EF68E7">
        <w:rPr>
          <w:rFonts w:eastAsia="Calibri" w:cs="Times New Roman"/>
          <w:noProof/>
          <w:kern w:val="0"/>
          <w14:ligatures w14:val="none"/>
        </w:rPr>
        <w:t xml:space="preserve"> The distribution of soil moisture and temperature coincident with N</w:t>
      </w:r>
      <w:r w:rsidRPr="00EF68E7">
        <w:rPr>
          <w:rFonts w:eastAsia="Calibri" w:cs="Times New Roman"/>
          <w:noProof/>
          <w:kern w:val="0"/>
          <w:vertAlign w:val="subscript"/>
          <w14:ligatures w14:val="none"/>
        </w:rPr>
        <w:t>2</w:t>
      </w:r>
      <w:r w:rsidRPr="00EF68E7">
        <w:rPr>
          <w:rFonts w:eastAsia="Calibri" w:cs="Times New Roman"/>
          <w:noProof/>
          <w:kern w:val="0"/>
          <w14:ligatures w14:val="none"/>
        </w:rPr>
        <w:t>O flux measurements. Distributions are shown for each variable independently via histograms, with volumetric water content (VWC) at the top and soil temperature at the right, and their combination shown via heatmap. Color of each tile represents the number of N</w:t>
      </w:r>
      <w:r w:rsidRPr="00EF68E7">
        <w:rPr>
          <w:rFonts w:eastAsia="Calibri" w:cs="Times New Roman"/>
          <w:noProof/>
          <w:kern w:val="0"/>
          <w:vertAlign w:val="subscript"/>
          <w14:ligatures w14:val="none"/>
        </w:rPr>
        <w:t>2</w:t>
      </w:r>
      <w:r w:rsidRPr="00EF68E7">
        <w:rPr>
          <w:rFonts w:eastAsia="Calibri" w:cs="Times New Roman"/>
          <w:noProof/>
          <w:kern w:val="0"/>
          <w14:ligatures w14:val="none"/>
        </w:rPr>
        <w:t>O flux measurements for each combination of VWC and soil temperature.</w:t>
      </w:r>
      <w:r>
        <w:rPr>
          <w:noProof/>
        </w:rPr>
        <w:tab/>
      </w:r>
      <w:r>
        <w:rPr>
          <w:noProof/>
        </w:rPr>
        <w:fldChar w:fldCharType="begin"/>
      </w:r>
      <w:r>
        <w:rPr>
          <w:noProof/>
        </w:rPr>
        <w:instrText xml:space="preserve"> PAGEREF _Toc204263361 \h </w:instrText>
      </w:r>
      <w:r>
        <w:rPr>
          <w:noProof/>
        </w:rPr>
      </w:r>
      <w:r>
        <w:rPr>
          <w:noProof/>
        </w:rPr>
        <w:fldChar w:fldCharType="separate"/>
      </w:r>
      <w:r w:rsidR="008C132D">
        <w:rPr>
          <w:noProof/>
        </w:rPr>
        <w:t>58</w:t>
      </w:r>
      <w:r>
        <w:rPr>
          <w:noProof/>
        </w:rPr>
        <w:fldChar w:fldCharType="end"/>
      </w:r>
    </w:p>
    <w:p w14:paraId="7A3766CB" w14:textId="68C168DA" w:rsidR="008200C8" w:rsidRDefault="008200C8" w:rsidP="00AF6078">
      <w:pPr>
        <w:pStyle w:val="TableofFigures"/>
        <w:tabs>
          <w:tab w:val="right" w:leader="dot" w:pos="9350"/>
        </w:tabs>
        <w:spacing w:line="480" w:lineRule="auto"/>
        <w:ind w:left="720" w:hanging="706"/>
        <w:rPr>
          <w:rFonts w:asciiTheme="minorHAnsi" w:eastAsiaTheme="minorEastAsia" w:hAnsiTheme="minorHAnsi"/>
          <w:noProof/>
          <w:szCs w:val="24"/>
        </w:rPr>
      </w:pPr>
      <w:r w:rsidRPr="00EF68E7">
        <w:rPr>
          <w:b/>
          <w:bCs/>
          <w:noProof/>
        </w:rPr>
        <w:t>Figure 3.3</w:t>
      </w:r>
      <w:r w:rsidRPr="00EF68E7">
        <w:rPr>
          <w:noProof/>
        </w:rPr>
        <w:t xml:space="preserve">: </w:t>
      </w:r>
      <w:r w:rsidRPr="00EF68E7">
        <w:rPr>
          <w:rFonts w:eastAsia="Calibri" w:cs="Times New Roman"/>
          <w:noProof/>
          <w:kern w:val="0"/>
          <w14:ligatures w14:val="none"/>
        </w:rPr>
        <w:t>Representation of crops and management practices represented in the dataset, as well as the range of magnitudes of daily average N</w:t>
      </w:r>
      <w:r w:rsidRPr="00EF68E7">
        <w:rPr>
          <w:rFonts w:eastAsia="Calibri" w:cs="Times New Roman"/>
          <w:noProof/>
          <w:kern w:val="0"/>
          <w:vertAlign w:val="subscript"/>
          <w14:ligatures w14:val="none"/>
        </w:rPr>
        <w:t>2</w:t>
      </w:r>
      <w:r w:rsidRPr="00EF68E7">
        <w:rPr>
          <w:rFonts w:eastAsia="Calibri" w:cs="Times New Roman"/>
          <w:noProof/>
          <w:kern w:val="0"/>
          <w14:ligatures w14:val="none"/>
        </w:rPr>
        <w:t>O flux measurements.</w:t>
      </w:r>
      <w:r>
        <w:rPr>
          <w:noProof/>
        </w:rPr>
        <w:tab/>
      </w:r>
      <w:r>
        <w:rPr>
          <w:noProof/>
        </w:rPr>
        <w:fldChar w:fldCharType="begin"/>
      </w:r>
      <w:r>
        <w:rPr>
          <w:noProof/>
        </w:rPr>
        <w:instrText xml:space="preserve"> PAGEREF _Toc204263362 \h </w:instrText>
      </w:r>
      <w:r>
        <w:rPr>
          <w:noProof/>
        </w:rPr>
      </w:r>
      <w:r>
        <w:rPr>
          <w:noProof/>
        </w:rPr>
        <w:fldChar w:fldCharType="separate"/>
      </w:r>
      <w:r w:rsidR="008C132D">
        <w:rPr>
          <w:noProof/>
        </w:rPr>
        <w:t>59</w:t>
      </w:r>
      <w:r>
        <w:rPr>
          <w:noProof/>
        </w:rPr>
        <w:fldChar w:fldCharType="end"/>
      </w:r>
    </w:p>
    <w:p w14:paraId="3A6F82B7" w14:textId="6202F562" w:rsidR="008200C8" w:rsidRDefault="008200C8" w:rsidP="00AF6078">
      <w:pPr>
        <w:pStyle w:val="TableofFigures"/>
        <w:tabs>
          <w:tab w:val="right" w:leader="dot" w:pos="9350"/>
        </w:tabs>
        <w:spacing w:line="480" w:lineRule="auto"/>
        <w:ind w:left="720" w:hanging="706"/>
        <w:rPr>
          <w:rFonts w:asciiTheme="minorHAnsi" w:eastAsiaTheme="minorEastAsia" w:hAnsiTheme="minorHAnsi"/>
          <w:noProof/>
          <w:szCs w:val="24"/>
        </w:rPr>
      </w:pPr>
      <w:r w:rsidRPr="00EF68E7">
        <w:rPr>
          <w:b/>
          <w:bCs/>
          <w:noProof/>
        </w:rPr>
        <w:t>Figure 3.4</w:t>
      </w:r>
      <w:r w:rsidRPr="00EF68E7">
        <w:rPr>
          <w:noProof/>
        </w:rPr>
        <w:t xml:space="preserve">: </w:t>
      </w:r>
      <w:r w:rsidRPr="00EF68E7">
        <w:rPr>
          <w:rFonts w:eastAsia="Calibri" w:cs="Times New Roman"/>
          <w:noProof/>
          <w:kern w:val="0"/>
          <w14:ligatures w14:val="none"/>
        </w:rPr>
        <w:t>Prediction performance of XGBoost model trained using context-informed data labels. a) Prediction results varied with N</w:t>
      </w:r>
      <w:r w:rsidRPr="00EF68E7">
        <w:rPr>
          <w:rFonts w:eastAsia="Calibri" w:cs="Times New Roman"/>
          <w:noProof/>
          <w:kern w:val="0"/>
          <w:vertAlign w:val="subscript"/>
          <w14:ligatures w14:val="none"/>
        </w:rPr>
        <w:t>2</w:t>
      </w:r>
      <w:r w:rsidRPr="00EF68E7">
        <w:rPr>
          <w:rFonts w:eastAsia="Calibri" w:cs="Times New Roman"/>
          <w:noProof/>
          <w:kern w:val="0"/>
          <w14:ligatures w14:val="none"/>
        </w:rPr>
        <w:t xml:space="preserve">O flux magnitude, with error rate peaking when flux was moderate (which often defines the top of the background level and the lowest hot moments) and decreasing as flux approached more extreme magnitudes, low and high. Probability threshold used was 0.5, and overall model accuracy was 90%. b) The receiver operator characteristic curve plots the true positive rate (TPR) and false positive rate (FPR) across different probability thresholds (p). </w:t>
      </w:r>
      <w:r w:rsidRPr="00EF68E7">
        <w:rPr>
          <w:noProof/>
        </w:rPr>
        <w:t xml:space="preserve">Using the default probability threshold of 0.5 (50% probability of a hot moment), the model resulted in a </w:t>
      </w:r>
      <w:r w:rsidRPr="00EF68E7">
        <w:rPr>
          <w:noProof/>
        </w:rPr>
        <w:lastRenderedPageBreak/>
        <w:t xml:space="preserve">TP rate ~60% and a FP rate ~6%. </w:t>
      </w:r>
      <w:r w:rsidRPr="00EF68E7">
        <w:rPr>
          <w:rFonts w:eastAsia="Calibri" w:cs="Times New Roman"/>
          <w:noProof/>
          <w:kern w:val="0"/>
          <w14:ligatures w14:val="none"/>
        </w:rPr>
        <w:t xml:space="preserve"> c) The predicted probability of a hot moment was correlated with the magnitude of N</w:t>
      </w:r>
      <w:r w:rsidRPr="00EF68E7">
        <w:rPr>
          <w:rFonts w:eastAsia="Calibri" w:cs="Times New Roman"/>
          <w:noProof/>
          <w:kern w:val="0"/>
          <w:vertAlign w:val="subscript"/>
          <w14:ligatures w14:val="none"/>
        </w:rPr>
        <w:t>2</w:t>
      </w:r>
      <w:r w:rsidRPr="00EF68E7">
        <w:rPr>
          <w:rFonts w:eastAsia="Calibri" w:cs="Times New Roman"/>
          <w:noProof/>
          <w:kern w:val="0"/>
          <w14:ligatures w14:val="none"/>
        </w:rPr>
        <w:t>O flux, with greater model certainty associated with higher fluxes.</w:t>
      </w:r>
      <w:r>
        <w:rPr>
          <w:noProof/>
        </w:rPr>
        <w:tab/>
      </w:r>
      <w:r>
        <w:rPr>
          <w:noProof/>
        </w:rPr>
        <w:fldChar w:fldCharType="begin"/>
      </w:r>
      <w:r>
        <w:rPr>
          <w:noProof/>
        </w:rPr>
        <w:instrText xml:space="preserve"> PAGEREF _Toc204263363 \h </w:instrText>
      </w:r>
      <w:r>
        <w:rPr>
          <w:noProof/>
        </w:rPr>
      </w:r>
      <w:r>
        <w:rPr>
          <w:noProof/>
        </w:rPr>
        <w:fldChar w:fldCharType="separate"/>
      </w:r>
      <w:r w:rsidR="008C132D">
        <w:rPr>
          <w:noProof/>
        </w:rPr>
        <w:t>69</w:t>
      </w:r>
      <w:r>
        <w:rPr>
          <w:noProof/>
        </w:rPr>
        <w:fldChar w:fldCharType="end"/>
      </w:r>
    </w:p>
    <w:p w14:paraId="62F681D1" w14:textId="7A798DC5" w:rsidR="008200C8" w:rsidRDefault="008200C8" w:rsidP="00AF6078">
      <w:pPr>
        <w:pStyle w:val="TableofFigures"/>
        <w:tabs>
          <w:tab w:val="right" w:leader="dot" w:pos="9350"/>
        </w:tabs>
        <w:spacing w:line="480" w:lineRule="auto"/>
        <w:ind w:left="720" w:hanging="706"/>
        <w:rPr>
          <w:rFonts w:asciiTheme="minorHAnsi" w:eastAsiaTheme="minorEastAsia" w:hAnsiTheme="minorHAnsi"/>
          <w:noProof/>
          <w:szCs w:val="24"/>
        </w:rPr>
      </w:pPr>
      <w:r w:rsidRPr="00EF68E7">
        <w:rPr>
          <w:b/>
          <w:bCs/>
          <w:noProof/>
        </w:rPr>
        <w:t>Figure 3.5</w:t>
      </w:r>
      <w:r w:rsidRPr="00EF68E7">
        <w:rPr>
          <w:noProof/>
        </w:rPr>
        <w:t xml:space="preserve">: </w:t>
      </w:r>
      <w:r w:rsidRPr="00EF68E7">
        <w:rPr>
          <w:rFonts w:eastAsia="Calibri" w:cs="Times New Roman"/>
          <w:noProof/>
          <w:kern w:val="0"/>
          <w14:ligatures w14:val="none"/>
        </w:rPr>
        <w:t>Violin plot of Shapley values of model predictors sorted from greatest (top) to least (bottom) average absolute impact. Color represents the value of the predictor, while the X-axis represents the magnitude of impact that predictor had on the output. The widths of violins indicate the frequency of data with a given Shapley value. Most violins are widest near 0 on the X-axis, indicating low impact.</w:t>
      </w:r>
      <w:r>
        <w:rPr>
          <w:noProof/>
        </w:rPr>
        <w:tab/>
      </w:r>
      <w:r>
        <w:rPr>
          <w:noProof/>
        </w:rPr>
        <w:fldChar w:fldCharType="begin"/>
      </w:r>
      <w:r>
        <w:rPr>
          <w:noProof/>
        </w:rPr>
        <w:instrText xml:space="preserve"> PAGEREF _Toc204263364 \h </w:instrText>
      </w:r>
      <w:r>
        <w:rPr>
          <w:noProof/>
        </w:rPr>
      </w:r>
      <w:r>
        <w:rPr>
          <w:noProof/>
        </w:rPr>
        <w:fldChar w:fldCharType="separate"/>
      </w:r>
      <w:r w:rsidR="008C132D">
        <w:rPr>
          <w:noProof/>
        </w:rPr>
        <w:t>70</w:t>
      </w:r>
      <w:r>
        <w:rPr>
          <w:noProof/>
        </w:rPr>
        <w:fldChar w:fldCharType="end"/>
      </w:r>
    </w:p>
    <w:p w14:paraId="25DF18E0" w14:textId="6081F8BB" w:rsidR="008200C8" w:rsidRDefault="008200C8" w:rsidP="00AF6078">
      <w:pPr>
        <w:pStyle w:val="TableofFigures"/>
        <w:tabs>
          <w:tab w:val="right" w:leader="dot" w:pos="9350"/>
        </w:tabs>
        <w:spacing w:line="480" w:lineRule="auto"/>
        <w:ind w:left="720" w:hanging="706"/>
        <w:rPr>
          <w:rFonts w:asciiTheme="minorHAnsi" w:eastAsiaTheme="minorEastAsia" w:hAnsiTheme="minorHAnsi"/>
          <w:noProof/>
          <w:szCs w:val="24"/>
        </w:rPr>
      </w:pPr>
      <w:r w:rsidRPr="00EF68E7">
        <w:rPr>
          <w:b/>
          <w:bCs/>
          <w:noProof/>
        </w:rPr>
        <w:t>Figure 3.6</w:t>
      </w:r>
      <w:r w:rsidRPr="00EF68E7">
        <w:rPr>
          <w:noProof/>
        </w:rPr>
        <w:t xml:space="preserve">: </w:t>
      </w:r>
      <w:r w:rsidRPr="00EF68E7">
        <w:rPr>
          <w:rFonts w:eastAsia="Calibri" w:cs="Times New Roman"/>
          <w:noProof/>
          <w:kern w:val="0"/>
          <w14:ligatures w14:val="none"/>
        </w:rPr>
        <w:t>Heatmaps indicate the proportions of N</w:t>
      </w:r>
      <w:r w:rsidRPr="00EF68E7">
        <w:rPr>
          <w:rFonts w:eastAsia="Calibri" w:cs="Times New Roman"/>
          <w:noProof/>
          <w:kern w:val="0"/>
          <w:vertAlign w:val="subscript"/>
          <w14:ligatures w14:val="none"/>
        </w:rPr>
        <w:t>2</w:t>
      </w:r>
      <w:r w:rsidRPr="00EF68E7">
        <w:rPr>
          <w:rFonts w:eastAsia="Calibri" w:cs="Times New Roman"/>
          <w:noProof/>
          <w:kern w:val="0"/>
          <w14:ligatures w14:val="none"/>
        </w:rPr>
        <w:t>O flux measurements predicted to be hot moments when segmented into bins based on the synergy of two key predictors: days since fertilization and volumetric water content (VWC), soil temperature and VWC, and days since fertilization and fertilizer form. Color of each tile indicates the proportion of flux measurements within tiles were predicted to be hot moments, where dark red indicates 100% of measurements predicted to be hot moments. The numbers within each tile indicate the total number data points within each tile.</w:t>
      </w:r>
      <w:r>
        <w:rPr>
          <w:noProof/>
        </w:rPr>
        <w:tab/>
      </w:r>
      <w:r>
        <w:rPr>
          <w:noProof/>
        </w:rPr>
        <w:fldChar w:fldCharType="begin"/>
      </w:r>
      <w:r>
        <w:rPr>
          <w:noProof/>
        </w:rPr>
        <w:instrText xml:space="preserve"> PAGEREF _Toc204263365 \h </w:instrText>
      </w:r>
      <w:r>
        <w:rPr>
          <w:noProof/>
        </w:rPr>
      </w:r>
      <w:r>
        <w:rPr>
          <w:noProof/>
        </w:rPr>
        <w:fldChar w:fldCharType="separate"/>
      </w:r>
      <w:r w:rsidR="008C132D">
        <w:rPr>
          <w:noProof/>
        </w:rPr>
        <w:t>71</w:t>
      </w:r>
      <w:r>
        <w:rPr>
          <w:noProof/>
        </w:rPr>
        <w:fldChar w:fldCharType="end"/>
      </w:r>
    </w:p>
    <w:p w14:paraId="7ACA1D11" w14:textId="4BEDDC5A" w:rsidR="008200C8" w:rsidRDefault="008200C8" w:rsidP="00AF6078">
      <w:pPr>
        <w:pStyle w:val="TableofFigures"/>
        <w:tabs>
          <w:tab w:val="right" w:leader="dot" w:pos="9350"/>
        </w:tabs>
        <w:spacing w:line="480" w:lineRule="auto"/>
        <w:ind w:left="720" w:hanging="706"/>
        <w:rPr>
          <w:rFonts w:asciiTheme="minorHAnsi" w:eastAsiaTheme="minorEastAsia" w:hAnsiTheme="minorHAnsi"/>
          <w:noProof/>
          <w:szCs w:val="24"/>
        </w:rPr>
      </w:pPr>
      <w:r w:rsidRPr="00EF68E7">
        <w:rPr>
          <w:b/>
          <w:bCs/>
          <w:noProof/>
        </w:rPr>
        <w:t>Figure 4.1</w:t>
      </w:r>
      <w:r w:rsidRPr="00EF68E7">
        <w:rPr>
          <w:noProof/>
        </w:rPr>
        <w:t>: Daily soil moisture and N</w:t>
      </w:r>
      <w:r w:rsidRPr="00EF68E7">
        <w:rPr>
          <w:noProof/>
          <w:vertAlign w:val="subscript"/>
        </w:rPr>
        <w:t>2</w:t>
      </w:r>
      <w:r w:rsidRPr="00EF68E7">
        <w:rPr>
          <w:noProof/>
        </w:rPr>
        <w:t>O, CO</w:t>
      </w:r>
      <w:r w:rsidRPr="00EF68E7">
        <w:rPr>
          <w:noProof/>
          <w:vertAlign w:val="subscript"/>
        </w:rPr>
        <w:t>2</w:t>
      </w:r>
      <w:r w:rsidRPr="00EF68E7">
        <w:rPr>
          <w:noProof/>
        </w:rPr>
        <w:t>, and CH</w:t>
      </w:r>
      <w:r w:rsidRPr="00EF68E7">
        <w:rPr>
          <w:noProof/>
          <w:vertAlign w:val="subscript"/>
        </w:rPr>
        <w:t>4</w:t>
      </w:r>
      <w:r w:rsidRPr="00EF68E7">
        <w:rPr>
          <w:noProof/>
        </w:rPr>
        <w:t xml:space="preserve"> fluxes measured for the a) 0F, b) 3F, and c) 7F flooding duration treatments. Multiple panels of N</w:t>
      </w:r>
      <w:r w:rsidRPr="00EF68E7">
        <w:rPr>
          <w:noProof/>
          <w:vertAlign w:val="subscript"/>
        </w:rPr>
        <w:t>2</w:t>
      </w:r>
      <w:r w:rsidRPr="00EF68E7">
        <w:rPr>
          <w:noProof/>
        </w:rPr>
        <w:t>O and CO</w:t>
      </w:r>
      <w:r w:rsidRPr="00EF68E7">
        <w:rPr>
          <w:noProof/>
          <w:vertAlign w:val="subscript"/>
        </w:rPr>
        <w:t>2</w:t>
      </w:r>
      <w:r w:rsidRPr="00EF68E7">
        <w:rPr>
          <w:noProof/>
        </w:rPr>
        <w:t xml:space="preserve"> fluxes are shown due to significantly different ranges of fluxes across soil textures. Light blue area indicates the flooding perion during which 90% WFPS was maintained.</w:t>
      </w:r>
      <w:r>
        <w:rPr>
          <w:noProof/>
        </w:rPr>
        <w:tab/>
      </w:r>
      <w:r>
        <w:rPr>
          <w:noProof/>
        </w:rPr>
        <w:fldChar w:fldCharType="begin"/>
      </w:r>
      <w:r>
        <w:rPr>
          <w:noProof/>
        </w:rPr>
        <w:instrText xml:space="preserve"> PAGEREF _Toc204263366 \h </w:instrText>
      </w:r>
      <w:r>
        <w:rPr>
          <w:noProof/>
        </w:rPr>
      </w:r>
      <w:r>
        <w:rPr>
          <w:noProof/>
        </w:rPr>
        <w:fldChar w:fldCharType="separate"/>
      </w:r>
      <w:r w:rsidR="008C132D">
        <w:rPr>
          <w:noProof/>
        </w:rPr>
        <w:t>92</w:t>
      </w:r>
      <w:r>
        <w:rPr>
          <w:noProof/>
        </w:rPr>
        <w:fldChar w:fldCharType="end"/>
      </w:r>
    </w:p>
    <w:p w14:paraId="36CA1142" w14:textId="3A3F8C75" w:rsidR="008200C8" w:rsidRDefault="008200C8" w:rsidP="00AF6078">
      <w:pPr>
        <w:pStyle w:val="TableofFigures"/>
        <w:tabs>
          <w:tab w:val="right" w:leader="dot" w:pos="9350"/>
        </w:tabs>
        <w:spacing w:line="480" w:lineRule="auto"/>
        <w:ind w:left="720" w:hanging="706"/>
        <w:rPr>
          <w:rFonts w:asciiTheme="minorHAnsi" w:eastAsiaTheme="minorEastAsia" w:hAnsiTheme="minorHAnsi"/>
          <w:noProof/>
          <w:szCs w:val="24"/>
        </w:rPr>
      </w:pPr>
      <w:r w:rsidRPr="00EF68E7">
        <w:rPr>
          <w:b/>
          <w:bCs/>
          <w:noProof/>
        </w:rPr>
        <w:t>Figure 4.2</w:t>
      </w:r>
      <w:r w:rsidRPr="00EF68E7">
        <w:rPr>
          <w:noProof/>
        </w:rPr>
        <w:t>: Daily soil moisture, inorganic nitrogen content, and dissolved organic mater measured for the a) 0F, b) 3F, and c) 7F flooding duration treatments. Light blue area indicates the flooding perion during which 90% WFPS was maintained.</w:t>
      </w:r>
      <w:r>
        <w:rPr>
          <w:noProof/>
        </w:rPr>
        <w:tab/>
      </w:r>
      <w:r>
        <w:rPr>
          <w:noProof/>
        </w:rPr>
        <w:fldChar w:fldCharType="begin"/>
      </w:r>
      <w:r>
        <w:rPr>
          <w:noProof/>
        </w:rPr>
        <w:instrText xml:space="preserve"> PAGEREF _Toc204263367 \h </w:instrText>
      </w:r>
      <w:r>
        <w:rPr>
          <w:noProof/>
        </w:rPr>
      </w:r>
      <w:r>
        <w:rPr>
          <w:noProof/>
        </w:rPr>
        <w:fldChar w:fldCharType="separate"/>
      </w:r>
      <w:r w:rsidR="008C132D">
        <w:rPr>
          <w:noProof/>
        </w:rPr>
        <w:t>93</w:t>
      </w:r>
      <w:r>
        <w:rPr>
          <w:noProof/>
        </w:rPr>
        <w:fldChar w:fldCharType="end"/>
      </w:r>
    </w:p>
    <w:p w14:paraId="0104E307" w14:textId="13047B3A" w:rsidR="008200C8" w:rsidRDefault="008200C8" w:rsidP="00AF6078">
      <w:pPr>
        <w:pStyle w:val="TableofFigures"/>
        <w:tabs>
          <w:tab w:val="right" w:leader="dot" w:pos="9350"/>
        </w:tabs>
        <w:spacing w:line="480" w:lineRule="auto"/>
        <w:ind w:left="720" w:hanging="706"/>
        <w:rPr>
          <w:rFonts w:asciiTheme="minorHAnsi" w:eastAsiaTheme="minorEastAsia" w:hAnsiTheme="minorHAnsi"/>
          <w:noProof/>
          <w:szCs w:val="24"/>
        </w:rPr>
      </w:pPr>
      <w:r w:rsidRPr="00EF68E7">
        <w:rPr>
          <w:b/>
          <w:bCs/>
          <w:noProof/>
        </w:rPr>
        <w:lastRenderedPageBreak/>
        <w:t>Figure 4.3</w:t>
      </w:r>
      <w:r w:rsidRPr="00EF68E7">
        <w:rPr>
          <w:noProof/>
        </w:rPr>
        <w:t>: Cumulative N</w:t>
      </w:r>
      <w:r w:rsidRPr="00EF68E7">
        <w:rPr>
          <w:noProof/>
          <w:vertAlign w:val="subscript"/>
        </w:rPr>
        <w:t>2</w:t>
      </w:r>
      <w:r w:rsidRPr="00EF68E7">
        <w:rPr>
          <w:noProof/>
        </w:rPr>
        <w:t>O emissions of flooding treatments segmented by soil texture. Error bars represent the standard error across replications, while letters above each bar represent significant differences in cumulative fluxes by Tukey’s HSD. Significance was determined for each texture individually- equivalent letters does not indicate statistical equivalence from one quadrant graph to another.</w:t>
      </w:r>
      <w:r>
        <w:rPr>
          <w:noProof/>
        </w:rPr>
        <w:tab/>
      </w:r>
      <w:r>
        <w:rPr>
          <w:noProof/>
        </w:rPr>
        <w:fldChar w:fldCharType="begin"/>
      </w:r>
      <w:r>
        <w:rPr>
          <w:noProof/>
        </w:rPr>
        <w:instrText xml:space="preserve"> PAGEREF _Toc204263368 \h </w:instrText>
      </w:r>
      <w:r>
        <w:rPr>
          <w:noProof/>
        </w:rPr>
      </w:r>
      <w:r>
        <w:rPr>
          <w:noProof/>
        </w:rPr>
        <w:fldChar w:fldCharType="separate"/>
      </w:r>
      <w:r w:rsidR="008C132D">
        <w:rPr>
          <w:noProof/>
        </w:rPr>
        <w:t>97</w:t>
      </w:r>
      <w:r>
        <w:rPr>
          <w:noProof/>
        </w:rPr>
        <w:fldChar w:fldCharType="end"/>
      </w:r>
    </w:p>
    <w:p w14:paraId="3386330C" w14:textId="24F546C9" w:rsidR="008200C8" w:rsidRDefault="008200C8" w:rsidP="00AF6078">
      <w:pPr>
        <w:pStyle w:val="TableofFigures"/>
        <w:tabs>
          <w:tab w:val="right" w:leader="dot" w:pos="9350"/>
        </w:tabs>
        <w:spacing w:line="480" w:lineRule="auto"/>
        <w:ind w:left="720" w:hanging="706"/>
        <w:rPr>
          <w:rFonts w:asciiTheme="minorHAnsi" w:eastAsiaTheme="minorEastAsia" w:hAnsiTheme="minorHAnsi"/>
          <w:noProof/>
          <w:szCs w:val="24"/>
        </w:rPr>
      </w:pPr>
      <w:r w:rsidRPr="00EF68E7">
        <w:rPr>
          <w:b/>
          <w:bCs/>
          <w:noProof/>
        </w:rPr>
        <w:t xml:space="preserve">Figure 4.4: </w:t>
      </w:r>
      <w:r w:rsidRPr="00EF68E7">
        <w:rPr>
          <w:noProof/>
        </w:rPr>
        <w:t>Predicted impact of the interaction between flooding duration (x-axis) and clay content (y-axis) on cumulative N</w:t>
      </w:r>
      <w:r w:rsidRPr="00EF68E7">
        <w:rPr>
          <w:noProof/>
          <w:vertAlign w:val="subscript"/>
        </w:rPr>
        <w:t>2</w:t>
      </w:r>
      <w:r w:rsidRPr="00EF68E7">
        <w:rPr>
          <w:noProof/>
        </w:rPr>
        <w:t>O emissions (color).</w:t>
      </w:r>
      <w:r>
        <w:rPr>
          <w:noProof/>
        </w:rPr>
        <w:tab/>
      </w:r>
      <w:r>
        <w:rPr>
          <w:noProof/>
        </w:rPr>
        <w:fldChar w:fldCharType="begin"/>
      </w:r>
      <w:r>
        <w:rPr>
          <w:noProof/>
        </w:rPr>
        <w:instrText xml:space="preserve"> PAGEREF _Toc204263369 \h </w:instrText>
      </w:r>
      <w:r>
        <w:rPr>
          <w:noProof/>
        </w:rPr>
      </w:r>
      <w:r>
        <w:rPr>
          <w:noProof/>
        </w:rPr>
        <w:fldChar w:fldCharType="separate"/>
      </w:r>
      <w:r w:rsidR="008C132D">
        <w:rPr>
          <w:noProof/>
        </w:rPr>
        <w:t>100</w:t>
      </w:r>
      <w:r>
        <w:rPr>
          <w:noProof/>
        </w:rPr>
        <w:fldChar w:fldCharType="end"/>
      </w:r>
    </w:p>
    <w:p w14:paraId="3E613358" w14:textId="2CD3637E" w:rsidR="008200C8" w:rsidRDefault="008200C8" w:rsidP="00AF6078">
      <w:pPr>
        <w:pStyle w:val="TableofFigures"/>
        <w:tabs>
          <w:tab w:val="right" w:leader="dot" w:pos="9350"/>
        </w:tabs>
        <w:spacing w:line="480" w:lineRule="auto"/>
        <w:ind w:left="720" w:hanging="706"/>
        <w:rPr>
          <w:rFonts w:asciiTheme="minorHAnsi" w:eastAsiaTheme="minorEastAsia" w:hAnsiTheme="minorHAnsi"/>
          <w:noProof/>
          <w:szCs w:val="24"/>
        </w:rPr>
      </w:pPr>
      <w:r w:rsidRPr="00EF68E7">
        <w:rPr>
          <w:b/>
          <w:bCs/>
          <w:noProof/>
        </w:rPr>
        <w:t>Figure 4.5</w:t>
      </w:r>
      <w:r w:rsidRPr="00EF68E7">
        <w:rPr>
          <w:noProof/>
        </w:rPr>
        <w:t>: Actual and predicted cumulative N</w:t>
      </w:r>
      <w:r w:rsidRPr="00EF68E7">
        <w:rPr>
          <w:noProof/>
          <w:vertAlign w:val="subscript"/>
        </w:rPr>
        <w:t>2</w:t>
      </w:r>
      <w:r w:rsidRPr="00EF68E7">
        <w:rPr>
          <w:noProof/>
        </w:rPr>
        <w:t>O emissions by the reduced regression model. Soil texture is indicated by color, while flooding duration is indicated by shape.</w:t>
      </w:r>
      <w:r>
        <w:rPr>
          <w:noProof/>
        </w:rPr>
        <w:tab/>
      </w:r>
      <w:r>
        <w:rPr>
          <w:noProof/>
        </w:rPr>
        <w:fldChar w:fldCharType="begin"/>
      </w:r>
      <w:r>
        <w:rPr>
          <w:noProof/>
        </w:rPr>
        <w:instrText xml:space="preserve"> PAGEREF _Toc204263370 \h </w:instrText>
      </w:r>
      <w:r>
        <w:rPr>
          <w:noProof/>
        </w:rPr>
      </w:r>
      <w:r>
        <w:rPr>
          <w:noProof/>
        </w:rPr>
        <w:fldChar w:fldCharType="separate"/>
      </w:r>
      <w:r w:rsidR="008C132D">
        <w:rPr>
          <w:noProof/>
        </w:rPr>
        <w:t>100</w:t>
      </w:r>
      <w:r>
        <w:rPr>
          <w:noProof/>
        </w:rPr>
        <w:fldChar w:fldCharType="end"/>
      </w:r>
    </w:p>
    <w:p w14:paraId="17BA14F3" w14:textId="31FB9019" w:rsidR="00237966" w:rsidRPr="00994531" w:rsidRDefault="00E65AD8" w:rsidP="00AF6078">
      <w:pPr>
        <w:spacing w:line="480" w:lineRule="auto"/>
        <w:ind w:left="720" w:hanging="706"/>
        <w:jc w:val="both"/>
        <w:sectPr w:rsidR="00237966" w:rsidRPr="00994531" w:rsidSect="008D0EA9">
          <w:pgSz w:w="12240" w:h="15840"/>
          <w:pgMar w:top="1440" w:right="1440" w:bottom="1440" w:left="1440" w:header="720" w:footer="720" w:gutter="0"/>
          <w:pgNumType w:fmt="lowerRoman"/>
          <w:cols w:space="720"/>
          <w:docGrid w:linePitch="360"/>
        </w:sectPr>
      </w:pPr>
      <w:r w:rsidRPr="00994531">
        <w:fldChar w:fldCharType="end"/>
      </w:r>
    </w:p>
    <w:p w14:paraId="503B73BF" w14:textId="5CFF3B9F" w:rsidR="00925E05" w:rsidRPr="00BA6169" w:rsidRDefault="00925E05" w:rsidP="00925E05">
      <w:pPr>
        <w:pStyle w:val="Heading1"/>
      </w:pPr>
      <w:bookmarkStart w:id="20" w:name="_Toc204282732"/>
      <w:r w:rsidRPr="00BA6169">
        <w:lastRenderedPageBreak/>
        <w:t xml:space="preserve">CHAPTER </w:t>
      </w:r>
      <w:r w:rsidR="00415154">
        <w:t>1</w:t>
      </w:r>
      <w:r w:rsidRPr="00BA6169">
        <w:t>: INTRODUCTION AND LITERATURE REVIEW</w:t>
      </w:r>
      <w:bookmarkEnd w:id="20"/>
    </w:p>
    <w:p w14:paraId="3AF8197B" w14:textId="515B5FA9" w:rsidR="00237966" w:rsidRPr="00994531" w:rsidRDefault="00237966" w:rsidP="009225F2">
      <w:pPr>
        <w:spacing w:line="480" w:lineRule="auto"/>
        <w:ind w:left="706" w:hanging="706"/>
        <w:jc w:val="both"/>
        <w:sectPr w:rsidR="00237966" w:rsidRPr="00994531" w:rsidSect="00AB7684">
          <w:pgSz w:w="12240" w:h="15840"/>
          <w:pgMar w:top="1440" w:right="1440" w:bottom="1440" w:left="1440" w:header="720" w:footer="720" w:gutter="0"/>
          <w:pgNumType w:start="1"/>
          <w:cols w:space="720"/>
          <w:docGrid w:linePitch="360"/>
        </w:sectPr>
      </w:pPr>
    </w:p>
    <w:p w14:paraId="0212C7FB" w14:textId="3E691C09" w:rsidR="00613FF8" w:rsidRPr="00BA6169" w:rsidRDefault="00613FF8" w:rsidP="001B567A">
      <w:pPr>
        <w:pStyle w:val="Heading2"/>
      </w:pPr>
      <w:bookmarkStart w:id="21" w:name="_Toc204282733"/>
      <w:r>
        <w:lastRenderedPageBreak/>
        <w:t>Background</w:t>
      </w:r>
      <w:bookmarkEnd w:id="21"/>
    </w:p>
    <w:p w14:paraId="3C0E899E" w14:textId="2C923534" w:rsidR="00032567" w:rsidRPr="00890723" w:rsidRDefault="00032567" w:rsidP="001B567A">
      <w:pPr>
        <w:spacing w:after="0" w:line="480" w:lineRule="auto"/>
        <w:rPr>
          <w:szCs w:val="24"/>
        </w:rPr>
      </w:pPr>
      <w:r w:rsidRPr="00890723">
        <w:rPr>
          <w:szCs w:val="24"/>
        </w:rPr>
        <w:t xml:space="preserve">Climate change is already affecting life on Earth. Since Industrialization, the mean surface temperature of Earth has risen about 1.4 degrees Celsius (2.5 degrees Fahrenheit) as a result of greenhouse gases (GHG) which continue to be released into the atmosphere at an accelerating rate </w:t>
      </w:r>
      <w:r w:rsidRPr="00890723">
        <w:rPr>
          <w:szCs w:val="24"/>
        </w:rPr>
        <w:fldChar w:fldCharType="begin"/>
      </w:r>
      <w:r w:rsidR="003C7682">
        <w:rPr>
          <w:szCs w:val="24"/>
        </w:rPr>
        <w:instrText xml:space="preserve"> ADDIN ZOTERO_ITEM CSL_CITATION {"citationID":"R8aJtq1W","properties":{"formattedCitation":"(Lamb et al., 2022)","plainCitation":"(Lamb et al., 2022)","noteIndex":0},"citationItems":[{"id":3263,"uris":["http://zotero.org/groups/5980607/items/FYN5VKXU"],"itemData":{"id":3263,"type":"article-journal","abstract":"While global greenhouse gas (GHG) emissions are still rising, a number of countries have emerged with a sustained record of emissions reductions. In this article, we identify these countries and examine their progress, exploring how fast, how deep, and in which sectors they have reduced emissions. We analyse changes in all major GHG emissions sources, with both production – and consumption-based accounting, but exclude very small countries with high volatility, along with land-use, land-use change and forestry CO2 emissions. We find that 24 countries have sustained reductions in annual CO2 and GHG emissions between 1970 and 2018, in total equalling 3.2 GtCO2eq since their respective emissions peaks. In all but three countries, overall GHG reductions are less than energy and industrial CO2 reductions alone. We group countries into three types of emissions pathway: six former Eastern Bloc countries, where emissions declined rapidly in the 1990s and have continued on a downward trajectory since; six Long-term decline countries, which have sustained reductions since the 1970s; and 12 Recent peak countries, whose emissions decline began in the 2000s. In all cases, emissions reductions were achieved primarily in the energy systems sector, specifically in electricity and heat generation, which still remains the largest source of emissions in most countries. By contrast, in the transport sector, emissions tend to be stable or increasing. Transport is the second largest source of current emissions in Recent peak and Long-term decline countries. While the total GHG reductions of these 24 countries are trivial compared to recent global emissions growth, some have achieved a decline of up to 50% in their annual emissions, showing what is possible even under very moderate climate action. Most countries achieved emissions reductions alongside sustained economic growth, and some approached the fast annual rates of change that will be needed across the world in the coming decades to limit warming to 2°C. This raises the hope that more substantive climate policy, as planned in a growing number of countries, may bring about deeper and more rapid emissions reductions than some may expect today. Key policy insights 24 countries have sustained CO2 and GHG emissions reductions between 1970 and 2018The annual emissions reductions of some countries are within the range of those needed to limit global warming to 2°C, but not consistently, nor across all underlying sectorsMost emissions reductions were achieved in the energy sector; transport emissions have remained stable or continue to grow 24 countries have sustained CO2 and GHG emissions reductions between 1970 and 2018 The annual emissions reductions of some countries are within the range of those needed to limit global warming to 2°C, but not consistently, nor across all underlying sectors Most emissions reductions were achieved in the energy sector; transport emissions have remained stable or continue to grow","container-title":"Climate Policy","DOI":"10.1080/14693062.2021.1990831","ISSN":"1469-3062","issue":"1","note":"publisher: Taylor &amp; Francis\n_eprint: https://doi.org/10.1080/14693062.2021.1990831","page":"1-17","source":"Taylor and Francis+NEJM","title":"Countries with sustained greenhouse gas emissions reductions: an analysis of trends and progress by sector","title-short":"Countries with sustained greenhouse gas emissions reductions","volume":"22","author":[{"family":"Lamb","given":"William F."},{"family":"","given":"Grubb ,Michael"},{"family":"","given":"Diluiso ,Francesca"},{"family":"Minx","given":"Jan C.","non-dropping-particle":"and"}],"issued":{"date-parts":[["2022",1,14]]}}}],"schema":"https://github.com/citation-style-language/schema/raw/master/csl-citation.json"} </w:instrText>
      </w:r>
      <w:r w:rsidRPr="00890723">
        <w:rPr>
          <w:szCs w:val="24"/>
        </w:rPr>
        <w:fldChar w:fldCharType="separate"/>
      </w:r>
      <w:r w:rsidRPr="00890723">
        <w:rPr>
          <w:rFonts w:cs="Times New Roman"/>
          <w:szCs w:val="24"/>
        </w:rPr>
        <w:t>(Lamb et al., 2022)</w:t>
      </w:r>
      <w:r w:rsidRPr="00890723">
        <w:rPr>
          <w:szCs w:val="24"/>
        </w:rPr>
        <w:fldChar w:fldCharType="end"/>
      </w:r>
      <w:r w:rsidRPr="00890723">
        <w:rPr>
          <w:szCs w:val="24"/>
        </w:rPr>
        <w:t xml:space="preserve">. The further advancement of warming threatens to intensify natural disasters, hunger, conflict, ecosystem loss, disease, mortality, and many more dire and interrelated social and ecological consequences by the end of this century </w:t>
      </w:r>
      <w:r w:rsidRPr="00890723">
        <w:rPr>
          <w:szCs w:val="24"/>
        </w:rPr>
        <w:fldChar w:fldCharType="begin"/>
      </w:r>
      <w:r w:rsidR="003C7682">
        <w:rPr>
          <w:szCs w:val="24"/>
        </w:rPr>
        <w:instrText xml:space="preserve"> ADDIN ZOTERO_ITEM CSL_CITATION {"citationID":"HnOlwY45","properties":{"formattedCitation":"(Bowles et al., 2015; Davies &amp; Riddell, 2017; Woodward &amp; Porter, 2016)","plainCitation":"(Bowles et al., 2015; Davies &amp; Riddell, 2017; Woodward &amp; Porter, 2016)","noteIndex":0},"citationItems":[{"id":3563,"uris":["http://zotero.org/groups/5980607/items/2KTSZ8EW"],"itemData":{"id":3563,"type":"article-journal","abstract":"Summary\nFuture climate change is predicted to diminish essential natural resource availability in many regions and perhaps globally. The resulting scarcity of water, food and livelihoods could lead to increasingly desperate populations that challenge governments, enhancing the risk of intra- and interstate conflict. Defence establishments and some political scientists view climate change as a potential threat to peace. While the medical literature increasingly recognises climate change as a fundamental health risk, the dimension of climate change-associated conflict has so far received little attention, despite its profound health implications. Many analysts link climate change with a heightened risk of conflict via causal pathways which involve diminishing or changing resource availability. Plausible consequences include: increased frequency of civil conflict in developing countries; terrorism, asymmetric warfare, state failure; and major regional conflicts. The medical understanding of these threats is inadequate, given the scale of health implications. The medical and public health communities have often been reluctant to interpret conflict as a health issue. However, at times, medical workers have proven powerful and effective peace advocates, most notably with regard to nuclear disarmament. The public is more motivated to mitigate climate change when it is framed as a health issue. Improved medical understanding of the association between climate change and conflict could strengthen mitigation efforts and increase cooperation to cope with the climate change that is now inevitable.","container-title":"Journal of the Royal Society of Medicine","DOI":"10.1177/0141076815603234","ISSN":"0141-0768","issue":"10","journalAbbreviation":"J R Soc Med","language":"EN","note":"publisher: SAGE Publications","page":"390-395","source":"SAGE Journals","title":"Climate change, conflict and health","volume":"108","author":[{"family":"Bowles","given":"Devin C"},{"family":"Butler","given":"Colin D"},{"family":"Morisetti","given":"Neil"}],"issued":{"date-parts":[["2015",10,1]]}}},{"id":3562,"uris":["http://zotero.org/groups/5980607/items/QHL5ITH5"],"itemData":{"id":3562,"type":"article-journal","container-title":"Georgetown Environmental Law Review","journalAbbreviation":"Geo. Envtl. L. Rev.","page":"47","source":"COinS","title":"The Warming War: How Climate Change Is Creating Threats to International Peace and Security","title-short":"The Warming War","volume":"30","author":[{"family":"Davies","given":"Kirsten"},{"family":"Riddell","given":"Thomas"}],"issued":{"date-parts":[["2017"]],"season":"2018"}}},{"id":3561,"uris":["http://zotero.org/groups/5980607/items/SDLYNCJN"],"itemData":{"id":3561,"type":"article-journal","container-title":"The Lancet","DOI":"10.1016/S0140-6736(16)00349-4","ISSN":"0140-6736, 1474-547X","issue":"10031","journalAbbreviation":"The Lancet","language":"English","note":"publisher: Elsevier","page":"1886-1887","source":"www.thelancet.com","title":"Food, hunger, health, and climate change","volume":"387","author":[{"family":"Woodward","given":"Alistair"},{"family":"Porter","given":"John R."}],"issued":{"date-parts":[["2016",5,7]]}}}],"schema":"https://github.com/citation-style-language/schema/raw/master/csl-citation.json"} </w:instrText>
      </w:r>
      <w:r w:rsidRPr="00890723">
        <w:rPr>
          <w:szCs w:val="24"/>
        </w:rPr>
        <w:fldChar w:fldCharType="separate"/>
      </w:r>
      <w:r w:rsidRPr="00890723">
        <w:rPr>
          <w:rFonts w:cs="Times New Roman"/>
        </w:rPr>
        <w:t>(Bowles et al., 2015; Davies &amp; Riddell, 2017; Woodward &amp; Porter, 2016)</w:t>
      </w:r>
      <w:r w:rsidRPr="00890723">
        <w:rPr>
          <w:szCs w:val="24"/>
        </w:rPr>
        <w:fldChar w:fldCharType="end"/>
      </w:r>
      <w:r w:rsidRPr="00890723">
        <w:rPr>
          <w:szCs w:val="24"/>
        </w:rPr>
        <w:t xml:space="preserve">. The Intergovernmental Panel on Climate Change (IPCC) has assessed thousands of possible reduction pathways employing various strategies and levels of ambition </w:t>
      </w:r>
      <w:r w:rsidRPr="00890723">
        <w:rPr>
          <w:szCs w:val="24"/>
        </w:rPr>
        <w:fldChar w:fldCharType="begin"/>
      </w:r>
      <w:r w:rsidR="003C7682">
        <w:rPr>
          <w:szCs w:val="24"/>
        </w:rPr>
        <w:instrText xml:space="preserve"> ADDIN ZOTERO_ITEM CSL_CITATION {"citationID":"Cur4JpyP","properties":{"formattedCitation":"(Achakulwisut et al., 2023)","plainCitation":"(Achakulwisut et al., 2023)","noteIndex":0},"citationItems":[{"id":3267,"uris":["http://zotero.org/groups/5980607/items/49EP5PTV"],"itemData":{"id":3267,"type":"article-journal","abstract":"The mitigation scenarios database of the Intergovernmental Panel on Climate Change’s Sixth Assessment Report is an important resource for informing policymaking on energy transitions. However, there is a large variety of models, scenario designs, and resulting outputs. Here we analyse the scenarios consistent with limiting warming to 2 °C or below regarding the speed, trajectory, and feasibility of different fossil fuel reduction pathways. In scenarios limiting warming to 1.5 °C with no or limited overshoot, global coal, oil, and natural gas supply (intended for all uses) decline on average by 95%, 62%, and 42%, respectively, from 2020 to 2050, but the long-term role of gas is highly variable. Higher-gas pathways are enabled by higher carbon capture and storage (CCS) and carbon dioxide removal (CDR), but are likely associated with inadequate model representation of regional CO2 storage capacity and technology adoption, diffusion, and path-dependencies. If CDR is constrained by limits derived from expert consensus, the respective modelled coal, oil, and gas reductions become 99%, 70%, and 84%. Our findings suggest the need to adopt unambiguous near- and long-term reduction benchmarks in coal, oil, and gas production and use alongside other climate mitigation targets.","container-title":"Nature Communications","DOI":"10.1038/s41467-023-41105-z","ISSN":"2041-1723","issue":"1","journalAbbreviation":"Nat Commun","language":"en","license":"2023 The Author(s)","note":"publisher: Nature Publishing Group","page":"5425","source":"www.nature.com","title":"Global fossil fuel reduction pathways under different climate mitigation strategies and ambitions","volume":"14","author":[{"family":"Achakulwisut","given":"Ploy"},{"family":"Erickson","given":"Peter"},{"family":"Guivarch","given":"Céline"},{"family":"Schaeffer","given":"Roberto"},{"family":"Brutschin","given":"Elina"},{"family":"Pye","given":"Steve"}],"issued":{"date-parts":[["2023",9,13]]}}}],"schema":"https://github.com/citation-style-language/schema/raw/master/csl-citation.json"} </w:instrText>
      </w:r>
      <w:r w:rsidRPr="00890723">
        <w:rPr>
          <w:szCs w:val="24"/>
        </w:rPr>
        <w:fldChar w:fldCharType="separate"/>
      </w:r>
      <w:r w:rsidRPr="00890723">
        <w:rPr>
          <w:rFonts w:cs="Times New Roman"/>
          <w:szCs w:val="24"/>
        </w:rPr>
        <w:t>(Achakulwisut et al., 2023)</w:t>
      </w:r>
      <w:r w:rsidRPr="00890723">
        <w:rPr>
          <w:szCs w:val="24"/>
        </w:rPr>
        <w:fldChar w:fldCharType="end"/>
      </w:r>
      <w:r w:rsidRPr="00890723">
        <w:rPr>
          <w:szCs w:val="24"/>
        </w:rPr>
        <w:t xml:space="preserve">, concluding that limiting total warming to 2 °C will require substantial reductions from all major sectors worldwide </w:t>
      </w:r>
      <w:r w:rsidRPr="00890723">
        <w:rPr>
          <w:szCs w:val="24"/>
        </w:rPr>
        <w:fldChar w:fldCharType="begin"/>
      </w:r>
      <w:r w:rsidR="003C7682">
        <w:rPr>
          <w:szCs w:val="24"/>
        </w:rPr>
        <w:instrText xml:space="preserve"> ADDIN ZOTERO_ITEM CSL_CITATION {"citationID":"OtJW6T79","properties":{"formattedCitation":"(Intergovernmental Panel On Climate Change (Ipcc), 2023)","plainCitation":"(Intergovernmental Panel On Climate Change (Ipcc), 2023)","dontUpdate":true,"noteIndex":0},"citationItems":[{"id":3276,"uris":["http://zotero.org/groups/4573874/items/IMCAXXS9"],"itemData":{"id":3276,"type":"chapter","container-title":"Climate Change 2022 - Mitigation of Climate Change","edition":"1","ISBN":"978-1-00-915792-6","language":"en","license":"https://www.cambridge.org/core/terms","note":"DOI: 10.1017/9781009157926.005","page":"295-408","publisher":"Cambridge University Press","source":"DOI.org (Crossref)","title":"Mitigation Pathways Compatible with Long-term Goals","URL":"https://www.cambridge.org/core/product/identifier/9781009157926%23c3/type/book_part","editor":[{"literal":"Intergovernmental Panel On Climate Change (Ipcc)"}],"accessed":{"date-parts":[["2025",5,6]]},"issued":{"date-parts":[["2023",8,17]]}}}],"schema":"https://github.com/citation-style-language/schema/raw/master/csl-citation.json"} </w:instrText>
      </w:r>
      <w:r w:rsidRPr="00890723">
        <w:rPr>
          <w:szCs w:val="24"/>
        </w:rPr>
        <w:fldChar w:fldCharType="separate"/>
      </w:r>
      <w:r w:rsidRPr="00890723">
        <w:rPr>
          <w:rFonts w:cs="Times New Roman"/>
          <w:szCs w:val="24"/>
        </w:rPr>
        <w:t>(IPCC, 2023)</w:t>
      </w:r>
      <w:r w:rsidRPr="00890723">
        <w:rPr>
          <w:szCs w:val="24"/>
        </w:rPr>
        <w:fldChar w:fldCharType="end"/>
      </w:r>
      <w:r w:rsidRPr="00890723">
        <w:rPr>
          <w:szCs w:val="24"/>
        </w:rPr>
        <w:t xml:space="preserve">. In response to the scale and scope of this challenge, a refrain has arisen from scientists and activists that “every job is a climate job” </w:t>
      </w:r>
      <w:r w:rsidRPr="00890723">
        <w:rPr>
          <w:szCs w:val="24"/>
        </w:rPr>
        <w:fldChar w:fldCharType="begin"/>
      </w:r>
      <w:r w:rsidR="003C7682">
        <w:rPr>
          <w:szCs w:val="24"/>
        </w:rPr>
        <w:instrText xml:space="preserve"> ADDIN ZOTERO_ITEM CSL_CITATION {"citationID":"DZjewsQc","properties":{"formattedCitation":"(Project Drawdown, 2021)","plainCitation":"(Project Drawdown, 2021)","noteIndex":0},"citationItems":[{"id":3281,"uris":["http://zotero.org/groups/5980607/items/QDDGSZM7"],"itemData":{"id":3281,"type":"report","language":"en","page":"43","publisher":"Drawdown Labs","title":"Climate Solutions at Work","URL":"https://drawdown.org/publications/climate-solutions-at-work","author":[{"family":"Project Drawdown","given":""}],"accessed":{"date-parts":[["2025",5,6]]},"issued":{"date-parts":[["2021",9]]}}}],"schema":"https://github.com/citation-style-language/schema/raw/master/csl-citation.json"} </w:instrText>
      </w:r>
      <w:r w:rsidRPr="00890723">
        <w:rPr>
          <w:szCs w:val="24"/>
        </w:rPr>
        <w:fldChar w:fldCharType="separate"/>
      </w:r>
      <w:r w:rsidRPr="00890723">
        <w:rPr>
          <w:rFonts w:cs="Times New Roman"/>
          <w:szCs w:val="24"/>
        </w:rPr>
        <w:t>(Project Drawdown, 2021)</w:t>
      </w:r>
      <w:r w:rsidRPr="00890723">
        <w:rPr>
          <w:szCs w:val="24"/>
        </w:rPr>
        <w:fldChar w:fldCharType="end"/>
      </w:r>
      <w:r w:rsidRPr="00890723">
        <w:rPr>
          <w:szCs w:val="24"/>
        </w:rPr>
        <w:t xml:space="preserve">, reminding us of our collective responsibility to each other and future generations, and our individual power to make a difference no matter what our role in society may be. </w:t>
      </w:r>
    </w:p>
    <w:p w14:paraId="14C239F6" w14:textId="23836BC0" w:rsidR="00032567" w:rsidRPr="00890723" w:rsidRDefault="00032567" w:rsidP="001B567A">
      <w:pPr>
        <w:spacing w:after="0" w:line="480" w:lineRule="auto"/>
        <w:rPr>
          <w:szCs w:val="24"/>
        </w:rPr>
      </w:pPr>
      <w:r w:rsidRPr="00890723">
        <w:rPr>
          <w:szCs w:val="24"/>
        </w:rPr>
        <w:t xml:space="preserve">Meeting these ambitions mitigation targets within our food system will be a particularly critical and challenging task. Globally, agriculture and its associated land use change contribute between 18-30% of GHG emissions, and thus encompass a substantial portion of these necessary reductions </w:t>
      </w:r>
      <w:r w:rsidRPr="00890723">
        <w:rPr>
          <w:szCs w:val="24"/>
        </w:rPr>
        <w:fldChar w:fldCharType="begin"/>
      </w:r>
      <w:r w:rsidR="003C7682">
        <w:rPr>
          <w:szCs w:val="24"/>
        </w:rPr>
        <w:instrText xml:space="preserve"> ADDIN ZOTERO_ITEM CSL_CITATION {"citationID":"G1UtWzWq","properties":{"formattedCitation":"(Crippa et al., 2021; Garnett, 2011; Rosenzweig et al., 2020)","plainCitation":"(Crippa et al., 2021; Garnett, 2011; Rosenzweig et al., 2020)","noteIndex":0},"citationItems":[{"id":943,"uris":["http://zotero.org/groups/5079735/items/IZWY8MZW"],"itemData":{"id":943,"type":"article-journal","abstract":"We have developed a new global food emissions database (EDGAR-FOOD) estimating greenhouse gas (GHG; CO2, CH4, N2O, fluorinated gases) emissions for the years 1990–2015, building on the Emissions Database of Global Atmospheric Research (EDGAR), complemented with land use/land-use change emissions from the FAOSTAT emissions database. EDGAR-FOOD provides a complete and consistent database in time and space of GHG emissions from the global food system, from production to consumption, including processing, transport and packaging. It responds to the lack of detailed data for many countries by providing sectoral contributions to food-system emissions that are essential for the design of effective mitigation actions. In 2015, food-system emissions amounted to 18 Gt CO2 equivalent per year globally, representing 34% of total GHG emissions. The largest contribution came from agriculture and land use/land-use change activities (71%), with the remaining were from supply chain activities: retail, transport, consumption, fuel production, waste management, industrial processes and packaging. Temporal trends and regional contributions of GHG emissions from the food system are also discussed.","container-title":"Nature Food","DOI":"10.1038/s43016-021-00225-9","ISSN":"2662-1355","issue":"3","journalAbbreviation":"Nat Food","language":"en","license":"2021 The Author(s), under exclusive licence to Springer Nature Limited","note":"number: 3\npublisher: Nature Publishing Group","page":"198-209","source":"www.nature.com","title":"Food systems are responsible for a third of global anthropogenic GHG emissions","volume":"2","author":[{"family":"Crippa","given":"M."},{"family":"Solazzo","given":"E."},{"family":"Guizzardi","given":"D."},{"family":"Monforti-Ferrario","given":"F."},{"family":"Tubiello","given":"F. N."},{"family":"Leip","given":"A."}],"issued":{"date-parts":[["2021",3]]}}},{"id":1473,"uris":["http://zotero.org/groups/4573874/items/SVNSWCJJ"],"itemData":{"id":1473,"type":"article-journal","abstract":"This paper reviews estimates of food related greenhouse gas (GHG) emissions at the global, regional and national levels, highlighting both GHG-intensive stages in the food chain, and GHG-intensive food types. It examines approaches that have been proposed for mitigating emissions at each stage in the chain and looks at how these sit within wider discussions of sustainability. It finds that efficiency-focused technological measures, while important, may not only be insufficient in reducing GHGs to the level required but may also give rise to other environmental and ethical concerns. It gives evidence showing that in addition to technological mitigation it will also be necessary to shift patterns of consumption, and in particular away from diets rich in GHG-intensive meat and dairy foods. This will be necessary not just in the developed but also, in the longer term, in the developing world. This move, while potentially beneficial for food secure, wealthier populations, raises potentially serious nutritional questions for the world’s poorest. A priority for decision makers is to develop policies that explicitly seek to integrate agricultural, environmental and nutritional objectives.","collection-title":"The challenge of global food sustainability","container-title":"Food Policy","DOI":"10.1016/j.foodpol.2010.10.010","ISSN":"0306-9192","journalAbbreviation":"Food Policy","page":"S23-S32","source":"ScienceDirect","title":"Where are the best opportunities for reducing greenhouse gas emissions in the food system (including the food chain)?","volume":"36","author":[{"family":"Garnett","given":"Tara"}],"issued":{"date-parts":[["2011",1,1]]}}},{"id":1244,"uris":["http://zotero.org/groups/4573874/items/GW3ZULWT"],"itemData":{"id":1244,"type":"article-journal","abstract":"A food system framework breaks down entrenched sectoral categories and existing adaptation and mitigation silos, presenting novel ways of assessing and enabling integrated climate change solutions from production to consumption.","container-title":"Nature Food","DOI":"10.1038/s43016-020-0031-z","ISSN":"2662-1355","issue":"2","journalAbbreviation":"Nat Food","language":"en","license":"2020 This is a U.S. government work and not under copyright protection in the U.S.; foreign copyright protection may apply","note":"number: 2\npublisher: Nature Publishing Group","page":"94-97","source":"www.nature.com","title":"Climate change responses benefit from a global food system approach","volume":"1","author":[{"family":"Rosenzweig","given":"Cynthia"},{"family":"Mbow","given":"Cheikh"},{"family":"Barioni","given":"Luis G."},{"family":"Benton","given":"Tim G."},{"family":"Herrero","given":"Mario"},{"family":"Krishnapillai","given":"Murukesan"},{"family":"Liwenga","given":"Emma T."},{"family":"Pradhan","given":"Prajal"},{"family":"Rivera-Ferre","given":"Marta G."},{"family":"Sapkota","given":"Tek"},{"family":"Tubiello","given":"Francesco N."},{"family":"Xu","given":"Yinlong"},{"family":"Mencos Contreras","given":"Erik"},{"family":"Portugal-Pereira","given":"Joana"}],"issued":{"date-parts":[["2020",2]]}}}],"schema":"https://github.com/citation-style-language/schema/raw/master/csl-citation.json"} </w:instrText>
      </w:r>
      <w:r w:rsidRPr="00890723">
        <w:rPr>
          <w:szCs w:val="24"/>
        </w:rPr>
        <w:fldChar w:fldCharType="separate"/>
      </w:r>
      <w:r w:rsidRPr="00890723">
        <w:rPr>
          <w:rFonts w:cs="Times New Roman"/>
          <w:szCs w:val="24"/>
        </w:rPr>
        <w:t>(Crippa et al., 2021; Garnett, 2011; Rosenzweig et al., 2020)</w:t>
      </w:r>
      <w:r w:rsidRPr="00890723">
        <w:rPr>
          <w:szCs w:val="24"/>
        </w:rPr>
        <w:fldChar w:fldCharType="end"/>
      </w:r>
      <w:r w:rsidRPr="00890723">
        <w:rPr>
          <w:szCs w:val="24"/>
        </w:rPr>
        <w:t xml:space="preserve">. Complicating matters further, these emissions reductions must coincide with increases in calorie production worldwide to combat hunger and malnutrition amid rising crop losses associated with warming temperatures and a growing population </w:t>
      </w:r>
      <w:r w:rsidRPr="00890723">
        <w:rPr>
          <w:szCs w:val="24"/>
        </w:rPr>
        <w:fldChar w:fldCharType="begin"/>
      </w:r>
      <w:r w:rsidR="003C7682">
        <w:rPr>
          <w:szCs w:val="24"/>
        </w:rPr>
        <w:instrText xml:space="preserve"> ADDIN ZOTERO_ITEM CSL_CITATION {"citationID":"kpidLzDL","properties":{"formattedCitation":"(Cassidy et al., 2013; IPCC, 2022; Rezaei et al., 2023; Smith, 2017)","plainCitation":"(Cassidy et al., 2013; IPCC, 2022; Rezaei et al., 2023; Smith, 2017)","noteIndex":0},"citationItems":[{"id":881,"uris":["http://zotero.org/groups/5079735/items/GSB89M6V"],"itemData":{"id":881,"type":"article-journal","abstract":"Worldwide demand for crops is increasing rapidly due to global population growth, increased biofuel production, and changing dietary preferences. Meeting these growing demands will be a substantial challenge that will tax the capability of our food system and prompt calls to dramatically boost global crop production. However, to increase food availability, we may also consider how the world’s crops are allocated to different uses and whether it is possible to feed more people with current levels of crop production. Of particular interest are the uses of crops as animal feed and as biofuel feedstocks. Currently, 36% of the calories produced by the world’s crops are being used for animal feed, and only 12% of those feed calories ultimately contribute to the human diet (as meat and other animal products). Additionally, human-edible calories used for biofuel production increased fourfold between the years 2000 and 2010, from 1% to 4%, representing a net reduction of available food globally. In this study, we re-examine agricultural productivity, going from using the standard definition of yield (in tonnes per hectare, or similar units) to using the number of people actually fed per hectare of cropland. We find that, given the current mix of crop uses, growing food exclusively for direct human consumption could, in principle, increase available food calories by as much as 70%, which could feed an additional 4 billion people (more than the projected 2–3 billion people arriving through population growth). Even small shifts in our allocation of crops to animal feed and biofuels could significantly increase global food availability, and could be an instrumental tool in meeting the challenges of ensuring global food security.","container-title":"Environmental Research Letters","DOI":"10.1088/1748-9326/8/3/034015","ISSN":"1748-9326","issue":"3","journalAbbreviation":"Environ. Res. Lett.","language":"en","note":"publisher: IOP Publishing","page":"034015","source":"Institute of Physics","title":"Redefining agricultural yields: from tonnes to people nourished per hectare","title-short":"Redefining agricultural yields","volume":"8","author":[{"family":"Cassidy","given":"Emily S."},{"family":"West","given":"Paul C."},{"family":"Gerber","given":"James S."},{"family":"Foley","given":"Jonathan A."}],"issued":{"date-parts":[["2013",8]]}}},{"id":877,"uris":["http://zotero.org/groups/4573874/items/2BXIA75P"],"itemData":{"id":877,"type":"book","abstract":"The Intergovernmental Panel on Climate Change (IPCC) is the leading international body for assessing the science related to climate change. It provides policymakers with regular assessments of the scientific basis of human-induced climate change, its impacts and future risks, and options for adaptation and mitigation. This IPCC Special Report on Climate Change and Land (SRCCL) is the most comprehensive and up-to-date scientific assessment of the multiple interactions between climate change and land, assessing climate change, desertification, land degradation, sustainable land management, food security, and greenhouse gas fluxes in terrestrial ecosystems. It assesses the options for governance and decision-making across multiple scales. It serves policymakers, decision makers, stakeholders, and all interested parties with unbiased, up-to-date, policy-relevant information. This title is also available as Open Access on Cambridge Core.","edition":"1","ISBN":"978-1-00-915798-8","language":"en","note":"DOI: 10.1017/9781009157988","publisher":"Cambridge University Press","source":"DOI.org (Crossref)","title":"Climate Change and Land: IPCC Special Report on Climate Change, Desertification, Land Degradation, Sustainable Land Management, Food Security, and Greenhouse Gas Fluxes in Terrestrial Ecosystems","title-short":"Climate Change and Land","URL":"https://www.cambridge.org/core/product/identifier/9781009157988/type/book","author":[{"literal":"IPCC"}],"accessed":{"date-parts":[["2023",5,30]]},"issued":{"date-parts":[["2022",12,8]]}}},{"id":3418,"uris":["http://zotero.org/groups/5980607/items/DSGXG5HQ"],"itemData":{"id":3418,"type":"article-journal","abstract":"Climate change challenges efforts to maintain and improve crop production in many regions. In this Review, we examine yield responses to warmer temperatures, elevated carbon dioxide and changes in water availability for globally important staple cereal crops (wheat, maize, millet, sorghum and rice). Elevated CO2 can have a compensatory effect on crop yield for C3 crops (wheat and rice), but it can be offset by heat and drought. In contrast, elevated CO2 only benefits C4 plants (maize, millet and sorghum) under drought stress. Under the most severe climate change scenario and without adaptation, simulated crop yield losses range from 7% to 23%. The adverse effects in higher latitudes could potentially be offset or reversed by CO2 fertilization and adaptation options, but lower latitudes, where C4 crops are the primary crops, benefit less from CO2 fertilization. Irrigation and nutrient management are likely to be the most effective adaptation options (up to 40% in wheat yield for higher latitudes compared with baseline) but require substantial investments and might not be universally applicable, for example where there are water resource constraints. Establishing multifactor experiments (including multipurpose cultivar panels), developing biotic stress modelling routines, merging process-based and data-driven models, and using integrated impact assessments, are all essential to better capture and assess yield responses to climate change.","container-title":"Nature Reviews Earth &amp; Environment","DOI":"10.1038/s43017-023-00491-0","ISSN":"2662-138X","issue":"12","journalAbbreviation":"Nat Rev Earth Environ","language":"en","license":"2023 Springer Nature Limited","note":"publisher: Nature Publishing Group","page":"831-846","source":"www.nature.com","title":"Climate change impacts on crop yields","volume":"4","author":[{"family":"Rezaei","given":"Ehsan Eyshi"},{"family":"Webber","given":"Heidi"},{"family":"Asseng","given":"Senthold"},{"family":"Boote","given":"Kenneth"},{"family":"Durand","given":"Jean Louis"},{"family":"Ewert","given":"Frank"},{"family":"Martre","given":"Pierre"},{"family":"MacCarthy","given":"Dilys Sefakor"}],"issued":{"date-parts":[["2023",12]]}}},{"id":1923,"uris":["http://zotero.org/groups/5631027/items/L5F4M7F9"],"itemData":{"id":1923,"type":"article-journal","abstract":"Nitrous oxide, N2O, is the third most important of the long-lived greenhouse gases, in terms of its contribution to global warming, and is expected to be the dominant cause of stratospheric ozone depletion this century. The concentration of N2O in the atmosphere was fairly constant until the beginning of the industrial age, but has gone up by 20% since. This is because of increased anthropogenic emissions, of which about 60% come from agricultural soil. The cause is the increased use of synthetic fertilizer nitrogen globally to meet the demands for increased production of food and biofuels. This review examines the isotopic evidence for this role of fertilizer N, the main mechanisms for microbial production of N2O in soil, the key soil physical and other variables that greatly affect the magnitude of emissions, and the spatial and temporal variation in emissions and the associated problems of measurement. The review also considers the methodology devised by the Intergovernmental Panel on Climate Change (IPCC) to enable countries to compile national inventories of their emissions, direct and indirect, that arise from anthropogenic activity related to agriculture and land use. This methodology also enables modellers to make ‘bottom-up’ global estimates of N2O emissions. These estimates agree quite well at the global scale with ‘top-down’ estimates based on the relation between reactive nitrogen newly introduced into agricultural ecosystems and increases in the global atmospheric concentration of N2O, but not with some recent regional-scale emission measurements. The discrepancy may be related to problems of estimating indirect emissions. Top-down estimates indicate that N2O emissions from crop-based biofuels are too great to comply with national and international environmental regulations. Finally, possible future trends in emissions and possible mitigation measures are discussed. Highlights Evidence for increasing N2O in the atmosphere suggests it is caused by fertilizer N use. Agreements and inconsistencies in assessments of N2O emissions are considered. The main cause of increasing N2O is the use of synthetic N fertilizers on agricultural soil worldwide. Indirect emissions from waters receiving leached N may be a major cause of assessment uncertainties.","container-title":"European Journal of Soil Science","DOI":"10.1111/ejss.12409","ISSN":"1365-2389","issue":"2","language":"en","license":"© 2017 British Society of Soil Science","note":"_eprint: https://onlinelibrary.wiley.com/doi/pdf/10.1111/ejss.12409","page":"137-155","source":"Wiley Online Library","title":"Changing views of nitrous oxide emissions from agricultural soil: key controlling processes and assessment at different spatial scales","title-short":"Changing views of nitrous oxide emissions from agricultural soil","volume":"68","author":[{"family":"Smith","given":"K. A."}],"issued":{"date-parts":[["2017"]]}}}],"schema":"https://github.com/citation-style-language/schema/raw/master/csl-citation.json"} </w:instrText>
      </w:r>
      <w:r w:rsidRPr="00890723">
        <w:rPr>
          <w:szCs w:val="24"/>
        </w:rPr>
        <w:fldChar w:fldCharType="separate"/>
      </w:r>
      <w:r w:rsidR="003C7682" w:rsidRPr="003C7682">
        <w:rPr>
          <w:rFonts w:cs="Times New Roman"/>
        </w:rPr>
        <w:t>(Cassidy et al., 2013; IPCC, 2022; Rezaei et al., 2023; Smith, 2017)</w:t>
      </w:r>
      <w:r w:rsidRPr="00890723">
        <w:rPr>
          <w:szCs w:val="24"/>
        </w:rPr>
        <w:fldChar w:fldCharType="end"/>
      </w:r>
      <w:r w:rsidRPr="00890723">
        <w:rPr>
          <w:szCs w:val="24"/>
        </w:rPr>
        <w:t>. Historically these aims have been at odds, with large reductions in global hunger during the 20</w:t>
      </w:r>
      <w:r w:rsidRPr="00890723">
        <w:rPr>
          <w:szCs w:val="24"/>
          <w:vertAlign w:val="superscript"/>
        </w:rPr>
        <w:t>th</w:t>
      </w:r>
      <w:r w:rsidRPr="00890723">
        <w:rPr>
          <w:szCs w:val="24"/>
        </w:rPr>
        <w:t xml:space="preserve"> </w:t>
      </w:r>
      <w:r w:rsidRPr="00890723">
        <w:rPr>
          <w:szCs w:val="24"/>
        </w:rPr>
        <w:lastRenderedPageBreak/>
        <w:t xml:space="preserve">century achieved through mechanization, land expansion, and dramatic increases in nitrogen use made possible through the Haber-Bosh process, each of which also contributed to rapidly growing emissions </w:t>
      </w:r>
      <w:r w:rsidRPr="00890723">
        <w:rPr>
          <w:szCs w:val="24"/>
        </w:rPr>
        <w:fldChar w:fldCharType="begin"/>
      </w:r>
      <w:r w:rsidR="003C7682">
        <w:rPr>
          <w:szCs w:val="24"/>
        </w:rPr>
        <w:instrText xml:space="preserve"> ADDIN ZOTERO_ITEM CSL_CITATION {"citationID":"4cu6goF2","properties":{"formattedCitation":"(Chaplin-Kramer et al., 2023; Deng et al., 2016; Erisman et al., 2008; L. B. Guo &amp; Gifford, 2002)","plainCitation":"(Chaplin-Kramer et al., 2023; Deng et al., 2016; Erisman et al., 2008; L. B. Guo &amp; Gifford, 2002)","noteIndex":0},"citationItems":[{"id":1008,"uris":["http://zotero.org/groups/5079735/items/G8JYXQI6"],"itemData":{"id":1008,"type":"article-journal","abstract":"There has been a seismic shift in the center of gravity of scientific writing and thinking about agriculture over the past decades, from a prevailing focus on maximizing yields toward a goal of balancing trade-offs and ensuring the delivery of multiple ecosystem services. Maximizing crop yields often results in a system where most benefits accrue to very few (in the form of profits), alongside irreparable environmental harm to agricultural ecosystems, landscapes, and people. Here, we present evidence that an un-yielding, which we define as de-emphasizing the importance of yields alone, is necessary to achieve the goal of a more Food secure, Agrobiodiverse, Regenerative, Equitable and just (FARE) agriculture. Focusing on yields places the emphasis on one particular outcome of agriculture, which is only an intermediate means to the true endpoint of human well-being. Using yields as a placeholder for this outcome ignores the many other benefits of agriculture that people also care about, like health, livelihoods, and a sense of place. Shifting the emphasis to these multiple benefits rather than merely yields, and to their equitable delivery to all people, we find clear scientific evidence of win-wins for people and nature through four strategies that foster FARE agriculture: reduced disturbance, systems reintegration, diversity, and justice (in the form of securing rights to land and other resources). Through a broad review of the current state of agriculture, desired futures, and the possible pathways to reach them, we argue that while trade-offs between some ecosystem services in agriculture are unavoidable, the same need not be true of the end benefits we desire from them.","container-title":"Annals of the New York Academy of Sciences","DOI":"10.1111/nyas.14950","ISSN":"1749-6632","issue":"1","language":"en","license":"© 2022 The Authors. Annals of the New York Academy of Sciences published by Wiley Periodicals LLC on behalf of New York Academy of Sciences.","note":"_eprint: https://onlinelibrary.wiley.com/doi/pdf/10.1111/nyas.14950","page":"89-104","source":"Wiley Online Library","title":"Un-yielding: Evidence for the agriculture transformation we need","title-short":"Un-yielding","volume":"1520","author":[{"family":"Chaplin-Kramer","given":"Rebecca"},{"family":"Chappell","given":"M. Jahi"},{"family":"Bennett","given":"Elena M."}],"issued":{"date-parts":[["2023"]]}}},{"id":930,"uris":["http://zotero.org/groups/5079735/items/3QNYSK8Q"],"itemData":{"id":930,"type":"article-journal","abstract":"Despite hundreds of field studies and at least a dozen literature reviews, there is still considerable disagreement about the direction and magnitude of changes in soil C stocks with land use change. This paper reviews the literature on the effects of land use conversions on soil C stocks, based on a synthesis of 103 recent publications, including 160 sites in 29 countries, with the aims of determining the factors responsible for soil C sequestration and quantifying changes in soil C stocks from seven land use conversions. The results show that as an overall average across all land use change examined, land use conversions have significantly reduced soil C stocks (0.39 Mg ha−1 yr−1). Soil C stocks significantly increased after conversions from farmland to grassland (0.30 Mg ha−1 yr−1) and forest to grassland (0.68 Mg ha−1 yr−1), but significantly declined after conversion from grassland to farmland (0.89 Mg ha−1 yr−1), forest to farmland (1.74 Mg ha−1 yr−1), and forest to forest (0.63 Mg ha−1 yr−1). And after conversion from farmland to forest and grassland to forest, soil C stocks did not change significantly. Globally, soil C sequestration showed a significant negative correlation with initial soil C stocks (P&lt;0.05), and the effects of climatic factors (mean annual temperature and mean annual precipitation) on soil C sequestration varied between the land use conversion types. Also, the relationships between soil C sequestration and age since land use conversion varied in different land use change types. Generally, where the land use changes decreased soil C, the reverse process usually increased soil C stocks and vice versa. Soil C sequestration dynamics were not determined by age since land use conversion at the global level when all land use change types were combined.","container-title":"Global Ecology and Conservation","DOI":"10.1016/j.gecco.2015.12.004","ISSN":"2351-9894","journalAbbreviation":"Global Ecology and Conservation","language":"en","page":"127-138","source":"ScienceDirect","title":"Global patterns of the effects of land-use changes on soil carbon stocks","volume":"5","author":[{"family":"Deng","given":"Lei"},{"family":"Zhu","given":"Guang-yu"},{"family":"Tang","given":"Zhuang-sheng"},{"family":"Shangguan","given":"Zhou-ping"}],"issued":{"date-parts":[["2016",1,1]]}}},{"id":805,"uris":["http://zotero.org/groups/4573874/items/TJ2V2D7G"],"itemData":{"id":805,"type":"article-journal","abstract":"On 13 October 1908, Fritz Haber filed his patent on the “synthesis of ammonia from its elements” for which he was later awarded the 1918 Nobel Prize in Chemistry. A hundred years on we live in a world transformed by and highly dependent upon Haber–Bosch nitrogen.","container-title":"Nature Geoscience","DOI":"10.1038/ngeo325","ISSN":"1752-0908","issue":"10","journalAbbreviation":"Nature Geosci","language":"en","license":"2008 Nature Publishing Group","note":"number: 10\npublisher: Nature Publishing Group","page":"636-639","source":"www.nature.com","title":"How a century of ammonia synthesis changed the world","volume":"1","author":[{"family":"Erisman","given":"Jan Willem"},{"family":"Sutton","given":"Mark A."},{"family":"Galloway","given":"James"},{"family":"Klimont","given":"Zbigniew"},{"family":"Winiwarter","given":"Wilfried"}],"issued":{"date-parts":[["2008",10]]}}},{"id":932,"uris":["http://zotero.org/groups/5079735/items/JCUWJ6VB"],"itemData":{"id":932,"type":"article-journal","abstract":"The effects of land use change on soil carbon stocks are of concern in the context of international policy agendas on greenhouse gas emissions mitigation. This paper reviews the literature for the influence of land use changes on soil C stocks and reports the results of a meta analysis of these data from 74 publications. The meta analysis indicates that soil C stocks decline after land use changes from pasture to plantation (−10%), native forest to plantation (−13%), native forest to crop (−42%), and pasture to crop (−59%). Soil C stocks increase after land use changes from native forest to pasture (+ 8%), crop to pasture (+ 19%), crop to plantation (+ 18%), and crop to secondary forest (+ 53%). Wherever one of the land use changes decreased soil C, the reverse process usually increased soil carbon and vice versa. As the quantity of available data is not large and the methodologies used are diverse, the conclusions drawn must be regarded as working hypotheses from which to design future targeted investigations that broaden the database. Within some land use changes there were, however, sufficient examples to explore the role of other factors contributing to the above conclusions. One outcome of the meta analysis, especially worthy of further investigation in the context of carbon sink strategies for greenhouse gas mitigation, is that broadleaf tree plantations placed onto prior native forest or pastures did not affect soil C stocks whereas pine plantations reduced soil C stocks by 12–15%.","container-title":"Global Change Biology","DOI":"10.1046/j.1354-1013.2002.00486.x","ISSN":"1365-2486","issue":"4","language":"en","note":"_eprint: https://onlinelibrary.wiley.com/doi/pdf/10.1046/j.1354-1013.2002.00486.x","page":"345-360","source":"Wiley Online Library","title":"Soil carbon stocks and land use change: a meta analysis","title-short":"Soil carbon stocks and land use change","volume":"8","author":[{"family":"Guo","given":"L. B."},{"family":"Gifford","given":"R. M."}],"issued":{"date-parts":[["2002"]]}}}],"schema":"https://github.com/citation-style-language/schema/raw/master/csl-citation.json"} </w:instrText>
      </w:r>
      <w:r w:rsidRPr="00890723">
        <w:rPr>
          <w:szCs w:val="24"/>
        </w:rPr>
        <w:fldChar w:fldCharType="separate"/>
      </w:r>
      <w:r w:rsidR="005F68B9" w:rsidRPr="005F68B9">
        <w:rPr>
          <w:rFonts w:cs="Times New Roman"/>
        </w:rPr>
        <w:t>(Chaplin-Kramer et al., 2023; Deng et al., 2016; Erisman et al., 2008; L. B. Guo &amp; Gifford, 2002)</w:t>
      </w:r>
      <w:r w:rsidRPr="00890723">
        <w:rPr>
          <w:szCs w:val="24"/>
        </w:rPr>
        <w:fldChar w:fldCharType="end"/>
      </w:r>
      <w:r w:rsidRPr="00890723">
        <w:rPr>
          <w:szCs w:val="24"/>
        </w:rPr>
        <w:t>. Achieving both goals at once will require novel solutions.</w:t>
      </w:r>
    </w:p>
    <w:p w14:paraId="7A364863" w14:textId="5F0E8A44" w:rsidR="00032567" w:rsidRPr="00890723" w:rsidRDefault="00032567" w:rsidP="001B567A">
      <w:pPr>
        <w:spacing w:after="0" w:line="480" w:lineRule="auto"/>
        <w:rPr>
          <w:szCs w:val="24"/>
        </w:rPr>
      </w:pPr>
      <w:r w:rsidRPr="00890723">
        <w:rPr>
          <w:szCs w:val="24"/>
        </w:rPr>
        <w:t xml:space="preserve">Agriculture is a major contributor of each of the three most important </w:t>
      </w:r>
      <w:r>
        <w:rPr>
          <w:szCs w:val="24"/>
        </w:rPr>
        <w:t>GHGs</w:t>
      </w:r>
      <w:r w:rsidRPr="00890723">
        <w:rPr>
          <w:szCs w:val="24"/>
        </w:rPr>
        <w:t>, carbon dioxide (CO</w:t>
      </w:r>
      <w:r w:rsidRPr="00890723">
        <w:rPr>
          <w:szCs w:val="24"/>
          <w:vertAlign w:val="subscript"/>
        </w:rPr>
        <w:t>2</w:t>
      </w:r>
      <w:r w:rsidRPr="00890723">
        <w:rPr>
          <w:szCs w:val="24"/>
        </w:rPr>
        <w:t>), methane (CH</w:t>
      </w:r>
      <w:r w:rsidRPr="00890723">
        <w:rPr>
          <w:szCs w:val="24"/>
          <w:vertAlign w:val="subscript"/>
        </w:rPr>
        <w:t>4</w:t>
      </w:r>
      <w:r w:rsidRPr="00890723">
        <w:rPr>
          <w:szCs w:val="24"/>
        </w:rPr>
        <w:t>), and nitrous oxide (N</w:t>
      </w:r>
      <w:r w:rsidRPr="00890723">
        <w:rPr>
          <w:szCs w:val="24"/>
          <w:vertAlign w:val="subscript"/>
        </w:rPr>
        <w:t>2</w:t>
      </w:r>
      <w:r w:rsidRPr="00890723">
        <w:rPr>
          <w:szCs w:val="24"/>
        </w:rPr>
        <w:t>O), with different agricultural practices acting as the major driver of each. The leading contributor to agricultural CH</w:t>
      </w:r>
      <w:r w:rsidRPr="00890723">
        <w:rPr>
          <w:szCs w:val="24"/>
          <w:vertAlign w:val="subscript"/>
        </w:rPr>
        <w:t>4</w:t>
      </w:r>
      <w:r w:rsidRPr="00890723">
        <w:rPr>
          <w:szCs w:val="24"/>
        </w:rPr>
        <w:t xml:space="preserve"> emissions is enteric fermentation which occurs within ruminant animals </w:t>
      </w:r>
      <w:r w:rsidRPr="00890723">
        <w:rPr>
          <w:szCs w:val="24"/>
        </w:rPr>
        <w:fldChar w:fldCharType="begin"/>
      </w:r>
      <w:r w:rsidR="003C7682">
        <w:rPr>
          <w:szCs w:val="24"/>
        </w:rPr>
        <w:instrText xml:space="preserve"> ADDIN ZOTERO_ITEM CSL_CITATION {"citationID":"qgk1pTEy","properties":{"formattedCitation":"(EPA, 2023; Intergovernmental Panel On Climate Change (IPCC), 2023; Shindell et al., 2024)","plainCitation":"(EPA, 2023; Intergovernmental Panel On Climate Change (IPCC), 2023; Shindell et al., 2024)","dontUpdate":true,"noteIndex":0},"citationItems":[{"id":942,"uris":["http://zotero.org/groups/5079735/items/NFGC2NAN"],"itemData":{"id":942,"type":"document","publisher":"U.S. Environmental Protection Agency, EPA 430-R-23-002.","title":"Inventory of U.S. Greenhouse Gas Emissions and Sinks: 1990-2021","URL":"https://www.epa.gov/ghgemissions/inventory-us-greenhouse-gas-emissions-and-sinks-1990-2021.","author":[{"family":"EPA","given":""}],"issued":{"date-parts":[["2023"]]}}},{"id":3279,"uris":["http://zotero.org/groups/5980607/items/MEGJPEA3"],"itemData":{"id":3279,"type":"chapter","container-title":"Climate Change 2022 - Mitigation of Climate Change","edition":"1","ISBN":"978-1-00-915792-6","language":"en","license":"https://www.cambridge.org/core/terms","note":"DOI: 10.1017/9781009157926.009","page":"747-860","publisher":"Cambridge University Press","source":"DOI.org (Crossref)","title":"Agriculture, Forestry and Other Land Uses (AFOLU)","URL":"https://www.cambridge.org/core/product/identifier/9781009157926%23c7/type/book_part","editor":[{"literal":"Intergovernmental Panel On Climate Change (IPCC)"}],"accessed":{"date-parts":[["2025",5,6]]},"issued":{"date-parts":[["2023",8,17]]}}},{"id":2181,"uris":["http://zotero.org/groups/5704038/items/HJ8MW42F"],"itemData":{"id":2181,"type":"article-journal","abstract":"&lt;p&gt;Anthropogenic methane (CH&lt;sub&gt;4&lt;/sub&gt;) emissions increases from the period 1850–1900 until 2019 are responsible for around 65% as much warming as carbon dioxide (CO&lt;sub&gt;2&lt;/sub&gt;) has caused to date, and large reductions in methane emissions are required to limit global warming to 1.5°C or 2°C. However, methane emissions have been increasing rapidly since ~2006. This study shows that emissions are expected to continue to increase over the remainder of the 2020s if no greater action is taken and that increases in atmospheric methane are thus far outpacing projected growth rates. This increase has important implications for reaching net zero CO&lt;sub&gt;2&lt;/sub&gt; targets: every 50 Mt CH&lt;sub&gt;4&lt;/sub&gt; of the sustained large cuts envisioned under low-warming scenarios that are not realized would eliminate about 150 Gt of the remaining CO&lt;sub&gt;2&lt;/sub&gt; budget. Targeted methane reductions are therefore a critical component alongside decarbonization to minimize global warming. We describe additional linkages between methane mitigation options and CO&lt;sub&gt;2&lt;/sub&gt;, especially via land use, as well as their respective climate impacts and associated metrics. We explain why a net zero target specifically for methane is neither necessary nor plausible. Analyses show where reductions are most feasible at the national and sectoral levels given limited resources, for example, to meet the Global Methane Pledge target, but they also reveal large uncertainties. Despite these uncertainties, many mitigation costs are clearly low relative to real-world financial instruments and very low compared with methane damage estimates, but legally binding regulations and methane pricing are needed to meet climate goals.&lt;/p&gt;","container-title":"Frontiers in Science","DOI":"10.3389/fsci.2024.1349770","ISSN":"2813-6330","journalAbbreviation":"Front. Sci.","language":"English","note":"publisher: Frontiers","source":"Frontiers","title":"The methane imperative","URL":"https://www.frontiersin.org/journals/science/articles/10.3389/fsci.2024.1349770/full","volume":"2","author":[{"family":"Shindell","given":"Drew"},{"family":"Sadavarte","given":"Pankaj"},{"family":"Aben","given":"Ilse"},{"family":"Bredariol","given":"Tomás de Oliveira"},{"family":"Dreyfus","given":"Gabrielle"},{"family":"Höglund-Isaksson","given":"Lena"},{"family":"Poulter","given":"Benjamin"},{"family":"Saunois","given":"Marielle"},{"family":"Schmidt","given":"Gavin A."},{"family":"Szopa","given":"Sophie"},{"family":"Rentz","given":"Kendra"},{"family":"Parsons","given":"Luke"},{"family":"Qu","given":"Zhen"},{"family":"Faluvegi","given":"Gregory"},{"family":"Maasakkers","given":"Joannes D."}],"accessed":{"date-parts":[["2024",10,9]]},"issued":{"date-parts":[["2024",7,30]]}}}],"schema":"https://github.com/citation-style-language/schema/raw/master/csl-citation.json"} </w:instrText>
      </w:r>
      <w:r w:rsidRPr="00890723">
        <w:rPr>
          <w:szCs w:val="24"/>
        </w:rPr>
        <w:fldChar w:fldCharType="separate"/>
      </w:r>
      <w:r w:rsidRPr="00890723">
        <w:rPr>
          <w:rFonts w:cs="Times New Roman"/>
          <w:szCs w:val="24"/>
        </w:rPr>
        <w:t>(EPA, 2023; IPCC, 2023; Shindell et al., 2024)</w:t>
      </w:r>
      <w:r w:rsidRPr="00890723">
        <w:rPr>
          <w:szCs w:val="24"/>
        </w:rPr>
        <w:fldChar w:fldCharType="end"/>
      </w:r>
      <w:r w:rsidRPr="00890723">
        <w:rPr>
          <w:szCs w:val="24"/>
        </w:rPr>
        <w:t>. CO</w:t>
      </w:r>
      <w:r w:rsidRPr="00890723">
        <w:rPr>
          <w:szCs w:val="24"/>
          <w:vertAlign w:val="subscript"/>
        </w:rPr>
        <w:t xml:space="preserve">2 </w:t>
      </w:r>
      <w:r w:rsidRPr="00890723">
        <w:rPr>
          <w:szCs w:val="24"/>
        </w:rPr>
        <w:t xml:space="preserve">emissions are primarily caused by land expansion of agriculture’s footprint, whereby primarily native ecosystems like forests, wetlands, and grasslands are converted into grazing or cropland with generally significantly lower capacities to store carbon above and below ground </w:t>
      </w:r>
      <w:r w:rsidRPr="00890723">
        <w:rPr>
          <w:szCs w:val="24"/>
        </w:rPr>
        <w:fldChar w:fldCharType="begin"/>
      </w:r>
      <w:r w:rsidR="003C7682">
        <w:rPr>
          <w:szCs w:val="24"/>
        </w:rPr>
        <w:instrText xml:space="preserve"> ADDIN ZOTERO_ITEM CSL_CITATION {"citationID":"HEJhpRzb","properties":{"formattedCitation":"(Deng et al., 2016; L. B. Guo &amp; Gifford, 2002; Powlson et al., 2022; Sanderman et al., 2017)","plainCitation":"(Deng et al., 2016; L. B. Guo &amp; Gifford, 2002; Powlson et al., 2022; Sanderman et al., 2017)","noteIndex":0},"citationItems":[{"id":930,"uris":["http://zotero.org/groups/5079735/items/3QNYSK8Q"],"itemData":{"id":930,"type":"article-journal","abstract":"Despite hundreds of field studies and at least a dozen literature reviews, there is still considerable disagreement about the direction and magnitude of changes in soil C stocks with land use change. This paper reviews the literature on the effects of land use conversions on soil C stocks, based on a synthesis of 103 recent publications, including 160 sites in 29 countries, with the aims of determining the factors responsible for soil C sequestration and quantifying changes in soil C stocks from seven land use conversions. The results show that as an overall average across all land use change examined, land use conversions have significantly reduced soil C stocks (0.39 Mg ha−1 yr−1). Soil C stocks significantly increased after conversions from farmland to grassland (0.30 Mg ha−1 yr−1) and forest to grassland (0.68 Mg ha−1 yr−1), but significantly declined after conversion from grassland to farmland (0.89 Mg ha−1 yr−1), forest to farmland (1.74 Mg ha−1 yr−1), and forest to forest (0.63 Mg ha−1 yr−1). And after conversion from farmland to forest and grassland to forest, soil C stocks did not change significantly. Globally, soil C sequestration showed a significant negative correlation with initial soil C stocks (P&lt;0.05), and the effects of climatic factors (mean annual temperature and mean annual precipitation) on soil C sequestration varied between the land use conversion types. Also, the relationships between soil C sequestration and age since land use conversion varied in different land use change types. Generally, where the land use changes decreased soil C, the reverse process usually increased soil C stocks and vice versa. Soil C sequestration dynamics were not determined by age since land use conversion at the global level when all land use change types were combined.","container-title":"Global Ecology and Conservation","DOI":"10.1016/j.gecco.2015.12.004","ISSN":"2351-9894","journalAbbreviation":"Global Ecology and Conservation","language":"en","page":"127-138","source":"ScienceDirect","title":"Global patterns of the effects of land-use changes on soil carbon stocks","volume":"5","author":[{"family":"Deng","given":"Lei"},{"family":"Zhu","given":"Guang-yu"},{"family":"Tang","given":"Zhuang-sheng"},{"family":"Shangguan","given":"Zhou-ping"}],"issued":{"date-parts":[["2016",1,1]]}}},{"id":932,"uris":["http://zotero.org/groups/5079735/items/JCUWJ6VB"],"itemData":{"id":932,"type":"article-journal","abstract":"The effects of land use change on soil carbon stocks are of concern in the context of international policy agendas on greenhouse gas emissions mitigation. This paper reviews the literature for the influence of land use changes on soil C stocks and reports the results of a meta analysis of these data from 74 publications. The meta analysis indicates that soil C stocks decline after land use changes from pasture to plantation (−10%), native forest to plantation (−13%), native forest to crop (−42%), and pasture to crop (−59%). Soil C stocks increase after land use changes from native forest to pasture (+ 8%), crop to pasture (+ 19%), crop to plantation (+ 18%), and crop to secondary forest (+ 53%). Wherever one of the land use changes decreased soil C, the reverse process usually increased soil carbon and vice versa. As the quantity of available data is not large and the methodologies used are diverse, the conclusions drawn must be regarded as working hypotheses from which to design future targeted investigations that broaden the database. Within some land use changes there were, however, sufficient examples to explore the role of other factors contributing to the above conclusions. One outcome of the meta analysis, especially worthy of further investigation in the context of carbon sink strategies for greenhouse gas mitigation, is that broadleaf tree plantations placed onto prior native forest or pastures did not affect soil C stocks whereas pine plantations reduced soil C stocks by 12–15%.","container-title":"Global Change Biology","DOI":"10.1046/j.1354-1013.2002.00486.x","ISSN":"1365-2486","issue":"4","language":"en","note":"_eprint: https://onlinelibrary.wiley.com/doi/pdf/10.1046/j.1354-1013.2002.00486.x","page":"345-360","source":"Wiley Online Library","title":"Soil carbon stocks and land use change: a meta analysis","title-short":"Soil carbon stocks and land use change","volume":"8","author":[{"family":"Guo","given":"L. B."},{"family":"Gifford","given":"R. M."}],"issued":{"date-parts":[["2002"]]}}},{"id":611,"uris":["http://zotero.org/groups/4573874/items/JVJS5PPG"],"itemData":{"id":611,"type":"article-journal","abstract":"Clearing natural vegetation to establish arable agriculture (cropland) almost invariably causes a loss of soil organic carbon (SOC). Is it possible to restore soil that continues in arable agriculture to the pre-clearance SOC level through modified management practices? To address this question we reviewed evidence from long-term experiments at Rothamsted Research, UK, Bad Lauchstädt, Germany, Sanborn Field, USA and Brazil and both experiments and surveys of farmers’ fields in Ethiopia, Australia, Zimbabwe, UK and Chile. In most cases SOC content in soil under arable cropping was in the range 38–67% of pre-clearance values. Returning crop residues, adding manures or including periods of pasture within arable rotations increased this, often to 60–70% of initial values. Under tropical climatic conditions SOC loss after clearance was particularly rapid, e.g. a loss of &gt;50% in less than 10 years in smallholder farmers’ fields in Zimbabwe. If larger yielding crops were grown, using fertilizers, and maize stover returned instead of being grazed by cattle, the loss was reduced. An important exception to the general trend of SOC loss after clearance was clearing Cerrado vegetation on highly weathered acidic soils in Brazil and conversion to cropping with maize and soybean. Other exceptions were unrealistically large annual applications of manure and including long periods of pasture in a highly SOC-retentive volcanic soil. Also, introducing irrigated agriculture in a low rainfall region can increase SOC beyond the natural value due to increased plant biomass production. For reasons of sustainability and soil health it is important to maintain SOC as high as practically possible in arable soils, but we conclude that in the vast majority of situations it is unrealistic to expect to maintain pre-clearance values. To maintain global SOC stocks at we consider it is more important to reduce current rates of land clearance and sustainably produce necessary food on existing agricultural land.","container-title":"Outlook on Agriculture","DOI":"10.1177/00307270221082113","ISSN":"0030-7270","issue":"1","journalAbbreviation":"Outlook Agric","language":"en","note":"publisher: SAGE Publications Ltd","page":"91-104","source":"SAGE Journals","title":"Is it possible to attain the same soil organic matter content in arable agricultural soils as under natural vegetation?","volume":"51","author":[{"family":"Powlson","given":"David S."},{"family":"Poulton","given":"Paul R."},{"family":"Glendining","given":"Margaret J."},{"family":"Macdonald","given":"Andy J."},{"family":"Goulding","given":"Keith W.T."}],"issued":{"date-parts":[["2022",3,1]]}}},{"id":1917,"uris":["http://zotero.org/groups/5631027/items/IIV3MFUB"],"itemData":{"id":1917,"type":"article-journal","abstract":"Human appropriation of land for agriculture has greatly altered the terrestrial carbon balance, creating a large but uncertain carbon debt in soils. Estimating the size and spatial distribution of soil organic carbon (SOC) loss due to land use and land cover change has been difficult but is a critical step in understanding whether SOC sequestration can be an effective climate mitigation strategy. In this study, a machine learning-based model was fitted using a global compilation of SOC data and the History Database of the Global Environment (HYDE) land use data in combination with climatic, landform and lithology covariates. Model results compared favorably with a global compilation of paired plot studies. Projection of this model onto a world without agriculture indicated a global carbon debt due to agriculture of 133 Pg C for the top 2 m of soil, with the rate of loss increasing dramatically in the past 200 years. The HYDE classes “grazing” and “cropland” contributed nearly equally to the loss of SOC. There were higher percent SOC losses on cropland but since more than twice as much land is grazed, slightly higher total losses were found from grazing land. Important spatial patterns of SOC loss were found: Hotspots of SOC loss coincided with some major cropping regions as well as semiarid grazing regions, while other major agricultural zones showed small losses and even net gains in SOC. This analysis has demonstrated that there are identifiable regions which can be targeted for SOC restoration efforts.","container-title":"Proceedings of the National Academy of Sciences","DOI":"10.1073/pnas.1706103114","issue":"36","note":"publisher: Proceedings of the National Academy of Sciences","page":"9575-9580","source":"pnas.org (Atypon)","title":"Soil carbon debt of 12,000 years of human land use","volume":"114","author":[{"family":"Sanderman","given":"Jonathan"},{"family":"Hengl","given":"Tomislav"},{"family":"Fiske","given":"Gregory J."}],"issued":{"date-parts":[["2017",9,5]]}}}],"schema":"https://github.com/citation-style-language/schema/raw/master/csl-citation.json"} </w:instrText>
      </w:r>
      <w:r w:rsidRPr="00890723">
        <w:rPr>
          <w:szCs w:val="24"/>
        </w:rPr>
        <w:fldChar w:fldCharType="separate"/>
      </w:r>
      <w:r w:rsidR="005F68B9" w:rsidRPr="005F68B9">
        <w:rPr>
          <w:rFonts w:cs="Times New Roman"/>
        </w:rPr>
        <w:t>(Deng et al., 2016; L. B. Guo &amp; Gifford, 2002; Powlson et al., 2022; Sanderman et al., 2017)</w:t>
      </w:r>
      <w:r w:rsidRPr="00890723">
        <w:rPr>
          <w:szCs w:val="24"/>
        </w:rPr>
        <w:fldChar w:fldCharType="end"/>
      </w:r>
      <w:r w:rsidRPr="00890723">
        <w:rPr>
          <w:szCs w:val="24"/>
        </w:rPr>
        <w:t xml:space="preserve">. Global increases in animal production have contributed significantly to </w:t>
      </w:r>
      <w:r>
        <w:rPr>
          <w:szCs w:val="24"/>
        </w:rPr>
        <w:t>CH</w:t>
      </w:r>
      <w:r w:rsidRPr="001B567A">
        <w:rPr>
          <w:szCs w:val="24"/>
          <w:vertAlign w:val="subscript"/>
        </w:rPr>
        <w:t>4</w:t>
      </w:r>
      <w:r w:rsidRPr="00890723">
        <w:rPr>
          <w:szCs w:val="24"/>
        </w:rPr>
        <w:t xml:space="preserve"> emissions directly and CO</w:t>
      </w:r>
      <w:r w:rsidRPr="00890723">
        <w:rPr>
          <w:szCs w:val="24"/>
          <w:vertAlign w:val="subscript"/>
        </w:rPr>
        <w:t>2</w:t>
      </w:r>
      <w:r w:rsidRPr="00890723">
        <w:rPr>
          <w:szCs w:val="24"/>
        </w:rPr>
        <w:t xml:space="preserve"> emissions indirectly as the leading driver of land use change worldwide, and have thus generated much attention on mitigating emissions from animal production systems and transitioning toward plant-based diets </w:t>
      </w:r>
      <w:r w:rsidRPr="00890723">
        <w:rPr>
          <w:szCs w:val="24"/>
        </w:rPr>
        <w:fldChar w:fldCharType="begin"/>
      </w:r>
      <w:r w:rsidR="003C7682">
        <w:rPr>
          <w:szCs w:val="24"/>
        </w:rPr>
        <w:instrText xml:space="preserve"> ADDIN ZOTERO_ITEM CSL_CITATION {"citationID":"wBBkycT3","properties":{"formattedCitation":"(Cassidy et al., 2013; Eshel et al., 2014; Shindell et al., 2024; Verheul, 2011)","plainCitation":"(Cassidy et al., 2013; Eshel et al., 2014; Shindell et al., 2024; Verheul, 2011)","noteIndex":0},"citationItems":[{"id":881,"uris":["http://zotero.org/groups/5079735/items/GSB89M6V"],"itemData":{"id":881,"type":"article-journal","abstract":"Worldwide demand for crops is increasing rapidly due to global population growth, increased biofuel production, and changing dietary preferences. Meeting these growing demands will be a substantial challenge that will tax the capability of our food system and prompt calls to dramatically boost global crop production. However, to increase food availability, we may also consider how the world’s crops are allocated to different uses and whether it is possible to feed more people with current levels of crop production. Of particular interest are the uses of crops as animal feed and as biofuel feedstocks. Currently, 36% of the calories produced by the world’s crops are being used for animal feed, and only 12% of those feed calories ultimately contribute to the human diet (as meat and other animal products). Additionally, human-edible calories used for biofuel production increased fourfold between the years 2000 and 2010, from 1% to 4%, representing a net reduction of available food globally. In this study, we re-examine agricultural productivity, going from using the standard definition of yield (in tonnes per hectare, or similar units) to using the number of people actually fed per hectare of cropland. We find that, given the current mix of crop uses, growing food exclusively for direct human consumption could, in principle, increase available food calories by as much as 70%, which could feed an additional 4 billion people (more than the projected 2–3 billion people arriving through population growth). Even small shifts in our allocation of crops to animal feed and biofuels could significantly increase global food availability, and could be an instrumental tool in meeting the challenges of ensuring global food security.","container-title":"Environmental Research Letters","DOI":"10.1088/1748-9326/8/3/034015","ISSN":"1748-9326","issue":"3","journalAbbreviation":"Environ. Res. Lett.","language":"en","note":"publisher: IOP Publishing","page":"034015","source":"Institute of Physics","title":"Redefining agricultural yields: from tonnes to people nourished per hectare","title-short":"Redefining agricultural yields","volume":"8","author":[{"family":"Cassidy","given":"Emily S."},{"family":"West","given":"Paul C."},{"family":"Gerber","given":"James S."},{"family":"Foley","given":"Jonathan A."}],"issued":{"date-parts":[["2013",8]]}}},{"id":1082,"uris":["http://zotero.org/groups/5079735/items/DU2TJY8Z"],"itemData":{"id":1082,"type":"article-journal","abstract":"Livestock production impacts air and water quality, ocean health, and greenhouse gas (GHG) emissions on regional to global scales and it is the largest use of land globally. Quantifying the environmental impacts of the various livestock categories, mostly arising from feed production, is thus a grand challenge of sustainability science. Here, we quantify land, irrigation water, and reactive nitrogen (Nr) impacts due to feed production, and recast published full life cycle GHG emission estimates, for each of the major animal-based categories in the US diet. Our calculations reveal that the environmental costs per consumed calorie of dairy, poultry, pork, and eggs are mutually comparable (to within a factor of 2), but strikingly lower than the impacts of beef. Beef production requires 28, 11, 5, and 6 times more land, irrigation water, GHG, and Nr, respectively, than the average of the other livestock categories. Preliminary analysis of three staple plant foods shows two- to sixfold lower land, GHG, and Nr requirements than those of the nonbeef animal-derived calories, whereas irrigation requirements are comparable. Our analysis is based on the best data currently available, but follow-up studies are necessary to improve parameter estimates and fill remaining knowledge gaps. Data imperfections notwithstanding, the key conclusion—that beef production demands about 1 order of magnitude more resources than alternative livestock categories—is robust under existing uncertainties. The study thus elucidates the multiple environmental benefits of potential, easy-to-implement dietary changes, and highlights the uniquely high resource demands of beef.","container-title":"Proceedings of the National Academy of Sciences","DOI":"10.1073/pnas.1402183111","issue":"33","note":"publisher: Proceedings of the National Academy of Sciences","page":"11996-12001","source":"pnas.org (Atypon)","title":"Land, irrigation water, greenhouse gas, and reactive nitrogen burdens of meat, eggs, and dairy production in the United States","volume":"111","author":[{"family":"Eshel","given":"Gidon"},{"family":"Shepon","given":"Alon"},{"family":"Makov","given":"Tamar"},{"family":"Milo","given":"Ron"}],"issued":{"date-parts":[["2014",8,19]]}}},{"id":2181,"uris":["http://zotero.org/groups/5704038/items/HJ8MW42F"],"itemData":{"id":2181,"type":"article-journal","abstract":"&lt;p&gt;Anthropogenic methane (CH&lt;sub&gt;4&lt;/sub&gt;) emissions increases from the period 1850–1900 until 2019 are responsible for around 65% as much warming as carbon dioxide (CO&lt;sub&gt;2&lt;/sub&gt;) has caused to date, and large reductions in methane emissions are required to limit global warming to 1.5°C or 2°C. However, methane emissions have been increasing rapidly since ~2006. This study shows that emissions are expected to continue to increase over the remainder of the 2020s if no greater action is taken and that increases in atmospheric methane are thus far outpacing projected growth rates. This increase has important implications for reaching net zero CO&lt;sub&gt;2&lt;/sub&gt; targets: every 50 Mt CH&lt;sub&gt;4&lt;/sub&gt; of the sustained large cuts envisioned under low-warming scenarios that are not realized would eliminate about 150 Gt of the remaining CO&lt;sub&gt;2&lt;/sub&gt; budget. Targeted methane reductions are therefore a critical component alongside decarbonization to minimize global warming. We describe additional linkages between methane mitigation options and CO&lt;sub&gt;2&lt;/sub&gt;, especially via land use, as well as their respective climate impacts and associated metrics. We explain why a net zero target specifically for methane is neither necessary nor plausible. Analyses show where reductions are most feasible at the national and sectoral levels given limited resources, for example, to meet the Global Methane Pledge target, but they also reveal large uncertainties. Despite these uncertainties, many mitigation costs are clearly low relative to real-world financial instruments and very low compared with methane damage estimates, but legally binding regulations and methane pricing are needed to meet climate goals.&lt;/p&gt;","container-title":"Frontiers in Science","DOI":"10.3389/fsci.2024.1349770","ISSN":"2813-6330","journalAbbreviation":"Front. Sci.","language":"English","note":"publisher: Frontiers","source":"Frontiers","title":"The methane imperative","URL":"https://www.frontiersin.org/journals/science/articles/10.3389/fsci.2024.1349770/full","volume":"2","author":[{"family":"Shindell","given":"Drew"},{"family":"Sadavarte","given":"Pankaj"},{"family":"Aben","given":"Ilse"},{"family":"Bredariol","given":"Tomás de Oliveira"},{"family":"Dreyfus","given":"Gabrielle"},{"family":"Höglund-Isaksson","given":"Lena"},{"family":"Poulter","given":"Benjamin"},{"family":"Saunois","given":"Marielle"},{"family":"Schmidt","given":"Gavin A."},{"family":"Szopa","given":"Sophie"},{"family":"Rentz","given":"Kendra"},{"family":"Parsons","given":"Luke"},{"family":"Qu","given":"Zhen"},{"family":"Faluvegi","given":"Gregory"},{"family":"Maasakkers","given":"Joannes D."}],"accessed":{"date-parts":[["2024",10,9]]},"issued":{"date-parts":[["2024",7,30]]}}},{"id":1404,"uris":["http://zotero.org/groups/5079735/items/F2U734JQ"],"itemData":{"id":1404,"type":"article-journal","abstract":"Animal agriculture has been emitting an increasing amount of methane each year. This greenhouse gas is roughly 21 times as potent as carbon dioxide (CO2) yet has an atmospheric lifetime that is less than one-fifth that of CO2. As a result, even relatively small decreases in methane emissions will have a faster, more profound effect on climate change than CO2. In addition to regulating greenhouse gas emissions, the Environmental Protection Agency (EPA) has the authority to treat Animal Feeding Operations (AFO) and Concentrated Animal Feeding Operations (CAFO) as industrial polluters under the Clean Air Act (CAA). This article examines how and why the EPA should move to immediately regulate methane emissions from AFOs and CAFOs under the CAA, especially given the lack of congressional leadership in this area. Solutions exist for the industry to lower methane emissions. In addition to the short- and long-term environmental benefits, the EPA's regulation could also serve as both a model for other industries and an impetus for Congress to act in the area of climate change.","container-title":"Natural Resources Journal","ISSN":"0028-0739","issue":"1","note":"publisher: Regents of the University of New Mexico on behalf of its School of Law","page":"163-187","source":"JSTOR","title":"Methane as a Greenhouse Gas: Why the EPA Should Regulate Emissions from Animal Feeding Operations and Concentrated Animal Feeding Operations Under the Clean Air Act","title-short":"Methane as a Greenhouse Gas","volume":"51","author":[{"family":"Verheul","given":"John"}],"issued":{"date-parts":[["2011"]]}}}],"schema":"https://github.com/citation-style-language/schema/raw/master/csl-citation.json"} </w:instrText>
      </w:r>
      <w:r w:rsidRPr="00890723">
        <w:rPr>
          <w:szCs w:val="24"/>
        </w:rPr>
        <w:fldChar w:fldCharType="separate"/>
      </w:r>
      <w:r w:rsidRPr="00890723">
        <w:rPr>
          <w:rFonts w:cs="Times New Roman"/>
          <w:szCs w:val="24"/>
        </w:rPr>
        <w:t>(Cassidy et al., 2013; Eshel et al., 2014; Shindell et al., 2024; Verheul, 2011)</w:t>
      </w:r>
      <w:r w:rsidRPr="00890723">
        <w:rPr>
          <w:szCs w:val="24"/>
        </w:rPr>
        <w:fldChar w:fldCharType="end"/>
      </w:r>
      <w:r w:rsidRPr="00890723">
        <w:rPr>
          <w:szCs w:val="24"/>
        </w:rPr>
        <w:t>. Yet while many solutions to reducing agriculture’s climate impact include social action and political strategies to improving resource use and diets, these do not obviate the need to reduce emissions from cropland agriculture simultaneously, as it is from these working lands that agriculture contributes most significantly to the third major greenhouse gas: N</w:t>
      </w:r>
      <w:r w:rsidRPr="00890723">
        <w:rPr>
          <w:szCs w:val="24"/>
          <w:vertAlign w:val="subscript"/>
        </w:rPr>
        <w:t>2</w:t>
      </w:r>
      <w:r w:rsidRPr="00890723">
        <w:rPr>
          <w:szCs w:val="24"/>
        </w:rPr>
        <w:t xml:space="preserve">O. </w:t>
      </w:r>
    </w:p>
    <w:p w14:paraId="0F83FCBF" w14:textId="1377BD84" w:rsidR="00032567" w:rsidRPr="00890723" w:rsidRDefault="00032567" w:rsidP="001B567A">
      <w:pPr>
        <w:spacing w:after="0" w:line="480" w:lineRule="auto"/>
        <w:rPr>
          <w:szCs w:val="24"/>
        </w:rPr>
      </w:pPr>
      <w:r w:rsidRPr="00890723">
        <w:rPr>
          <w:szCs w:val="24"/>
        </w:rPr>
        <w:t>N</w:t>
      </w:r>
      <w:r w:rsidRPr="00890723">
        <w:rPr>
          <w:szCs w:val="24"/>
          <w:vertAlign w:val="subscript"/>
        </w:rPr>
        <w:t>2</w:t>
      </w:r>
      <w:r w:rsidRPr="00890723">
        <w:rPr>
          <w:szCs w:val="24"/>
        </w:rPr>
        <w:t>O is a potent GHG with a warming potential 273 times that of CO</w:t>
      </w:r>
      <w:r w:rsidRPr="00890723">
        <w:rPr>
          <w:szCs w:val="24"/>
          <w:vertAlign w:val="subscript"/>
        </w:rPr>
        <w:t xml:space="preserve">2 </w:t>
      </w:r>
      <w:r w:rsidRPr="00890723">
        <w:rPr>
          <w:szCs w:val="24"/>
          <w:vertAlign w:val="subscript"/>
        </w:rPr>
        <w:fldChar w:fldCharType="begin"/>
      </w:r>
      <w:r w:rsidR="003C7682">
        <w:rPr>
          <w:szCs w:val="24"/>
          <w:vertAlign w:val="subscript"/>
        </w:rPr>
        <w:instrText xml:space="preserve"> ADDIN ZOTERO_ITEM CSL_CITATION {"citationID":"a8rtr6u1ku","properties":{"formattedCitation":"(IPCC, 2022)","plainCitation":"(IPCC, 2022)","noteIndex":0},"citationItems":[{"id":877,"uris":["http://zotero.org/groups/4573874/items/2BXIA75P"],"itemData":{"id":877,"type":"book","abstract":"The Intergovernmental Panel on Climate Change (IPCC) is the leading international body for assessing the science related to climate change. It provides policymakers with regular assessments of the scientific basis of human-induced climate change, its impacts and future risks, and options for adaptation and mitigation. This IPCC Special Report on Climate Change and Land (SRCCL) is the most comprehensive and up-to-date scientific assessment of the multiple interactions between climate change and land, assessing climate change, desertification, land degradation, sustainable land management, food security, and greenhouse gas fluxes in terrestrial ecosystems. It assesses the options for governance and decision-making across multiple scales. It serves policymakers, decision makers, stakeholders, and all interested parties with unbiased, up-to-date, policy-relevant information. This title is also available as Open Access on Cambridge Core.","edition":"1","ISBN":"978-1-00-915798-8","language":"en","note":"DOI: 10.1017/9781009157988","publisher":"Cambridge University Press","source":"DOI.org (Crossref)","title":"Climate Change and Land: IPCC Special Report on Climate Change, Desertification, Land Degradation, Sustainable Land Management, Food Security, and Greenhouse Gas Fluxes in Terrestrial Ecosystems","title-short":"Climate Change and Land","URL":"https://www.cambridge.org/core/product/identifier/9781009157988/type/book","author":[{"literal":"IPCC"}],"accessed":{"date-parts":[["2023",5,30]]},"issued":{"date-parts":[["2022",12,8]]}}}],"schema":"https://github.com/citation-style-language/schema/raw/master/csl-citation.json"} </w:instrText>
      </w:r>
      <w:r w:rsidRPr="00890723">
        <w:rPr>
          <w:szCs w:val="24"/>
          <w:vertAlign w:val="subscript"/>
        </w:rPr>
        <w:fldChar w:fldCharType="separate"/>
      </w:r>
      <w:r w:rsidR="003C7682" w:rsidRPr="003C7682">
        <w:rPr>
          <w:rFonts w:cs="Times New Roman"/>
          <w:kern w:val="0"/>
        </w:rPr>
        <w:t>(IPCC, 2022)</w:t>
      </w:r>
      <w:r w:rsidRPr="00890723">
        <w:rPr>
          <w:szCs w:val="24"/>
          <w:vertAlign w:val="subscript"/>
        </w:rPr>
        <w:fldChar w:fldCharType="end"/>
      </w:r>
      <w:r w:rsidRPr="00890723">
        <w:rPr>
          <w:szCs w:val="24"/>
        </w:rPr>
        <w:t xml:space="preserve">, making emissions of </w:t>
      </w:r>
      <w:r>
        <w:rPr>
          <w:szCs w:val="24"/>
        </w:rPr>
        <w:t>relatively</w:t>
      </w:r>
      <w:r w:rsidRPr="00890723">
        <w:rPr>
          <w:szCs w:val="24"/>
        </w:rPr>
        <w:t xml:space="preserve"> small</w:t>
      </w:r>
      <w:r>
        <w:rPr>
          <w:szCs w:val="24"/>
        </w:rPr>
        <w:t>er</w:t>
      </w:r>
      <w:r w:rsidRPr="00890723">
        <w:rPr>
          <w:szCs w:val="24"/>
        </w:rPr>
        <w:t xml:space="preserve"> amounts </w:t>
      </w:r>
      <w:r>
        <w:rPr>
          <w:szCs w:val="24"/>
        </w:rPr>
        <w:t xml:space="preserve">than other GHGs </w:t>
      </w:r>
      <w:r w:rsidRPr="00890723">
        <w:rPr>
          <w:szCs w:val="24"/>
        </w:rPr>
        <w:t>globally significant. Since the preindustrial period, anthropogenic terrestrial N</w:t>
      </w:r>
      <w:r w:rsidRPr="00890723">
        <w:rPr>
          <w:szCs w:val="24"/>
          <w:vertAlign w:val="subscript"/>
        </w:rPr>
        <w:t>2</w:t>
      </w:r>
      <w:r w:rsidRPr="00890723">
        <w:rPr>
          <w:szCs w:val="24"/>
        </w:rPr>
        <w:t>O emissions have risen to 7.3 Tg N yr</w:t>
      </w:r>
      <w:r w:rsidRPr="00890723">
        <w:rPr>
          <w:szCs w:val="24"/>
          <w:vertAlign w:val="superscript"/>
        </w:rPr>
        <w:t>-1</w:t>
      </w:r>
      <w:r w:rsidRPr="00890723">
        <w:rPr>
          <w:szCs w:val="24"/>
        </w:rPr>
        <w:t xml:space="preserve">, with </w:t>
      </w:r>
      <w:r w:rsidRPr="00890723">
        <w:rPr>
          <w:szCs w:val="24"/>
        </w:rPr>
        <w:lastRenderedPageBreak/>
        <w:t>more than half of these attributed to agriculture (3.8 Tg N yr</w:t>
      </w:r>
      <w:r w:rsidRPr="00890723">
        <w:rPr>
          <w:szCs w:val="24"/>
          <w:vertAlign w:val="superscript"/>
        </w:rPr>
        <w:t>-1</w:t>
      </w:r>
      <w:r w:rsidRPr="00890723">
        <w:rPr>
          <w:szCs w:val="24"/>
        </w:rPr>
        <w:t xml:space="preserve">) </w:t>
      </w:r>
      <w:r w:rsidRPr="00890723">
        <w:rPr>
          <w:szCs w:val="24"/>
        </w:rPr>
        <w:fldChar w:fldCharType="begin"/>
      </w:r>
      <w:r w:rsidR="003C7682">
        <w:rPr>
          <w:szCs w:val="24"/>
        </w:rPr>
        <w:instrText xml:space="preserve"> ADDIN ZOTERO_ITEM CSL_CITATION {"citationID":"u6stFbZN","properties":{"formattedCitation":"(Intergovernmental Panel on Climate Change (IPCC), 2023)","plainCitation":"(Intergovernmental Panel on Climate Change (IPCC), 2023)","dontUpdate":true,"noteIndex":0},"citationItems":[{"id":3283,"uris":["http://zotero.org/groups/4573874/items/CNNVUSSR"],"itemData":{"id":3283,"type":"chapter","archive":"Cambridge Core","container-title":"Climate Change 2021: The Physical Science Basis: Working Group I Contribution to the Sixth Assessment Report of the Intergovernmental Panel on Climate Change","event-place":"Cambridge","ISBN":"978-1-00-915788-9","note":"DOI: 10.1017/9781009157896.007","page":"673-816","publisher":"Cambridge University Press","publisher-place":"Cambridge","source":"Cambridge University Press","title":"Global Carbon and Other Biogeochemical Cycles and Feedbacks","URL":"https://www.cambridge.org/core/product/93DFD13E855AC1F1B502965CABE28B7F","editor":[{"literal":"Intergovernmental Panel on Climate Change (IPCC)"}],"issued":{"date-parts":[["2023"]]}}}],"schema":"https://github.com/citation-style-language/schema/raw/master/csl-citation.json"} </w:instrText>
      </w:r>
      <w:r w:rsidRPr="00890723">
        <w:rPr>
          <w:szCs w:val="24"/>
        </w:rPr>
        <w:fldChar w:fldCharType="separate"/>
      </w:r>
      <w:r w:rsidRPr="00890723">
        <w:rPr>
          <w:rFonts w:cs="Times New Roman"/>
          <w:szCs w:val="24"/>
        </w:rPr>
        <w:t>(IPCC, 2023)</w:t>
      </w:r>
      <w:r w:rsidRPr="00890723">
        <w:rPr>
          <w:szCs w:val="24"/>
        </w:rPr>
        <w:fldChar w:fldCharType="end"/>
      </w:r>
      <w:r w:rsidRPr="00890723">
        <w:rPr>
          <w:szCs w:val="24"/>
        </w:rPr>
        <w:t xml:space="preserve">. Increases from agriculture have been caused by human manipulations of the nitrogen cycle in the form of nitrogen fertilizer applications to soil to improve yields </w:t>
      </w:r>
      <w:r w:rsidRPr="00890723">
        <w:rPr>
          <w:szCs w:val="24"/>
        </w:rPr>
        <w:fldChar w:fldCharType="begin"/>
      </w:r>
      <w:r w:rsidR="003C7682">
        <w:rPr>
          <w:szCs w:val="24"/>
        </w:rPr>
        <w:instrText xml:space="preserve"> ADDIN ZOTERO_ITEM CSL_CITATION {"citationID":"O9HcXEpM","properties":{"formattedCitation":"(Smith, 2017; Yan et al., 2014)","plainCitation":"(Smith, 2017; Yan et al., 2014)","noteIndex":0},"citationItems":[{"id":1923,"uris":["http://zotero.org/groups/5631027/items/L5F4M7F9"],"itemData":{"id":1923,"type":"article-journal","abstract":"Nitrous oxide, N2O, is the third most important of the long-lived greenhouse gases, in terms of its contribution to global warming, and is expected to be the dominant cause of stratospheric ozone depletion this century. The concentration of N2O in the atmosphere was fairly constant until the beginning of the industrial age, but has gone up by 20% since. This is because of increased anthropogenic emissions, of which about 60% come from agricultural soil. The cause is the increased use of synthetic fertilizer nitrogen globally to meet the demands for increased production of food and biofuels. This review examines the isotopic evidence for this role of fertilizer N, the main mechanisms for microbial production of N2O in soil, the key soil physical and other variables that greatly affect the magnitude of emissions, and the spatial and temporal variation in emissions and the associated problems of measurement. The review also considers the methodology devised by the Intergovernmental Panel on Climate Change (IPCC) to enable countries to compile national inventories of their emissions, direct and indirect, that arise from anthropogenic activity related to agriculture and land use. This methodology also enables modellers to make ‘bottom-up’ global estimates of N2O emissions. These estimates agree quite well at the global scale with ‘top-down’ estimates based on the relation between reactive nitrogen newly introduced into agricultural ecosystems and increases in the global atmospheric concentration of N2O, but not with some recent regional-scale emission measurements. The discrepancy may be related to problems of estimating indirect emissions. Top-down estimates indicate that N2O emissions from crop-based biofuels are too great to comply with national and international environmental regulations. Finally, possible future trends in emissions and possible mitigation measures are discussed. Highlights Evidence for increasing N2O in the atmosphere suggests it is caused by fertilizer N use. Agreements and inconsistencies in assessments of N2O emissions are considered. The main cause of increasing N2O is the use of synthetic N fertilizers on agricultural soil worldwide. Indirect emissions from waters receiving leached N may be a major cause of assessment uncertainties.","container-title":"European Journal of Soil Science","DOI":"10.1111/ejss.12409","ISSN":"1365-2389","issue":"2","language":"en","license":"© 2017 British Society of Soil Science","note":"_eprint: https://onlinelibrary.wiley.com/doi/pdf/10.1111/ejss.12409","page":"137-155","source":"Wiley Online Library","title":"Changing views of nitrous oxide emissions from agricultural soil: key controlling processes and assessment at different spatial scales","title-short":"Changing views of nitrous oxide emissions from agricultural soil","volume":"68","author":[{"family":"Smith","given":"K. A."}],"issued":{"date-parts":[["2017"]]}}},{"id":2099,"uris":["http://zotero.org/groups/5631027/items/KVRD62S4"],"itemData":{"id":2099,"type":"article-journal","abstract":"China is the world’s largest consumer of synthetic nitrogen (N), where very low rates of fertilizer N recovery in crops have been reported, raising discussion around whether fertilizer N use can be significantly reduced without yield penalties. However, using recovery rates as indicator ignores a possible residual effect of fertilizer N—a factor often unknown at large scales. Such residual effect might store N in the soil increasing N availability for subsequent crops. The objectives of the present study were therefore to quantify the residual effect of fertilizer N in China and to obtain more realistic rates of the accumulative fertilizer N recovery efficiency (RE) in crop production systems of China. Long-term spatially-extensive data on crop production, fertilizer N and other N inputs to croplands in China were used to analyze the relationship between crop N uptake and fertilizer N input (or total N input), and to estimate the amount of residual fertilizer N. Measurement results of cropland soil N content in two time periods were obtained to compare the change in the soil N pool. At the provincial scale, it was found that there is a linear relationship between crop N uptake and fertilizer N input or total N input. With the increase in fertilizer N input, annual direct fertilizer N RE decreased and was indeed low (below 30% in recent years), while its residual effect increased continuously, to the point that 40–68% of applied fertilizer was used for crop production sooner or later. The residual effect was evidenced by a buildup of soil N and a large difference between nitrogen use efficiencies of long-term and short-term experiments.","container-title":"Environmental Research Letters","DOI":"10.1088/1748-9326/9/9/095002","ISSN":"1748-9326","issue":"9","journalAbbreviation":"Environ. Res. Lett.","language":"en","note":"publisher: IOP Publishing","page":"095002","source":"Institute of Physics","title":"Fertilizer nitrogen recovery efficiencies in crop production systems of China with and without consideration of the residual effect of nitrogen","volume":"9","author":[{"family":"Yan","given":"Xiaoyuan"},{"family":"Ti","given":"Chaopu"},{"family":"Vitousek","given":"Peter"},{"family":"Chen","given":"Deli"},{"family":"Leip","given":"Adrian"},{"family":"Cai","given":"Zucong"},{"family":"Zhu","given":"Zhaoliang"}],"issued":{"date-parts":[["2014",9]]}}}],"schema":"https://github.com/citation-style-language/schema/raw/master/csl-citation.json"} </w:instrText>
      </w:r>
      <w:r w:rsidRPr="00890723">
        <w:rPr>
          <w:szCs w:val="24"/>
        </w:rPr>
        <w:fldChar w:fldCharType="separate"/>
      </w:r>
      <w:r w:rsidRPr="00890723">
        <w:rPr>
          <w:rFonts w:cs="Times New Roman"/>
          <w:szCs w:val="24"/>
        </w:rPr>
        <w:t>(Smith, 2017; Yan et al., 2014)</w:t>
      </w:r>
      <w:r w:rsidRPr="00890723">
        <w:rPr>
          <w:szCs w:val="24"/>
        </w:rPr>
        <w:fldChar w:fldCharType="end"/>
      </w:r>
      <w:r w:rsidRPr="00890723">
        <w:rPr>
          <w:szCs w:val="24"/>
        </w:rPr>
        <w:t>. There are many potential fates of nitrogen upon entering the soil system, from waterways to atmospheric depositions to the desired fate of plant biomass, and the significant increase in nitrogen inputs has consequently resulted in increased quantities of nitrogen meeting these fates, including N</w:t>
      </w:r>
      <w:r w:rsidRPr="00890723">
        <w:rPr>
          <w:szCs w:val="24"/>
          <w:vertAlign w:val="subscript"/>
        </w:rPr>
        <w:t>2</w:t>
      </w:r>
      <w:r w:rsidRPr="00890723">
        <w:rPr>
          <w:szCs w:val="24"/>
        </w:rPr>
        <w:t xml:space="preserve">O </w:t>
      </w:r>
      <w:r w:rsidRPr="00890723">
        <w:rPr>
          <w:szCs w:val="24"/>
        </w:rPr>
        <w:fldChar w:fldCharType="begin"/>
      </w:r>
      <w:r w:rsidR="00950694">
        <w:rPr>
          <w:szCs w:val="24"/>
        </w:rPr>
        <w:instrText xml:space="preserve"> ADDIN ZOTERO_ITEM CSL_CITATION {"citationID":"a1kae6hir6e","properties":{"formattedCitation":"(Butterbach-Bahl et al., 2013; Caranto &amp; Lancaster, 2017; Yan et al., 2014)","plainCitation":"(Butterbach-Bahl et al., 2013; Caranto &amp; Lancaster, 2017; Yan et al., 2014)","noteIndex":0},"citationItems":[{"id":1313,"uris":["http://zotero.org/groups/4573874/items/5DUZFISM"],"itemData":{"id":1313,"type":"article-journal","abstract":"Although it is well established that soils are the dominating source for atmospheric nitrous oxide (N2O), we are still struggling to fully understand the complexity of the underlying microbial production and consumption processes and the links to biotic (e.g. inter- and intraspecies competition, food webs, plant–microbe interaction) and abiotic (e.g. soil climate, physics and chemistry) factors. Recent work shows that a better understanding of the composition and diversity of the microbial community across a variety of soils in different climates and under different land use, as well as plant–microbe interactions in the rhizosphere, may provide a key to better understand the variability of N2O fluxes at the soil–atmosphere interface. Moreover, recent insights into the regulation of the reduction of N2O to dinitrogen (N2) have increased our understanding of N2O exchange. This improved process understanding, building on the increased use of isotope tracing techniques and metagenomics, needs to go along with improvements in measurement techniques for N2O (and N2) emission in order to obtain robust field and laboratory datasets for different ecosystem types. Advances in both fields are currently used to improve process descriptions in biogeochemical models, which may eventually be used not only to test our current process understanding from the microsite to the field level, but also used as tools for up-scaling emissions to landscapes and regions and to explore feedbacks of soil N2O emissions to changes in environmental conditions, land management and land use.","container-title":"Philosophical Transactions of the Royal Society B: Biological Sciences","DOI":"10.1098/rstb.2013.0122","issue":"1621","note":"publisher: Royal Society","page":"20130122","source":"royalsocietypublishing.org (Atypon)","title":"Nitrous oxide emissions from soils: how well do we understand the processes and their controls?","title-short":"Nitrous oxide emissions from soils","volume":"368","author":[{"family":"Butterbach-Bahl","given":"Klaus"},{"family":"Baggs","given":"Elizabeth M."},{"family":"Dannenmann","given":"Michael"},{"family":"Kiese","given":"Ralf"},{"family":"Zechmeister-Boltenstern","given":"Sophie"}],"issued":{"date-parts":[["2013",7,5]]}}},{"id":3380,"uris":["http://zotero.org/groups/5631027/items/LADU32K8"],"itemData":{"id":3380,"type":"article-journal","abstract":"Ammonia (NH3)-oxidizing bacteria (AOB) emit substantial amounts of nitric oxide (NO) and nitrous oxide (N2O), both of which contribute to the harmful environmental side effects of large-scale agriculture. The currently accepted model for AOB metabolism involves NH3 oxidation to nitrite (NO2–) via a single obligate intermediate, hydroxylamine (NH2OH). Within this model, the multiheme enzyme hydroxylamine oxidoreductase (HAO) catalyzes the four-electron oxidation of NH2OH to NO2–. We provide evidence that HAO oxidizes NH2OH by only three electrons to NO under both anaerobic and aerobic conditions. NO2– observed in HAO activity assays is a nonenzymatic product resulting from the oxidation of NO by O2 under aerobic conditions. Our present study implies that aerobic NH3 oxidation by AOB occurs via two obligate intermediates, NH2OH and NO, necessitating a mediator of the third enzymatic step.","container-title":"Proceedings of the National Academy of Sciences","DOI":"10.1073/pnas.1704504114","issue":"31","note":"publisher: Proceedings of the National Academy of Sciences","page":"8217-8222","source":"pnas.org (Atypon)","title":"Nitric oxide is an obligate bacterial nitrification intermediate produced by hydroxylamine oxidoreductase","volume":"114","author":[{"family":"Caranto","given":"Jonathan D."},{"family":"Lancaster","given":"Kyle M."}],"issued":{"date-parts":[["2017",8]]}}},{"id":2099,"uris":["http://zotero.org/groups/5631027/items/KVRD62S4"],"itemData":{"id":2099,"type":"article-journal","abstract":"China is the world’s largest consumer of synthetic nitrogen (N), where very low rates of fertilizer N recovery in crops have been reported, raising discussion around whether fertilizer N use can be significantly reduced without yield penalties. However, using recovery rates as indicator ignores a possible residual effect of fertilizer N—a factor often unknown at large scales. Such residual effect might store N in the soil increasing N availability for subsequent crops. The objectives of the present study were therefore to quantify the residual effect of fertilizer N in China and to obtain more realistic rates of the accumulative fertilizer N recovery efficiency (RE) in crop production systems of China. Long-term spatially-extensive data on crop production, fertilizer N and other N inputs to croplands in China were used to analyze the relationship between crop N uptake and fertilizer N input (or total N input), and to estimate the amount of residual fertilizer N. Measurement results of cropland soil N content in two time periods were obtained to compare the change in the soil N pool. At the provincial scale, it was found that there is a linear relationship between crop N uptake and fertilizer N input or total N input. With the increase in fertilizer N input, annual direct fertilizer N RE decreased and was indeed low (below 30% in recent years), while its residual effect increased continuously, to the point that 40–68% of applied fertilizer was used for crop production sooner or later. The residual effect was evidenced by a buildup of soil N and a large difference between nitrogen use efficiencies of long-term and short-term experiments.","container-title":"Environmental Research Letters","DOI":"10.1088/1748-9326/9/9/095002","ISSN":"1748-9326","issue":"9","journalAbbreviation":"Environ. Res. Lett.","language":"en","note":"publisher: IOP Publishing","page":"095002","source":"Institute of Physics","title":"Fertilizer nitrogen recovery efficiencies in crop production systems of China with and without consideration of the residual effect of nitrogen","volume":"9","author":[{"family":"Yan","given":"Xiaoyuan"},{"family":"Ti","given":"Chaopu"},{"family":"Vitousek","given":"Peter"},{"family":"Chen","given":"Deli"},{"family":"Leip","given":"Adrian"},{"family":"Cai","given":"Zucong"},{"family":"Zhu","given":"Zhaoliang"}],"issued":{"date-parts":[["2014",9]]}}}],"schema":"https://github.com/citation-style-language/schema/raw/master/csl-citation.json"} </w:instrText>
      </w:r>
      <w:r w:rsidRPr="00890723">
        <w:rPr>
          <w:szCs w:val="24"/>
        </w:rPr>
        <w:fldChar w:fldCharType="separate"/>
      </w:r>
      <w:r w:rsidR="00950694" w:rsidRPr="00950694">
        <w:rPr>
          <w:rFonts w:cs="Times New Roman"/>
        </w:rPr>
        <w:t>(Butterbach-Bahl et al., 2013; Caranto &amp; Lancaster, 2017; Yan et al., 2014)</w:t>
      </w:r>
      <w:r w:rsidRPr="00890723">
        <w:rPr>
          <w:szCs w:val="24"/>
        </w:rPr>
        <w:fldChar w:fldCharType="end"/>
      </w:r>
      <w:r w:rsidRPr="00890723">
        <w:rPr>
          <w:szCs w:val="24"/>
        </w:rPr>
        <w:t>. In fact, N</w:t>
      </w:r>
      <w:r w:rsidRPr="00890723">
        <w:rPr>
          <w:szCs w:val="24"/>
          <w:vertAlign w:val="subscript"/>
        </w:rPr>
        <w:t>2</w:t>
      </w:r>
      <w:r w:rsidRPr="00890723">
        <w:rPr>
          <w:szCs w:val="24"/>
        </w:rPr>
        <w:t>O emissions have demonstrated a nonlinear relationship with nitrogen fertilizer inputs, exponentially increasing in N</w:t>
      </w:r>
      <w:r w:rsidRPr="00890723">
        <w:rPr>
          <w:szCs w:val="24"/>
          <w:vertAlign w:val="subscript"/>
        </w:rPr>
        <w:t>2</w:t>
      </w:r>
      <w:r w:rsidRPr="00890723">
        <w:rPr>
          <w:szCs w:val="24"/>
        </w:rPr>
        <w:t xml:space="preserve">O emissions as fertilizer use rises </w:t>
      </w:r>
      <w:r w:rsidRPr="00890723">
        <w:rPr>
          <w:szCs w:val="24"/>
        </w:rPr>
        <w:fldChar w:fldCharType="begin"/>
      </w:r>
      <w:r w:rsidR="003C7682">
        <w:rPr>
          <w:szCs w:val="24"/>
        </w:rPr>
        <w:instrText xml:space="preserve"> ADDIN ZOTERO_ITEM CSL_CITATION {"citationID":"pgjI9x4Q","properties":{"formattedCitation":"(Song et al., 2018; Thompson et al., 2019; Q. Wang et al., 2020)","plainCitation":"(Song et al., 2018; Thompson et al., 2019; Q. Wang et al., 2020)","noteIndex":0},"citationItems":[{"id":3286,"uris":["http://zotero.org/groups/4573874/items/VAQUPXZP"],"itemData":{"id":3286,"type":"article-journal","abstract":"The IPCC assume a linear relationship between nitrogen (N) application rate and nitrous oxide (N2O) emissions in inventory reporting, however, a growing number of studies show a nonlinear relationship under specific soil-climatic conditions. In the North China plain, a global hotspot of N2O emissions, covering a land as large as Germany, the correlation between N rate and N2O emissions remains unclear. We have therefore specifically investigated the N2O response to N applications by conducting field experiments with five N rates, and high-frequency measurements of N2O emissions across contrasting climatic years. Our results showed that cumulative and yield-scaled N2O emissions both increased exponentially as N applications were raised above the optimum rate in maize (Zea mays L.). In wheat (Triticum aestivum L.) there was a corresponding quadratic increase in N2O emissions with the magnitude of the response in 2012–2013 distinctly larger than that in 2013–2014 owing to the effects of extreme snowfall. Existing empirical models (including the IPCC approach) of the N2O response to N rate have overestimated N2O emissions in the North China plain, even at high N rates. Our study therefore provides a new and robust analysis of the effects of fertilizer rate and climatic conditions on N2O emissions.","container-title":"Environmental Science &amp; Technology","DOI":"10.1021/acs.est.8b03931","ISSN":"0013-936X","issue":"21","journalAbbreviation":"Environ. Sci. Technol.","note":"publisher: American Chemical Society","page":"12504-12513","source":"ACS Publications","title":"Nitrous Oxide Emissions Increase Exponentially When Optimum Nitrogen Fertilizer Rates Are Exceeded in the North China Plain","volume":"52","author":[{"family":"Song","given":"Xiaotong"},{"family":"Liu","given":"Min"},{"family":"Ju","given":"Xiaotang"},{"family":"Gao","given":"Bing"},{"family":"Su","given":"Fang"},{"family":"Chen","given":"Xinping"},{"family":"Rees","given":"Robert M"}],"issued":{"date-parts":[["2018",11,6]]}}},{"id":1418,"uris":["http://zotero.org/groups/4573874/items/FGUS5HG3"],"itemData":{"id":1418,"type":"article-journal","abstract":"Nitrous oxide (N2O) is the third most important long-lived GHG and an important stratospheric ozone depleting substance. Agricultural practices and the use of N-fertilizers have greatly enhanced emissions of N2O. Here, we present estimates of N2O emissions determined from three global atmospheric inversion frameworks during the period 1998–2016. We find that global N2O emissions increased substantially from 2009 and at a faster rate than estimated by the IPCC emission factor approach. The regions of East Asia and South America made the largest contributions to the global increase. From the inversion-based emissions, we estimate a global emission factor of 2.3 ± 0.6%, which is significantly larger than the IPCC Tier-1 default for combined direct and indirect emissions of 1.375%. The larger emission factor and accelerating emission increase found from the inversions suggest that N2O emission may have a nonlinear response at global and regional scales with high levels of N-input.","container-title":"Nature Climate Change","DOI":"10.1038/s41558-019-0613-7","ISSN":"1758-6798","issue":"12","journalAbbreviation":"Nat. Clim. Chang.","language":"en","license":"2019 The Author(s), under exclusive licence to Springer Nature Limited","note":"number: 12\npublisher: Nature Publishing Group","page":"993-998","source":"www.nature.com","title":"Acceleration of global N2O emissions seen from two decades of atmospheric inversion","volume":"9","author":[{"family":"Thompson","given":"R. L."},{"family":"Lassaletta","given":"L."},{"family":"Patra","given":"P. K."},{"family":"Wilson","given":"C."},{"family":"Wells","given":"K. C."},{"family":"Gressent","given":"A."},{"family":"Koffi","given":"E. N."},{"family":"Chipperfield","given":"M. P."},{"family":"Winiwarter","given":"W."},{"family":"Davidson","given":"E. A."},{"family":"Tian","given":"H."},{"family":"Canadell","given":"J. G."}],"issued":{"date-parts":[["2019",12]]}}},{"id":3284,"uris":["http://zotero.org/groups/4573874/items/VINCMCQG"],"itemData":{"id":3284,"type":"article-journal","abstract":"Croplands are the single largest anthropogenic source of nitrous oxide (N2O) globally, yet their estimates remain difficult to verify when using Tier 1 and 3 methods of the Intergovernmental Panel on Climate Change (IPCC). Here, we re-evaluate global cropland-N2O emissions in 1961–2014, using N-rate-dependent emission factors (EFs) upscaled from 1206 field observations in 180 global distributed sites and high-resolution N inputs disaggregated from sub-national surveys covering 15593 administrative units. Our results confirm IPCC Tier 1 default EFs for upland crops in 1990–2014, but give a </w:instrText>
      </w:r>
      <w:r w:rsidR="003C7682">
        <w:rPr>
          <w:rFonts w:ascii="Cambria Math" w:hAnsi="Cambria Math" w:cs="Cambria Math"/>
          <w:szCs w:val="24"/>
        </w:rPr>
        <w:instrText>∼</w:instrText>
      </w:r>
      <w:r w:rsidR="003C7682">
        <w:rPr>
          <w:szCs w:val="24"/>
        </w:rPr>
        <w:instrText>15% lower EF in 1961</w:instrText>
      </w:r>
      <w:r w:rsidR="003C7682">
        <w:rPr>
          <w:rFonts w:cs="Times New Roman"/>
          <w:szCs w:val="24"/>
        </w:rPr>
        <w:instrText>–</w:instrText>
      </w:r>
      <w:r w:rsidR="003C7682">
        <w:rPr>
          <w:szCs w:val="24"/>
        </w:rPr>
        <w:instrText xml:space="preserve">1989 and a </w:instrText>
      </w:r>
      <w:r w:rsidR="003C7682">
        <w:rPr>
          <w:rFonts w:ascii="Cambria Math" w:hAnsi="Cambria Math" w:cs="Cambria Math"/>
          <w:szCs w:val="24"/>
        </w:rPr>
        <w:instrText>∼</w:instrText>
      </w:r>
      <w:r w:rsidR="003C7682">
        <w:rPr>
          <w:szCs w:val="24"/>
        </w:rPr>
        <w:instrText xml:space="preserve">67% larger EF for paddy rice over the full period. Associated emissions (0.82 </w:instrText>
      </w:r>
      <w:r w:rsidR="003C7682">
        <w:rPr>
          <w:rFonts w:cs="Times New Roman"/>
          <w:szCs w:val="24"/>
        </w:rPr>
        <w:instrText>±</w:instrText>
      </w:r>
      <w:r w:rsidR="003C7682">
        <w:rPr>
          <w:szCs w:val="24"/>
        </w:rPr>
        <w:instrText xml:space="preserve"> 0.34 Tg N yr</w:instrText>
      </w:r>
      <w:r w:rsidR="003C7682">
        <w:rPr>
          <w:rFonts w:cs="Times New Roman"/>
          <w:szCs w:val="24"/>
        </w:rPr>
        <w:instrText>–</w:instrText>
      </w:r>
      <w:r w:rsidR="003C7682">
        <w:rPr>
          <w:szCs w:val="24"/>
        </w:rPr>
        <w:instrText xml:space="preserve">1) are probably one-quarter lower than IPCC Tier 1 global inventories but close to Tier 3 estimates. The use of survey-based gridded N-input data contributes 58% of this emission reduction, the rest being explained by the use of observation-based non-linear EFs. We conclude that upscaling N2O emissions from site-level observations to global croplands provides a new benchmark for constraining IPCC Tier 1 and 3 methods. The detailed spatial distribution of emission data is expected to inform advancement towards more realistic and effective mitigation pathways.","container-title":"National Science Review","DOI":"10.1093/nsr/nwz087","ISSN":"2095-5138","issue":"2","journalAbbreviation":"National Science Review","page":"441-452","source":"Silverchair","title":"Data-driven estimates of global nitrous oxide emissions from croplands","volume":"7","author":[{"family":"Wang","given":"Qihui"},{"family":"Zhou","given":"Feng"},{"family":"Shang","given":"Ziyin"},{"family":"Ciais","given":"Philippe"},{"family":"Winiwarter","given":"Wilfried"},{"family":"Jackson","given":"Robert B"},{"family":"Tubiello","given":"Francesco N"},{"family":"Janssens-Maenhout","given":"Greet"},{"family":"Tian","given":"Hanqin"},{"family":"Cui","given":"Xiaoqing"},{"family":"Canadell","given":"Josep G"},{"family":"Piao","given":"Shilong"},{"family":"Tao","given":"Shu"}],"issued":{"date-parts":[["2020",2,1]]}}}],"schema":"https://github.com/citation-style-language/schema/raw/master/csl-citation.json"} </w:instrText>
      </w:r>
      <w:r w:rsidRPr="00890723">
        <w:rPr>
          <w:szCs w:val="24"/>
        </w:rPr>
        <w:fldChar w:fldCharType="separate"/>
      </w:r>
      <w:r w:rsidRPr="00890723">
        <w:rPr>
          <w:rFonts w:cs="Times New Roman"/>
          <w:szCs w:val="24"/>
        </w:rPr>
        <w:t>(Song et al., 2018; Thompson et al., 2019; Q. Wang et al., 2020)</w:t>
      </w:r>
      <w:r w:rsidRPr="00890723">
        <w:rPr>
          <w:szCs w:val="24"/>
        </w:rPr>
        <w:fldChar w:fldCharType="end"/>
      </w:r>
      <w:r w:rsidRPr="00890723">
        <w:rPr>
          <w:szCs w:val="24"/>
        </w:rPr>
        <w:t>. As a result, the agricultural emissions rate has grown rapidly by nearly 50% since the 1980’s, accounting for 70% of the total rise in anthropogenic N</w:t>
      </w:r>
      <w:r w:rsidRPr="00890723">
        <w:rPr>
          <w:szCs w:val="24"/>
          <w:vertAlign w:val="subscript"/>
        </w:rPr>
        <w:t>2</w:t>
      </w:r>
      <w:r w:rsidRPr="00890723">
        <w:rPr>
          <w:szCs w:val="24"/>
        </w:rPr>
        <w:t xml:space="preserve">O emissions over this timeframe </w:t>
      </w:r>
      <w:r w:rsidRPr="00890723">
        <w:rPr>
          <w:szCs w:val="24"/>
        </w:rPr>
        <w:fldChar w:fldCharType="begin"/>
      </w:r>
      <w:r w:rsidR="003C7682">
        <w:rPr>
          <w:szCs w:val="24"/>
        </w:rPr>
        <w:instrText xml:space="preserve"> ADDIN ZOTERO_ITEM CSL_CITATION {"citationID":"VUZPfkqz","properties":{"formattedCitation":"(Intergovernmental Panel on Climate Change (IPCC), 2023)","plainCitation":"(Intergovernmental Panel on Climate Change (IPCC), 2023)","dontUpdate":true,"noteIndex":0},"citationItems":[{"id":3283,"uris":["http://zotero.org/groups/4573874/items/CNNVUSSR"],"itemData":{"id":3283,"type":"chapter","archive":"Cambridge Core","container-title":"Climate Change 2021: The Physical Science Basis: Working Group I Contribution to the Sixth Assessment Report of the Intergovernmental Panel on Climate Change","event-place":"Cambridge","ISBN":"978-1-00-915788-9","note":"DOI: 10.1017/9781009157896.007","page":"673-816","publisher":"Cambridge University Press","publisher-place":"Cambridge","source":"Cambridge University Press","title":"Global Carbon and Other Biogeochemical Cycles and Feedbacks","URL":"https://www.cambridge.org/core/product/93DFD13E855AC1F1B502965CABE28B7F","editor":[{"literal":"Intergovernmental Panel on Climate Change (IPCC)"}],"issued":{"date-parts":[["2023"]]}}}],"schema":"https://github.com/citation-style-language/schema/raw/master/csl-citation.json"} </w:instrText>
      </w:r>
      <w:r w:rsidRPr="00890723">
        <w:rPr>
          <w:szCs w:val="24"/>
        </w:rPr>
        <w:fldChar w:fldCharType="separate"/>
      </w:r>
      <w:r w:rsidRPr="00890723">
        <w:rPr>
          <w:rFonts w:cs="Times New Roman"/>
          <w:szCs w:val="24"/>
        </w:rPr>
        <w:t>(IPCC, 2023)</w:t>
      </w:r>
      <w:r w:rsidRPr="00890723">
        <w:rPr>
          <w:szCs w:val="24"/>
        </w:rPr>
        <w:fldChar w:fldCharType="end"/>
      </w:r>
      <w:r w:rsidRPr="00890723">
        <w:rPr>
          <w:szCs w:val="24"/>
        </w:rPr>
        <w:t>. In the face of this growing problem, research is needed to identify strategies capable of reducing N</w:t>
      </w:r>
      <w:r w:rsidRPr="00890723">
        <w:rPr>
          <w:szCs w:val="24"/>
          <w:vertAlign w:val="subscript"/>
        </w:rPr>
        <w:t>2</w:t>
      </w:r>
      <w:r w:rsidRPr="00890723">
        <w:rPr>
          <w:szCs w:val="24"/>
        </w:rPr>
        <w:t xml:space="preserve">O emissions and supporting their implementation widely to meet international goals of limiting warming to 1.5 or even 2 °C by the end of this century </w:t>
      </w:r>
      <w:r w:rsidRPr="00890723">
        <w:rPr>
          <w:szCs w:val="24"/>
        </w:rPr>
        <w:fldChar w:fldCharType="begin"/>
      </w:r>
      <w:r w:rsidR="003C7682">
        <w:rPr>
          <w:szCs w:val="24"/>
        </w:rPr>
        <w:instrText xml:space="preserve"> ADDIN ZOTERO_ITEM CSL_CITATION {"citationID":"1MzPeloe","properties":{"formattedCitation":"(Clark et al., 2020; Garnett, 2011; H\\uc0\\u233{}nault et al., 2012; Mosier et al., 1998; Thompson et al., 2019)","plainCitation":"(Clark et al., 2020; Garnett, 2011; Hénault et al., 2012; Mosier et al., 1998; Thompson et al., 2019)","noteIndex":0},"citationItems":[{"id":1243,"uris":["http://zotero.org/groups/4573874/items/VUH4K24C"],"itemData":{"id":1243,"type":"article-journal","abstract":"The Paris Agreement’s goal of limiting the increase in global temperature to 1.5° or 2°C above preindustrial levels requires rapid reductions in greenhouse gas emissions. Although reducing emissions from fossil fuels is essential for meeting this goal, other sources of emissions may also preclude its attainment. We show that even if fossil fuel emissions were immediately halted, current trends in global food systems would prevent the achievement of the 1.5°C target and, by the end of the century, threaten the achievement of the 2°C target. Meeting the 1.5°C target requires rapid and ambitious changes to food systems as well as to all nonfood sectors. The 2°C target could be achieved with less-ambitious changes to food systems, but only if fossil fuel and other nonfood emissions are eliminated soon.","container-title":"Science","DOI":"10.1126/science.aba7357","issue":"6517","note":"publisher: American Association for the Advancement of Science","page":"705-708","source":"science.org (Atypon)","title":"Global food system emissions could preclude achieving the 1.5° and 2°C climate change targets","volume":"370","author":[{"family":"Clark","given":"Michael A."},{"family":"Domingo","given":"Nina G. G."},{"family":"Colgan","given":"Kimberly"},{"family":"Thakrar","given":"Sumil K."},{"family":"Tilman","given":"David"},{"family":"Lynch","given":"John"},{"family":"Azevedo","given":"Inês L."},{"family":"Hill","given":"Jason D."}],"issued":{"date-parts":[["2020",11,6]]}}},{"id":1473,"uris":["http://zotero.org/groups/4573874/items/SVNSWCJJ"],"itemData":{"id":1473,"type":"article-journal","abstract":"This paper reviews estimates of food related greenhouse gas (GHG) emissions at the global, regional and national levels, highlighting both GHG-intensive stages in the food chain, and GHG-intensive food types. It examines approaches that have been proposed for mitigating emissions at each stage in the chain and looks at how these sit within wider discussions of sustainability. It finds that efficiency-focused technological measures, while important, may not only be insufficient in reducing GHGs to the level required but may also give rise to other environmental and ethical concerns. It gives evidence showing that in addition to technological mitigation it will also be necessary to shift patterns of consumption, and in particular away from diets rich in GHG-intensive meat and dairy foods. This will be necessary not just in the developed but also, in the longer term, in the developing world. This move, while potentially beneficial for food secure, wealthier populations, raises potentially serious nutritional questions for the world’s poorest. A priority for decision makers is to develop policies that explicitly seek to integrate agricultural, environmental and nutritional objectives.","collection-title":"The challenge of global food sustainability","container-title":"Food Policy","DOI":"10.1016/j.foodpol.2010.10.010","ISSN":"0306-9192","journalAbbreviation":"Food Policy","page":"S23-S32","source":"ScienceDirect","title":"Where are the best opportunities for reducing greenhouse gas emissions in the food system (including the food chain)?","volume":"36","author":[{"family":"Garnett","given":"Tara"}],"issued":{"date-parts":[["2011",1,1]]}}},{"id":1471,"uris":["http://zotero.org/groups/4573874/items/5V252IMA"],"itemData":{"id":1471,"type":"article-journal","abstract":"This short review deals with soils as an important source of the greenhouse gas N2O. The production and consumption of N2O in soils mainly involve biotic processes: the anaerobic process of denitrification and the aerobic process of nitrification. The factors that significantly influence agricultural N2O emissions mainly concern the agricultural practices (N application rate, crop type, fertilizer type) and soil conditions (soil moisture, soil organic C content, soil pH and texture). Large variability of N2O fluxes is known to occur both at different spatial and temporal scales. Currently new techniques could help to improve the capture of the spatial variability. Continuous measurement systems with automatic chambers could also help to capture temporal variability and consequently to improve quantification of N2O emissions by soils. Some attempts for mitigating soil N2O emissions, either by modifying agricultural practices or by managing soil microbial functioning taking into account the origin of the soil N2O emission variability, are reviewed.","collection-title":"Special Issue on Bioremediation of Contaminated Soil and Water","container-title":"Pedosphere","DOI":"10.1016/S1002-0160(12)60029-0","ISSN":"1002-0160","issue":"4","journalAbbreviation":"Pedosphere","page":"426-433","source":"ScienceDirect","title":"Nitrous Oxide Emission by Agricultural Soils: A Review of Spatial and Temporal Variability for Mitigation","title-short":"Nitrous Oxide Emission by Agricultural Soils","volume":"22","author":[{"family":"Hénault","given":"C."},{"family":"Grossel","given":"A."},{"family":"Mary","given":"B."},{"family":"Roussel","given":"M."},{"family":"Léonard","given":"J."}],"issued":{"date-parts":[["2012",8,1]]}}},{"id":1470,"uris":["http://zotero.org/groups/4573874/items/7LN56VYS"],"itemData":{"id":1470,"type":"article-journal","abstract":"Agricultural cropping and animal production systems are important sources of atmospheric nitrous oxide (N2O). The assessment of the importance of N fertilization from synthetic fertilizer, animal wastes used as fertilizers and from N incorporated into the soil through biological N fixation, to global N2O emissions presented in this paper suggests that this source has been underestimated. We estimate that agricultural systems produce about one fourth of global N2O emissions. Methods of mitigating these emissions are presented which, if adopted globally could decrease annual N2O emissions from cropped soils by about 20%.","container-title":"Climatic Change","DOI":"10.1023/A:1005386614431","ISSN":"1573-1480","issue":"1","journalAbbreviation":"Climatic Change","language":"en","page":"7-38","source":"Springer Link","title":"Assessing and Mitigating N2O Emissions from Agricultural Soils","volume":"40","author":[{"family":"Mosier","given":"A.R."},{"family":"Duxbury","given":"J.M."},{"family":"Freney","given":"J.R."},{"family":"Heinemeyer","given":"O."},{"family":"Minami","given":"K."}],"issued":{"date-parts":[["1998",9,1]]}}},{"id":1418,"uris":["http://zotero.org/groups/4573874/items/FGUS5HG3"],"itemData":{"id":1418,"type":"article-journal","abstract":"Nitrous oxide (N2O) is the third most important long-lived GHG and an important stratospheric ozone depleting substance. Agricultural practices and the use of N-fertilizers have greatly enhanced emissions of N2O. Here, we present estimates of N2O emissions determined from three global atmospheric inversion frameworks during the period 1998–2016. We find that global N2O emissions increased substantially from 2009 and at a faster rate than estimated by the IPCC emission factor approach. The regions of East Asia and South America made the largest contributions to the global increase. From the inversion-based emissions, we estimate a global emission factor of 2.3 ± 0.6%, which is significantly larger than the IPCC Tier-1 default for combined direct and indirect emissions of 1.375%. The larger emission factor and accelerating emission increase found from the inversions suggest that N2O emission may have a nonlinear response at global and regional scales with high levels of N-input.","container-title":"Nature Climate Change","DOI":"10.1038/s41558-019-0613-7","ISSN":"1758-6798","issue":"12","journalAbbreviation":"Nat. Clim. Chang.","language":"en","license":"2019 The Author(s), under exclusive licence to Springer Nature Limited","note":"number: 12\npublisher: Nature Publishing Group","page":"993-998","source":"www.nature.com","title":"Acceleration of global N2O emissions seen from two decades of atmospheric inversion","volume":"9","author":[{"family":"Thompson","given":"R. L."},{"family":"Lassaletta","given":"L."},{"family":"Patra","given":"P. K."},{"family":"Wilson","given":"C."},{"family":"Wells","given":"K. C."},{"family":"Gressent","given":"A."},{"family":"Koffi","given":"E. N."},{"family":"Chipperfield","given":"M. P."},{"family":"Winiwarter","given":"W."},{"family":"Davidson","given":"E. A."},{"family":"Tian","given":"H."},{"family":"Canadell","given":"J. G."}],"issued":{"date-parts":[["2019",12]]}}}],"schema":"https://github.com/citation-style-language/schema/raw/master/csl-citation.json"} </w:instrText>
      </w:r>
      <w:r w:rsidRPr="00890723">
        <w:rPr>
          <w:szCs w:val="24"/>
        </w:rPr>
        <w:fldChar w:fldCharType="separate"/>
      </w:r>
      <w:r w:rsidRPr="00890723">
        <w:rPr>
          <w:kern w:val="0"/>
          <w:szCs w:val="24"/>
        </w:rPr>
        <w:t>(Clark et al., 2020; Garnett, 2011; Hénault et al., 2012; Mosier et al., 1998; Thompson et al., 2019)</w:t>
      </w:r>
      <w:r w:rsidRPr="00890723">
        <w:rPr>
          <w:szCs w:val="24"/>
        </w:rPr>
        <w:fldChar w:fldCharType="end"/>
      </w:r>
      <w:r w:rsidRPr="00890723">
        <w:rPr>
          <w:szCs w:val="24"/>
        </w:rPr>
        <w:t xml:space="preserve">. </w:t>
      </w:r>
    </w:p>
    <w:p w14:paraId="5583EBC0" w14:textId="1CC48570" w:rsidR="00032567" w:rsidRPr="00890723" w:rsidRDefault="00032567" w:rsidP="001B567A">
      <w:pPr>
        <w:spacing w:after="0" w:line="480" w:lineRule="auto"/>
        <w:rPr>
          <w:szCs w:val="24"/>
        </w:rPr>
      </w:pPr>
      <w:r w:rsidRPr="00890723">
        <w:rPr>
          <w:szCs w:val="24"/>
        </w:rPr>
        <w:t>One promising avenue of research ideates an opportunity to this end within the temporal pattern in which N</w:t>
      </w:r>
      <w:r w:rsidRPr="00890723">
        <w:rPr>
          <w:szCs w:val="24"/>
          <w:vertAlign w:val="subscript"/>
        </w:rPr>
        <w:t>2</w:t>
      </w:r>
      <w:r w:rsidRPr="00890723">
        <w:rPr>
          <w:szCs w:val="24"/>
        </w:rPr>
        <w:t>O is emitted from soils. These emissions do not take place at a steady and constant rate over time, but rather exhibit two distinct states. The first is a relatively steady and low-level rate typically around 2-3 g N ha</w:t>
      </w:r>
      <w:r w:rsidRPr="00890723">
        <w:rPr>
          <w:szCs w:val="24"/>
          <w:vertAlign w:val="superscript"/>
        </w:rPr>
        <w:t>-1</w:t>
      </w:r>
      <w:r w:rsidRPr="00890723">
        <w:rPr>
          <w:szCs w:val="24"/>
        </w:rPr>
        <w:t xml:space="preserve"> d</w:t>
      </w:r>
      <w:r w:rsidRPr="00890723">
        <w:rPr>
          <w:szCs w:val="24"/>
          <w:vertAlign w:val="superscript"/>
        </w:rPr>
        <w:t>-1</w:t>
      </w:r>
      <w:r w:rsidRPr="00890723">
        <w:rPr>
          <w:szCs w:val="24"/>
        </w:rPr>
        <w:t xml:space="preserve"> which predominates throughout time, known as the “background” level </w:t>
      </w:r>
      <w:r w:rsidRPr="00890723">
        <w:rPr>
          <w:szCs w:val="24"/>
        </w:rPr>
        <w:fldChar w:fldCharType="begin"/>
      </w:r>
      <w:r w:rsidR="003C7682">
        <w:rPr>
          <w:szCs w:val="24"/>
        </w:rPr>
        <w:instrText xml:space="preserve"> ADDIN ZOTERO_ITEM CSL_CITATION {"citationID":"rNCyyNW0","properties":{"formattedCitation":"(Yin et al., 2022)","plainCitation":"(Yin et al., 2022)","noteIndex":0},"citationItems":[{"id":607,"uris":["http://zotero.org/groups/4573874/items/UFAM7YSK"],"itemData":{"id":607,"type":"article-journal","abstract":"Robust global simulation of soil background N2O emissions (BNEs) is a challenge due to the lack of a comprehensive system for quantification of the variations in their magnitude and location. We mapped global BNEs based on 1353 field observations from globally distributed sites and high-resolution climate and soil data. We then calculated global and national total BNE budgets and compared them to the IPCC-estimated values. The average BNE was 1.10, 0.92, and 0.84 kg N ha−1 year−1 with variations from 0.18 to 3.47 (5th–95th percentile, hereafter), 0.20 to 3.44, and −1.16 to 3.70 kg N ha−1 year−1 for cropland, forestland, and grassland, respectively. Soil pH, soil N mineralization, atmospheric N deposition, soil volumetric water content, and soil temperature were the principle significant drivers of BNEs. The total BNEs of three land use types was lower than IPCC-estimated total BNEs by 0.83 Tg (1012 g) N year−1, ranging from −47% to 94% across countries. The estimated BNE with cropland values were slightly higher than the IPCC estimates by 0.11 Tg N year−1, and forestland and grassland lower than the IPCC estimates by 0.4 and 0.54 Tg N year−1, respectively. Our study underlined the necessity for detailed estimation of the spatial distribution of BNEs to improve the estimates of global N2O emissions and enable the establishment of more realistic and effective mitigation measures.","container-title":"Global Change Biology","DOI":"10.1111/gcb.15860","ISSN":"1365-2486","issue":"2","language":"en","note":"_eprint: https://onlinelibrary.wiley.com/doi/pdf/10.1111/gcb.15860","page":"480-492","source":"Wiley Online Library","title":"Evaluation of variation in background nitrous oxide emissions: A new global synthesis integrating the impacts of climate, soil, and management conditions","title-short":"Evaluation of variation in background nitrous oxide emissions","volume":"28","author":[{"family":"Yin","given":"Yulong"},{"family":"Wang","given":"Zihan"},{"family":"Tian","given":"Xingshuai"},{"family":"Wang","given":"Yingcheng"},{"family":"Cong","given":"Jiahui"},{"family":"Cui","given":"Zhenling"}],"issued":{"date-parts":[["2022"]]}}}],"schema":"https://github.com/citation-style-language/schema/raw/master/csl-citation.json"} </w:instrText>
      </w:r>
      <w:r w:rsidRPr="00890723">
        <w:rPr>
          <w:szCs w:val="24"/>
        </w:rPr>
        <w:fldChar w:fldCharType="separate"/>
      </w:r>
      <w:r w:rsidRPr="00890723">
        <w:rPr>
          <w:rFonts w:cs="Times New Roman"/>
          <w:szCs w:val="24"/>
        </w:rPr>
        <w:t>(Yin et al., 2022)</w:t>
      </w:r>
      <w:r w:rsidRPr="00890723">
        <w:rPr>
          <w:szCs w:val="24"/>
        </w:rPr>
        <w:fldChar w:fldCharType="end"/>
      </w:r>
      <w:r w:rsidRPr="00890723">
        <w:rPr>
          <w:szCs w:val="24"/>
        </w:rPr>
        <w:t>. However, when substrates are abundant and environmental conditions favorable for biogeochemical processes which produce N</w:t>
      </w:r>
      <w:r w:rsidRPr="00890723">
        <w:rPr>
          <w:szCs w:val="24"/>
          <w:vertAlign w:val="subscript"/>
        </w:rPr>
        <w:t>2</w:t>
      </w:r>
      <w:r w:rsidRPr="00890723">
        <w:rPr>
          <w:szCs w:val="24"/>
        </w:rPr>
        <w:t xml:space="preserve">O, the rate of emissions can rise dramatically by orders of magnitude for a period until substrates are expended or conditions </w:t>
      </w:r>
      <w:r w:rsidRPr="00890723">
        <w:rPr>
          <w:szCs w:val="24"/>
        </w:rPr>
        <w:lastRenderedPageBreak/>
        <w:t xml:space="preserve">change, in a phenomenon that have been termed “hot moments” </w:t>
      </w:r>
      <w:r w:rsidRPr="00890723">
        <w:rPr>
          <w:szCs w:val="24"/>
        </w:rPr>
        <w:fldChar w:fldCharType="begin"/>
      </w:r>
      <w:r w:rsidR="003C7682">
        <w:rPr>
          <w:szCs w:val="24"/>
        </w:rPr>
        <w:instrText xml:space="preserve"> ADDIN ZOTERO_ITEM CSL_CITATION {"citationID":"fbB7yFmR","properties":{"formattedCitation":"(McClain et al., 2003)","plainCitation":"(McClain et al., 2003)","noteIndex":0},"citationItems":[{"id":1273,"uris":["http://zotero.org/groups/4573874/items/XVDDXTU7"],"itemData":{"id":1273,"type":"article-journal","container-title":"Ecosystems","DOI":"10.1007/s10021-003-0161-9","ISSN":"1432-9840","issue":"4","journalAbbreviation":"Ecosystems","language":"en","page":"301-312","source":"Springer Link","title":"Biogeochemical Hot Spots and Hot Moments at the Interface of Terrestrial and Aquatic Ecosystems","volume":"6","author":[{"family":"McClain","given":"Michael E."},{"family":"Boyer","given":"Elizabeth W."},{"family":"Dent","given":"C. Lisa"},{"family":"Gergel","given":"Sarah E."},{"family":"Grimm","given":"Nancy B."},{"family":"Groffman","given":"Peter M."},{"family":"Hart","given":"Stephen C."},{"family":"Harvey","given":"Judson W."},{"family":"Johnston","given":"Carol A."},{"family":"Mayorga","given":"Emilio"},{"family":"McDowell","given":"William H."},{"family":"Pinay","given":"Gilles"}],"issued":{"date-parts":[["2003",6,1]]}}}],"schema":"https://github.com/citation-style-language/schema/raw/master/csl-citation.json"} </w:instrText>
      </w:r>
      <w:r w:rsidRPr="00890723">
        <w:rPr>
          <w:szCs w:val="24"/>
        </w:rPr>
        <w:fldChar w:fldCharType="separate"/>
      </w:r>
      <w:r w:rsidRPr="00890723">
        <w:rPr>
          <w:rFonts w:cs="Times New Roman"/>
          <w:szCs w:val="24"/>
        </w:rPr>
        <w:t>(McClain et al., 2003)</w:t>
      </w:r>
      <w:r w:rsidRPr="00890723">
        <w:rPr>
          <w:szCs w:val="24"/>
        </w:rPr>
        <w:fldChar w:fldCharType="end"/>
      </w:r>
      <w:r w:rsidRPr="00890723">
        <w:rPr>
          <w:szCs w:val="24"/>
        </w:rPr>
        <w:t>. These hot moments are discrete events which contribute disproportionately to agricultural N</w:t>
      </w:r>
      <w:r w:rsidRPr="00890723">
        <w:rPr>
          <w:szCs w:val="24"/>
          <w:vertAlign w:val="subscript"/>
        </w:rPr>
        <w:t>2</w:t>
      </w:r>
      <w:r w:rsidRPr="00890723">
        <w:rPr>
          <w:szCs w:val="24"/>
        </w:rPr>
        <w:t xml:space="preserve">O emissions, leading to efforts to target these hot moments to maximize the potential impact of mitigation strategies </w:t>
      </w:r>
      <w:r w:rsidRPr="00890723">
        <w:rPr>
          <w:szCs w:val="24"/>
        </w:rPr>
        <w:fldChar w:fldCharType="begin"/>
      </w:r>
      <w:r w:rsidR="003C7682">
        <w:rPr>
          <w:szCs w:val="24"/>
        </w:rPr>
        <w:instrText xml:space="preserve"> ADDIN ZOTERO_ITEM CSL_CITATION {"citationID":"UfcgYi6c","properties":{"formattedCitation":"(Wagner-Riddle et al., 2020)","plainCitation":"(Wagner-Riddle et al., 2020)","noteIndex":0},"citationItems":[{"id":738,"uris":["http://zotero.org/groups/4573874/items/ASMIL7DP"],"itemData":{"id":738,"type":"article-journal","abstract":"Across landscape and field scales, nitrogen (N) transformation rates are enhanced in hot spots (HS) and transient hot moments (HM), leading to losses of environmentally reactive N. Nitrous oxide (N2O) emission trends follow these spatial and temporal patterns. Consequently, landscape features can accelerate N2O emissions, and significant fractions of total annual emissions occur in these N2O emissions HS and HM. In agroecosystems, naturally occurring and management-induced HS and HM can be exacerbated or ameliorated through mitigation management practices. Although mitigation practices have been recommended for reduction of N2O emissions, these have not explicitly targeted HS and HM. Here we review, and synthesize, N2O mitigation practices with an emphasis on how they can be aligned to reduce the occurrence of HS and HM of N2O emission.","collection-title":"Climate Change, Reactive Nitrogen, Food Security and Sustainable Agriculture","container-title":"Current Opinion in Environmental Sustainability","DOI":"10.1016/j.cosust.2020.08.002","ISSN":"1877-3435","journalAbbreviation":"Current Opinion in Environmental Sustainability","language":"en","page":"46-53","source":"ScienceDirect","title":"Mitigation of nitrous oxide emissions in the context of nitrogen loss reduction from agroecosystems: managing hot spots and hot moments","title-short":"Mitigation of nitrous oxide emissions in the context of nitrogen loss reduction from agroecosystems","volume":"47","author":[{"family":"Wagner-Riddle","given":"Claudia"},{"family":"Baggs","given":"Elizabeth M"},{"family":"Clough","given":"Tim J"},{"family":"Fuchs","given":"Kathrin"},{"family":"Petersen","given":"Søren O"}],"issued":{"date-parts":[["2020",12,1]]}}}],"schema":"https://github.com/citation-style-language/schema/raw/master/csl-citation.json"} </w:instrText>
      </w:r>
      <w:r w:rsidRPr="00890723">
        <w:rPr>
          <w:szCs w:val="24"/>
        </w:rPr>
        <w:fldChar w:fldCharType="separate"/>
      </w:r>
      <w:r w:rsidRPr="00890723">
        <w:rPr>
          <w:rFonts w:cs="Times New Roman"/>
          <w:szCs w:val="24"/>
        </w:rPr>
        <w:t>(Wagner-Riddle et al., 2020)</w:t>
      </w:r>
      <w:r w:rsidRPr="00890723">
        <w:rPr>
          <w:szCs w:val="24"/>
        </w:rPr>
        <w:fldChar w:fldCharType="end"/>
      </w:r>
      <w:r w:rsidRPr="00890723">
        <w:rPr>
          <w:szCs w:val="24"/>
        </w:rPr>
        <w:t xml:space="preserve">. However, because of the temporal variability and complex multifactorial processes which drive these events, hot moments have thus far proven difficult to estimate both in their magnitude and timing </w:t>
      </w:r>
      <w:r w:rsidRPr="00890723">
        <w:rPr>
          <w:szCs w:val="24"/>
        </w:rPr>
        <w:fldChar w:fldCharType="begin"/>
      </w:r>
      <w:r w:rsidR="008752F6">
        <w:rPr>
          <w:szCs w:val="24"/>
        </w:rPr>
        <w:instrText xml:space="preserve"> ADDIN ZOTERO_ITEM CSL_CITATION {"citationID":"an0vkigei9","properties":{"formattedCitation":"(P. Groffman et al., 2009)","plainCitation":"(P. Groffman et al., 2009)","dontUpdate":true,"noteIndex":0},"citationItems":[{"id":1331,"uris":["http://zotero.org/groups/4573874/items/EXZXMUGS"],"itemData":{"id":1331,"type":"article-journal","abstract":"Denitrification, the anaerobic reduction of nitrogen oxides to nitrogenous gases, is an extremely challenging process to measure and model. Much of this challenge arises from the fact that small areas (hotspots) and brief periods (hot moments) frequently account for a high percentage of the denitrification activity that occurs in both terrestrial and aquatic ecosystems. In this paper, we describe the prospects for incorporating hotspot and hot moment phenomena into denitrification models in terrestrial soils, the interface between terrestrial and aquatic ecosystems, and in aquatic ecosystems. Our analysis suggests that while our data needs are strongest for hot moments, the greatest modeling challenges are for hotspots. Given the increasing availability of high temporal frequency climate data, models are promising tools for evaluating the importance of hot moments such as freeze-thaw cycles and drying/rewetting events. Spatial hotspots are less tractable due to our inability to get high resolution spatial approximations of denitrification drivers such as carbon substrate. Investigators need to consider the types of hotspots and hot moments that might be occurring at small, medium, and large spatial scales in the particular ecosystem type they are working in before starting a study or developing a new model. New experimental design and heterogeneity quantification tools can then be applied from the outset and will result in better quantification and more robust and widely applicable denitrification models.","container-title":"Biogeochemistry","DOI":"10.1007/s10533-008-9277-5","ISSN":"1573-515X","issue":"1","journalAbbreviation":"Biogeochemistry","language":"en","page":"49-77","source":"Springer Link","title":"Challenges to incorporating spatially and temporally explicit phenomena (hotspots and hot moments) in denitrification models","volume":"93","author":[{"family":"Groffman","given":"Peter"},{"family":"Butterbach-Bahl","given":"Klaus"},{"family":"Fulweiler","given":"Robinson W."},{"family":"Gold","given":"Arthur J."},{"family":"Morse","given":"Jennifer L."},{"family":"Stander","given":"Emilie K."},{"family":"Tague","given":"Christina"},{"family":"Tonitto","given":"Christina"},{"family":"Vidon","given":"Philippe"}],"issued":{"date-parts":[["2009",3,1]]}}}],"schema":"https://github.com/citation-style-language/schema/raw/master/csl-citation.json"} </w:instrText>
      </w:r>
      <w:r w:rsidRPr="00890723">
        <w:rPr>
          <w:szCs w:val="24"/>
        </w:rPr>
        <w:fldChar w:fldCharType="separate"/>
      </w:r>
      <w:r w:rsidR="006D717C" w:rsidRPr="006D717C">
        <w:rPr>
          <w:rFonts w:cs="Times New Roman"/>
        </w:rPr>
        <w:t>(Groffman et al., 2009)</w:t>
      </w:r>
      <w:r w:rsidRPr="00890723">
        <w:rPr>
          <w:szCs w:val="24"/>
        </w:rPr>
        <w:fldChar w:fldCharType="end"/>
      </w:r>
      <w:r w:rsidRPr="00890723">
        <w:rPr>
          <w:szCs w:val="24"/>
        </w:rPr>
        <w:t>. In fact, it is largely because of hot moments that process-based models of soil N</w:t>
      </w:r>
      <w:r w:rsidRPr="00890723">
        <w:rPr>
          <w:szCs w:val="24"/>
          <w:vertAlign w:val="subscript"/>
        </w:rPr>
        <w:t>2</w:t>
      </w:r>
      <w:r w:rsidRPr="00890723">
        <w:rPr>
          <w:szCs w:val="24"/>
        </w:rPr>
        <w:t xml:space="preserve">O emissions have been shown to poorly represent emissions at daily temporal resolution, as they poorly represent the shifts in biogeochemical dynamics which create hot moments </w:t>
      </w:r>
      <w:r w:rsidRPr="00890723">
        <w:rPr>
          <w:szCs w:val="24"/>
        </w:rPr>
        <w:fldChar w:fldCharType="begin"/>
      </w:r>
      <w:r w:rsidR="008752F6">
        <w:rPr>
          <w:szCs w:val="24"/>
        </w:rPr>
        <w:instrText xml:space="preserve"> ADDIN ZOTERO_ITEM CSL_CITATION {"citationID":"a1bgt2095lj","properties":{"formattedCitation":"(Gaillard et al., 2018; P. Groffman et al., 2009; Necp\\uc0\\u225{}lov\\uc0\\u225{} et al., 2015)","plainCitation":"(Gaillard et al., 2018; P. Groffman et al., 2009; Necpálová et al., 2015)","dontUpdate":true,"noteIndex":0},"citationItems":[{"id":2040,"uris":["http://zotero.org/groups/5631027/items/RQQ8EYSA"],"itemData":{"id":2040,"type":"article-journal","abstract":"Process-based models are increasingly used to study agroecosystem interactions and N2O emissions from agricultural fields. The widespread use of these models to conduct research and inform policy benefits from periodic model comparisons that assess the state of agroecosystem modeling and indicate areas for model improvement. This work provides an evaluation of simulated N2O flux from three process-based models: DayCent, DNDC, and EPIC. The models were calibrated and validated using data collected from two research sites over five years that represent cropping systems and nitrogen fertilizer management strategies common to dairy cropping systems. We also evaluated the use of a multi-model ensemble strategy, which inconsistently outperformed individual model estimations. Regression analysis indicated a cross-model bias to underestimate high magnitude daily and cumulative N2O flux. Model estimations of observed soil temperature and water content did not sufficiently explain model underestimations, and we found significant variation in model estimates of heterotrophic respiration, denitrification, soil NH4+, and soil NO3−, which may indicate that additional types of observed data are required to evaluate model performance and possible biases. Our results suggest a bias in the model estimation of N2O flux from agroecosystems that limits the extension of models beyond calibration and as instruments of policy development. This highlights a growing need for the modeling and measurement communities to collaborate in the collection and analysis of the data necessary to improve models and coordinate future development.","container-title":"Ecological Applications","DOI":"10.1002/eap.1674","ISSN":"1939-5582","issue":"3","language":"en","license":"© 2017 by the Ecological Society of America","note":"_eprint: https://onlinelibrary.wiley.com/doi/pdf/10.1002/eap.1674","page":"694-708","source":"Wiley Online Library","title":"Underestimation of N2O emissions in a comparison of the DayCent, DNDC, and EPIC models","volume":"28","author":[{"family":"Gaillard","given":"Richard K."},{"family":"Jones","given":"Curtis D."},{"family":"Ingraham","given":"Pete"},{"family":"Collier","given":"Sarah"},{"family":"Izaurralde","given":"Roberto Cesar"},{"family":"Jokela","given":"William"},{"family":"Osterholz","given":"William"},{"family":"Salas","given":"William"},{"family":"Vadas","given":"Peter"},{"family":"Ruark","given":"Matthew D."}],"issued":{"date-parts":[["2018"]]}}},{"id":1331,"uris":["http://zotero.org/groups/4573874/items/EXZXMUGS"],"itemData":{"id":1331,"type":"article-journal","abstract":"Denitrification, the anaerobic reduction of nitrogen oxides to nitrogenous gases, is an extremely challenging process to measure and model. Much of this challenge arises from the fact that small areas (hotspots) and brief periods (hot moments) frequently account for a high percentage of the denitrification activity that occurs in both terrestrial and aquatic ecosystems. In this paper, we describe the prospects for incorporating hotspot and hot moment phenomena into denitrification models in terrestrial soils, the interface between terrestrial and aquatic ecosystems, and in aquatic ecosystems. Our analysis suggests that while our data needs are strongest for hot moments, the greatest modeling challenges are for hotspots. Given the increasing availability of high temporal frequency climate data, models are promising tools for evaluating the importance of hot moments such as freeze-thaw cycles and drying/rewetting events. Spatial hotspots are less tractable due to our inability to get high resolution spatial approximations of denitrification drivers such as carbon substrate. Investigators need to consider the types of hotspots and hot moments that might be occurring at small, medium, and large spatial scales in the particular ecosystem type they are working in before starting a study or developing a new model. New experimental design and heterogeneity quantification tools can then be applied from the outset and will result in better quantification and more robust and widely applicable denitrification models.","container-title":"Biogeochemistry","DOI":"10.1007/s10533-008-9277-5","ISSN":"1573-515X","issue":"1","journalAbbreviation":"Biogeochemistry","language":"en","page":"49-77","source":"Springer Link","title":"Challenges to incorporating spatially and temporally explicit phenomena (hotspots and hot moments) in denitrification models","volume":"93","author":[{"family":"Groffman","given":"Peter"},{"family":"Butterbach-Bahl","given":"Klaus"},{"family":"Fulweiler","given":"Robinson W."},{"family":"Gold","given":"Arthur J."},{"family":"Morse","given":"Jennifer L."},{"family":"Stander","given":"Emilie K."},{"family":"Tague","given":"Christina"},{"family":"Tonitto","given":"Christina"},{"family":"Vidon","given":"Philippe"}],"issued":{"date-parts":[["2009",3,1]]}}},{"id":2217,"uris":["http://zotero.org/groups/5631027/items/3GF8SIRP"],"itemData":{"id":2217,"type":"article-journal","abstract":"The ability of biogeochemical ecosystem models to represent agro-ecosystems depends on their correct integration with field observations. We report simultaneous calibration of 67 DayCent model parameters using multiple observation types through inverse modeling using the PEST parameter estimation software. Parameter estimation reduced the total sum of weighted squared residuals by 56% and improved model fit to crop productivity, soil carbon, volumetric soil water content, soil temperature, N2O, and soil NO3− compared to the default simulation. Inverse modeling substantially reduced predictive model error relative to the default model for all model predictions, except for soil NO3− and NH4+. Post-processing analyses provided insights into parameter–observation relationships based on parameter correlations, sensitivity and identifiability. Inverse modeling tools are shown to be a powerful way to systematize and accelerate the process of biogeochemical model interrogation, improving our understanding of model function and the underlying ecosystem biogeochemical processes that they represent.","container-title":"Environmental Modelling &amp; Software","DOI":"10.1016/j.envsoft.2014.12.011","ISSN":"1364-8152","journalAbbreviation":"Environmental Modelling &amp; Software","page":"110-130","source":"ScienceDirect","title":"Understanding the DayCent model: Calibration, sensitivity, and identifiability through inverse modeling","title-short":"Understanding the DayCent model","volume":"66","author":[{"family":"Necpálová","given":"Magdalena"},{"family":"Anex","given":"Robert P."},{"family":"Fienen","given":"Michael N."},{"family":"Del Grosso","given":"Stephen J."},{"family":"Castellano","given":"Michael J."},{"family":"Sawyer","given":"John E."},{"family":"Iqbal","given":"Javed"},{"family":"Pantoja","given":"José L."},{"family":"Barker","given":"Daniel W."}],"issued":{"date-parts":[["2015",4,1]]}}}],"schema":"https://github.com/citation-style-language/schema/raw/master/csl-citation.json"} </w:instrText>
      </w:r>
      <w:r w:rsidRPr="00890723">
        <w:rPr>
          <w:szCs w:val="24"/>
        </w:rPr>
        <w:fldChar w:fldCharType="separate"/>
      </w:r>
      <w:r w:rsidR="006D717C" w:rsidRPr="006D717C">
        <w:rPr>
          <w:rFonts w:cs="Times New Roman"/>
          <w:kern w:val="0"/>
        </w:rPr>
        <w:t>(Gaillard et al., 2018; Groffman et al., 2009; Necpálová et al., 2015)</w:t>
      </w:r>
      <w:r w:rsidRPr="00890723">
        <w:rPr>
          <w:szCs w:val="24"/>
        </w:rPr>
        <w:fldChar w:fldCharType="end"/>
      </w:r>
      <w:r w:rsidRPr="00890723">
        <w:rPr>
          <w:szCs w:val="24"/>
        </w:rPr>
        <w:t xml:space="preserve">. </w:t>
      </w:r>
    </w:p>
    <w:p w14:paraId="40F7FFB7" w14:textId="484D87DB" w:rsidR="00032567" w:rsidRPr="00890723" w:rsidRDefault="00032567" w:rsidP="001B567A">
      <w:pPr>
        <w:spacing w:after="0" w:line="480" w:lineRule="auto"/>
        <w:rPr>
          <w:szCs w:val="24"/>
        </w:rPr>
      </w:pPr>
      <w:r w:rsidRPr="00890723">
        <w:rPr>
          <w:szCs w:val="24"/>
        </w:rPr>
        <w:t>Moreover, the already substantial GHG contributions of hot moments have the possibility to grow as climate change advances. This is due to the interplay between certain climate and weather factors serving as both contributing causes of hot moments and outcomes of climate change, creating the possibility of positive feedback loops. For example, the rate of denitrification- a key biogeochemical process responsible for N</w:t>
      </w:r>
      <w:r w:rsidRPr="00890723">
        <w:rPr>
          <w:szCs w:val="24"/>
          <w:vertAlign w:val="subscript"/>
        </w:rPr>
        <w:t>2</w:t>
      </w:r>
      <w:r w:rsidRPr="00890723">
        <w:rPr>
          <w:szCs w:val="24"/>
        </w:rPr>
        <w:t xml:space="preserve">O hot moments- has been shown to have a high Q10, meaning that it accelerates with higher temperatures </w:t>
      </w:r>
      <w:r w:rsidRPr="00890723">
        <w:rPr>
          <w:szCs w:val="24"/>
        </w:rPr>
        <w:fldChar w:fldCharType="begin"/>
      </w:r>
      <w:r w:rsidR="00950694">
        <w:rPr>
          <w:szCs w:val="24"/>
        </w:rPr>
        <w:instrText xml:space="preserve"> ADDIN ZOTERO_ITEM CSL_CITATION {"citationID":"hwgD4jNJ","properties":{"formattedCitation":"(Butterbach-Bahl et al., 2013; Smith, 2017)","plainCitation":"(Butterbach-Bahl et al., 2013; Smith, 2017)","noteIndex":0},"citationItems":[{"id":1313,"uris":["http://zotero.org/groups/4573874/items/5DUZFISM"],"itemData":{"id":1313,"type":"article-journal","abstract":"Although it is well established that soils are the dominating source for atmospheric nitrous oxide (N2O), we are still struggling to fully understand the complexity of the underlying microbial production and consumption processes and the links to biotic (e.g. inter- and intraspecies competition, food webs, plant–microbe interaction) and abiotic (e.g. soil climate, physics and chemistry) factors. Recent work shows that a better understanding of the composition and diversity of the microbial community across a variety of soils in different climates and under different land use, as well as plant–microbe interactions in the rhizosphere, may provide a key to better understand the variability of N2O fluxes at the soil–atmosphere interface. Moreover, recent insights into the regulation of the reduction of N2O to dinitrogen (N2) have increased our understanding of N2O exchange. This improved process understanding, building on the increased use of isotope tracing techniques and metagenomics, needs to go along with improvements in measurement techniques for N2O (and N2) emission in order to obtain robust field and laboratory datasets for different ecosystem types. Advances in both fields are currently used to improve process descriptions in biogeochemical models, which may eventually be used not only to test our current process understanding from the microsite to the field level, but also used as tools for up-scaling emissions to landscapes and regions and to explore feedbacks of soil N2O emissions to changes in environmental conditions, land management and land use.","container-title":"Philosophical Transactions of the Royal Society B: Biological Sciences","DOI":"10.1098/rstb.2013.0122","issue":"1621","note":"publisher: Royal Society","page":"20130122","source":"royalsocietypublishing.org (Atypon)","title":"Nitrous oxide emissions from soils: how well do we understand the processes and their controls?","title-short":"Nitrous oxide emissions from soils","volume":"368","author":[{"family":"Butterbach-Bahl","given":"Klaus"},{"family":"Baggs","given":"Elizabeth M."},{"family":"Dannenmann","given":"Michael"},{"family":"Kiese","given":"Ralf"},{"family":"Zechmeister-Boltenstern","given":"Sophie"}],"issued":{"date-parts":[["2013",7,5]]}}},{"id":1923,"uris":["http://zotero.org/groups/5631027/items/L5F4M7F9"],"itemData":{"id":1923,"type":"article-journal","abstract":"Nitrous oxide, N2O, is the third most important of the long-lived greenhouse gases, in terms of its contribution to global warming, and is expected to be the dominant cause of stratospheric ozone depletion this century. The concentration of N2O in the atmosphere was fairly constant until the beginning of the industrial age, but has gone up by 20% since. This is because of increased anthropogenic emissions, of which about 60% come from agricultural soil. The cause is the increased use of synthetic fertilizer nitrogen globally to meet the demands for increased production of food and biofuels. This review examines the isotopic evidence for this role of fertilizer N, the main mechanisms for microbial production of N2O in soil, the key soil physical and other variables that greatly affect the magnitude of emissions, and the spatial and temporal variation in emissions and the associated problems of measurement. The review also considers the methodology devised by the Intergovernmental Panel on Climate Change (IPCC) to enable countries to compile national inventories of their emissions, direct and indirect, that arise from anthropogenic activity related to agriculture and land use. This methodology also enables modellers to make ‘bottom-up’ global estimates of N2O emissions. These estimates agree quite well at the global scale with ‘top-down’ estimates based on the relation between reactive nitrogen newly introduced into agricultural ecosystems and increases in the global atmospheric concentration of N2O, but not with some recent regional-scale emission measurements. The discrepancy may be related to problems of estimating indirect emissions. Top-down estimates indicate that N2O emissions from crop-based biofuels are too great to comply with national and international environmental regulations. Finally, possible future trends in emissions and possible mitigation measures are discussed. Highlights Evidence for increasing N2O in the atmosphere suggests it is caused by fertilizer N use. Agreements and inconsistencies in assessments of N2O emissions are considered. The main cause of increasing N2O is the use of synthetic N fertilizers on agricultural soil worldwide. Indirect emissions from waters receiving leached N may be a major cause of assessment uncertainties.","container-title":"European Journal of Soil Science","DOI":"10.1111/ejss.12409","ISSN":"1365-2389","issue":"2","language":"en","license":"© 2017 British Society of Soil Science","note":"_eprint: https://onlinelibrary.wiley.com/doi/pdf/10.1111/ejss.12409","page":"137-155","source":"Wiley Online Library","title":"Changing views of nitrous oxide emissions from agricultural soil: key controlling processes and assessment at different spatial scales","title-short":"Changing views of nitrous oxide emissions from agricultural soil","volume":"68","author":[{"family":"Smith","given":"K. A."}],"issued":{"date-parts":[["2017"]]}}}],"schema":"https://github.com/citation-style-language/schema/raw/master/csl-citation.json"} </w:instrText>
      </w:r>
      <w:r w:rsidRPr="00890723">
        <w:rPr>
          <w:szCs w:val="24"/>
        </w:rPr>
        <w:fldChar w:fldCharType="separate"/>
      </w:r>
      <w:r w:rsidR="00950694" w:rsidRPr="00950694">
        <w:rPr>
          <w:rFonts w:cs="Times New Roman"/>
        </w:rPr>
        <w:t>(Butterbach-Bahl et al., 2013; Smith, 2017)</w:t>
      </w:r>
      <w:r w:rsidRPr="00890723">
        <w:rPr>
          <w:szCs w:val="24"/>
        </w:rPr>
        <w:fldChar w:fldCharType="end"/>
      </w:r>
      <w:r w:rsidRPr="00890723">
        <w:rPr>
          <w:szCs w:val="24"/>
        </w:rPr>
        <w:t>. Thus, as global temperatures rise, it is expected that the rate of soil N</w:t>
      </w:r>
      <w:r w:rsidRPr="00890723">
        <w:rPr>
          <w:szCs w:val="24"/>
          <w:vertAlign w:val="subscript"/>
        </w:rPr>
        <w:t>2</w:t>
      </w:r>
      <w:r w:rsidRPr="00890723">
        <w:rPr>
          <w:szCs w:val="24"/>
        </w:rPr>
        <w:t xml:space="preserve">O emissions will rise as well </w:t>
      </w:r>
      <w:r w:rsidRPr="00890723">
        <w:rPr>
          <w:szCs w:val="24"/>
        </w:rPr>
        <w:fldChar w:fldCharType="begin"/>
      </w:r>
      <w:r w:rsidR="00950694">
        <w:rPr>
          <w:szCs w:val="24"/>
        </w:rPr>
        <w:instrText xml:space="preserve"> ADDIN ZOTERO_ITEM CSL_CITATION {"citationID":"ugLOvrov","properties":{"formattedCitation":"(Butterbach-Bahl et al., 2013)","plainCitation":"(Butterbach-Bahl et al., 2013)","noteIndex":0},"citationItems":[{"id":1313,"uris":["http://zotero.org/groups/4573874/items/5DUZFISM"],"itemData":{"id":1313,"type":"article-journal","abstract":"Although it is well established that soils are the dominating source for atmospheric nitrous oxide (N2O), we are still struggling to fully understand the complexity of the underlying microbial production and consumption processes and the links to biotic (e.g. inter- and intraspecies competition, food webs, plant–microbe interaction) and abiotic (e.g. soil climate, physics and chemistry) factors. Recent work shows that a better understanding of the composition and diversity of the microbial community across a variety of soils in different climates and under different land use, as well as plant–microbe interactions in the rhizosphere, may provide a key to better understand the variability of N2O fluxes at the soil–atmosphere interface. Moreover, recent insights into the regulation of the reduction of N2O to dinitrogen (N2) have increased our understanding of N2O exchange. This improved process understanding, building on the increased use of isotope tracing techniques and metagenomics, needs to go along with improvements in measurement techniques for N2O (and N2) emission in order to obtain robust field and laboratory datasets for different ecosystem types. Advances in both fields are currently used to improve process descriptions in biogeochemical models, which may eventually be used not only to test our current process understanding from the microsite to the field level, but also used as tools for up-scaling emissions to landscapes and regions and to explore feedbacks of soil N2O emissions to changes in environmental conditions, land management and land use.","container-title":"Philosophical Transactions of the Royal Society B: Biological Sciences","DOI":"10.1098/rstb.2013.0122","issue":"1621","note":"publisher: Royal Society","page":"20130122","source":"royalsocietypublishing.org (Atypon)","title":"Nitrous oxide emissions from soils: how well do we understand the processes and their controls?","title-short":"Nitrous oxide emissions from soils","volume":"368","author":[{"family":"Butterbach-Bahl","given":"Klaus"},{"family":"Baggs","given":"Elizabeth M."},{"family":"Dannenmann","given":"Michael"},{"family":"Kiese","given":"Ralf"},{"family":"Zechmeister-Boltenstern","given":"Sophie"}],"issued":{"date-parts":[["2013",7,5]]}}}],"schema":"https://github.com/citation-style-language/schema/raw/master/csl-citation.json"} </w:instrText>
      </w:r>
      <w:r w:rsidRPr="00890723">
        <w:rPr>
          <w:szCs w:val="24"/>
        </w:rPr>
        <w:fldChar w:fldCharType="separate"/>
      </w:r>
      <w:r w:rsidR="00950694" w:rsidRPr="00950694">
        <w:rPr>
          <w:rFonts w:cs="Times New Roman"/>
        </w:rPr>
        <w:t>(Butterbach-Bahl et al., 2013)</w:t>
      </w:r>
      <w:r w:rsidRPr="00890723">
        <w:rPr>
          <w:szCs w:val="24"/>
        </w:rPr>
        <w:fldChar w:fldCharType="end"/>
      </w:r>
      <w:r w:rsidRPr="00890723">
        <w:rPr>
          <w:szCs w:val="24"/>
        </w:rPr>
        <w:t>. One other potential relationship between climate change and N</w:t>
      </w:r>
      <w:r w:rsidRPr="00890723">
        <w:rPr>
          <w:szCs w:val="24"/>
          <w:vertAlign w:val="subscript"/>
        </w:rPr>
        <w:t>2</w:t>
      </w:r>
      <w:r w:rsidRPr="00890723">
        <w:rPr>
          <w:szCs w:val="24"/>
        </w:rPr>
        <w:t xml:space="preserve">O emissions exists around extreme weather events, particularly precipitation. Climate change’s effect on precipitation patterns is expected to be geographically varied, but to overall tend to increase the frequency and intensity of extreme events </w:t>
      </w:r>
      <w:r w:rsidRPr="00890723">
        <w:rPr>
          <w:szCs w:val="24"/>
        </w:rPr>
        <w:fldChar w:fldCharType="begin"/>
      </w:r>
      <w:r w:rsidR="003C7682">
        <w:rPr>
          <w:szCs w:val="24"/>
        </w:rPr>
        <w:instrText xml:space="preserve"> ADDIN ZOTERO_ITEM CSL_CITATION {"citationID":"mRq6WVXZ","properties":{"formattedCitation":"(Rastogi et al., 2020)","plainCitation":"(Rastogi et al., 2020)","noteIndex":0},"citationItems":[{"id":1485,"uris":["http://zotero.org/groups/4573874/items/6QJJA6EE"],"itemData":{"id":1485,"type":"article-journal","abstract":"The United States has witnessed an increase in the frequency of intense and spatially widespread precipitation events in recent decades. Using a high-resolution hybrid ensemble of regional climate simulations, we project further intensification of widespread extremes in the near future. The simulations cover 1966–2005 in the historical period and 2011–2050 in the future period under RCP8.5 scenario and show good correspondence with the observations in the historical period. The projected changes in the characteristics of precipitation events are associated with more frequent occurrence of extreme years where contribution from intense and widespread events to the annual precipitation is unprecedently high. While our findings are consistent with recent trends in the observations, they are in contrast to some earlier studies that project shrinking of precipitation events in the future period, which highlight the need for more rigorous investigations of changes in the spatial extent of precipitation in future climates.","container-title":"Geophysical Research Letters","DOI":"10.1029/2020GL089899","ISSN":"1944-8007","issue":"19","language":"en","license":"©2020. The Authors.","note":"_eprint: https://onlinelibrary.wiley.com/doi/pdf/10.1029/2020GL089899","page":"e2020GL089899","source":"Wiley Online Library","title":"Shift Toward Intense and Widespread Precipitation Events Over the United States by Mid-21st Century","volume":"47","author":[{"family":"Rastogi","given":"Deeksha"},{"family":"Touma","given":"Danielle"},{"family":"Evans","given":"Katherine J."},{"family":"Ashfaq","given":"Moetasim"}],"issued":{"date-parts":[["2020"]]}}}],"schema":"https://github.com/citation-style-language/schema/raw/master/csl-citation.json"} </w:instrText>
      </w:r>
      <w:r w:rsidRPr="00890723">
        <w:rPr>
          <w:szCs w:val="24"/>
        </w:rPr>
        <w:fldChar w:fldCharType="separate"/>
      </w:r>
      <w:r w:rsidRPr="00890723">
        <w:rPr>
          <w:rFonts w:cs="Times New Roman"/>
        </w:rPr>
        <w:t>(Rastogi et al., 2020)</w:t>
      </w:r>
      <w:r w:rsidRPr="00890723">
        <w:rPr>
          <w:szCs w:val="24"/>
        </w:rPr>
        <w:fldChar w:fldCharType="end"/>
      </w:r>
      <w:r w:rsidRPr="00890723">
        <w:rPr>
          <w:szCs w:val="24"/>
        </w:rPr>
        <w:t xml:space="preserve">. During the period of completing my PhD studies, this area of Appalachia has been devastated by a series of floods and hurricanes which have devastated local communities, and </w:t>
      </w:r>
      <w:r w:rsidRPr="00890723">
        <w:rPr>
          <w:szCs w:val="24"/>
        </w:rPr>
        <w:lastRenderedPageBreak/>
        <w:t xml:space="preserve">which were fueled by warming ocean conditions created by climate change. Such events are also intimately tied to hot moments, as the anoxic conditions created by raising soil moisture accelerate denitrification and frequently instigate hot moments </w:t>
      </w:r>
      <w:r w:rsidRPr="00890723">
        <w:rPr>
          <w:szCs w:val="24"/>
        </w:rPr>
        <w:fldChar w:fldCharType="begin"/>
      </w:r>
      <w:r w:rsidR="00950694">
        <w:rPr>
          <w:szCs w:val="24"/>
        </w:rPr>
        <w:instrText xml:space="preserve"> ADDIN ZOTERO_ITEM CSL_CITATION {"citationID":"KVBQtq24","properties":{"formattedCitation":"(Butterbach-Bahl et al., 2013)","plainCitation":"(Butterbach-Bahl et al., 2013)","noteIndex":0},"citationItems":[{"id":1313,"uris":["http://zotero.org/groups/4573874/items/5DUZFISM"],"itemData":{"id":1313,"type":"article-journal","abstract":"Although it is well established that soils are the dominating source for atmospheric nitrous oxide (N2O), we are still struggling to fully understand the complexity of the underlying microbial production and consumption processes and the links to biotic (e.g. inter- and intraspecies competition, food webs, plant–microbe interaction) and abiotic (e.g. soil climate, physics and chemistry) factors. Recent work shows that a better understanding of the composition and diversity of the microbial community across a variety of soils in different climates and under different land use, as well as plant–microbe interactions in the rhizosphere, may provide a key to better understand the variability of N2O fluxes at the soil–atmosphere interface. Moreover, recent insights into the regulation of the reduction of N2O to dinitrogen (N2) have increased our understanding of N2O exchange. This improved process understanding, building on the increased use of isotope tracing techniques and metagenomics, needs to go along with improvements in measurement techniques for N2O (and N2) emission in order to obtain robust field and laboratory datasets for different ecosystem types. Advances in both fields are currently used to improve process descriptions in biogeochemical models, which may eventually be used not only to test our current process understanding from the microsite to the field level, but also used as tools for up-scaling emissions to landscapes and regions and to explore feedbacks of soil N2O emissions to changes in environmental conditions, land management and land use.","container-title":"Philosophical Transactions of the Royal Society B: Biological Sciences","DOI":"10.1098/rstb.2013.0122","issue":"1621","note":"publisher: Royal Society","page":"20130122","source":"royalsocietypublishing.org (Atypon)","title":"Nitrous oxide emissions from soils: how well do we understand the processes and their controls?","title-short":"Nitrous oxide emissions from soils","volume":"368","author":[{"family":"Butterbach-Bahl","given":"Klaus"},{"family":"Baggs","given":"Elizabeth M."},{"family":"Dannenmann","given":"Michael"},{"family":"Kiese","given":"Ralf"},{"family":"Zechmeister-Boltenstern","given":"Sophie"}],"issued":{"date-parts":[["2013",7,5]]}}}],"schema":"https://github.com/citation-style-language/schema/raw/master/csl-citation.json"} </w:instrText>
      </w:r>
      <w:r w:rsidRPr="00890723">
        <w:rPr>
          <w:szCs w:val="24"/>
        </w:rPr>
        <w:fldChar w:fldCharType="separate"/>
      </w:r>
      <w:r w:rsidR="00950694" w:rsidRPr="00950694">
        <w:rPr>
          <w:rFonts w:cs="Times New Roman"/>
        </w:rPr>
        <w:t>(Butterbach-Bahl et al., 2013)</w:t>
      </w:r>
      <w:r w:rsidRPr="00890723">
        <w:rPr>
          <w:szCs w:val="24"/>
        </w:rPr>
        <w:fldChar w:fldCharType="end"/>
      </w:r>
      <w:r w:rsidRPr="00890723">
        <w:rPr>
          <w:szCs w:val="24"/>
        </w:rPr>
        <w:t xml:space="preserve">. </w:t>
      </w:r>
    </w:p>
    <w:p w14:paraId="0519D697" w14:textId="6C461987" w:rsidR="00032567" w:rsidRPr="00890723" w:rsidRDefault="00032567" w:rsidP="001B567A">
      <w:pPr>
        <w:spacing w:after="0" w:line="480" w:lineRule="auto"/>
        <w:rPr>
          <w:szCs w:val="24"/>
        </w:rPr>
      </w:pPr>
      <w:r w:rsidRPr="00890723">
        <w:rPr>
          <w:szCs w:val="24"/>
        </w:rPr>
        <w:t xml:space="preserve">However, while the primary drivers of hot moments are well understood on a broad level, they are ultimately the result of complex environmental and biogeochemical interactions between a large array of factors, making the precise predictions of the magnitude and timing of hot moments extremely challenging </w:t>
      </w:r>
      <w:r w:rsidRPr="00890723">
        <w:rPr>
          <w:szCs w:val="24"/>
        </w:rPr>
        <w:fldChar w:fldCharType="begin"/>
      </w:r>
      <w:r w:rsidR="008752F6">
        <w:rPr>
          <w:szCs w:val="24"/>
        </w:rPr>
        <w:instrText xml:space="preserve"> ADDIN ZOTERO_ITEM CSL_CITATION {"citationID":"aj9qctdflc","properties":{"formattedCitation":"(P. Groffman et al., 2009)","plainCitation":"(P. Groffman et al., 2009)","dontUpdate":true,"noteIndex":0},"citationItems":[{"id":1331,"uris":["http://zotero.org/groups/4573874/items/EXZXMUGS"],"itemData":{"id":1331,"type":"article-journal","abstract":"Denitrification, the anaerobic reduction of nitrogen oxides to nitrogenous gases, is an extremely challenging process to measure and model. Much of this challenge arises from the fact that small areas (hotspots) and brief periods (hot moments) frequently account for a high percentage of the denitrification activity that occurs in both terrestrial and aquatic ecosystems. In this paper, we describe the prospects for incorporating hotspot and hot moment phenomena into denitrification models in terrestrial soils, the interface between terrestrial and aquatic ecosystems, and in aquatic ecosystems. Our analysis suggests that while our data needs are strongest for hot moments, the greatest modeling challenges are for hotspots. Given the increasing availability of high temporal frequency climate data, models are promising tools for evaluating the importance of hot moments such as freeze-thaw cycles and drying/rewetting events. Spatial hotspots are less tractable due to our inability to get high resolution spatial approximations of denitrification drivers such as carbon substrate. Investigators need to consider the types of hotspots and hot moments that might be occurring at small, medium, and large spatial scales in the particular ecosystem type they are working in before starting a study or developing a new model. New experimental design and heterogeneity quantification tools can then be applied from the outset and will result in better quantification and more robust and widely applicable denitrification models.","container-title":"Biogeochemistry","DOI":"10.1007/s10533-008-9277-5","ISSN":"1573-515X","issue":"1","journalAbbreviation":"Biogeochemistry","language":"en","page":"49-77","source":"Springer Link","title":"Challenges to incorporating spatially and temporally explicit phenomena (hotspots and hot moments) in denitrification models","volume":"93","author":[{"family":"Groffman","given":"Peter"},{"family":"Butterbach-Bahl","given":"Klaus"},{"family":"Fulweiler","given":"Robinson W."},{"family":"Gold","given":"Arthur J."},{"family":"Morse","given":"Jennifer L."},{"family":"Stander","given":"Emilie K."},{"family":"Tague","given":"Christina"},{"family":"Tonitto","given":"Christina"},{"family":"Vidon","given":"Philippe"}],"issued":{"date-parts":[["2009",3,1]]}}}],"schema":"https://github.com/citation-style-language/schema/raw/master/csl-citation.json"} </w:instrText>
      </w:r>
      <w:r w:rsidRPr="00890723">
        <w:rPr>
          <w:szCs w:val="24"/>
        </w:rPr>
        <w:fldChar w:fldCharType="separate"/>
      </w:r>
      <w:r w:rsidR="006D717C" w:rsidRPr="006D717C">
        <w:rPr>
          <w:rFonts w:cs="Times New Roman"/>
        </w:rPr>
        <w:t>(Groffman et al., 2009)</w:t>
      </w:r>
      <w:r w:rsidRPr="00890723">
        <w:rPr>
          <w:szCs w:val="24"/>
        </w:rPr>
        <w:fldChar w:fldCharType="end"/>
      </w:r>
      <w:r w:rsidRPr="00890723">
        <w:rPr>
          <w:szCs w:val="24"/>
        </w:rPr>
        <w:t>. Process-based models have been shown to poorly represent the fine-scale temporal dynamics of N</w:t>
      </w:r>
      <w:r w:rsidRPr="00890723">
        <w:rPr>
          <w:szCs w:val="24"/>
          <w:vertAlign w:val="subscript"/>
        </w:rPr>
        <w:t>2</w:t>
      </w:r>
      <w:r w:rsidRPr="00890723">
        <w:rPr>
          <w:szCs w:val="24"/>
        </w:rPr>
        <w:t xml:space="preserve">O emissions, meaning that while they may accurately estimate emissions over long timescales, they cannot precisely predict when hot moments occur </w:t>
      </w:r>
      <w:r w:rsidRPr="00890723">
        <w:rPr>
          <w:rFonts w:eastAsia="Calibri" w:cs="Times New Roman"/>
          <w:kern w:val="0"/>
          <w:szCs w:val="24"/>
          <w14:ligatures w14:val="none"/>
        </w:rPr>
        <w:fldChar w:fldCharType="begin"/>
      </w:r>
      <w:r w:rsidR="003C7682">
        <w:rPr>
          <w:rFonts w:eastAsia="Calibri" w:cs="Times New Roman"/>
          <w:kern w:val="0"/>
          <w:szCs w:val="24"/>
          <w14:ligatures w14:val="none"/>
        </w:rPr>
        <w:instrText xml:space="preserve"> ADDIN ZOTERO_ITEM CSL_CITATION {"citationID":"HY9LAhM1","properties":{"formattedCitation":"(Brilli et al., 2017; Del Grosso et al., 2008; Fuchs et al., 2020; Gaillard et al., 2018; Jarecki et al., 2008; Parton et al., 2001; Zimmermann et al., 2018)","plainCitation":"(Brilli et al., 2017; Del Grosso et al., 2008; Fuchs et al., 2020; Gaillard et al., 2018; Jarecki et al., 2008; Parton et al., 2001; Zimmermann et al., 2018)","noteIndex":0},"citationItems":[{"id":2453,"uris":["http://zotero.org/groups/5631027/items/G7VJITSN"],"itemData":{"id":2453,"type":"article-journal","abstract":"Biogeochemical simulation models are important tools for describing and quantifying the contribution of agricultural systems to C sequestration and GHG source/sink status. The abundance of simulation tools developed over recent decades, however, creates a difficulty because predictions from different models show large variability. Discrepancies between the conclusions of different modelling studies are often ascribed to differences in the physical and biogeochemical processes incorporated in equations of C and N cycles and their interactions. Here we review the literature to determine the state-of-the-art in modelling agricultural (crop and grassland) systems. In order to carry out this study, we selected the range of biogeochemical models used by the CN-MIP consortium of FACCE-JPI (http://www.faccejpi.com): APSIM, CERES-EGC, DayCent, DNDC, DSSAT, EPIC, PaSim, RothC and STICS. In our analysis, these models were assessed for the quality and comprehensiveness of underlying processes related to pedo-climatic conditions and management practices, but also with respect to time and space of application, and for their accuracy in multiple contexts. Overall, it emerged that there is a possible impact of ill-defined pedo-climatic conditions in the unsatisfactory performance of the models (46.2%), followed by limitations in the algorithms simulating the effects of management practices (33.1%). The multiplicity of scales in both time and space is a fundamental feature, which explains the remaining weaknesses (i.e. 20.7%). Innovative aspects have been identified for future development of C and N models. They include the explicit representation of soil microbial biomass to drive soil organic matter turnover, the effect of N shortage on SOM decomposition, the improvements related to the production and consumption of gases and an adequate simulations of gas transport in soil. On these bases, the assessment of trends and gaps in the modelling approaches currently employed to represent biogeochemical cycles in crop and grassland systems appears an essential step for future research.","container-title":"Science of The Total Environment","DOI":"10.1016/j.scitotenv.2017.03.208","ISSN":"0048-9697","journalAbbreviation":"Science of The Total Environment","page":"445-470","source":"ScienceDirect","title":"Review and analysis of strengths and weaknesses of agro-ecosystem models for simulating C and N fluxes","volume":"598","author":[{"family":"Brilli","given":"Lorenzo"},{"family":"Bechini","given":"Luca"},{"family":"Bindi","given":"Marco"},{"family":"Carozzi","given":"Marco"},{"family":"Cavalli","given":"Daniele"},{"family":"Conant","given":"Richard"},{"family":"Dorich","given":"Cristopher D."},{"family":"Doro","given":"Luca"},{"family":"Ehrhardt","given":"Fiona"},{"family":"Farina","given":"Roberta"},{"family":"Ferrise","given":"Roberto"},{"family":"Fitton","given":"Nuala"},{"family":"Francaviglia","given":"Rosa"},{"family":"Grace","given":"Peter"},{"family":"Iocola","given":"Ileana"},{"family":"Klumpp","given":"Katja"},{"family":"Léonard","given":"Joël"},{"family":"Martin","given":"Raphaël"},{"family":"Massad","given":"Raia Silvia"},{"family":"Recous","given":"Sylvie"},{"family":"Seddaiu","given":"Giovanna"},{"family":"Sharp","given":"Joanna"},{"family":"Smith","given":"Pete"},{"family":"Smith","given":"Ward N."},{"family":"Soussana","given":"Jean-Francois"},{"family":"Bellocchi","given":"Gianni"}],"issued":{"date-parts":[["2017",11,15]]}}},{"id":788,"uris":["http://zotero.org/groups/4573874/items/RERQL4J7"],"itemData":{"id":788,"type":"article-journal","abstract":"Emissions of nitrous oxide (N2O), a potent greenhouse gas, tend to be underestimated by standard methods of quantifi cation provided by the Intergovernmental Panel on Climate Change (IPCC) [IPCC, 2006], recent research suggests. Better quantification of agricultural N2O emissions improves greenhouse gas inventories, allows for better evaluation of the environmental impacts of different cropping systems, and increases the understanding of the nitrogen (N) cycle in general. Proper quantifi cation of N2O emissions is particularly important in the context of calculating net greenhouse gas emissions from biofuel cropping systems because these emissions offset the greenhouse gas benefits of displacing fossil fuel and can even lead to biofuel systems being a net greenhouse gas source [Crutzen et al., 2008]. The global warming potential of N2O is approximately 300 times that of carbon dioxide, and N2O emissions represent approximately 6% of the global anthropogenic greenhouse gas source [IPCC, 2007]. N2O also contributes to stratospheric ozone destruction. N2O is produced in soils through the microbial processes of nitrifi cation and denitrification. Soil water content, temperature, texture, and carbon availability infl uence N2O emissions, but the strongest correlate is usually N inputs to the system, especially at large scales [Stehfest and Bouwman, 2006]. In addition to direct emissions, N inputs to agricultural soils also contribute to N2O emissions indirectly [IPCC, 2006] when nitrate that has leached or run off from soil is converted to N2O via aquatic denitrifi cation and when volatilized non-N2O N-oxides and ammonia are redeposited on soils and converted to N2O.","container-title":"Eos, Transactions American Geophysical Union","DOI":"10.1029/2008EO510001","ISSN":"2324-9250","issue":"51","language":"en","note":"_eprint: https://onlinelibrary.wiley.com/doi/pdf/10.1029/2008EO510001","page":"529-529","source":"Wiley Online Library","title":"Estimating Agricultural Nitrous Oxide Emissions","volume":"89","author":[{"family":"Del Grosso","given":"Stephen J."},{"family":"Wirth","given":"Tom"},{"family":"Ogle","given":"Stephen M."},{"family":"Parton","given":"William J."}],"issued":{"date-parts":[["2008"]]}}},{"id":1927,"uris":["http://zotero.org/groups/5631027/items/QL5HCKR9"],"itemData":{"id":1927,"type":"article-journal","abstract":"Process-based models are useful for assessing the impact of changing management practices and climate on yields and greenhouse gas (GHG) emissions from agricultural systems such as grasslands. They can be used to construct national GHG inventories using a Tier 3 approach. However, accurate simulations of nitrous oxide (N2O) fluxes remain challenging. Models are limited by our understanding of soil-plant-microbe interactions and the impact of uncertainty in measured input parameters on simulated outputs. To improve model performance, thorough evaluations against in situ measurements are needed. Experimental data of N2O emissions under two management practices (control with typical fertilization versus increased clover and no fertilization) were acquired in a Swiss field experiment. We conducted a multimodel evaluation with three commonly used biogeochemical models (DayCent in two variants, PaSim, APSIM in two variants) comparing four years of data. DayCent was the most accurate model for simulating N2O fluxes on annual timescales, while APSIM was most accurate for daily N2O fluxes. The multimodel ensemble average reduced the error in estimated annual fluxes by 41% compared to an estimate using the Intergovernmental Panel on Climate Change (IPCC)-derived method for the Swiss agricultural GHG inventory (IPCC-Swiss), but individual models were not systematically more accurate than IPCC-Swiss. The model ensemble overestimated the N2O mitigation effect of the clover-based treatment (measured: 39–45%; ensemble: 52–57%) but was more accurate than IPCC-Swiss (IPCC-Swiss: 72–81%). These results suggest that multimodel ensembles are valuable for estimating the impact of climate and management on N2O emissions.","container-title":"Journal of Geophysical Research: Biogeosciences","DOI":"10.1029/2019JG005261","ISSN":"2169-8961","issue":"1","language":"en","license":"©2019. The Authors.","note":"_eprint: https://onlinelibrary.wiley.com/doi/pdf/10.1029/2019JG005261","page":"e2019JG005261","source":"Wiley Online Library","title":"Multimodel Evaluation of Nitrous Oxide Emissions From an Intensively Managed Grassland","volume":"125","author":[{"family":"Fuchs","given":"Kathrin"},{"family":"Merbold","given":"Lutz"},{"family":"Buchmann","given":"Nina"},{"family":"Bretscher","given":"Daniel"},{"family":"Brilli","given":"Lorenzo"},{"family":"Fitton","given":"Nuala"},{"family":"Topp","given":"Cairistiona F. E."},{"family":"Klumpp","given":"Katja"},{"family":"Lieffering","given":"Mark"},{"family":"Martin","given":"Raphaël"},{"family":"Newton","given":"Paul C. D."},{"family":"Rees","given":"Robert M."},{"family":"Rolinski","given":"Susanne"},{"family":"Smith","given":"Pete"},{"family":"Snow","given":"Val"}],"issued":{"date-parts":[["2020"]]}}},{"id":2040,"uris":["http://zotero.org/groups/5631027/items/RQQ8EYSA"],"itemData":{"id":2040,"type":"article-journal","abstract":"Process-based models are increasingly used to study agroecosystem interactions and N2O emissions from agricultural fields. The widespread use of these models to conduct research and inform policy benefits from periodic model comparisons that assess the state of agroecosystem modeling and indicate areas for model improvement. This work provides an evaluation of simulated N2O flux from three process-based models: DayCent, DNDC, and EPIC. The models were calibrated and validated using data collected from two research sites over five years that represent cropping systems and nitrogen fertilizer management strategies common to dairy cropping systems. We also evaluated the use of a multi-model ensemble strategy, which inconsistently outperformed individual model estimations. Regression analysis indicated a cross-model bias to underestimate high magnitude daily and cumulative N2O flux. Model estimations of observed soil temperature and water content did not sufficiently explain model underestimations, and we found significant variation in model estimates of heterotrophic respiration, denitrification, soil NH4+, and soil NO3−, which may indicate that additional types of observed data are required to evaluate model performance and possible biases. Our results suggest a bias in the model estimation of N2O flux from agroecosystems that limits the extension of models beyond calibration and as instruments of policy development. This highlights a growing need for the modeling and measurement communities to collaborate in the collection and analysis of the data necessary to improve models and coordinate future development.","container-title":"Ecological Applications","DOI":"10.1002/eap.1674","ISSN":"1939-5582","issue":"3","language":"en","license":"© 2017 by the Ecological Society of America","note":"_eprint: https://onlinelibrary.wiley.com/doi/pdf/10.1002/eap.1674","page":"694-708","source":"Wiley Online Library","title":"Underestimation of N2O emissions in a comparison of the DayCent, DNDC, and EPIC models","volume":"28","author":[{"family":"Gaillard","given":"Richard K."},{"family":"Jones","given":"Curtis D."},{"family":"Ingraham","given":"Pete"},{"family":"Collier","given":"Sarah"},{"family":"Izaurralde","given":"Roberto Cesar"},{"family":"Jokela","given":"William"},{"family":"Osterholz","given":"William"},{"family":"Salas","given":"William"},{"family":"Vadas","given":"Peter"},{"family":"Ruark","given":"Matthew D."}],"issued":{"date-parts":[["2018"]]}}},{"id":1524,"uris":["http://zotero.org/groups/4573874/items/GRB4BFIE"],"itemData":{"id":1524,"type":"article-journal","abstract":"Accurate assessment of N2O emission from soil requires continuous year-round and spatially extensive monitoring or the use of simulation that accurately and precisely predict N2O fluxes based on climatic, soil, and agricultural system input data. DAYCENT is an ecosystem model that simulates, among other processes, N2O emissions from soils. The purpose of the study was to compare N2O fluxes predicted by the DAYCENT model to measured N2O fluxes from an experimental corn field in central Iowa. Soil water content temperature and inorganic N, simulated by DAYCENT were compared to measured values of these variables. Field N2O emissions were measured using four replicated automated chambers at 6-h intervals, from day of year (DOY) 42 through DOY 254 of 2006. We observed that DAYCENT generally accurately predicted soil temperature, with the exception of winter when predicted temperatures tended to be lower than measured values. Volumetric water contents predicted by DAYCENT were generally lower than measured values during most of the experimental period. Daily N2O emissions simulated by DAYCENT were significantly correlated to field measured fluxes; however, time series analyses indicate that the simulated fluxes were out of phase with the measured fluxes. Cumulative N2O emission calculated from the simulations (3.29 kg N2O-N ha−1) was in range of the measured cumulative N2O emission (4.26 ± 1.09 kg N2O-N ha−1).","container-title":"Journal of Environmental Quality","DOI":"10.2134/jeq2007.0614","ISSN":"1537-2537","issue":"5","language":"en","license":"© American Society of Agronomy, Crop Science Society of America, and Soil Science Society of America","note":"_eprint: https://onlinelibrary.wiley.com/doi/pdf/10.2134/jeq2007.0614","page":"1685-1690","source":"Wiley Online Library","title":"Comparison of DAYCENT-Simulated and Measured Nitrous Oxide Emissions from a Corn Field","volume":"37","author":[{"family":"Jarecki","given":"Marek K."},{"family":"Parkin","given":"Timothy B."},{"family":"Chan","given":"Alvarus S. K."},{"family":"Hatfield","given":"Jerry L."},{"family":"Jones","given":"Raymond"}],"issued":{"date-parts":[["2008"]]}}},{"id":1518,"uris":["http://zotero.org/groups/4573874/items/H24KLPW5"],"itemData":{"id":1518,"type":"article-journal","abstract":"We describe a submodel to simulate NOx and N2O emissions from soils and present comparisons of simulated NOx and N2O fluxes from the DAYCENT ecosystem model with observations from different soils. The N gas flux submodel assumes that nitrification and denitrification both contribute to N2O and NOx emissions but that NOx emissions are due mainly to nitrification. N2O emissions from nitrification are calculated as a function of modeled soil NH4+ concentration, water-filled pore space (WFPS), temperature, pH, and texture. N2O emissions from denitrification are a function of soil NO3− concentration, WFPS, heterotrophic respiration, and texture. NOx emissions are calculated by multiplying total N2O emissions by a NOx:N2O equation which is calculated as a function of soil parameters (bulk density, field capacity, and WFPS) that influence gas diffusivity. The NOx submodel also simulates NOx emission pulses initiated by rain events onto dry soils. The DAYCENT model was tested by comparing observed and simulated parameters in grassland soils across a range of soil textures and fertility levels. Simulated values of soil temperature, WFPS (during the non-winter months), and NOx gas flux agreed reasonably well with measured values (r2 = 0.79, 0.64, and 0.43, respectively). Winter season WFPS was poorly simulated (r2 = 0.27). Although the correlation between simulated and observed N2O flux was poor on a daily basis (r2 = 0.02), DAYCENT was able to reproduce soil textural and treatment differences and the observed seasonal patterns of gas flux emissions with r2 values of 0.26 and 0.27, for monthly and NOr flux rates, respectively.","container-title":"Journal of Geophysical Research: Atmospheres","DOI":"10.1029/2001JD900101","ISSN":"2156-2202","issue":"D15","language":"en","license":"Copyright 2001 by the American Geophysical Union.","note":"_eprint: https://onlinelibrary.wiley.com/doi/pdf/10.1029/2001JD900101","page":"17403-17419","source":"Wiley Online Library","title":"Generalized model for NO x and N2O emissions from soils","volume":"106","author":[{"family":"Parton","given":"W. J."},{"family":"Holland","given":"E. A."},{"family":"Del Grosso","given":"S. J."},{"family":"Hartman","given":"M. D."},{"family":"Martin","given":"R. E."},{"family":"Mosier","given":"A. R."},{"family":"Ojima","given":"D. S."},{"family":"Schimel","given":"D. S."}],"issued":{"date-parts":[["2001"]]}}},{"id":2172,"uris":["http://zotero.org/groups/5631027/items/L6M5AXBP"],"itemData":{"id":2172,"type":"article-journal","abstract":"Biogeochemical models have the potential to provide insights into the key drivers of greenhouse gas (GHG) dynamics, and may be used in Tier 2 and 3 GHG emission reporting. Modelling nitrous oxide (N2O) emissions from agriculture, however, is still subject to large uncertainties. In the present study we analysed the performance of the three semi-mechanistic models, DailyDayCent (DayCent), DeNitrification-DeComposition (DNDC 9.4 and 9.5), and ECOSSE when simulating N2O fluxes from two different land uses (simulated grazing and spring barley) under a range of fertiliser types and application rates. Model performance was assessed using linear regression analysis, root mean square error (RMSE), and relative error. Monte Carlo analysis was carried out to assess the sensitivity of DayCent and ECOSSE to changes in the timing of management events. The results show high variability in model performance. The performance of each model was dependent on both site and treatment, with no model showing consistently good performance. When averaged across all sites and treatments DayCent simulations produced the lowest number of significant total and relative errors. When looking at the relationship between modelled and measured N2O fluxes, ECOSSE performed best with a significant relationship in 61.8% of all simulations and an average r2 of 0.2. However, outputs from this model displayed the largest total and relative errors. Performance when simulating cumulative fluxes was generally poor. The Monte Carlo analysis showed that shifts in timing of management events by ±7 days lead to annual N2O fluxes varying by 5.6 ± 7.6% and 2.8 ± 4.2% for grassland and cropland, respectively. However the impact of the timing of single events can lead to much larger responses in N2O emissions. The large variation in model performance suggests that further development and calibration is required before using models in GHG reporting.","container-title":"Geoderma","DOI":"10.1016/j.geoderma.2018.06.004","ISSN":"0016-7061","journalAbbreviation":"Geoderma","page":"53-69","source":"ScienceDirect","title":"Assessing the performance of three frequently used biogeochemical models when simulating N2O emissions from a range of soil types and fertiliser treatments","volume":"331","author":[{"family":"Zimmermann","given":"J."},{"family":"Carolan","given":"R."},{"family":"Forrestal","given":"P."},{"family":"Harty","given":"M."},{"family":"Lanigan","given":"G."},{"family":"Richards","given":"K. G."},{"family":"Roche","given":"L."},{"family":"Whitfield","given":"M. G."},{"family":"Jones","given":"M. B."}],"issued":{"date-parts":[["2018",12,1]]}}}],"schema":"https://github.com/citation-style-language/schema/raw/master/csl-citation.json"} </w:instrText>
      </w:r>
      <w:r w:rsidRPr="00890723">
        <w:rPr>
          <w:rFonts w:eastAsia="Calibri" w:cs="Times New Roman"/>
          <w:kern w:val="0"/>
          <w:szCs w:val="24"/>
          <w14:ligatures w14:val="none"/>
        </w:rPr>
        <w:fldChar w:fldCharType="separate"/>
      </w:r>
      <w:r w:rsidRPr="00890723">
        <w:rPr>
          <w:rFonts w:cs="Times New Roman"/>
          <w:lang w:val="it-IT"/>
        </w:rPr>
        <w:t>(Brilli et al., 2017; Del Grosso et al., 2008; Fuchs et al., 2020; Gaillard et al., 2018; Jarecki et al., 2008; Parton et al., 2001; Zimmermann et al., 2018)</w:t>
      </w:r>
      <w:r w:rsidRPr="00890723">
        <w:rPr>
          <w:rFonts w:eastAsia="Calibri" w:cs="Times New Roman"/>
          <w:kern w:val="0"/>
          <w:szCs w:val="24"/>
          <w14:ligatures w14:val="none"/>
        </w:rPr>
        <w:fldChar w:fldCharType="end"/>
      </w:r>
      <w:r w:rsidRPr="001B567A">
        <w:rPr>
          <w:szCs w:val="24"/>
          <w:lang w:val="it-IT"/>
        </w:rPr>
        <w:t xml:space="preserve">. </w:t>
      </w:r>
      <w:r w:rsidRPr="00890723">
        <w:rPr>
          <w:szCs w:val="24"/>
        </w:rPr>
        <w:t>Additionally, both process-based and machine learning models of soil N</w:t>
      </w:r>
      <w:r w:rsidRPr="00890723">
        <w:rPr>
          <w:szCs w:val="24"/>
          <w:vertAlign w:val="subscript"/>
        </w:rPr>
        <w:t>2</w:t>
      </w:r>
      <w:r w:rsidRPr="00890723">
        <w:rPr>
          <w:szCs w:val="24"/>
        </w:rPr>
        <w:t xml:space="preserve">O emissions have demonstrated a tendency to systematically underestimate the magnitude of flux during hot moments </w:t>
      </w:r>
      <w:r w:rsidRPr="00890723">
        <w:rPr>
          <w:rFonts w:eastAsia="Calibri" w:cs="Times New Roman"/>
          <w:kern w:val="0"/>
          <w:szCs w:val="24"/>
          <w14:ligatures w14:val="none"/>
        </w:rPr>
        <w:fldChar w:fldCharType="begin"/>
      </w:r>
      <w:r w:rsidR="00FB5341">
        <w:rPr>
          <w:rFonts w:eastAsia="Calibri" w:cs="Times New Roman"/>
          <w:kern w:val="0"/>
          <w:szCs w:val="24"/>
          <w14:ligatures w14:val="none"/>
        </w:rPr>
        <w:instrText xml:space="preserve"> ADDIN ZOTERO_ITEM CSL_CITATION {"citationID":"G9adzhu0","properties":{"formattedCitation":"(Adler et al., 2024; Anthony &amp; Silver, 2024; Chiaravalloti et al., 2023; Dhaliwal et al., 2025; Hamrani et al., 2020; Joshi et al., 2024; Kotlar et al., 2022)","plainCitation":"(Adler et al., 2024; Anthony &amp; Silver, 2024; Chiaravalloti et al., 2023; Dhaliwal et al., 2025; Hamrani et al., 2020; Joshi et al., 2024; Kotlar et al., 2022)","noteIndex":0},"citationItems":[{"id":3130,"uris":["http://zotero.org/groups/4573874/items/MNR4D4SQ"],"itemData":{"id":3130,"type":"article-journal","abstract":"Nitrous oxide is the largest source of greenhouse gas emissions from crop production. There is significant interest in targeting marginal lands for growing biomass crops, however little information is available on how this will affect N2O emissions from these crops. Furthermore, to characterize N2O emission at the farm level to quantify mitigation using measurements is time intensive, costly, and impractical. We selected a highly diverse watershed varying in soil texture and topography to compare two approaches for modeling soil N2O emissions using machine learning, intensive measurements of soil environment and climate variables, with the other only using remotely sensed variables. We confirmed that soil nitrogen was the most important variable followed by soil environment as influence by soil characteristic, topography, and climate. We also found that the machine learning model built on remotely sensed variables performed as well as when direct site level measurements were available. This finding supports the potential of using remotely sensed data to build machine learning models to characterize soil N2O emissions without the need for intensive soil measurements for entity level assessments.","container-title":"Environmental Research Communications","DOI":"10.1088/2515-7620/ad707c","ISSN":"2515-7620","issue":"9","journalAbbreviation":"Environ. Res. Commun.","language":"en","note":"publisher: IOP Publishing","page":"091004","source":"Institute of Physics","title":"Modeling N2O emissions with remotely sensed variables using machine learning","volume":"6","author":[{"family":"Adler","given":"Paul R"},{"family":"Nguyen","given":"Hai"},{"family":"Rau","given":"Benjamin M"},{"family":"Dell","given":"Curtis J"}],"issued":{"date-parts":[["2024",9]]}}},{"id":3061,"uris":["http://zotero.org/groups/4573874/items/PNC6EQAQ"],"itemData":{"id":3061,"type":"article-journal","abstract":"Drained agricultural peatlands occupy only 1% of agricultural land but are estimated to be responsible for approximately one third of global cropland greenhouse gas emissions. However, recent studies show that greenhouse gases fluxes from agricultural peatlands can vary by orders of magnitude over time. The relationship between these hot moments (individual fluxes with disproportionate impact on annual budgets) of greenhouse gas emissions and individual chamber locations (i.e. hot spots with disproportionate observations of hot moments) is poorly understood, but may help elucidate patterns and drivers of high greenhouse gas emissions from agricultural peatland soils. We used continuous chamber-based flux measurements across three land uses (corn, alfalfa, and pasture) to quantify the spatiotemporal patterns of soil greenhouse gas emissions from temperate agricultural peatlands in the Sacramento-San Joaquin Delta of California. We found that the location of hot spots of emissions varied over time and were not consistent across annual timescales. Hot moments of nitrous oxide (N2O) and carbon dioxide (CO2) fluxes were more evenly distributed across space than methane (CH4). In the corn system, hot moments of CH4 flux were often isolated to a single location but locations were not consistent across years. Spatiotemporal variability in soil moisture, soil oxygen, and temperature helped explain patterns in N2O fluxes in the annual corn agroecosystem but were less informative for perennial alfalfa N2O fluxes or CH4 fluxes across ecosystems, potentially due to insufficient spatiotemporal resolution of the associated drivers. Overall, our results do not support the concept of persistent hot spots of soil CO2, CH4, and N2O emissions in these drained agricultural peatlands. Hot moments of high flux events generally varied in space and time and thus required high sample densities. Our results highlight the importance of constraining hot moments and their controls to better quantify ecosystem greenhouse gas budgets.","container-title":"Biogeochemistry","DOI":"10.1007/s10533-023-01095-y","ISSN":"1573-515X","issue":"4","journalAbbreviation":"Biogeochemistry","language":"en","page":"461-477","source":"Springer Link","title":"Hot spots and hot moments of greenhouse gas emissions in agricultural peatlands","volume":"167","author":[{"family":"Anthony","given":"Tyler L."},{"family":"Silver","given":"Whendee L."}],"issued":{"date-parts":[["2024",4,1]]}}},{"id":3112,"uris":["http://zotero.org/groups/4573874/items/4ZP7MW4Q"],"itemData":{"id":3112,"type":"article-journal","abstract":"Nitrous oxide (N2O) is a potent and long-lived greenhouse gas that accounts for roughly 6% of global anthropogenic greenhouse gas emissions, and it has risen from its preindustrial concentration of 270 ppb N2O to 332 ppb N2O as a result of human activities. The majority of anthropogenic N2O emissions (52–80%) come from agricultural settings due to high rates of reactive nitrogen fertilizer application. Amending soils with fine-grained basalt is gaining traction as a carbon dioxide removal (CDR) pathway, and model simulations suggest that this process may also significantly decrease soil N2O emissions. Here, we continuously measure N2O fluxes from large-scale maize mesocosms in a greenhouse setting and use a machine learning framework to assess the relative importance of the levers on N2O fluxes. We observe significant decreases in cumulative N2O emissions (between 29–32%) from mesocosm systems with basalt addition. We find that basalt application rate, soil pH, and surface soil moisture are the strongest levers on N2O emissions depending on the system settings. These results provide empirical support for a potentially significant co-benefit of deploying enhanced rock weathering of silicates (ERW) on managed lands, particularly those subject to elevated rates of reactive nitrogen input.","container-title":"Frontiers in Climate","DOI":"10.3389/fclim.2023.1203043","ISSN":"2624-9553","journalAbbreviation":"Front. Clim.","language":"English","note":"publisher: Frontiers","source":"Frontiers","title":"Mitigation of soil nitrous oxide emissions during maize production with basalt amendments","URL":"https://www.frontiersin.orghttps://www.frontiersin.org/journals/climate/articles/10.3389/fclim.2023.1203043/full","volume":"5","author":[{"family":"Chiaravalloti","given":"Isabella"},{"family":"Theunissen","given":"Nicolas"},{"family":"Zhang","given":"Shuang"},{"family":"Wang","given":"Jiuyuan"},{"family":"Sun","given":"Fengchao"},{"family":"Ahmed","given":"Ayesha A."},{"family":"Pihlap","given":"Evelin"},{"family":"Reinhard","given":"Christopher T."},{"family":"Planavsky","given":"Noah J."}],"accessed":{"date-parts":[["2025",4,14]]},"issued":{"date-parts":[["2023",6,22]]}}},{"id":3126,"uris":["http://zotero.org/groups/4573874/items/KXHMG4CM"],"itemData":{"id":3126,"type":"article-journal","abstract":"Soil nitrous oxide (N2O) emissions exhibit high variability in intensively managed cropping systems, which challenges our ability to understand their complex interactions with controlling factors. We leveraged 17 years (2003–2019) of measurements at the Kellogg Biological Station Long-Term Ecological Research (LTER)/Long-Term Agroecosystem Research (LTAR) site to better understand the controls of N2O emissions in four corn–soybean–winter wheat rotations employing conventional, no-till, reduced input, and biologically based/organic inputs. We used a random forest machine learning model to predict daily N2O fluxes, trained separately for each system with 70% of observations, using variables such as crop species, daily air temperature, cumulative 2-day precipitation, water-filled pore space, and soil nitrate and ammonium concentrations. The model explained 29%–42% of daily N2O flux variability in the test data, with greater predictability for the corn phase in each system. The long-term rotations showed different controlling factors and threshold conditions influencing N2O emissions. In the conventional system, the model identified ammonium (&gt;15 kg N ha−1) and daily air temperature (&gt;23°C) as the most influential variables; in the no-till system, climate variables such as precipitation and air temperature were important variables. In low-input and organic systems, where red clover (Trifolium repens L.; before corn) and cereal rye (Secale cereale L.; before soybean) cover crops were integrated, nitrate was the predominant predictor of N2O emissions, followed by precipitation and air temperature. In low-input and biologically based systems, red clover residues increased soil nitrogen availability to influence N2O emissions. Long-term data facilitated machine learning for predicting N2O emissions in response to differential controls and threshold responses to management, environmental, and biogeochemical drivers.","container-title":"Journal of Environmental Quality","DOI":"10.1002/jeq2.20637","ISSN":"1537-2537","issue":"1","language":"en","license":"© 2024 The Author(s). Journal of Environmental Quality published by Wiley Periodicals LLC on behalf of American Society of Agronomy, Crop Science Society of America, and Soil Science Society of America.","note":"_eprint: https://onlinelibrary.wiley.com/doi/pdf/10.1002/jeq2.20637","page":"132-146","source":"Wiley Online Library","title":"Machine learning reveals dynamic controls of soil nitrous oxide emissions from diverse long-term cropping systems","volume":"54","author":[{"family":"Dhaliwal","given":"Jashanjeet Kaur"},{"family":"Panday","given":"Dinesh"},{"family":"Robertson","given":"G. Philip"},{"family":"Saha","given":"Debasish"}],"issued":{"date-parts":[["2025"]]}}},{"id":678,"uris":["http://zotero.org/groups/4573874/items/G6D3PW7Q"],"itemData":{"id":678,"type":"article-journal","abstract":"Machine learning (ML) models are increasingly used to study complex environmental phenomena with high variability in time and space. In this study, the potential of exploiting three categories of ML regression models, including classical regression, shallow learning and deep learning for predicting soil greenhouse gas (GHG) emissions from an agricultural field was explored. Carbon dioxide (CO2) and nitrous oxide (N2O) fluxes, as well as various environmental, agronomic and soil data were measured at the site over a five-year period in Quebec, Canada. The rigorous analysis, which included statistical comparison and cross-validation for the prediction of CO2 and N2O fluxes, confirmed that the LSTM model performed the best among the considered ML models with the highest R coefficient and the lowest root mean squared error (RMSE) values (R = 0.87 and RMSE = 30.3 mg·m−2·hr−1 for CO2 flux prediction and R = 0.86 and RMSE = 0.19 mg·m−2·hr−1 for N2O flux prediction). The predictive performances of LSTM were more accurate than those simulated in a previous study conducted by a biophysical-based Root Zone Water Quality Model (RZWQM2). The classical regression models (namely RF, SVM and LASSO) satisfactorily simulated cyclical and seasonal variations of CO2 fluxes (R = 0.75, 0.71 and 0.68, respectively); however, they failed to reasonably predict the peak values of N2O fluxes (R &lt; 0.25). Shallow ML was found to be less effective in predicting GHG fluxes than other considered ML models (R &lt; 0.7 for CO2 flux and R &lt; 0.3 for estimating N2O fluxes) and was the most sensitive to hyperparameter tuning. Based on this comprehensive comparison study, it was elicited that the LSTM model can be employed successfully in simulating GHG emissions from agricultural soils, providing a new perspective on the application of machine learning modeling for predicting GHG emissions to the environment.","container-title":"Science of The Total Environment","DOI":"10.1016/j.scitotenv.2020.140338","ISSN":"0048-9697","journalAbbreviation":"Science of The Total Environment","language":"en","page":"140338","source":"ScienceDirect","title":"Machine learning for predicting greenhouse gas emissions from agricultural soils","volume":"741","author":[{"family":"Hamrani","given":"Abderrachid"},{"family":"Akbarzadeh","given":"Abdolhamid"},{"family":"Madramootoo","given":"Chandra A."}],"issued":{"date-parts":[["2020",11,1]]}}},{"id":3116,"uris":["http://zotero.org/groups/4573874/items/ASSALIBK"],"itemData":{"id":3116,"type":"article-journal","abstract":"Cover crops improve soil health and reduce the risk of soil erosion. However, their impact on the carbon dioxide equivalence (CO2e) is unknown. Therefore, the objective of this 2-yr study was to quantify the effect of cover crop-induced differences in soil moisture, temperature, organic C, and microorganisms on CO2e, and to develop machine learning algorithms that predict daily N2O–N and CO2–C emissions. The prediction models tested were multiple linear regression, partial least square regression, support vector machine, random forest (RF), and artificial neural network. Models’ performance was accessed using R2, RMSE and mean of absolute value of error. Rye (Secale cereale L.) was dormant seeded in mid-October, and in the following spring it was terminated at corn's (Zea mays L.) V4 growth stage. Soil temperature, moisture, and N2O–N and CO2–C emissions were measured near continuously from soil thaw to harvest in 2019 and 2020. Prior to termination, the cover crop decreased N2O–N emissions by 34% (p = .05), and over the entire season, N2O–N emissions from cover crop and no cover crop treatments were similar (p = .71). Based on N2O–N and CO2–C emissions over the entire season and the estimated fixed cover crop-C remaining in the soil, the partial CO2e were −1,061 and 496 kg CO2e ha–1 in the cover crop and no cover crop treatments, respectively. The RF algorithm explained more of the daily N2O–N (73%) and CO2–C (85%) emissions variability during validation than the other models. Across models, the most important variables were temperature and the amount of cover crop-C added to the soil.","container-title":"Agronomy Journal","DOI":"10.1002/agj2.21185","ISSN":"1435-0645","issue":"3","language":"en","license":"© 2022 The Authors. Agronomy Journal published by Wiley Periodicals LLC on behalf of American Society of Agronomy.","note":"_eprint: https://onlinelibrary.wiley.com/doi/pdf/10.1002/agj2.21185","page":"795-809","source":"Wiley Online Library","title":"Quantification and machine learning based N2O–N and CO2–C emissions predictions from a decomposing rye cover crop","volume":"116","author":[{"family":"Joshi","given":"Deepak R."},{"family":"Clay","given":"David E."},{"family":"Clay","given":"Sharon A."},{"family":"Moriles-Miller","given":"Janet"},{"family":"Daigh","given":"Aaron L. M."},{"family":"Reicks","given":"Graig"},{"family":"Westhoff","given":"Shaina"}],"issued":{"date-parts":[["2024"]]}}},{"id":3122,"uris":["http://zotero.org/groups/4573874/items/IPYPH87V"],"itemData":{"id":3122,"type":"article-journal","container-title":"Soil Science Society of America Journal","ISSN":"0361-5995","issue":"5","journalAbbreviation":"Soil Science Society of America Journal","note":"publisher: Wiley Online Library","page":"1227-1240","title":"Prediction of greenhouse gas emissions from agricultural fields with and without cover crops","volume":"86","author":[{"family":"Kotlar","given":"Ali Mehmandoost"},{"family":"Singh","given":"Jasdeep"},{"family":"Kumar","given":"Sandeep"}],"issued":{"date-parts":[["2022"]]}}}],"schema":"https://github.com/citation-style-language/schema/raw/master/csl-citation.json"} </w:instrText>
      </w:r>
      <w:r w:rsidRPr="00890723">
        <w:rPr>
          <w:rFonts w:eastAsia="Calibri" w:cs="Times New Roman"/>
          <w:kern w:val="0"/>
          <w:szCs w:val="24"/>
          <w14:ligatures w14:val="none"/>
        </w:rPr>
        <w:fldChar w:fldCharType="separate"/>
      </w:r>
      <w:r w:rsidR="00FB5341" w:rsidRPr="00FB5341">
        <w:rPr>
          <w:rFonts w:cs="Times New Roman"/>
        </w:rPr>
        <w:t>(Adler et al., 2024; Anthony &amp; Silver, 2024; Chiaravalloti et al., 2023; Dhaliwal et al., 2025; Hamrani et al., 2020; Joshi et al., 2024; Kotlar et al., 2022)</w:t>
      </w:r>
      <w:r w:rsidRPr="00890723">
        <w:rPr>
          <w:rFonts w:eastAsia="Calibri" w:cs="Times New Roman"/>
          <w:kern w:val="0"/>
          <w:szCs w:val="24"/>
          <w14:ligatures w14:val="none"/>
        </w:rPr>
        <w:fldChar w:fldCharType="end"/>
      </w:r>
      <w:r w:rsidRPr="001B567A">
        <w:rPr>
          <w:szCs w:val="24"/>
          <w:lang w:val="it-IT"/>
        </w:rPr>
        <w:t xml:space="preserve">. </w:t>
      </w:r>
      <w:r w:rsidRPr="00890723">
        <w:rPr>
          <w:szCs w:val="24"/>
        </w:rPr>
        <w:t>The inability to predict when hot moments are likely to occur is a major impediment to effective mitigation efforts. N</w:t>
      </w:r>
      <w:r w:rsidRPr="00890723">
        <w:rPr>
          <w:szCs w:val="24"/>
          <w:vertAlign w:val="subscript"/>
        </w:rPr>
        <w:t>2</w:t>
      </w:r>
      <w:r w:rsidRPr="00890723">
        <w:rPr>
          <w:szCs w:val="24"/>
        </w:rPr>
        <w:t xml:space="preserve">O emissions are highly temporally variable </w:t>
      </w:r>
      <w:r w:rsidRPr="00890723">
        <w:rPr>
          <w:szCs w:val="24"/>
        </w:rPr>
        <w:fldChar w:fldCharType="begin"/>
      </w:r>
      <w:r w:rsidR="003C7682">
        <w:rPr>
          <w:szCs w:val="24"/>
        </w:rPr>
        <w:instrText xml:space="preserve"> ADDIN ZOTERO_ITEM CSL_CITATION {"citationID":"7xzg0XVM","properties":{"formattedCitation":"(H\\uc0\\u233{}nault et al., 2012)","plainCitation":"(Hénault et al., 2012)","noteIndex":0},"citationItems":[{"id":1471,"uris":["http://zotero.org/groups/4573874/items/5V252IMA"],"itemData":{"id":1471,"type":"article-journal","abstract":"This short review deals with soils as an important source of the greenhouse gas N2O. The production and consumption of N2O in soils mainly involve biotic processes: the anaerobic process of denitrification and the aerobic process of nitrification. The factors that significantly influence agricultural N2O emissions mainly concern the agricultural practices (N application rate, crop type, fertilizer type) and soil conditions (soil moisture, soil organic C content, soil pH and texture). Large variability of N2O fluxes is known to occur both at different spatial and temporal scales. Currently new techniques could help to improve the capture of the spatial variability. Continuous measurement systems with automatic chambers could also help to capture temporal variability and consequently to improve quantification of N2O emissions by soils. Some attempts for mitigating soil N2O emissions, either by modifying agricultural practices or by managing soil microbial functioning taking into account the origin of the soil N2O emission variability, are reviewed.","collection-title":"Special Issue on Bioremediation of Contaminated Soil and Water","container-title":"Pedosphere","DOI":"10.1016/S1002-0160(12)60029-0","ISSN":"1002-0160","issue":"4","journalAbbreviation":"Pedosphere","page":"426-433","source":"ScienceDirect","title":"Nitrous Oxide Emission by Agricultural Soils: A Review of Spatial and Temporal Variability for Mitigation","title-short":"Nitrous Oxide Emission by Agricultural Soils","volume":"22","author":[{"family":"Hénault","given":"C."},{"family":"Grossel","given":"A."},{"family":"Mary","given":"B."},{"family":"Roussel","given":"M."},{"family":"Léonard","given":"J."}],"issued":{"date-parts":[["2012",8,1]]}}}],"schema":"https://github.com/citation-style-language/schema/raw/master/csl-citation.json"} </w:instrText>
      </w:r>
      <w:r w:rsidRPr="00890723">
        <w:rPr>
          <w:szCs w:val="24"/>
        </w:rPr>
        <w:fldChar w:fldCharType="separate"/>
      </w:r>
      <w:r w:rsidRPr="00890723">
        <w:rPr>
          <w:rFonts w:cs="Times New Roman"/>
          <w:kern w:val="0"/>
        </w:rPr>
        <w:t>(Hénault et al., 2012)</w:t>
      </w:r>
      <w:r w:rsidRPr="00890723">
        <w:rPr>
          <w:szCs w:val="24"/>
        </w:rPr>
        <w:fldChar w:fldCharType="end"/>
      </w:r>
      <w:r w:rsidRPr="00890723">
        <w:rPr>
          <w:szCs w:val="24"/>
        </w:rPr>
        <w:t xml:space="preserve">, and thus even theoretically effective strategies if implemented at the wrong time may yield little to no benefit. </w:t>
      </w:r>
    </w:p>
    <w:p w14:paraId="4B4A20CB" w14:textId="4BBF146B" w:rsidR="00032567" w:rsidRPr="00890723" w:rsidRDefault="00032567" w:rsidP="001B567A">
      <w:pPr>
        <w:spacing w:after="0" w:line="480" w:lineRule="auto"/>
        <w:rPr>
          <w:szCs w:val="24"/>
        </w:rPr>
      </w:pPr>
      <w:r w:rsidRPr="00890723">
        <w:rPr>
          <w:szCs w:val="24"/>
        </w:rPr>
        <w:t>Compounding these challenges of accurate predictions of hot moments is the lack of consensus in how best to identify and define hot moments quantitatively. The original definition by McClain et al. (2003) provides a qualitative framework for identifying biogeochemical hot moments broadly, yet translating this into a quantitative framework is not straightforward. Many different numerical methods have been applied to N</w:t>
      </w:r>
      <w:r w:rsidRPr="00890723">
        <w:rPr>
          <w:szCs w:val="24"/>
          <w:vertAlign w:val="subscript"/>
        </w:rPr>
        <w:t>2</w:t>
      </w:r>
      <w:r w:rsidRPr="00890723">
        <w:rPr>
          <w:szCs w:val="24"/>
        </w:rPr>
        <w:t xml:space="preserve">O flux datasets for the identification of hot </w:t>
      </w:r>
      <w:r w:rsidRPr="00890723">
        <w:rPr>
          <w:szCs w:val="24"/>
        </w:rPr>
        <w:lastRenderedPageBreak/>
        <w:t xml:space="preserve">moments, often with widely disparate results in which measurements are classified as hot moments even within the same dataset </w:t>
      </w:r>
      <w:r w:rsidRPr="00890723">
        <w:rPr>
          <w:szCs w:val="24"/>
        </w:rPr>
        <w:fldChar w:fldCharType="begin"/>
      </w:r>
      <w:r w:rsidR="003C7682">
        <w:rPr>
          <w:szCs w:val="24"/>
        </w:rPr>
        <w:instrText xml:space="preserve"> ADDIN ZOTERO_ITEM CSL_CITATION {"citationID":"a2oonlm21e4","properties":{"formattedCitation":"(Anthony et al., 2023; Anthony &amp; Silver, 2021; Corre et al., 1996; Mason et al., 2016; Molodovskaya et al., 2012; Palta et al., 2014; Saha et al., 2018; Stuchiner et al., 2025)","plainCitation":"(Anthony et al., 2023; Anthony &amp; Silver, 2021; Corre et al., 1996; Mason et al., 2016; Molodovskaya et al., 2012; Palta et al., 2014; Saha et al., 2018; Stuchiner et al., 2025)","noteIndex":0},"citationItems":[{"id":795,"uris":["http://zotero.org/groups/4573874/items/75F6U62S"],"itemData":{"id":795,"type":"article-journal","abstract":"Alfalfa is the most widely grown forage crop worldwide and is thought to be a significant carbon sink due to high productivity, extensive root systems, and nitrogen-fixation. However, these conditions may increase nitrous oxide (N2O) emissions thus lowering the climate change mitigation potential. We used a suite of long-term automated instrumentation and satellite imagery to quantify patterns and drivers of greenhouse gas fluxes in a continuous alfalfa agroecosystem in California. We show that this continuous alfalfa system was a large N2O source (624 ± 28 mg N2O m2 y−1), offsetting the ecosystem carbon (carbon dioxide (CO2) and methane (CH4)) sink by up to 14% annually. Short-term N2O emissions events (i.e., hot moments) accounted for ≤1% of measurements but up to 57% of annual emissions. Seasonal and daily trends in rainfall and irrigation were the primary drivers of hot moments of N2O emissions. Significant coherence between satellite-derived photosynthetic activity and N2O fluxes suggested plant activity was an important driver of background emissions. Combined data show annual N2O emissions can significantly lower the carbon-sink potential of continuous alfalfa agriculture.","container-title":"Nature Communications","DOI":"10.1038/s41467-023-37391-2","ISSN":"2041-1723","issue":"1","journalAbbreviation":"Nat Commun","language":"en","license":"2023 The Author(s)","note":"number: 1\npublisher: Nature Publishing Group","page":"1926","source":"www.nature.com","title":"Carbon-sink potential of continuous alfalfa agriculture lowered by short-term nitrous oxide emission events","volume":"14","author":[{"family":"Anthony","given":"Tyler L."},{"family":"Szutu","given":"Daphne J."},{"family":"Verfaillie","given":"Joseph G."},{"family":"Baldocchi","given":"Dennis D."},{"family":"Silver","given":"Whendee L."}],"issued":{"date-parts":[["2023",4,6]]}}},{"id":794,"uris":["http://zotero.org/groups/4573874/items/UNBCKZAX"],"itemData":{"id":794,"type":"article-journal","abstract":"Agricultural peatlands are estimated to emit approximately one third of global greenhouse gas (GHG) emissions from croplands, but the temporal dynamics and controls of these emissions are poorly understood, particularly for nitrous oxide (N2O). We used cavity ring-down spectroscopy and automated chambers in a drained agricultural peatland to measure over 70,000 individual N2O, methane (CH4), and carbon dioxide (CO2) fluxes over 3 years. Our results showed that N2O fluxes were high, contributing 26% (annual range: 16%–35%) of annual CO2e emissions. Total N2O fluxes averaged 26 ± 0.5 kg N2O-N ha−1 y−1 and exhibited significant inter- and intra-annual variability with a maximum annual flux of 42 ± 1.8 kg N2O-N ha−1 y−1. Hot moments of N2O and CH4 emissions represented 1.1 ± 0.2 and 1.3 ± 0.2% of measurements, respectively, but contributed to 45 ± 1% of mean annual N2O fluxes and to 140 ± 9% of mean annual CH4 fluxes. Soil moisture, soil temperature, and bulk soil oxygen (O2) concentrations were strongly correlated with soil N2O and CH4 emissions; soil nitrate () concentrations were also significantly correlated with soil N2O emissions. These results suggest that IPCC benchmarks underestimate N2O emissions from these high emitting agricultural peatlands by up to 70%. Scaling to regional agricultural peatlands with similar management suggests these ecosystems could emit up to 1.86 Tg CO2e y−1 (range: 1.58–2.21 Tg CO2e y−1). Data suggest that these agricultural peatlands are large sources of GHGs, and that short-term hot moments of N2O and CH4 are a significant fraction of total greenhouse budgets.","container-title":"Global Change Biology","DOI":"10.1111/gcb.15802","ISSN":"1365-2486","issue":"20","language":"en","note":"_eprint: https://onlinelibrary.wiley.com/doi/pdf/10.1111/gcb.15802","page":"5141-5153","source":"Wiley Online Library","title":"Hot moments drive extreme nitrous oxide and methane emissions from agricultural peatlands","volume":"27","author":[{"family":"Anthony","given":"Tyler L."},{"family":"Silver","given":"Whendee L."}],"issued":{"date-parts":[["2021"]]}}},{"id":2998,"uris":["http://zotero.org/groups/4573874/items/YIIDL6JK"],"itemData":{"id":2998,"type":"article-journal","abstract":"As a prerequisite for quantification of annual N2O emissions at a regional scale, this study was conducted to determine the landscape-scale patterns and seasonal fluctuations of N2O emission and to demonstrate the linking relationships between large-scale controllers and proximal factors of N2O emission. An area of the Black soil zone of central Saskatchewan, Canada, was stratified into three main textural areas: clay loam, fine sandy loam, and sandy. Within each textural area, representative sites were selected based on land use: unfertilized and fertilized cropland, fallow, pasture, and forest sites. A consistent landscape-scale pattern of N2O emission was observed; footslope positions had higher N2O fluxes than shoulder positions. The role of topography is attributed to its strong influence on the hydrologic and pedologic processes in the landscape, which, in turn, regulate the soil factors controlling N2O emission at the microscale level. The seasonal fluctuation of N2O emission was influenced by precipitation. Pulses of activity were observed during summer, after rainfall events following N fertilizer application, and during spring thaw. At the regional scale, the sandy area had lower N2O emissions than the fine-textured areas. The general order of N2O evolved among the land uses was forest &lt; pasture &lt; fallow ≈ unfertilized &lt; fertilized cropland. Our results showed the importance of developing spatially based, predictive relationships between N2O emission and its controlling factors. Linking these relationships with large-scale integrative variables, such as soil texture and land use, provides a means for extrapolating N2O fluxes from landscape to regional scale.","container-title":"Soil Science Society of America Journal","DOI":"10.2136/sssaj1996.03615995006000060028x","ISSN":"1435-0661","issue":"6","language":"en","note":"_eprint: https://onlinelibrary.wiley.com/doi/pdf/10.2136/sssaj1996.03615995006000060028x","page":"1806-1815","source":"Wiley Online Library","title":"Landscape and Seasonal Patterns of Nitrous Oxide Emissions in a Semiarid Region","volume":"60","author":[{"family":"Corre","given":"M. D."},{"family":"Kessel","given":"C.","non-dropping-particle":"van"},{"family":"Pennock","given":"D. J."}],"issued":{"date-parts":[["1996"]]}}},{"id":3002,"uris":["http://zotero.org/groups/4573874/items/WUF52ZPS"],"itemData":{"id":3002,"type":"article-journal","abstract":"Core Ideas We monitored N2O fluxes from grasses on seasonally wet soil during spring thaw. We used three different statistical approaches to analyze trends in the fluxes. N2O emissions were elevated in wet areas recently converted to reed canarygrass. In temperate climates, a significant fraction of annual emissions of N2O from agricultural land can occur during soil thaw in late winter and early spring. The objective of this study was to determine the impact of land use change from long-term fallow grassland to managed perennial grass crops on these thaw-related N2O emissions and to identify field-scale drivers that influence emissions. Using static chambers, we monitored mid-afternoon N2O fluxes during the 2013 spring thaw from 27 March to 7 April, observing fallow grassland and second-year reed canarygrass (Phalaris arundinaceae L., ‘Bellevue’) across a short topographical gradient. Soil temperature, soil moisture, and residual aboveground biomass were also observed, as were hourly air temperature and precipitation. Fluxes of N2O were generally low (−9.8 to 21.3 μg N2O-N m−2 h−1) except for one observation of 77.6 μg N2O-N m−2 h−1. Hot-moment analysis, non-parametric statistical tests, and ANOVA results showed that downslope positions converted to managed and fertilized grass had significantly higher N2O emissions than the fallow and upslope positions. We found that these downslope managed grass sites had mean soil moisture of 75.0% water-filled pore space and less insulating residual aboveground biomass than the fallow grassland. Our results suggest that converting fallow grassland to managed perennial grass cropping systems for bioenergy or other uses could increase spring-thaw N2O emissions in wetness-prone areas.","container-title":"Soil Science Society of America Journal","DOI":"10.2136/sssaj2015.05.0182","ISSN":"1435-0661","issue":"2","language":"en","license":"Copyright © by the Soil Science Society of America, Inc.","note":"_eprint: https://acsess.onlinelibrary.wiley.com/doi/pdf/10.2136/sssaj2015.05.0182","page":"428-437","source":"Wiley Online Library","title":"Spring-Thaw Nitrous Oxide Emissions from Reed Canarygrass on Wetness-Prone Marginal Soil in New York State","volume":"80","author":[{"family":"Mason","given":"Cedric W."},{"family":"Stoof","given":"Cathelijne R."},{"family":"Richards","given":"Brian K."},{"family":"Rossiter","given":"David G."},{"family":"Steenhuis","given":"Tammo S."}],"issued":{"date-parts":[["2016"]]}}},{"id":692,"uris":["http://zotero.org/groups/4573874/items/97DFR7GJ"],"itemData":{"id":692,"type":"article-journal","abstract":"Nitrous oxide (N2O) emissions were monitored using the micrometeorological eddy covariance technique from manure-fertilized cropland on a large dairy farm in New York State in 2006 to 2009. Nitrous oxide emissions demonstrated episodic behavior with intermittent short-duration peak fluxes up to 39.7 mg N2O-N m−2 d−1, whereas most of background fluxes during the annual agricultural cycle were below 6.5 mg N2O-N m−2 d−1. This paper discusses temporal variability of measured N2O emissions using a “hot moment” approach. To identify and quantify peak events as potential hot moments and to determine whether or not they could be treated statistically as outliers, N2O daily fluxes were analyzed by the box plot method using multiple thresholds. Peak events exceeding outlier thresholds contributed up to 51% of cumulative annual N2O emissions, although they represented &lt;7% of the total observation time. Individual N2O peaks were also categorized by their duration, as single day spikes and multiday events. The highest contributing instances were multiday N2O peaks during summer precipitation and early spring thaw, largely enhanced by manure fertilization. These high-intensity emission events demonstrated repetitive seasonal responses to a combination of environmental factors and were therefore identified as hot moments. Abrupt rises in both temperature and soil moisture appeared to trigger major hot moments, whereas the availability of manure N controlled their magnitude. In the absence of strong correlations between time-series of individual environmental factors and N2O emissions, the hot moment approach can be a promising tool for the integrated analysis of most significant N2O events in cultivated fields receiving manure applications.","container-title":"Soil Science Society of America Journal","DOI":"10.2136/sssaj2012.0039","ISSN":"1435-0661","issue":"5","language":"en","note":"_eprint: https://onlinelibrary.wiley.com/doi/pdf/10.2136/sssaj2012.0039","page":"1728-1740","source":"Wiley Online Library","title":"Temporal Variability of Nitrous Oxide from Fertilized Croplands: Hot Moment Analysis","title-short":"Temporal Variability of Nitrous Oxide from Fertilized Croplands","volume":"76","author":[{"family":"Molodovskaya","given":"Marina"},{"family":"Singurindy","given":"Olga"},{"family":"Richards","given":"Brian K."},{"family":"Warland","given":"Jon"},{"family":"Johnson","given":"Mark S."},{"family":"Steenhuis","given":"Tammo S."}],"issued":{"date-parts":[["2012"]]}}},{"id":1564,"uris":["http://zotero.org/groups/4573874/items/GLDYSNVZ"],"itemData":{"id":1564,"type":"article-journal","abstract":"The influence of hydrology and soil properties on disproportionately high (“hot”) rates of nitrate (NO3−) removal via denitrification has been relatively well established. It is poorly understood, however, how the unique soil characteristics of brownfield wetlands contribute to or hinder denitrification. In this study, we examined drivers of “hot” denitrification rates over time (“hot moments”) and space (“hotspots”) in a watershed located on an unrestored brownfield in New Jersey, USA. We carried out measurements of denitrification over 9-day sequences during three seasons in sites with the same vegetation (Phragmites australis) but different soils (fill material, remnant marsh soils, flooded organic-rich soils). Denitrification rates above the 3rd quartile value of the data distribution were defined as “hot” and the most important drivers of these rates were determined using mixed models. Porosity and NO3− availability were the strongest spatial and temporal predictors, respectively, of high denitrification rates, with coarse-textured, unflooded fill materials unexpectedly supporting the highest rates. These results suggest that pore-scale hydrology is a more complex controller of wetland denitrification than previously thought. Course-textured, unflooded soils have high fractions of air-filled pores relative to flooded soils, leading to more endogenous NO3− production, and less diffusion constraints than fine-textured soils, leading to higher NO3− availability to denitrifiers in suboxic pores. Laboratory studies confirmed denitrifiers were limited by NO3− availability. However, denitrification rates in all soils matched or exceeded atmospheric NO3− deposition and stormwater NO3− loading at the site, suggesting that brownfields may play an important role in NO3− removal from urban stormwater.","container-title":"Ecosystems","DOI":"10.1007/s10021-014-9778-0","ISSN":"1435-0629","issue":"7","journalAbbreviation":"Ecosystems","language":"en","page":"1121-1137","source":"Springer Link","title":"“Hotspots” and “Hot Moments” of Denitrification in Urban Brownfield Wetlands","volume":"17","author":[{"family":"Palta","given":"Monica M."},{"family":"Ehrenfeld","given":"Joan G."},{"family":"Groffman","given":"Peter M."}],"issued":{"date-parts":[["2014",11,1]]}}},{"id":789,"uris":["http://zotero.org/groups/4573874/items/XLN32T2T"],"itemData":{"id":789,"type":"article-journal","abstract":"Identifying hot spots and hot moments of nitrous oxide (N2O) emissions in the landscape is critical for monitoring and mitigating the emission of this potent greenhouse gas. We propose a novel use of the Lorenz curve and Gini coefficient (G) to improve the estimation of the mean as well as the spatial and temporal variation of N2O emissions from a bioenergy landscape. The analyses indicate that the G was better correlated (R2 = 0.72, P &lt; 0.001) with daily N2O emissions than the coefficient of variation and skewness. A hot moment for N2O emissions occurred after a storm event, with a heterogeneous spatial distribution of N2O emissions (G = 0.65); in contrast, CO2 emissions remained spatially uniform throughout the same period (G = 0.36). Volumetric soil air content below 0.03 m3 m−3 occurred more frequently in the wetter footslope positions and created N2O hot spots, with a high temporal inequality during the growing season (G = 0.75). In contrast, well-drained shoulder positions were cold spots, with uniformly distributed and low N2O emissions (G = 0.44). The spatial N2O inequality mirrored the landscape wetness generated by rain events, while biogeochemical equality prevailed in the landscape. The Lorenz curve and G are tools to standardize the spatial and temporal variation of N2O emissions across diverse landscapes and management scenarios. These two inequality indicators, in association with spatial maps, can help delineate the critical spatial mosaics and temporal windows of N2O emissions and guide landscape-scale monitoring and mitigation strategies to reduce N2O emissions.","container-title":"Journal of Geophysical Research: Biogeosciences","DOI":"10.1002/2017JG004041","ISSN":"2169-8961","issue":"1","language":"en","note":"_eprint: https://onlinelibrary.wiley.com/doi/pdf/10.1002/2017JG004041","page":"193-206","source":"Wiley Online Library","title":"Lorenz Curve and Gini Coefficient Reveal Hot Spots and Hot Moments for Nitrous Oxide Emissions","volume":"123","author":[{"family":"Saha","given":"Debasish"},{"family":"Kemanian","given":"Armen R."},{"family":"Montes","given":"Felipe"},{"family":"Gall","given":"Heather"},{"family":"Adler","given":"Paul R."},{"family":"Rau","given":"Benjamin M."}],"issued":{"date-parts":[["2018"]]}}},{"id":3046,"uris":["http://zotero.org/groups/4573874/items/GYIWTSML"],"itemData":{"id":3046,"type":"article-journal","abstract":"Effectively quantifying hot moments of nitrous oxide (N2O) emissions from agricultural soils is critical for managing this potent greenhouse gas. However, we are challenged by a lack of standard approaches for identifying hot moments, including (a) determining thresholds above which emissions are considered hot moments, and (b) considering seasonal variation in the magnitude and frequency distribution of net N2O fluxes. We used one year of hourly N2O flux measurements from 16 autochambers that varied in flux magnitude and frequency distribution in a conventionally tilled maize field in central Illinois, USA, to compare three approaches to identify hot moment thresholds: standard deviations (SD) above the mean, 1.5x the interquartile range (IQR), and isolation forest (IF) identification of anomalous values. We also compared these approaches on seasonally subdivided data (early, late, and non-growing seasons) versus the whole year. Our analyses revealed that 1.5x IQR method best identified N2O hot moments. In contrast, using 2 or 4 SD both yielded hot moment threshold values too high, and IF yielded threshold values too low, leading to missed N2O hot moments or low net N2O fluxes mischaracterized as hot moments, respectively. Furthermore, seasonally subdividing the data set not only facilitated identification of smaller hot moments in the late- and non-growing seasons when N2O hot moments were generally smaller but it also increased hot moment threshold values in the early growing season when N2O hot moments were larger. Consequently, of the methods evaluated here, we recommend using the 1.5x IQR method on whole year data sets to identify N2O hot moments.","container-title":"Journal of Geophysical Research: Biogeosciences","DOI":"10.1029/2024JG008138","ISSN":"2169-8961","issue":"1","language":"en","license":"© 2024. The Author(s).","note":"_eprint: https://onlinelibrary.wiley.com/doi/pdf/10.1029/2024JG008138","page":"e2024JG008138","source":"Wiley Online Library","title":"Hot or Not? An Evaluation of Methods for Identifying Hot Moments of Nitrous Oxide Emissions From Soils","title-short":"Hot or Not?","volume":"130","author":[{"family":"Stuchiner","given":"Emily R."},{"family":"Xu","given":"Jiacheng"},{"family":"Eddy","given":"William C."},{"family":"DeLucia","given":"Evan H."},{"family":"Yang","given":"Wendy H."}],"issued":{"date-parts":[["2025"]]}}}],"schema":"https://github.com/citation-style-language/schema/raw/master/csl-citation.json"} </w:instrText>
      </w:r>
      <w:r w:rsidRPr="00890723">
        <w:rPr>
          <w:szCs w:val="24"/>
        </w:rPr>
        <w:fldChar w:fldCharType="separate"/>
      </w:r>
      <w:r w:rsidRPr="001B567A">
        <w:rPr>
          <w:rFonts w:cs="Times New Roman"/>
          <w:kern w:val="0"/>
          <w:lang w:val="it-IT"/>
        </w:rPr>
        <w:t>(Anthony et al., 2023; Anthony &amp; Silver, 2021; Corre et al., 1996; Mason et al., 2016; Molodovskaya et al., 2012; Palta et al., 2014; Saha et al., 2018; Stuchiner et al., 2025)</w:t>
      </w:r>
      <w:r w:rsidRPr="00890723">
        <w:rPr>
          <w:szCs w:val="24"/>
        </w:rPr>
        <w:fldChar w:fldCharType="end"/>
      </w:r>
      <w:r w:rsidRPr="001B567A">
        <w:rPr>
          <w:szCs w:val="24"/>
          <w:lang w:val="it-IT"/>
        </w:rPr>
        <w:t xml:space="preserve">. </w:t>
      </w:r>
      <w:r w:rsidRPr="00890723">
        <w:rPr>
          <w:szCs w:val="24"/>
        </w:rPr>
        <w:t xml:space="preserve">This lack of consensus has led to hesitance in applying quantitative methods to the investigation of hot moments, inhibiting this concept from arriving at practical solutions </w:t>
      </w:r>
      <w:r w:rsidRPr="00890723">
        <w:rPr>
          <w:szCs w:val="24"/>
        </w:rPr>
        <w:fldChar w:fldCharType="begin"/>
      </w:r>
      <w:r w:rsidR="003C7682">
        <w:rPr>
          <w:szCs w:val="24"/>
        </w:rPr>
        <w:instrText xml:space="preserve"> ADDIN ZOTERO_ITEM CSL_CITATION {"citationID":"a1qo08j10qv","properties":{"formattedCitation":"(Bernhardt et al., 2017)","plainCitation":"(Bernhardt et al., 2017)","noteIndex":0},"citationItems":[{"id":1985,"uris":["http://zotero.org/groups/4573874/items/XE62TGV4"],"itemData":{"id":1985,"type":"article-journal","abstract":"The phrase “hot spots and hot moments” first entered the lexicon in 2003, following the publication of the paper “Biogeochemical hot spots and hot moments at the interface of terrestrial and aquatic ecosystems” by McClain and others (Ecosystems 6:301–312, 2003). This paper described the potential for rare places and rare events to exert a disproportionate influence on the movement of elements at the scale of landscapes and ecosystems. Here, we examine how the cleverly named hot spot and hot moment concept (hereafter HSHM) has influenced biogeochemistry and ecosystem science over the last 13 years. We specifically examined the extent to which the HSHM concept has: (1) motivated research aimed at understanding how and why biogeochemical behavior varies across spatiotemporal scales; (2) improved our ability to detect HSHM phenomena; and (3) influenced our approaches to restoration and ecosystem management practices. We found that the HSHM concept has provided a highly fertile framework for a substantial volume of research on the spatial and temporal dynamics of nutrient cycling, and in doing so, has improved our understanding of when and where biogeochemical rates are maximized. Despite the high usage of the term, we found limited examples of rigorous statistical or modeling approaches that would allow ecosystem scientists to not only identify, but scale the aggregate impact of HSHM on ecosystem processes. We propose that the phrase “hot spots and hot moments” includes two implicit assumptions that may actually be limiting progress in applying the concept. First, by differentiating “hot spots” from “hot moments,” the phrase separates the spatial and temporal components of biogeochemical behavior. Instead, we argue that the temporal dynamics of a putative hot spot are a fundamental trait that should be used in their description. Second, the adjective “hot” implicitly suggests that a place or a time must be dichotomously classified as “hot or not.” We suggest instead that each landscape of interest contains a wide range of biogeochemical process rates that respond to critical drivers, and the gradations of this biogeochemical topography are of greater interest than the maximum peaks. For these reasons, we recommend replacing the HSHM terminology with the more nuanced term ecosystem control points. “Ecosystem control” suggests that the rate must be of sufficient magnitude or ubiquity to affect dynamics of the ecosystem, while “points” allows for descriptions that simultaneously incorporate both spatial and temporal dynamics. We further suggest that there are at least four distinct types of ecosystem control points whose influence arises through distinct hydrologic and biogeochemical mechanisms. Our goal is to provide the tools with which researchers can develop testable hypotheses regarding the spatiotemporal dynamics of biogeochemistry that will stimulate advances in more accurately identifying, modeling and scaling biogeochemical heterogeneity to better understand ecosystem processes.","container-title":"Ecosystems","DOI":"10.1007/s10021-016-0103-y","ISSN":"1435-0629","issue":"4","journalAbbreviation":"Ecosystems","language":"en","page":"665-682","source":"Springer Link","title":"Control Points in Ecosystems: Moving Beyond the Hot Spot Hot Moment Concept","title-short":"Control Points in Ecosystems","volume":"20","author":[{"family":"Bernhardt","given":"Emily S."},{"family":"Blaszczak","given":"Joanna R."},{"family":"Ficken","given":"Cari D."},{"family":"Fork","given":"Megan L."},{"family":"Kaiser","given":"Kendra E."},{"family":"Seybold","given":"Erin C."}],"issued":{"date-parts":[["2017",6,1]]}}}],"schema":"https://github.com/citation-style-language/schema/raw/master/csl-citation.json"} </w:instrText>
      </w:r>
      <w:r w:rsidRPr="00890723">
        <w:rPr>
          <w:szCs w:val="24"/>
        </w:rPr>
        <w:fldChar w:fldCharType="separate"/>
      </w:r>
      <w:r w:rsidRPr="00890723">
        <w:rPr>
          <w:rFonts w:cs="Times New Roman"/>
          <w:kern w:val="0"/>
        </w:rPr>
        <w:t>(Bernhardt et al., 2017)</w:t>
      </w:r>
      <w:r w:rsidRPr="00890723">
        <w:rPr>
          <w:szCs w:val="24"/>
        </w:rPr>
        <w:fldChar w:fldCharType="end"/>
      </w:r>
      <w:r w:rsidRPr="00890723">
        <w:rPr>
          <w:szCs w:val="24"/>
        </w:rPr>
        <w:t>.</w:t>
      </w:r>
    </w:p>
    <w:p w14:paraId="75D8DF97" w14:textId="239B00A0" w:rsidR="00032567" w:rsidRPr="00890723" w:rsidRDefault="00032567" w:rsidP="001B567A">
      <w:pPr>
        <w:pStyle w:val="Heading2"/>
      </w:pPr>
      <w:bookmarkStart w:id="22" w:name="_Toc204282734"/>
      <w:r w:rsidRPr="00890723">
        <w:t>Statement of Purpose</w:t>
      </w:r>
      <w:bookmarkEnd w:id="22"/>
    </w:p>
    <w:p w14:paraId="1C068783" w14:textId="77777777" w:rsidR="00032567" w:rsidRPr="00890723" w:rsidRDefault="00032567" w:rsidP="001B567A">
      <w:pPr>
        <w:spacing w:after="0" w:line="480" w:lineRule="auto"/>
        <w:rPr>
          <w:szCs w:val="24"/>
        </w:rPr>
      </w:pPr>
      <w:r w:rsidRPr="00890723">
        <w:rPr>
          <w:szCs w:val="24"/>
        </w:rPr>
        <w:t>It is imperative to reduce agriculture’s contributions to climate change. Hot moments are responsible for a disproportionate amount of cropland agriculture’s most important pool of emissions, N</w:t>
      </w:r>
      <w:r w:rsidRPr="00890723">
        <w:rPr>
          <w:szCs w:val="24"/>
          <w:vertAlign w:val="subscript"/>
        </w:rPr>
        <w:t>2</w:t>
      </w:r>
      <w:r w:rsidRPr="00890723">
        <w:rPr>
          <w:szCs w:val="24"/>
        </w:rPr>
        <w:t>O, and are thus critical targets for mitigation. This dissertation follows this line of reasoning by investigating N</w:t>
      </w:r>
      <w:r w:rsidRPr="00890723">
        <w:rPr>
          <w:szCs w:val="24"/>
          <w:vertAlign w:val="subscript"/>
        </w:rPr>
        <w:t>2</w:t>
      </w:r>
      <w:r w:rsidRPr="00890723">
        <w:rPr>
          <w:szCs w:val="24"/>
        </w:rPr>
        <w:t xml:space="preserve">O hot moments, addressing critical research gaps concerning the significance, characteristics, modeling strategies, and biogeochemical drivers of these events and proposing pathways toward actionable mitigation strategies. The first task must be to </w:t>
      </w:r>
      <w:r>
        <w:rPr>
          <w:szCs w:val="24"/>
        </w:rPr>
        <w:t>determine</w:t>
      </w:r>
      <w:r w:rsidRPr="00890723">
        <w:rPr>
          <w:szCs w:val="24"/>
        </w:rPr>
        <w:t xml:space="preserve"> an accurate and reliable quantitative method of identifying hot moments within N</w:t>
      </w:r>
      <w:r w:rsidRPr="00890723">
        <w:rPr>
          <w:szCs w:val="24"/>
          <w:vertAlign w:val="subscript"/>
        </w:rPr>
        <w:t>2</w:t>
      </w:r>
      <w:r w:rsidRPr="00890723">
        <w:rPr>
          <w:szCs w:val="24"/>
        </w:rPr>
        <w:t xml:space="preserve">O flux measurement datasets. As highly impactful, anomalous events triggered by shifting environmental conditions, these events must be distinguished from background emissions so that they can be isolated for further investigation. Next, models must be developed which integrate environmental and management data to predict the occurrences of hot moments at a scale relevant to intervention, such as the field-level spatial scale and daily temporal scale. Finally, such models can only be as good as the data they are built upon. Research must continue to gather data and investigate uncertainties in biogeochemical responses to environmental conditions, especially those conditions which are likely to occur under a changing climate. </w:t>
      </w:r>
    </w:p>
    <w:p w14:paraId="4189768B" w14:textId="77777777" w:rsidR="00032567" w:rsidRPr="00890723" w:rsidRDefault="00032567" w:rsidP="001B567A">
      <w:pPr>
        <w:spacing w:after="0" w:line="480" w:lineRule="auto"/>
        <w:rPr>
          <w:szCs w:val="24"/>
        </w:rPr>
      </w:pPr>
      <w:r w:rsidRPr="00890723">
        <w:rPr>
          <w:szCs w:val="24"/>
        </w:rPr>
        <w:t>My specific research objectives and the chapters in which I will address them are:</w:t>
      </w:r>
    </w:p>
    <w:p w14:paraId="5195970D" w14:textId="77777777" w:rsidR="00032567" w:rsidRPr="00890723" w:rsidRDefault="00032567" w:rsidP="001B567A">
      <w:pPr>
        <w:spacing w:after="0" w:line="480" w:lineRule="auto"/>
        <w:rPr>
          <w:szCs w:val="24"/>
        </w:rPr>
      </w:pPr>
      <w:r w:rsidRPr="00890723">
        <w:rPr>
          <w:szCs w:val="24"/>
        </w:rPr>
        <w:lastRenderedPageBreak/>
        <w:t>Chapter 1: evaluate the performance of statistical methods for identifying N</w:t>
      </w:r>
      <w:r w:rsidRPr="00890723">
        <w:rPr>
          <w:szCs w:val="24"/>
          <w:vertAlign w:val="subscript"/>
        </w:rPr>
        <w:t>2</w:t>
      </w:r>
      <w:r w:rsidRPr="00890723">
        <w:rPr>
          <w:szCs w:val="24"/>
        </w:rPr>
        <w:t>O hot moments within measurement datasets, identify guidelines for their usage, and quantify the frequency and contribution to cumulative emissions of hot moments.</w:t>
      </w:r>
    </w:p>
    <w:p w14:paraId="72D09E6B" w14:textId="77777777" w:rsidR="00032567" w:rsidRPr="00890723" w:rsidRDefault="00032567" w:rsidP="001B567A">
      <w:pPr>
        <w:spacing w:after="0" w:line="480" w:lineRule="auto"/>
        <w:rPr>
          <w:szCs w:val="24"/>
        </w:rPr>
      </w:pPr>
      <w:r w:rsidRPr="00890723">
        <w:rPr>
          <w:szCs w:val="24"/>
        </w:rPr>
        <w:t>Chapter 2: evaluate the use of low-input machine learning classification modeling for their ability to predict the occurrence of daily N</w:t>
      </w:r>
      <w:r w:rsidRPr="00890723">
        <w:rPr>
          <w:szCs w:val="24"/>
          <w:vertAlign w:val="subscript"/>
        </w:rPr>
        <w:t>2</w:t>
      </w:r>
      <w:r w:rsidRPr="00890723">
        <w:rPr>
          <w:szCs w:val="24"/>
        </w:rPr>
        <w:t>O hot moments from environmental and management data across a diverse global dataset.</w:t>
      </w:r>
    </w:p>
    <w:p w14:paraId="485A60C3" w14:textId="77777777" w:rsidR="00032567" w:rsidRPr="00890723" w:rsidRDefault="00032567" w:rsidP="001B567A">
      <w:pPr>
        <w:spacing w:after="0" w:line="480" w:lineRule="auto"/>
        <w:rPr>
          <w:szCs w:val="24"/>
        </w:rPr>
      </w:pPr>
      <w:r w:rsidRPr="00890723">
        <w:rPr>
          <w:szCs w:val="24"/>
        </w:rPr>
        <w:t>Chapter 3: determine the effect of soil texture and flooding duration from extreme weather events on N</w:t>
      </w:r>
      <w:r w:rsidRPr="00890723">
        <w:rPr>
          <w:szCs w:val="24"/>
          <w:vertAlign w:val="subscript"/>
        </w:rPr>
        <w:t>2</w:t>
      </w:r>
      <w:r w:rsidRPr="00890723">
        <w:rPr>
          <w:szCs w:val="24"/>
        </w:rPr>
        <w:t>O emissions.</w:t>
      </w:r>
    </w:p>
    <w:p w14:paraId="4E3EF646" w14:textId="77777777" w:rsidR="00032567" w:rsidRPr="00890723" w:rsidRDefault="00032567" w:rsidP="001B567A">
      <w:pPr>
        <w:spacing w:after="0" w:line="480" w:lineRule="auto"/>
        <w:rPr>
          <w:szCs w:val="24"/>
        </w:rPr>
      </w:pPr>
      <w:r w:rsidRPr="00890723">
        <w:rPr>
          <w:szCs w:val="24"/>
        </w:rPr>
        <w:t xml:space="preserve">The methodological approaches to these objectives as well as their results are </w:t>
      </w:r>
      <w:r>
        <w:rPr>
          <w:szCs w:val="24"/>
        </w:rPr>
        <w:t>presented</w:t>
      </w:r>
      <w:r w:rsidRPr="00890723">
        <w:rPr>
          <w:szCs w:val="24"/>
        </w:rPr>
        <w:t xml:space="preserve"> in the subsequent chapters.</w:t>
      </w:r>
    </w:p>
    <w:p w14:paraId="607AC8AC" w14:textId="11A49BC6" w:rsidR="00032567" w:rsidRPr="00890723" w:rsidRDefault="00032567" w:rsidP="001B567A">
      <w:pPr>
        <w:pStyle w:val="Heading2"/>
      </w:pPr>
      <w:bookmarkStart w:id="23" w:name="_Toc204282735"/>
      <w:r w:rsidRPr="00890723">
        <w:t>Literature Review</w:t>
      </w:r>
      <w:bookmarkEnd w:id="23"/>
    </w:p>
    <w:p w14:paraId="6171683E" w14:textId="371D3E9B" w:rsidR="00032567" w:rsidRPr="00890723" w:rsidRDefault="00032567" w:rsidP="001B567A">
      <w:pPr>
        <w:pStyle w:val="Heading3"/>
      </w:pPr>
      <w:bookmarkStart w:id="24" w:name="_Toc204282736"/>
      <w:r w:rsidRPr="00890723">
        <w:t xml:space="preserve">Key </w:t>
      </w:r>
      <w:r w:rsidR="0055280E">
        <w:t>m</w:t>
      </w:r>
      <w:r w:rsidRPr="00890723">
        <w:t xml:space="preserve">icrobiological </w:t>
      </w:r>
      <w:r w:rsidR="0055280E">
        <w:t>p</w:t>
      </w:r>
      <w:r w:rsidRPr="00890723">
        <w:t xml:space="preserve">athways of </w:t>
      </w:r>
      <w:r w:rsidR="0055280E">
        <w:t>s</w:t>
      </w:r>
      <w:r w:rsidRPr="00890723">
        <w:t>oil N</w:t>
      </w:r>
      <w:r w:rsidRPr="00890723">
        <w:rPr>
          <w:vertAlign w:val="subscript"/>
        </w:rPr>
        <w:t>2</w:t>
      </w:r>
      <w:r w:rsidRPr="00890723">
        <w:t xml:space="preserve">O </w:t>
      </w:r>
      <w:r w:rsidR="0055280E">
        <w:t>p</w:t>
      </w:r>
      <w:r w:rsidRPr="00890723">
        <w:t xml:space="preserve">roduction and their </w:t>
      </w:r>
      <w:r w:rsidR="0055280E">
        <w:t>c</w:t>
      </w:r>
      <w:r w:rsidRPr="00890723">
        <w:t>ontrols</w:t>
      </w:r>
      <w:bookmarkEnd w:id="24"/>
    </w:p>
    <w:p w14:paraId="56B8F2BB" w14:textId="6442A7F5" w:rsidR="00032567" w:rsidRPr="00890723" w:rsidRDefault="00032567" w:rsidP="001B567A">
      <w:pPr>
        <w:spacing w:after="0" w:line="480" w:lineRule="auto"/>
        <w:rPr>
          <w:szCs w:val="24"/>
        </w:rPr>
      </w:pPr>
      <w:r w:rsidRPr="00890723">
        <w:rPr>
          <w:szCs w:val="24"/>
        </w:rPr>
        <w:t>The production of N</w:t>
      </w:r>
      <w:r w:rsidRPr="00890723">
        <w:rPr>
          <w:szCs w:val="24"/>
          <w:vertAlign w:val="subscript"/>
        </w:rPr>
        <w:t>2</w:t>
      </w:r>
      <w:r w:rsidRPr="00890723">
        <w:rPr>
          <w:szCs w:val="24"/>
        </w:rPr>
        <w:t xml:space="preserve">O in soils is predominately mediated by microbiological redox processes </w:t>
      </w:r>
      <w:r w:rsidRPr="00890723">
        <w:rPr>
          <w:szCs w:val="24"/>
        </w:rPr>
        <w:fldChar w:fldCharType="begin"/>
      </w:r>
      <w:r w:rsidR="003C7682">
        <w:rPr>
          <w:szCs w:val="24"/>
        </w:rPr>
        <w:instrText xml:space="preserve"> ADDIN ZOTERO_ITEM CSL_CITATION {"citationID":"b9msn7Sv","properties":{"formattedCitation":"(E. Baggs &amp; Philippot, 2010)","plainCitation":"(E. Baggs &amp; Philippot, 2010)","noteIndex":0},"citationItems":[{"id":3333,"uris":["http://zotero.org/groups/5631027/items/AJZTHI6Q"],"itemData":{"id":3333,"type":"chapter","abstract":"Terrestrial systems are major sources of atmospheric N2O, which accounts for about 6 per cent of the current greenhouse effect (IPCC, 2007). Production of N2O in soil is predominantly biological, with bacteria possessing N2O-genic enzymes, whilst the involvement of archaea or fungi is currently uncertain. Here we explore the biogeochemical pathways in which these microbes can produce and reduce N2O, consider the approaches available for determining the predominant N2O-producing process under certain conditions, highlight any current uncertainties in microbial sources of N2O to direct future research, and examine how understanding the N2O source can aid us in managing terrestrial systems to lower emissions of this greenhouse gas.","container-title":"Nitrous Oxide and Climate Change","ISBN":"978-1-84977-511-3","note":"number-of-pages: 32","publisher":"Routledge","title":"Microbial Terrestrial Pathways to Nitrous Oxide","author":[{"family":"Baggs","given":"Elizabeth"},{"family":"Philippot","given":"Laurent"}],"issued":{"date-parts":[["2010"]]}}}],"schema":"https://github.com/citation-style-language/schema/raw/master/csl-citation.json"} </w:instrText>
      </w:r>
      <w:r w:rsidRPr="00890723">
        <w:rPr>
          <w:szCs w:val="24"/>
        </w:rPr>
        <w:fldChar w:fldCharType="separate"/>
      </w:r>
      <w:r w:rsidR="005F68B9" w:rsidRPr="005F68B9">
        <w:rPr>
          <w:rFonts w:cs="Times New Roman"/>
        </w:rPr>
        <w:t>(E. Baggs &amp; Philippot, 2010)</w:t>
      </w:r>
      <w:r w:rsidRPr="00890723">
        <w:rPr>
          <w:szCs w:val="24"/>
        </w:rPr>
        <w:fldChar w:fldCharType="end"/>
      </w:r>
      <w:r w:rsidRPr="00890723">
        <w:rPr>
          <w:szCs w:val="24"/>
        </w:rPr>
        <w:t>. Diverse microbial communities use and transform various nitrogen species as electron donors or acceptors as part of their metabolism, potentially resulting in gaseous N</w:t>
      </w:r>
      <w:r w:rsidRPr="00890723">
        <w:rPr>
          <w:szCs w:val="24"/>
          <w:vertAlign w:val="subscript"/>
        </w:rPr>
        <w:t>2</w:t>
      </w:r>
      <w:r w:rsidRPr="00890723">
        <w:rPr>
          <w:szCs w:val="24"/>
        </w:rPr>
        <w:t xml:space="preserve">O which may diffuse out of the soil system and accumulate in the atmosphere. Two </w:t>
      </w:r>
      <w:r>
        <w:rPr>
          <w:szCs w:val="24"/>
        </w:rPr>
        <w:t xml:space="preserve">microbial </w:t>
      </w:r>
      <w:r w:rsidRPr="00890723">
        <w:rPr>
          <w:szCs w:val="24"/>
        </w:rPr>
        <w:t>processes- nitrification, denitrification- are primarily responsible for soil N</w:t>
      </w:r>
      <w:r w:rsidRPr="00890723">
        <w:rPr>
          <w:szCs w:val="24"/>
          <w:vertAlign w:val="subscript"/>
        </w:rPr>
        <w:t>2</w:t>
      </w:r>
      <w:r w:rsidRPr="00890723">
        <w:rPr>
          <w:szCs w:val="24"/>
        </w:rPr>
        <w:t>O production, contributing an estimated 70% of global emissions N</w:t>
      </w:r>
      <w:r w:rsidRPr="00890723">
        <w:rPr>
          <w:szCs w:val="24"/>
          <w:vertAlign w:val="subscript"/>
        </w:rPr>
        <w:t>2</w:t>
      </w:r>
      <w:r w:rsidRPr="00890723">
        <w:rPr>
          <w:szCs w:val="24"/>
        </w:rPr>
        <w:t xml:space="preserve">O </w:t>
      </w:r>
      <w:r w:rsidRPr="00890723">
        <w:rPr>
          <w:szCs w:val="24"/>
        </w:rPr>
        <w:fldChar w:fldCharType="begin"/>
      </w:r>
      <w:r w:rsidR="00950694">
        <w:rPr>
          <w:szCs w:val="24"/>
        </w:rPr>
        <w:instrText xml:space="preserve"> ADDIN ZOTERO_ITEM CSL_CITATION {"citationID":"SW8VIh2V","properties":{"formattedCitation":"(Butterbach-Bahl et al., 2013; Firestone &amp; Davidson, 1989; Heil et al., 2015; Smith, 2017)","plainCitation":"(Butterbach-Bahl et al., 2013; Firestone &amp; Davidson, 1989; Heil et al., 2015; Smith, 2017)","noteIndex":0},"citationItems":[{"id":1313,"uris":["http://zotero.org/groups/4573874/items/5DUZFISM"],"itemData":{"id":1313,"type":"article-journal","abstract":"Although it is well established that soils are the dominating source for atmospheric nitrous oxide (N2O), we are still struggling to fully understand the complexity of the underlying microbial production and consumption processes and the links to biotic (e.g. inter- and intraspecies competition, food webs, plant–microbe interaction) and abiotic (e.g. soil climate, physics and chemistry) factors. Recent work shows that a better understanding of the composition and diversity of the microbial community across a variety of soils in different climates and under different land use, as well as plant–microbe interactions in the rhizosphere, may provide a key to better understand the variability of N2O fluxes at the soil–atmosphere interface. Moreover, recent insights into the regulation of the reduction of N2O to dinitrogen (N2) have increased our understanding of N2O exchange. This improved process understanding, building on the increased use of isotope tracing techniques and metagenomics, needs to go along with improvements in measurement techniques for N2O (and N2) emission in order to obtain robust field and laboratory datasets for different ecosystem types. Advances in both fields are currently used to improve process descriptions in biogeochemical models, which may eventually be used not only to test our current process understanding from the microsite to the field level, but also used as tools for up-scaling emissions to landscapes and regions and to explore feedbacks of soil N2O emissions to changes in environmental conditions, land management and land use.","container-title":"Philosophical Transactions of the Royal Society B: Biological Sciences","DOI":"10.1098/rstb.2013.0122","issue":"1621","note":"publisher: Royal Society","page":"20130122","source":"royalsocietypublishing.org (Atypon)","title":"Nitrous oxide emissions from soils: how well do we understand the processes and their controls?","title-short":"Nitrous oxide emissions from soils","volume":"368","author":[{"family":"Butterbach-Bahl","given":"Klaus"},{"family":"Baggs","given":"Elizabeth M."},{"family":"Dannenmann","given":"Michael"},{"family":"Kiese","given":"Ralf"},{"family":"Zechmeister-Boltenstern","given":"Sophie"}],"issued":{"date-parts":[["2013",7,5]]}}},{"id":1468,"uris":["http://zotero.org/groups/4573874/items/Z92D8J7N"],"itemData":{"id":1468,"type":"article-journal","container-title":"Exchange of trace gases between terrestrial ecosystems and the atmosphere","journalAbbreviation":"Exchange of trace gases between terrestrial ecosystems and the atmosphere","note":"publisher: Wiley New York","page":"7-21","title":"Microbiological basis of NO and N2O production and consumption in soil","volume":"47","author":[{"family":"Firestone","given":"Mary K"},{"family":"Davidson","given":"Eric A"}],"issued":{"date-parts":[["1989"]]}}},{"id":2153,"uris":["http://zotero.org/groups/5631027/items/R6PNKQQA"],"itemData":{"id":2153,"type":"article-journal","abstract":"Despite the fact that microbial nitrification and denitrification are considered the major soil N2O emission sources, especially from agricultural soils, several abiotic reactions involving the nitrification intermediate hydroxylamine (NH2OH) have been identified leading to N2O emissions, but are being neglected in most current studies. Here, we studied N2O formation from NH2OH in cropland, grassland, and forest soils in laboratory incubation experiments. Incubations were conducted with and without the addition of NH2OH to non-sterile and sterile soil samples. N2O evolution was quantified with gas chromatography and further analyzed with online laser absorption spectroscopy. Additionally, the isotopic signature of the produced N2O (δ15N, δ18O, and 15N site preference) was analyzed with isotope ratio mass spectrometry. While the forest soil samples showed hardly any N2O evolution upon the addition of NH2OH, immediate and very large formation of N2O was observed in the cropland soil, also in sterilized samples. Correlation analysis revealed soil parameters that might explain the variability of NH2OH-induced N2O production to be: soil pH, C/N ratio, and Mn content. Our results suggest a coupled biotic–abiotic production of N2O during nitrification, e.g. due to leakage of the nitrification intermediate NH2OH with subsequent reaction with the soil matrix.","container-title":"Soil Biology and Biochemistry","DOI":"10.1016/j.soilbio.2015.02.022","ISSN":"0038-0717","journalAbbreviation":"Soil Biology and Biochemistry","page":"107-115","source":"ScienceDirect","title":"Abiotic nitrous oxide production from hydroxylamine in soils and their dependence on soil properties","volume":"84","author":[{"family":"Heil","given":"Jannis"},{"family":"Liu","given":"Shurong"},{"family":"Vereecken","given":"Harry"},{"family":"Brüggemann","given":"Nicolas"}],"issued":{"date-parts":[["2015",5,1]]}}},{"id":1923,"uris":["http://zotero.org/groups/5631027/items/L5F4M7F9"],"itemData":{"id":1923,"type":"article-journal","abstract":"Nitrous oxide, N2O, is the third most important of the long-lived greenhouse gases, in terms of its contribution to global warming, and is expected to be the dominant cause of stratospheric ozone depletion this century. The concentration of N2O in the atmosphere was fairly constant until the beginning of the industrial age, but has gone up by 20% since. This is because of increased anthropogenic emissions, of which about 60% come from agricultural soil. The cause is the increased use of synthetic fertilizer nitrogen globally to meet the demands for increased production of food and biofuels. This review examines the isotopic evidence for this role of fertilizer N, the main mechanisms for microbial production of N2O in soil, the key soil physical and other variables that greatly affect the magnitude of emissions, and the spatial and temporal variation in emissions and the associated problems of measurement. The review also considers the methodology devised by the Intergovernmental Panel on Climate Change (IPCC) to enable countries to compile national inventories of their emissions, direct and indirect, that arise from anthropogenic activity related to agriculture and land use. This methodology also enables modellers to make ‘bottom-up’ global estimates of N2O emissions. These estimates agree quite well at the global scale with ‘top-down’ estimates based on the relation between reactive nitrogen newly introduced into agricultural ecosystems and increases in the global atmospheric concentration of N2O, but not with some recent regional-scale emission measurements. The discrepancy may be related to problems of estimating indirect emissions. Top-down estimates indicate that N2O emissions from crop-based biofuels are too great to comply with national and international environmental regulations. Finally, possible future trends in emissions and possible mitigation measures are discussed. Highlights Evidence for increasing N2O in the atmosphere suggests it is caused by fertilizer N use. Agreements and inconsistencies in assessments of N2O emissions are considered. The main cause of increasing N2O is the use of synthetic N fertilizers on agricultural soil worldwide. Indirect emissions from waters receiving leached N may be a major cause of assessment uncertainties.","container-title":"European Journal of Soil Science","DOI":"10.1111/ejss.12409","ISSN":"1365-2389","issue":"2","language":"en","license":"© 2017 British Society of Soil Science","note":"_eprint: https://onlinelibrary.wiley.com/doi/pdf/10.1111/ejss.12409","page":"137-155","source":"Wiley Online Library","title":"Changing views of nitrous oxide emissions from agricultural soil: key controlling processes and assessment at different spatial scales","title-short":"Changing views of nitrous oxide emissions from agricultural soil","volume":"68","author":[{"family":"Smith","given":"K. A."}],"issued":{"date-parts":[["2017"]]}}}],"schema":"https://github.com/citation-style-language/schema/raw/master/csl-citation.json"} </w:instrText>
      </w:r>
      <w:r w:rsidRPr="00890723">
        <w:rPr>
          <w:szCs w:val="24"/>
        </w:rPr>
        <w:fldChar w:fldCharType="separate"/>
      </w:r>
      <w:r w:rsidR="00950694" w:rsidRPr="00950694">
        <w:rPr>
          <w:rFonts w:cs="Times New Roman"/>
        </w:rPr>
        <w:t>(Butterbach-Bahl et al., 2013; Firestone &amp; Davidson, 1989; Heil et al., 2015; Smith, 2017)</w:t>
      </w:r>
      <w:r w:rsidRPr="00890723">
        <w:rPr>
          <w:szCs w:val="24"/>
        </w:rPr>
        <w:fldChar w:fldCharType="end"/>
      </w:r>
      <w:r w:rsidRPr="00890723">
        <w:rPr>
          <w:szCs w:val="24"/>
        </w:rPr>
        <w:t>. However, within these two broad categories exists complexity, including intersecting and contrasting subprocesses, requiring deeper investigation to understand precisely how environmental conditions drive N</w:t>
      </w:r>
      <w:r w:rsidRPr="00890723">
        <w:rPr>
          <w:szCs w:val="24"/>
          <w:vertAlign w:val="subscript"/>
        </w:rPr>
        <w:t>2</w:t>
      </w:r>
      <w:r w:rsidRPr="00890723">
        <w:rPr>
          <w:szCs w:val="24"/>
        </w:rPr>
        <w:t xml:space="preserve">O emissions through these mechanisms. Additionally, these processes are affected by substrate availability and environmental conditions which </w:t>
      </w:r>
      <w:r>
        <w:rPr>
          <w:szCs w:val="24"/>
        </w:rPr>
        <w:t xml:space="preserve">are further influenced by management practices </w:t>
      </w:r>
      <w:r>
        <w:rPr>
          <w:szCs w:val="24"/>
        </w:rPr>
        <w:lastRenderedPageBreak/>
        <w:t xml:space="preserve">to </w:t>
      </w:r>
      <w:r w:rsidRPr="00890723">
        <w:rPr>
          <w:szCs w:val="24"/>
        </w:rPr>
        <w:t xml:space="preserve">dictate metabolic activity of soil microbes, especially soil oxygen, temperature, carbon availability, and pH </w:t>
      </w:r>
      <w:r w:rsidRPr="00890723">
        <w:rPr>
          <w:szCs w:val="24"/>
        </w:rPr>
        <w:fldChar w:fldCharType="begin"/>
      </w:r>
      <w:r w:rsidR="00950694">
        <w:rPr>
          <w:szCs w:val="24"/>
        </w:rPr>
        <w:instrText xml:space="preserve"> ADDIN ZOTERO_ITEM CSL_CITATION {"citationID":"muCo3Zhp","properties":{"formattedCitation":"(Butterbach-Bahl et al., 2013; Norton &amp; Ouyang, 2019; Wallenstein et al., 2006)","plainCitation":"(Butterbach-Bahl et al., 2013; Norton &amp; Ouyang, 2019; Wallenstein et al., 2006)","noteIndex":0},"citationItems":[{"id":1313,"uris":["http://zotero.org/groups/4573874/items/5DUZFISM"],"itemData":{"id":1313,"type":"article-journal","abstract":"Although it is well established that soils are the dominating source for atmospheric nitrous oxide (N2O), we are still struggling to fully understand the complexity of the underlying microbial production and consumption processes and the links to biotic (e.g. inter- and intraspecies competition, food webs, plant–microbe interaction) and abiotic (e.g. soil climate, physics and chemistry) factors. Recent work shows that a better understanding of the composition and diversity of the microbial community across a variety of soils in different climates and under different land use, as well as plant–microbe interactions in the rhizosphere, may provide a key to better understand the variability of N2O fluxes at the soil–atmosphere interface. Moreover, recent insights into the regulation of the reduction of N2O to dinitrogen (N2) have increased our understanding of N2O exchange. This improved process understanding, building on the increased use of isotope tracing techniques and metagenomics, needs to go along with improvements in measurement techniques for N2O (and N2) emission in order to obtain robust field and laboratory datasets for different ecosystem types. Advances in both fields are currently used to improve process descriptions in biogeochemical models, which may eventually be used not only to test our current process understanding from the microsite to the field level, but also used as tools for up-scaling emissions to landscapes and regions and to explore feedbacks of soil N2O emissions to changes in environmental conditions, land management and land use.","container-title":"Philosophical Transactions of the Royal Society B: Biological Sciences","DOI":"10.1098/rstb.2013.0122","issue":"1621","note":"publisher: Royal Society","page":"20130122","source":"royalsocietypublishing.org (Atypon)","title":"Nitrous oxide emissions from soils: how well do we understand the processes and their controls?","title-short":"Nitrous oxide emissions from soils","volume":"368","author":[{"family":"Butterbach-Bahl","given":"Klaus"},{"family":"Baggs","given":"Elizabeth M."},{"family":"Dannenmann","given":"Michael"},{"family":"Kiese","given":"Ralf"},{"family":"Zechmeister-Boltenstern","given":"Sophie"}],"issued":{"date-parts":[["2013",7,5]]}}},{"id":3412,"uris":["http://zotero.org/groups/5631027/items/CZD3F8QC"],"itemData":{"id":3412,"type":"article-journal","abstract":"Agriculture is responsible for over half of the input of reactive nitrogen (N) to terrestrial systems; however improving N availability remains the primary management technique to increase crop yields in most regions. In the majority of agricultural soils, ammonium is rapidly converted to nitrate by nitrification, which increases the mobility of N through the soil matrix, strongly influencing N retention in the system. Decreasing nitrification through management is desirable to decrease N losses and increase N fertilizer use efficiency. We review the controlling factors on the rate and extent of nitrification in agricultural soils from temperate regions including substrate supply, environmental conditions, abundance and diversity of nitrifiers and plant and microbial interactions with nitrifiers. Approaches to the management of nitrification include those that control ammonium substrate availability and those that inhibit nitrifiers directly. Strategies for controlling ammonium substrate availability include timing of fertilization to coincide with rapid plant update, formulation of fertilizers for slow release or with inhibitors, keeping plant growing continuously to assimilate N, and intensify internal N cycling (immobilization). Another effective strategy is to inhibit nitrifiers directly with either synthetic or biological nitrification inhibitors. Commercial nitrification inhibitors are effective but their use is complicated by a changing climate and by organic management requirements. The interactions of the nitrifying organisms with plants or microbes producing biological nitrification inhibitors is a promising approach but just beginning to be critically examined. Climate smart agriculture will need to carefully consider optimized seasonal timing for these strategies to remain effective management tools.","container-title":"Frontiers in Microbiology","DOI":"10.3389/fmicb.2019.01931","ISSN":"1664-302X","journalAbbreviation":"Front. Microbiol.","language":"English","note":"publisher: Frontiers","source":"Frontiers","title":"Controls and Adaptive Management of Nitrification in Agricultural Soils","URL":"https://www.frontiersin.org/journals/microbiology/articles/10.3389/fmicb.2019.01931/full","volume":"10","author":[{"family":"Norton","given":"Jeanette"},{"family":"Ouyang","given":"Yang"}],"accessed":{"date-parts":[["2025",5,30]]},"issued":{"date-parts":[["2019",8,30]]}}},{"id":1510,"uris":["http://zotero.org/groups/4573874/items/WUTC27X4"],"itemData":{"id":1510,"type":"article-journal","abstract":"The advent of molecular techniques has improved our understanding of the microbial communities responsible for denitrification and is beginning to address their role in controlling denitrification processes. There is a large diversity of bacteria, archaea, and fungi capable of denitrification, and their community composition is structured by long-term environmental drivers. The range of temperature and moisture conditions, substrate availability, competition, and disturbances have long-lasting legacies on denitrifier community structure. These communities may differ in physiology, environmental tolerances to pH and O2, growth rate, and enzyme kinetics. Although factors such as O2, pH, C availability, and NO3− pools affect instantaneous rates, these drivers act through the biotic community. This review summarizes the results of molecular investigations of denitrifier communities in natural environments and provides a framework for developing future research for addressing connections between denitrifier community structure and function.","container-title":"Ecological Applications","DOI":"10.1890/1051-0761(2006)016[2143:ECODCA]2.0.CO;2","ISSN":"1939-5582","issue":"6","language":"en","license":"© 2006 by the Ecological Society of America","note":"_eprint: https://onlinelibrary.wiley.com/doi/pdf/10.1890/1051-0761%282006%29016%5B2143%3AECODCA%5D2.0.CO%3B2","page":"2143-2152","source":"Wiley Online Library","title":"Environmental Controls on Denitrifying Communities and Denitrification Rates: Insights from Molecular Methods","title-short":"Environmental Controls on Denitrifying Communities and Denitrification Rates","volume":"16","author":[{"family":"Wallenstein","given":"Matthew D."},{"family":"Myrold","given":"David D."},{"family":"Firestone","given":"Mary"},{"family":"Voytek","given":"Mary"}],"issued":{"date-parts":[["2006"]]}}}],"schema":"https://github.com/citation-style-language/schema/raw/master/csl-citation.json"} </w:instrText>
      </w:r>
      <w:r w:rsidRPr="00890723">
        <w:rPr>
          <w:szCs w:val="24"/>
        </w:rPr>
        <w:fldChar w:fldCharType="separate"/>
      </w:r>
      <w:r w:rsidR="00950694" w:rsidRPr="00950694">
        <w:rPr>
          <w:rFonts w:cs="Times New Roman"/>
        </w:rPr>
        <w:t>(Butterbach-Bahl et al., 2013; Norton &amp; Ouyang, 2019; Wallenstein et al., 2006)</w:t>
      </w:r>
      <w:r w:rsidRPr="00890723">
        <w:rPr>
          <w:szCs w:val="24"/>
        </w:rPr>
        <w:fldChar w:fldCharType="end"/>
      </w:r>
      <w:r w:rsidRPr="00890723">
        <w:rPr>
          <w:szCs w:val="24"/>
        </w:rPr>
        <w:t>. Thus, to understand agricultural N</w:t>
      </w:r>
      <w:r w:rsidRPr="00890723">
        <w:rPr>
          <w:szCs w:val="24"/>
          <w:vertAlign w:val="subscript"/>
        </w:rPr>
        <w:t>2</w:t>
      </w:r>
      <w:r w:rsidRPr="00890723">
        <w:rPr>
          <w:szCs w:val="24"/>
        </w:rPr>
        <w:t>O emissions and potential pathways to mitigation, it is essential to comprehend these specific biogeochemical processes and their controls.</w:t>
      </w:r>
    </w:p>
    <w:p w14:paraId="1044D278" w14:textId="19B780D4" w:rsidR="00032567" w:rsidRPr="00890723" w:rsidRDefault="00032567" w:rsidP="001B567A">
      <w:pPr>
        <w:spacing w:after="0" w:line="480" w:lineRule="auto"/>
        <w:rPr>
          <w:szCs w:val="24"/>
        </w:rPr>
      </w:pPr>
      <w:r w:rsidRPr="00890723">
        <w:rPr>
          <w:szCs w:val="24"/>
        </w:rPr>
        <w:t>Nitrification is an oxidation reaction performed by both heterotrophic and autotrophic microorganisms, and has traditionally been understood as the sequential oxidation of organic nitrogen (in the case of heterotrophic nitrification) into ammonia (NH</w:t>
      </w:r>
      <w:r w:rsidRPr="00890723">
        <w:rPr>
          <w:szCs w:val="24"/>
          <w:vertAlign w:val="subscript"/>
        </w:rPr>
        <w:t>3</w:t>
      </w:r>
      <w:r w:rsidRPr="00890723">
        <w:rPr>
          <w:szCs w:val="24"/>
        </w:rPr>
        <w:t>) and ammonium (NH</w:t>
      </w:r>
      <w:r w:rsidRPr="00890723">
        <w:rPr>
          <w:szCs w:val="24"/>
          <w:vertAlign w:val="subscript"/>
        </w:rPr>
        <w:t>4</w:t>
      </w:r>
      <w:r w:rsidRPr="00890723">
        <w:rPr>
          <w:szCs w:val="24"/>
          <w:vertAlign w:val="superscript"/>
        </w:rPr>
        <w:t>+</w:t>
      </w:r>
      <w:r w:rsidRPr="00890723">
        <w:rPr>
          <w:szCs w:val="24"/>
        </w:rPr>
        <w:t>), hydroxylamine (NH</w:t>
      </w:r>
      <w:r w:rsidRPr="00890723">
        <w:rPr>
          <w:szCs w:val="24"/>
          <w:vertAlign w:val="subscript"/>
        </w:rPr>
        <w:t>2</w:t>
      </w:r>
      <w:r w:rsidRPr="00890723">
        <w:rPr>
          <w:szCs w:val="24"/>
        </w:rPr>
        <w:t>OH), nitrite (NO</w:t>
      </w:r>
      <w:r w:rsidRPr="00890723">
        <w:rPr>
          <w:szCs w:val="24"/>
          <w:vertAlign w:val="subscript"/>
        </w:rPr>
        <w:t>2</w:t>
      </w:r>
      <w:r w:rsidRPr="00890723">
        <w:rPr>
          <w:szCs w:val="24"/>
          <w:vertAlign w:val="superscript"/>
        </w:rPr>
        <w:t>-</w:t>
      </w:r>
      <w:r w:rsidRPr="00890723">
        <w:rPr>
          <w:szCs w:val="24"/>
        </w:rPr>
        <w:t>), and finally nitrate (NO</w:t>
      </w:r>
      <w:r w:rsidRPr="00890723">
        <w:rPr>
          <w:szCs w:val="24"/>
          <w:vertAlign w:val="subscript"/>
        </w:rPr>
        <w:t>3</w:t>
      </w:r>
      <w:r w:rsidRPr="00890723">
        <w:rPr>
          <w:szCs w:val="24"/>
          <w:vertAlign w:val="superscript"/>
        </w:rPr>
        <w:t>-</w:t>
      </w:r>
      <w:r w:rsidRPr="00890723">
        <w:rPr>
          <w:szCs w:val="24"/>
        </w:rPr>
        <w:t xml:space="preserve">) </w:t>
      </w:r>
      <w:r w:rsidRPr="00890723">
        <w:rPr>
          <w:szCs w:val="24"/>
        </w:rPr>
        <w:fldChar w:fldCharType="begin"/>
      </w:r>
      <w:r w:rsidR="00950694">
        <w:rPr>
          <w:szCs w:val="24"/>
        </w:rPr>
        <w:instrText xml:space="preserve"> ADDIN ZOTERO_ITEM CSL_CITATION {"citationID":"bf78jLEx","properties":{"formattedCitation":"(Butterbach-Bahl et al., 2013)","plainCitation":"(Butterbach-Bahl et al., 2013)","noteIndex":0},"citationItems":[{"id":1313,"uris":["http://zotero.org/groups/4573874/items/5DUZFISM"],"itemData":{"id":1313,"type":"article-journal","abstract":"Although it is well established that soils are the dominating source for atmospheric nitrous oxide (N2O), we are still struggling to fully understand the complexity of the underlying microbial production and consumption processes and the links to biotic (e.g. inter- and intraspecies competition, food webs, plant–microbe interaction) and abiotic (e.g. soil climate, physics and chemistry) factors. Recent work shows that a better understanding of the composition and diversity of the microbial community across a variety of soils in different climates and under different land use, as well as plant–microbe interactions in the rhizosphere, may provide a key to better understand the variability of N2O fluxes at the soil–atmosphere interface. Moreover, recent insights into the regulation of the reduction of N2O to dinitrogen (N2) have increased our understanding of N2O exchange. This improved process understanding, building on the increased use of isotope tracing techniques and metagenomics, needs to go along with improvements in measurement techniques for N2O (and N2) emission in order to obtain robust field and laboratory datasets for different ecosystem types. Advances in both fields are currently used to improve process descriptions in biogeochemical models, which may eventually be used not only to test our current process understanding from the microsite to the field level, but also used as tools for up-scaling emissions to landscapes and regions and to explore feedbacks of soil N2O emissions to changes in environmental conditions, land management and land use.","container-title":"Philosophical Transactions of the Royal Society B: Biological Sciences","DOI":"10.1098/rstb.2013.0122","issue":"1621","note":"publisher: Royal Society","page":"20130122","source":"royalsocietypublishing.org (Atypon)","title":"Nitrous oxide emissions from soils: how well do we understand the processes and their controls?","title-short":"Nitrous oxide emissions from soils","volume":"368","author":[{"family":"Butterbach-Bahl","given":"Klaus"},{"family":"Baggs","given":"Elizabeth M."},{"family":"Dannenmann","given":"Michael"},{"family":"Kiese","given":"Ralf"},{"family":"Zechmeister-Boltenstern","given":"Sophie"}],"issued":{"date-parts":[["2013",7,5]]}}}],"schema":"https://github.com/citation-style-language/schema/raw/master/csl-citation.json"} </w:instrText>
      </w:r>
      <w:r w:rsidRPr="00890723">
        <w:rPr>
          <w:szCs w:val="24"/>
        </w:rPr>
        <w:fldChar w:fldCharType="separate"/>
      </w:r>
      <w:r w:rsidR="00950694" w:rsidRPr="00950694">
        <w:rPr>
          <w:rFonts w:cs="Times New Roman"/>
        </w:rPr>
        <w:t>(Butterbach-Bahl et al., 2013)</w:t>
      </w:r>
      <w:r w:rsidRPr="00890723">
        <w:rPr>
          <w:szCs w:val="24"/>
        </w:rPr>
        <w:fldChar w:fldCharType="end"/>
      </w:r>
      <w:r w:rsidRPr="00890723">
        <w:rPr>
          <w:szCs w:val="24"/>
        </w:rPr>
        <w:t>. However, there is some variation in literature in which specific N</w:t>
      </w:r>
      <w:r w:rsidRPr="00890723">
        <w:rPr>
          <w:szCs w:val="24"/>
          <w:vertAlign w:val="subscript"/>
        </w:rPr>
        <w:t>2</w:t>
      </w:r>
      <w:r w:rsidRPr="00890723">
        <w:rPr>
          <w:szCs w:val="24"/>
        </w:rPr>
        <w:t>O producing pathways (biotic and abiotic) are grouped under the umbrella of nitrification. Understanding the drivers of N</w:t>
      </w:r>
      <w:r w:rsidRPr="00890723">
        <w:rPr>
          <w:szCs w:val="24"/>
          <w:vertAlign w:val="subscript"/>
        </w:rPr>
        <w:t>2</w:t>
      </w:r>
      <w:r w:rsidRPr="00890723">
        <w:rPr>
          <w:szCs w:val="24"/>
        </w:rPr>
        <w:t xml:space="preserve">O production via nitrification therefore requires considering the controls of both its biotic and abiotic components. </w:t>
      </w:r>
    </w:p>
    <w:p w14:paraId="3B4AF39A" w14:textId="14CD166D" w:rsidR="00032567" w:rsidRPr="00890723" w:rsidRDefault="00032567" w:rsidP="001B567A">
      <w:pPr>
        <w:spacing w:after="0" w:line="480" w:lineRule="auto"/>
        <w:rPr>
          <w:szCs w:val="24"/>
        </w:rPr>
      </w:pPr>
      <w:r w:rsidRPr="00890723">
        <w:rPr>
          <w:szCs w:val="24"/>
        </w:rPr>
        <w:t>Two pathways of N</w:t>
      </w:r>
      <w:r w:rsidRPr="00890723">
        <w:rPr>
          <w:szCs w:val="24"/>
          <w:vertAlign w:val="subscript"/>
        </w:rPr>
        <w:t>2</w:t>
      </w:r>
      <w:r w:rsidRPr="00890723">
        <w:rPr>
          <w:szCs w:val="24"/>
        </w:rPr>
        <w:t>O production are linked to the product hydroxylamine. First, the oxidation of hydroxylamine by some microbes can result in the production of N</w:t>
      </w:r>
      <w:r w:rsidRPr="00890723">
        <w:rPr>
          <w:szCs w:val="24"/>
          <w:vertAlign w:val="subscript"/>
        </w:rPr>
        <w:t>2</w:t>
      </w:r>
      <w:r w:rsidRPr="00890723">
        <w:rPr>
          <w:szCs w:val="24"/>
        </w:rPr>
        <w:t xml:space="preserve">O as a byproduct. Contrary to the accepted model of nitrification in prior years, recent evidence has shown that ammonia oxidizing bacteria (AOB) oxidize hydroxylamine to nitric oxide (NO), which in turn is abiotically oxidized to nitrite by oxygen </w:t>
      </w:r>
      <w:r w:rsidRPr="00890723">
        <w:rPr>
          <w:szCs w:val="24"/>
        </w:rPr>
        <w:fldChar w:fldCharType="begin"/>
      </w:r>
      <w:r w:rsidR="003C7682">
        <w:rPr>
          <w:szCs w:val="24"/>
        </w:rPr>
        <w:instrText xml:space="preserve"> ADDIN ZOTERO_ITEM CSL_CITATION {"citationID":"G5kjzCQ0","properties":{"formattedCitation":"(Caranto &amp; Lancaster, 2017)","plainCitation":"(Caranto &amp; Lancaster, 2017)","noteIndex":0},"citationItems":[{"id":3380,"uris":["http://zotero.org/groups/5631027/items/LADU32K8"],"itemData":{"id":3380,"type":"article-journal","abstract":"Ammonia (NH3)-oxidizing bacteria (AOB) emit substantial amounts of nitric oxide (NO) and nitrous oxide (N2O), both of which contribute to the harmful environmental side effects of large-scale agriculture. The currently accepted model for AOB metabolism involves NH3 oxidation to nitrite (NO2–) via a single obligate intermediate, hydroxylamine (NH2OH). Within this model, the multiheme enzyme hydroxylamine oxidoreductase (HAO) catalyzes the four-electron oxidation of NH2OH to NO2–. We provide evidence that HAO oxidizes NH2OH by only three electrons to NO under both anaerobic and aerobic conditions. NO2– observed in HAO activity assays is a nonenzymatic product resulting from the oxidation of NO by O2 under aerobic conditions. Our present study implies that aerobic NH3 oxidation by AOB occurs via two obligate intermediates, NH2OH and NO, necessitating a mediator of the third enzymatic step.","container-title":"Proceedings of the National Academy of Sciences","DOI":"10.1073/pnas.1704504114","issue":"31","note":"publisher: Proceedings of the National Academy of Sciences","page":"8217-8222","source":"pnas.org (Atypon)","title":"Nitric oxide is an obligate bacterial nitrification intermediate produced by hydroxylamine oxidoreductase","volume":"114","author":[{"family":"Caranto","given":"Jonathan D."},{"family":"Lancaster","given":"Kyle M."}],"issued":{"date-parts":[["2017",8]]}}}],"schema":"https://github.com/citation-style-language/schema/raw/master/csl-citation.json"} </w:instrText>
      </w:r>
      <w:r w:rsidRPr="00890723">
        <w:rPr>
          <w:szCs w:val="24"/>
        </w:rPr>
        <w:fldChar w:fldCharType="separate"/>
      </w:r>
      <w:r w:rsidRPr="00890723">
        <w:rPr>
          <w:rFonts w:cs="Times New Roman"/>
          <w:szCs w:val="24"/>
        </w:rPr>
        <w:t>(Caranto &amp; Lancaster, 2017)</w:t>
      </w:r>
      <w:r w:rsidRPr="00890723">
        <w:rPr>
          <w:szCs w:val="24"/>
        </w:rPr>
        <w:fldChar w:fldCharType="end"/>
      </w:r>
      <w:r w:rsidRPr="00890723">
        <w:rPr>
          <w:szCs w:val="24"/>
        </w:rPr>
        <w:t>. At relatively high rates of hydroxylamine oxidation or relatively low rates of oxygen, the accumulation of NO results in biotic nitrite reduction to N</w:t>
      </w:r>
      <w:r w:rsidRPr="00890723">
        <w:rPr>
          <w:szCs w:val="24"/>
          <w:vertAlign w:val="subscript"/>
        </w:rPr>
        <w:t>2</w:t>
      </w:r>
      <w:r w:rsidRPr="00890723">
        <w:rPr>
          <w:szCs w:val="24"/>
        </w:rPr>
        <w:t xml:space="preserve">O as a byproduct </w:t>
      </w:r>
      <w:r w:rsidRPr="00890723">
        <w:rPr>
          <w:szCs w:val="24"/>
        </w:rPr>
        <w:fldChar w:fldCharType="begin"/>
      </w:r>
      <w:r w:rsidR="003C7682">
        <w:rPr>
          <w:szCs w:val="24"/>
        </w:rPr>
        <w:instrText xml:space="preserve"> ADDIN ZOTERO_ITEM CSL_CITATION {"citationID":"YsgEE6vx","properties":{"formattedCitation":"(Caranto &amp; Lancaster, 2017; Hu et al., 2015; Schreiber et al., 2012)","plainCitation":"(Caranto &amp; Lancaster, 2017; Hu et al., 2015; Schreiber et al., 2012)","noteIndex":0},"citationItems":[{"id":3380,"uris":["http://zotero.org/groups/5631027/items/LADU32K8"],"itemData":{"id":3380,"type":"article-journal","abstract":"Ammonia (NH3)-oxidizing bacteria (AOB) emit substantial amounts of nitric oxide (NO) and nitrous oxide (N2O), both of which contribute to the harmful environmental side effects of large-scale agriculture. The currently accepted model for AOB metabolism involves NH3 oxidation to nitrite (NO2–) via a single obligate intermediate, hydroxylamine (NH2OH). Within this model, the multiheme enzyme hydroxylamine oxidoreductase (HAO) catalyzes the four-electron oxidation of NH2OH to NO2–. We provide evidence that HAO oxidizes NH2OH by only three electrons to NO under both anaerobic and aerobic conditions. NO2– observed in HAO activity assays is a nonenzymatic product resulting from the oxidation of NO by O2 under aerobic conditions. Our present study implies that aerobic NH3 oxidation by AOB occurs via two obligate intermediates, NH2OH and NO, necessitating a mediator of the third enzymatic step.","container-title":"Proceedings of the National Academy of Sciences","DOI":"10.1073/pnas.1704504114","issue":"31","note":"publisher: Proceedings of the National Academy of Sciences","page":"8217-8222","source":"pnas.org (Atypon)","title":"Nitric oxide is an obligate bacterial nitrification intermediate produced by hydroxylamine oxidoreductase","volume":"114","author":[{"family":"Caranto","given":"Jonathan D."},{"family":"Lancaster","given":"Kyle M."}],"issued":{"date-parts":[["2017",8]]}}},{"id":3327,"uris":["http://zotero.org/groups/5631027/items/DSFJI6LY"],"itemData":{"id":3327,"type":"article-journal","abstract":"The continuous increase of the greenhouse gas nitrous oxide (N2O) in the atmosphere due to increasing anthropogenic nitrogen input in agriculture has become a global concern. In recent years, identification of the microbial assemblages responsible for soil N2O production has substantially advanced with the development of molecular technologies and the discoveries of novel functional guilds and new types of metabolism. However, few practical tools are available to effectively reduce in situ soil N2O flux. Combating the negative impacts of increasing N2O fluxes poses considerable challenges and will be ineffective without successfully incorporating microbially regulated N2O processes into ecosystem modeling and mitigation strategies. Here, we synthesize the latest knowledge of (i) the key microbial pathways regulating N2O production and consumption processes in terrestrial ecosystems and the critical environmental factors influencing their occurrence, and (ii) the relative contributions of major biological pathways to soil N2O emissions by analyzing available natural isotopic signatures of N2O and by using stable isotope enrichment and inhibition techniques. We argue that it is urgently necessary to incorporate microbial traits into biogeochemical ecosystem modeling in order to increase the estimation reliability of N2O emissions. We further propose a molecular methodology oriented framework from gene to ecosystem scales for more robust prediction and mitigation of future N2O emissions.","container-title":"FEMS Microbiology Reviews","DOI":"10.1093/femsre/fuv021","ISSN":"0168-6445","issue":"5","journalAbbreviation":"FEMS Microbiology Reviews","page":"729-749","source":"Silverchair","title":"Microbial regulation of terrestrial nitrous oxide formation: understanding the biological pathways for prediction of emission rates","title-short":"Microbial regulation of terrestrial nitrous oxide formation","volume":"39","author":[{"family":"Hu","given":"Hang-Wei"},{"family":"Chen","given":"Deli"},{"family":"He","given":"Ji-Zheng"}],"issued":{"date-parts":[["2015",9,1]]}}},{"id":3353,"uris":["http://zotero.org/groups/5631027/items/METG4M7E"],"itemData":{"id":3353,"type":"article-journal","abstract":"Nitrous oxide (N2O) is an environmentally important atmospheric trace gas because it is an effective greenhouse gas and it leads to ozone depletion through photo-chemical nitric oxide (NO) production in the stratosphere. Mitigating its steady increase in atmospheric concentration requires an understanding of the mechanisms that lead to its formation in natural and engineered microbial communities. N2O is formed biologically from the oxidation of hydroxylamine (NH2OH) or the reduction of nitrite (NO2-) to NO and further to N2O. Our review of the biological pathways for N2O production shows that apparently all organisms and pathways known to be involved in the catabolic branch of microbial N-cycle have the potential to catalyze the reduction of NO2- to NO and the further reduction of NO to N2O, while N2O formation from NH2OH is only performed by ammonia oxidizing bacteria. In addition to biological pathways, we review important chemical reactions that can lead to NO and N2O formation due to the reactivity of NO2-, NH2OH and nitroxyl (HNO). Moreover, biological N2O formation is highly dynamic in response to N-imbalance imposed on a system. Thus, understanding NO formation and capturing the dynamics of NO and N2O build-up are key to understand mechanisms of N2O release. Here, we discuss novel technologies that allow experiments on NO and N2O formation at high temporal resolution, namely NO and N2O microelectrodes and the dynamic analysis of the isotopic signature of N2O with quantum cascade laser based absorption spectroscopy. In addition, we introduce other techniques that use the isotopic composition of N2O to distinguish production pathways and findings that were made with emerging molecular techniques in complex environments. Finally, we discuss how a combination of the presented tools might help to address important open questions on pathways and controls of nitrogen flow through complex microbial communities that eventually lead to N2O build-up.","container-title":"Frontiers in Microbiology","DOI":"10.3389/fmicb.2012.00372","ISSN":"1664-302X","journalAbbreviation":"Front. Microbiol.","language":"English","note":"publisher: Frontiers","source":"Frontiers","title":"Nitric oxide and nitrous oxide turnover in natural and engineered microbial communities: biological pathways, chemical reactions, and novel technologies","title-short":"Nitric oxide and nitrous oxide turnover in natural and engineered microbial communities","URL":"https://www.frontiersin.org/journals/microbiology/articles/10.3389/fmicb.2012.00372/full","volume":"3","author":[{"family":"Schreiber","given":"Frank"},{"family":"Wunderlin","given":"Pascal"},{"family":"Udert","given":"Kai M."},{"family":"Wells","given":"George Fraser"}],"accessed":{"date-parts":[["2025",5,24]]},"issued":{"date-parts":[["2012",10,23]]}}}],"schema":"https://github.com/citation-style-language/schema/raw/master/csl-citation.json"} </w:instrText>
      </w:r>
      <w:r w:rsidRPr="00890723">
        <w:rPr>
          <w:szCs w:val="24"/>
        </w:rPr>
        <w:fldChar w:fldCharType="separate"/>
      </w:r>
      <w:r w:rsidRPr="00890723">
        <w:rPr>
          <w:rFonts w:cs="Times New Roman"/>
          <w:szCs w:val="24"/>
        </w:rPr>
        <w:t>(Caranto &amp; Lancaster, 2017; Hu et al., 2015; Schreiber et al., 2012)</w:t>
      </w:r>
      <w:r w:rsidRPr="00890723">
        <w:rPr>
          <w:szCs w:val="24"/>
        </w:rPr>
        <w:fldChar w:fldCharType="end"/>
      </w:r>
      <w:r w:rsidRPr="00890723">
        <w:rPr>
          <w:szCs w:val="24"/>
        </w:rPr>
        <w:t>. As this pathway is directly related to the overall rate of nitrification, then decreasing soil pH can be said to increase the rate of biotic N</w:t>
      </w:r>
      <w:r w:rsidRPr="00890723">
        <w:rPr>
          <w:szCs w:val="24"/>
          <w:vertAlign w:val="subscript"/>
        </w:rPr>
        <w:t>2</w:t>
      </w:r>
      <w:r w:rsidRPr="00890723">
        <w:rPr>
          <w:szCs w:val="24"/>
        </w:rPr>
        <w:t xml:space="preserve">O production via nitrification </w:t>
      </w:r>
      <w:r w:rsidRPr="00890723">
        <w:rPr>
          <w:szCs w:val="24"/>
        </w:rPr>
        <w:fldChar w:fldCharType="begin"/>
      </w:r>
      <w:r w:rsidR="003C7682">
        <w:rPr>
          <w:szCs w:val="24"/>
        </w:rPr>
        <w:instrText xml:space="preserve"> ADDIN ZOTERO_ITEM CSL_CITATION {"citationID":"UXwab7um","properties":{"formattedCitation":"(Hu et al., 2015)","plainCitation":"(Hu et al., 2015)","noteIndex":0},"citationItems":[{"id":3327,"uris":["http://zotero.org/groups/5631027/items/DSFJI6LY"],"itemData":{"id":3327,"type":"article-journal","abstract":"The continuous increase of the greenhouse gas nitrous oxide (N2O) in the atmosphere due to increasing anthropogenic nitrogen input in agriculture has become a global concern. In recent years, identification of the microbial assemblages responsible for soil N2O production has substantially advanced with the development of molecular technologies and the discoveries of novel functional guilds and new types of metabolism. However, few practical tools are available to effectively reduce in situ soil N2O flux. Combating the negative impacts of increasing N2O fluxes poses considerable challenges and will be ineffective without successfully incorporating microbially regulated N2O processes into ecosystem modeling and mitigation strategies. Here, we synthesize the latest knowledge of (i) the key microbial pathways regulating N2O production and consumption processes in terrestrial ecosystems and the critical environmental factors influencing their occurrence, and (ii) the relative contributions of major biological pathways to soil N2O emissions by analyzing available natural isotopic signatures of N2O and by using stable isotope enrichment and inhibition techniques. We argue that it is urgently necessary to incorporate microbial traits into biogeochemical ecosystem modeling in order to increase the estimation reliability of N2O emissions. We further propose a molecular methodology oriented framework from gene to ecosystem scales for more robust prediction and mitigation of future N2O emissions.","container-title":"FEMS Microbiology Reviews","DOI":"10.1093/femsre/fuv021","ISSN":"0168-6445","issue":"5","journalAbbreviation":"FEMS Microbiology Reviews","page":"729-749","source":"Silverchair","title":"Microbial regulation of terrestrial nitrous oxide formation: understanding the biological pathways for prediction of emission rates","title-short":"Microbial regulation of terrestrial nitrous oxide formation","volume":"39","author":[{"family":"Hu","given":"Hang-Wei"},{"family":"Chen","given":"Deli"},{"family":"He","given":"Ji-Zheng"}],"issued":{"date-parts":[["2015",9,1]]}}}],"schema":"https://github.com/citation-style-language/schema/raw/master/csl-citation.json"} </w:instrText>
      </w:r>
      <w:r w:rsidRPr="00890723">
        <w:rPr>
          <w:szCs w:val="24"/>
        </w:rPr>
        <w:fldChar w:fldCharType="separate"/>
      </w:r>
      <w:r w:rsidRPr="00890723">
        <w:rPr>
          <w:rFonts w:cs="Times New Roman"/>
          <w:szCs w:val="24"/>
        </w:rPr>
        <w:t>(Hu et al., 2015)</w:t>
      </w:r>
      <w:r w:rsidRPr="00890723">
        <w:rPr>
          <w:szCs w:val="24"/>
        </w:rPr>
        <w:fldChar w:fldCharType="end"/>
      </w:r>
      <w:r w:rsidRPr="00890723">
        <w:rPr>
          <w:szCs w:val="24"/>
        </w:rPr>
        <w:t xml:space="preserve">. This pathway is also autotrophic, thus it does not directly depend on soil carbon availability, although some evidence indicates that high carbon availability preferentially favors </w:t>
      </w:r>
      <w:r w:rsidRPr="00890723">
        <w:rPr>
          <w:szCs w:val="24"/>
        </w:rPr>
        <w:lastRenderedPageBreak/>
        <w:t xml:space="preserve">heterotrophic activity </w:t>
      </w:r>
      <w:r w:rsidRPr="00890723">
        <w:rPr>
          <w:szCs w:val="24"/>
        </w:rPr>
        <w:fldChar w:fldCharType="begin"/>
      </w:r>
      <w:r w:rsidR="003C7682">
        <w:rPr>
          <w:szCs w:val="24"/>
        </w:rPr>
        <w:instrText xml:space="preserve"> ADDIN ZOTERO_ITEM CSL_CITATION {"citationID":"m1B67OEY","properties":{"formattedCitation":"(Wrage-M\\uc0\\u246{}nnig et al., 2018)","plainCitation":"(Wrage-Mönnig et al., 2018)","noteIndex":0},"citationItems":[{"id":2047,"uris":["http://zotero.org/groups/5631027/items/HSDATYGF"],"itemData":{"id":2047,"type":"article-journal","abstract":"Nitrifier denitrification is the reduction of nitrite (NO2−) by ammonia-oxidizing bacteria. This process may account for up to 100% of nitrous oxide (N2O) emissions from ammonium (NH4+) in soils and is more significant than classical denitrification under some conditions. Investigations of nitrifier denitrification have expanded in the last decade but many aspects are still not understood. In this review, we revisit our 2001 paper, present a comprehensive summary of current knowledge concerning nitrifier denitrification, and identify the many research needs. Nitrifier denitrification can be distinguished from other routes of N2O production using isotopic methods: either isotopomer techniques or a combination of 15N and 18O tracers. Our understanding of the regulation and conditions favouring nitrifier denitrification has improved over the last decade as a result of adopting molecular and modelling approaches. Environments low in oxygen, and especially those with fluctuating aerobic-anaerobic conditions, promote N2O production by nitrifier denitrification. Also, large NO2− concentrations, which often arise following inputs of ammonium or urea, may be linked to changes in aerobicity and high pH and favour nitrifier denitrification. The effects of temperature and carbon contents on nitrifier denitrification are incompletely understood and future research needs include: the study of pathways similar to nitrifier denitrification in archaea and nitrite oxidizers; the effects of interactions among microorganisms and between microorganism and plants; and the regulation and importance of the enzymes involved. A comparison and evaluation of the methods used for differentiating the sources of N2O is urgently needed. Furthermore, results from studies of freshwater and marine environments as well as wastewater treatment, where nitrifier denitrification is also known as nitrous aerobic denitritation (up to N2O) or aerobic denitritation (up to N2), will further advance our understanding.","container-title":"Soil Biology and Biochemistry","DOI":"10.1016/j.soilbio.2018.03.020","ISSN":"0038-0717","journalAbbreviation":"Soil Biology and Biochemistry","page":"A3-A16","source":"ScienceDirect","title":"The role of nitrifier denitrification in the production of nitrous oxide revisited","volume":"123","author":[{"family":"Wrage-Mönnig","given":"Nicole"},{"family":"Horn","given":"Marcus A."},{"family":"Well","given":"Reinhard"},{"family":"Müller","given":"Christoph"},{"family":"Velthof","given":"Gerard"},{"family":"Oenema","given":"Oene"}],"issued":{"date-parts":[["2018",8,1]]}}}],"schema":"https://github.com/citation-style-language/schema/raw/master/csl-citation.json"} </w:instrText>
      </w:r>
      <w:r w:rsidRPr="00890723">
        <w:rPr>
          <w:szCs w:val="24"/>
        </w:rPr>
        <w:fldChar w:fldCharType="separate"/>
      </w:r>
      <w:r w:rsidRPr="00890723">
        <w:rPr>
          <w:rFonts w:cs="Times New Roman"/>
          <w:kern w:val="0"/>
          <w:szCs w:val="24"/>
        </w:rPr>
        <w:t>(Wrage-Mönnig et al., 2018)</w:t>
      </w:r>
      <w:r w:rsidRPr="00890723">
        <w:rPr>
          <w:szCs w:val="24"/>
        </w:rPr>
        <w:fldChar w:fldCharType="end"/>
      </w:r>
      <w:r w:rsidRPr="00890723">
        <w:rPr>
          <w:szCs w:val="24"/>
        </w:rPr>
        <w:t xml:space="preserve">. Similarly, the ideal temperature for nitrification has been shown to exist near 35 °C </w:t>
      </w:r>
      <w:r w:rsidRPr="00890723">
        <w:rPr>
          <w:szCs w:val="24"/>
        </w:rPr>
        <w:fldChar w:fldCharType="begin"/>
      </w:r>
      <w:r w:rsidR="003C7682">
        <w:rPr>
          <w:szCs w:val="24"/>
        </w:rPr>
        <w:instrText xml:space="preserve"> ADDIN ZOTERO_ITEM CSL_CITATION {"citationID":"Uj0RfkR1","properties":{"formattedCitation":"(Grunditz &amp; Dalhammar, 2001)","plainCitation":"(Grunditz &amp; Dalhammar, 2001)","noteIndex":0},"citationItems":[{"id":3361,"uris":["http://zotero.org/groups/5631027/items/FI6S5ARM"],"itemData":{"id":3361,"type":"article-journal","abstract":"Restricted requirements for nitrogen reduction at wastewater treatment plants have increased the need for assays determining the inhibition of nitrification. In this paper, two new assays studying ammonia oxidation and nitrite oxidation, respectively, are presented. As test organisms, pure cultures of Nitrosomonas and Nitrobacter isolated from activated sludge are used. The assays are performed in test tubes where the bacteria are incubated with the compound or wastewater to be tested. The nitrification rate is measured during 4h and compared with reference samples. The test organisms were characterised with respect to temperature, pH and cell activity. Optimum temperature was 35°C for Nitrosomonas and 38°C for Nitrobacter; optimum pH was 8.1 for Nitrosomonas and 7.9 for Nitrobacter. There was a linear relationship between the nitrification rate and the cell concentration in the studied interval. The cell activity decreased slightly with storage time. A significant level of inhibition was calculated to 11% for the Nitrosomonas assay, and to 9% for the Nitrobacter assay. The assays are applicable to determination of nitrification inhibition in samples of industrial waste waters or influents of treatment plants, or chemical substances likely to be found in wastewater.","container-title":"Water Research","DOI":"10.1016/S0043-1354(00)00312-2","ISSN":"0043-1354","issue":"2","journalAbbreviation":"Water Research","page":"433-440","source":"ScienceDirect","title":"Development of nitrification inhibition assays using pure cultures of &lt;i&gt;nitrosomonas&lt;/i&gt; and &lt;i&gt;nitrobacter&lt;/i&gt;","volume":"35","author":[{"family":"Grunditz","given":"Camilla"},{"family":"Dalhammar","given":"Gunnel"}],"issued":{"date-parts":[["2001",2,1]]}}}],"schema":"https://github.com/citation-style-language/schema/raw/master/csl-citation.json"} </w:instrText>
      </w:r>
      <w:r w:rsidRPr="00890723">
        <w:rPr>
          <w:szCs w:val="24"/>
        </w:rPr>
        <w:fldChar w:fldCharType="separate"/>
      </w:r>
      <w:r w:rsidRPr="00890723">
        <w:rPr>
          <w:rFonts w:cs="Times New Roman"/>
          <w:szCs w:val="24"/>
        </w:rPr>
        <w:t>(Grunditz &amp; Dalhammar, 2001)</w:t>
      </w:r>
      <w:r w:rsidRPr="00890723">
        <w:rPr>
          <w:szCs w:val="24"/>
        </w:rPr>
        <w:fldChar w:fldCharType="end"/>
      </w:r>
      <w:r w:rsidRPr="00890723">
        <w:rPr>
          <w:szCs w:val="24"/>
        </w:rPr>
        <w:t>, meaning that N</w:t>
      </w:r>
      <w:r w:rsidRPr="00890723">
        <w:rPr>
          <w:szCs w:val="24"/>
          <w:vertAlign w:val="subscript"/>
        </w:rPr>
        <w:t>2</w:t>
      </w:r>
      <w:r w:rsidRPr="00890723">
        <w:rPr>
          <w:szCs w:val="24"/>
        </w:rPr>
        <w:t>O production is positively associated with soil temperature throughout the realistic temperature range.</w:t>
      </w:r>
    </w:p>
    <w:p w14:paraId="457022A7" w14:textId="51E8024B" w:rsidR="00032567" w:rsidRPr="00890723" w:rsidRDefault="00032567" w:rsidP="001B567A">
      <w:pPr>
        <w:spacing w:after="0" w:line="480" w:lineRule="auto"/>
        <w:rPr>
          <w:szCs w:val="24"/>
        </w:rPr>
      </w:pPr>
      <w:r w:rsidRPr="00890723">
        <w:rPr>
          <w:szCs w:val="24"/>
        </w:rPr>
        <w:t>Second, before the oxidation of hydroxylamine by nitrifiers can take place, some portion of this intermediary may also chemically decompose to NO and N</w:t>
      </w:r>
      <w:r w:rsidRPr="00890723">
        <w:rPr>
          <w:szCs w:val="24"/>
          <w:vertAlign w:val="subscript"/>
        </w:rPr>
        <w:t>2</w:t>
      </w:r>
      <w:r w:rsidRPr="00890723">
        <w:rPr>
          <w:szCs w:val="24"/>
        </w:rPr>
        <w:t>O. The abiotic production of N</w:t>
      </w:r>
      <w:r w:rsidRPr="00890723">
        <w:rPr>
          <w:szCs w:val="24"/>
          <w:vertAlign w:val="subscript"/>
        </w:rPr>
        <w:t>2</w:t>
      </w:r>
      <w:r w:rsidRPr="00890723">
        <w:rPr>
          <w:szCs w:val="24"/>
        </w:rPr>
        <w:t xml:space="preserve">O from hydroxylamine is sometimes attributed to nitrification due to its unique role in producing hydroxylamine in soils </w:t>
      </w:r>
      <w:r w:rsidRPr="00890723">
        <w:rPr>
          <w:szCs w:val="24"/>
        </w:rPr>
        <w:fldChar w:fldCharType="begin"/>
      </w:r>
      <w:r w:rsidR="00950694">
        <w:rPr>
          <w:szCs w:val="24"/>
        </w:rPr>
        <w:instrText xml:space="preserve"> ADDIN ZOTERO_ITEM CSL_CITATION {"citationID":"BRh4bqHC","properties":{"formattedCitation":"(Butterbach-Bahl et al., 2013)","plainCitation":"(Butterbach-Bahl et al., 2013)","noteIndex":0},"citationItems":[{"id":1313,"uris":["http://zotero.org/groups/4573874/items/5DUZFISM"],"itemData":{"id":1313,"type":"article-journal","abstract":"Although it is well established that soils are the dominating source for atmospheric nitrous oxide (N2O), we are still struggling to fully understand the complexity of the underlying microbial production and consumption processes and the links to biotic (e.g. inter- and intraspecies competition, food webs, plant–microbe interaction) and abiotic (e.g. soil climate, physics and chemistry) factors. Recent work shows that a better understanding of the composition and diversity of the microbial community across a variety of soils in different climates and under different land use, as well as plant–microbe interactions in the rhizosphere, may provide a key to better understand the variability of N2O fluxes at the soil–atmosphere interface. Moreover, recent insights into the regulation of the reduction of N2O to dinitrogen (N2) have increased our understanding of N2O exchange. This improved process understanding, building on the increased use of isotope tracing techniques and metagenomics, needs to go along with improvements in measurement techniques for N2O (and N2) emission in order to obtain robust field and laboratory datasets for different ecosystem types. Advances in both fields are currently used to improve process descriptions in biogeochemical models, which may eventually be used not only to test our current process understanding from the microsite to the field level, but also used as tools for up-scaling emissions to landscapes and regions and to explore feedbacks of soil N2O emissions to changes in environmental conditions, land management and land use.","container-title":"Philosophical Transactions of the Royal Society B: Biological Sciences","DOI":"10.1098/rstb.2013.0122","issue":"1621","note":"publisher: Royal Society","page":"20130122","source":"royalsocietypublishing.org (Atypon)","title":"Nitrous oxide emissions from soils: how well do we understand the processes and their controls?","title-short":"Nitrous oxide emissions from soils","volume":"368","author":[{"family":"Butterbach-Bahl","given":"Klaus"},{"family":"Baggs","given":"Elizabeth M."},{"family":"Dannenmann","given":"Michael"},{"family":"Kiese","given":"Ralf"},{"family":"Zechmeister-Boltenstern","given":"Sophie"}],"issued":{"date-parts":[["2013",7,5]]}}}],"schema":"https://github.com/citation-style-language/schema/raw/master/csl-citation.json"} </w:instrText>
      </w:r>
      <w:r w:rsidRPr="00890723">
        <w:rPr>
          <w:szCs w:val="24"/>
        </w:rPr>
        <w:fldChar w:fldCharType="separate"/>
      </w:r>
      <w:r w:rsidR="00950694" w:rsidRPr="00950694">
        <w:rPr>
          <w:rFonts w:cs="Times New Roman"/>
        </w:rPr>
        <w:t>(Butterbach-Bahl et al., 2013)</w:t>
      </w:r>
      <w:r w:rsidRPr="00890723">
        <w:rPr>
          <w:szCs w:val="24"/>
        </w:rPr>
        <w:fldChar w:fldCharType="end"/>
      </w:r>
      <w:r w:rsidRPr="00890723">
        <w:rPr>
          <w:szCs w:val="24"/>
        </w:rPr>
        <w:t xml:space="preserve">, while others describe this as a coupled biotic-abiotic process with distinct controls for each </w:t>
      </w:r>
      <w:r w:rsidRPr="00890723">
        <w:rPr>
          <w:szCs w:val="24"/>
        </w:rPr>
        <w:fldChar w:fldCharType="begin"/>
      </w:r>
      <w:r w:rsidR="003C7682">
        <w:rPr>
          <w:szCs w:val="24"/>
        </w:rPr>
        <w:instrText xml:space="preserve"> ADDIN ZOTERO_ITEM CSL_CITATION {"citationID":"88E630ef","properties":{"formattedCitation":"(Heil et al., 2015; Zhu-Barker et al., 2015)","plainCitation":"(Heil et al., 2015; Zhu-Barker et al., 2015)","noteIndex":0},"citationItems":[{"id":2153,"uris":["http://zotero.org/groups/5631027/items/R6PNKQQA"],"itemData":{"id":2153,"type":"article-journal","abstract":"Despite the fact that microbial nitrification and denitrification are considered the major soil N2O emission sources, especially from agricultural soils, several abiotic reactions involving the nitrification intermediate hydroxylamine (NH2OH) have been identified leading to N2O emissions, but are being neglected in most current studies. Here, we studied N2O formation from NH2OH in cropland, grassland, and forest soils in laboratory incubation experiments. Incubations were conducted with and without the addition of NH2OH to non-sterile and sterile soil samples. N2O evolution was quantified with gas chromatography and further analyzed with online laser absorption spectroscopy. Additionally, the isotopic signature of the produced N2O (δ15N, δ18O, and 15N site preference) was analyzed with isotope ratio mass spectrometry. While the forest soil samples showed hardly any N2O evolution upon the addition of NH2OH, immediate and very large formation of N2O was observed in the cropland soil, also in sterilized samples. Correlation analysis revealed soil parameters that might explain the variability of NH2OH-induced N2O production to be: soil pH, C/N ratio, and Mn content. Our results suggest a coupled biotic–abiotic production of N2O during nitrification, e.g. due to leakage of the nitrification intermediate NH2OH with subsequent reaction with the soil matrix.","container-title":"Soil Biology and Biochemistry","DOI":"10.1016/j.soilbio.2015.02.022","ISSN":"0038-0717","journalAbbreviation":"Soil Biology and Biochemistry","page":"107-115","source":"ScienceDirect","title":"Abiotic nitrous oxide production from hydroxylamine in soils and their dependence on soil properties","volume":"84","author":[{"family":"Heil","given":"Jannis"},{"family":"Liu","given":"Shurong"},{"family":"Vereecken","given":"Harry"},{"family":"Brüggemann","given":"Nicolas"}],"issued":{"date-parts":[["2015",5,1]]}}},{"id":2050,"uris":["http://zotero.org/groups/5631027/items/26GC56U8"],"itemData":{"id":2050,"type":"article-journal","abstract":"The continuous rise of atmospheric nitrous oxide (N2O) is an environmental issue of global concern. In biogeochemical studies, N2O production is commonly assumed to arise solely from enzymatic reactions in microbes and fungi. However, iron, manganese and organic compounds readily undergo redox reactions with intermediates in the nitrogen cycle that produce N2O abiotically under relevant environmental conditions at circumneutral pH. Although these abiotic N2O production pathways have been known to occur for close to a century, they are often neglected in modern ecological studies. In this Synthesis and Emerging Ideas paper, we highlight the defining characteristics, environmental controls, and isotopic signatures of abiotic reactions between nitrogen cycle intermediates (hydroxylamine, nitric oxide, and nitrite), redox-active metals (iron and manganese) and organic matter (humic and fulvic acids) that can lead to N2O production. We also discuss the emerging idea that abiotic reactions coupled to biotic processes have widespread ecological relevance and encourage consideration of abiotic production mechanisms in future biogeochemical investigations of N2O cycling.","container-title":"Biogeochemistry","DOI":"10.1007/s10533-015-0166-4","ISSN":"1573-515X","issue":"3","journalAbbreviation":"Biogeochemistry","language":"en","page":"251-267","source":"Springer Link","title":"The importance of abiotic reactions for nitrous oxide production","volume":"126","author":[{"family":"Zhu-Barker","given":"Xia"},{"family":"Cavazos","given":"Amanda R."},{"family":"Ostrom","given":"Nathaniel E."},{"family":"Horwath","given":"William R."},{"family":"Glass","given":"Jennifer B."}],"issued":{"date-parts":[["2015",12,1]]}}}],"schema":"https://github.com/citation-style-language/schema/raw/master/csl-citation.json"} </w:instrText>
      </w:r>
      <w:r w:rsidRPr="00890723">
        <w:rPr>
          <w:szCs w:val="24"/>
        </w:rPr>
        <w:fldChar w:fldCharType="separate"/>
      </w:r>
      <w:r w:rsidRPr="00890723">
        <w:rPr>
          <w:rFonts w:cs="Times New Roman"/>
          <w:szCs w:val="24"/>
        </w:rPr>
        <w:t>(Heil et al., 2015; Zhu-Barker et al., 2015)</w:t>
      </w:r>
      <w:r w:rsidRPr="00890723">
        <w:rPr>
          <w:szCs w:val="24"/>
        </w:rPr>
        <w:fldChar w:fldCharType="end"/>
      </w:r>
      <w:r w:rsidRPr="00890723">
        <w:rPr>
          <w:szCs w:val="24"/>
        </w:rPr>
        <w:t>. Determinations of where to draw this line may depend on the perspective of the work at hand: from a microbiological perspective it may be logical to group abiotic decomposition of hydroxylamine to nitrification, as nitrifiers are the only microorganism community necessary to produce N</w:t>
      </w:r>
      <w:r w:rsidRPr="00890723">
        <w:rPr>
          <w:szCs w:val="24"/>
          <w:vertAlign w:val="subscript"/>
        </w:rPr>
        <w:t>2</w:t>
      </w:r>
      <w:r w:rsidRPr="00890723">
        <w:rPr>
          <w:szCs w:val="24"/>
        </w:rPr>
        <w:t>O through this pathway. On the other hand, when considering environmental controls of N</w:t>
      </w:r>
      <w:r w:rsidRPr="00890723">
        <w:rPr>
          <w:szCs w:val="24"/>
          <w:vertAlign w:val="subscript"/>
        </w:rPr>
        <w:t>2</w:t>
      </w:r>
      <w:r w:rsidRPr="00890723">
        <w:rPr>
          <w:szCs w:val="24"/>
        </w:rPr>
        <w:t xml:space="preserve">O production it may instead be preferrable to consider the biotic and abiotic processes separately, given that the environmental conditions favorable to one may not necessarily overlap with those favorable to the other </w:t>
      </w:r>
      <w:r w:rsidRPr="00890723">
        <w:rPr>
          <w:szCs w:val="24"/>
        </w:rPr>
        <w:fldChar w:fldCharType="begin"/>
      </w:r>
      <w:r w:rsidR="003C7682">
        <w:rPr>
          <w:szCs w:val="24"/>
        </w:rPr>
        <w:instrText xml:space="preserve"> ADDIN ZOTERO_ITEM CSL_CITATION {"citationID":"o0ThckNF","properties":{"formattedCitation":"(Heil et al., 2015)","plainCitation":"(Heil et al., 2015)","noteIndex":0},"citationItems":[{"id":2153,"uris":["http://zotero.org/groups/5631027/items/R6PNKQQA"],"itemData":{"id":2153,"type":"article-journal","abstract":"Despite the fact that microbial nitrification and denitrification are considered the major soil N2O emission sources, especially from agricultural soils, several abiotic reactions involving the nitrification intermediate hydroxylamine (NH2OH) have been identified leading to N2O emissions, but are being neglected in most current studies. Here, we studied N2O formation from NH2OH in cropland, grassland, and forest soils in laboratory incubation experiments. Incubations were conducted with and without the addition of NH2OH to non-sterile and sterile soil samples. N2O evolution was quantified with gas chromatography and further analyzed with online laser absorption spectroscopy. Additionally, the isotopic signature of the produced N2O (δ15N, δ18O, and 15N site preference) was analyzed with isotope ratio mass spectrometry. While the forest soil samples showed hardly any N2O evolution upon the addition of NH2OH, immediate and very large formation of N2O was observed in the cropland soil, also in sterilized samples. Correlation analysis revealed soil parameters that might explain the variability of NH2OH-induced N2O production to be: soil pH, C/N ratio, and Mn content. Our results suggest a coupled biotic–abiotic production of N2O during nitrification, e.g. due to leakage of the nitrification intermediate NH2OH with subsequent reaction with the soil matrix.","container-title":"Soil Biology and Biochemistry","DOI":"10.1016/j.soilbio.2015.02.022","ISSN":"0038-0717","journalAbbreviation":"Soil Biology and Biochemistry","page":"107-115","source":"ScienceDirect","title":"Abiotic nitrous oxide production from hydroxylamine in soils and their dependence on soil properties","volume":"84","author":[{"family":"Heil","given":"Jannis"},{"family":"Liu","given":"Shurong"},{"family":"Vereecken","given":"Harry"},{"family":"Brüggemann","given":"Nicolas"}],"issued":{"date-parts":[["2015",5,1]]}}}],"schema":"https://github.com/citation-style-language/schema/raw/master/csl-citation.json"} </w:instrText>
      </w:r>
      <w:r w:rsidRPr="00890723">
        <w:rPr>
          <w:szCs w:val="24"/>
        </w:rPr>
        <w:fldChar w:fldCharType="separate"/>
      </w:r>
      <w:r w:rsidRPr="00890723">
        <w:rPr>
          <w:rFonts w:cs="Times New Roman"/>
          <w:szCs w:val="24"/>
        </w:rPr>
        <w:t>(Heil et al., 2015)</w:t>
      </w:r>
      <w:r w:rsidRPr="00890723">
        <w:rPr>
          <w:szCs w:val="24"/>
        </w:rPr>
        <w:fldChar w:fldCharType="end"/>
      </w:r>
      <w:r w:rsidRPr="00890723">
        <w:rPr>
          <w:szCs w:val="24"/>
        </w:rPr>
        <w:t xml:space="preserve">. This latter perspective is relevant to emissions modelers, and the one I take here. Optimal conditions of abiotic hydroxylamine oxidation are similar to biotic oxidation in that it is negatively correlated to carbon availability and positively correlated with temperature. Organic carbon competes with </w:t>
      </w:r>
      <w:r>
        <w:rPr>
          <w:szCs w:val="24"/>
        </w:rPr>
        <w:t>transition metals like manganese and iron</w:t>
      </w:r>
      <w:r w:rsidRPr="00890723">
        <w:rPr>
          <w:szCs w:val="24"/>
        </w:rPr>
        <w:t xml:space="preserve"> to react with hydroxylamine</w:t>
      </w:r>
      <w:r>
        <w:rPr>
          <w:szCs w:val="24"/>
        </w:rPr>
        <w:t xml:space="preserve"> </w:t>
      </w:r>
      <w:r>
        <w:rPr>
          <w:szCs w:val="24"/>
        </w:rPr>
        <w:fldChar w:fldCharType="begin"/>
      </w:r>
      <w:r w:rsidR="003C7682">
        <w:rPr>
          <w:szCs w:val="24"/>
        </w:rPr>
        <w:instrText xml:space="preserve"> ADDIN ZOTERO_ITEM CSL_CITATION {"citationID":"niPJhYbf","properties":{"formattedCitation":"(Bremner et al., 1980; Heil et al., 2015; Zhu-Barker et al., 2015)","plainCitation":"(Bremner et al., 1980; Heil et al., 2015; Zhu-Barker et al., 2015)","noteIndex":0},"citationItems":[{"id":3580,"uris":["http://zotero.org/groups/6023057/items/9CJWPKZH"],"itemData":{"id":3580,"type":"article-journal","abstract":"Soil properties affecting formation of nitrous oxide (N2O) and dinitrogen (N2) by chemical decomposition of hydroxylamine (NH2OH) in soils were studied using 19 soils selected to obtain a wide range in properties. It was found that production of N2O by chemical decomposition of NH2OH in soils is more rapid than production of N2 and that, except with calcareous soils, N2O production greatly exceeds N2 production. Studies of the correlations between various soil properties and formation of N2O and N2 by decomposition of NH2OH showed that production of N2O was very highly correlated with exchangeable and oxidized Mn in the soils studied, and that production of N2 was very highly correlated with pH, CaCO3 equivalent, exchangeable Ca2+, and oxidized Mn. Production of N2 in neutral and acidic soils was highly correlated with both exchangeable and oxidized Mn, and production of N2 in calcareous soils was significantly correlated with oxidized Fe. The deductions from these correlations that Mn compounds are involved in the reactions leading to formation of N2O and N2 by chemical decomposition of NH2OH in soils, and that CaCO3 and Fe compounds are involved in the reactions leading to formation of N2 in calcareous soils, were supported by studies of N2O and N2 production through reactions of Mn and Fe compounds with NH2OH in the presence and absence of CaCO3. Production of N2O via chemical decomposition of NH2OH in soils greatly exceeds production of N2O through chemical decomposition of nitrite (i.e. via chemodenitrification), and the amount of N2 produced by decomposition of NH2OH in most soils exceeds the amount produced by decomposition of nitrite. Work reported indicates that, if N2O is formed in soils through nonbiological transformations of NH2OH produced by soil microorganisms, very little of this gas is generated by the reaction of NH2OH with nitrite frequently postulated as a mechanism of N2O production in soils (NH2OH + HNO2 → N2O + 2H2O).","container-title":"Soil Biology and Biochemistry","DOI":"10.1016/0038-0717(80)90072-3","ISSN":"0038-0717","issue":"3","journalAbbreviation":"Soil Biology and Biochemistry","page":"263-269","source":"ScienceDirect","title":"Formation of nitrous oxide and dinitrogen by chemical decomposition of hydroxylamine in soils","volume":"12","author":[{"family":"Bremner","given":"J. M."},{"family":"Blackmer","given":"A. M."},{"family":"Waring","given":"S. A."}],"issued":{"date-parts":[["1980",1,1]]}}},{"id":2153,"uris":["http://zotero.org/groups/5631027/items/R6PNKQQA"],"itemData":{"id":2153,"type":"article-journal","abstract":"Despite the fact that microbial nitrification and denitrification are considered the major soil N2O emission sources, especially from agricultural soils, several abiotic reactions involving the nitrification intermediate hydroxylamine (NH2OH) have been identified leading to N2O emissions, but are being neglected in most current studies. Here, we studied N2O formation from NH2OH in cropland, grassland, and forest soils in laboratory incubation experiments. Incubations were conducted with and without the addition of NH2OH to non-sterile and sterile soil samples. N2O evolution was quantified with gas chromatography and further analyzed with online laser absorption spectroscopy. Additionally, the isotopic signature of the produced N2O (δ15N, δ18O, and 15N site preference) was analyzed with isotope ratio mass spectrometry. While the forest soil samples showed hardly any N2O evolution upon the addition of NH2OH, immediate and very large formation of N2O was observed in the cropland soil, also in sterilized samples. Correlation analysis revealed soil parameters that might explain the variability of NH2OH-induced N2O production to be: soil pH, C/N ratio, and Mn content. Our results suggest a coupled biotic–abiotic production of N2O during nitrification, e.g. due to leakage of the nitrification intermediate NH2OH with subsequent reaction with the soil matrix.","container-title":"Soil Biology and Biochemistry","DOI":"10.1016/j.soilbio.2015.02.022","ISSN":"0038-0717","journalAbbreviation":"Soil Biology and Biochemistry","page":"107-115","source":"ScienceDirect","title":"Abiotic nitrous oxide production from hydroxylamine in soils and their dependence on soil properties","volume":"84","author":[{"family":"Heil","given":"Jannis"},{"family":"Liu","given":"Shurong"},{"family":"Vereecken","given":"Harry"},{"family":"Brüggemann","given":"Nicolas"}],"issued":{"date-parts":[["2015",5,1]]}}},{"id":2050,"uris":["http://zotero.org/groups/5631027/items/26GC56U8"],"itemData":{"id":2050,"type":"article-journal","abstract":"The continuous rise of atmospheric nitrous oxide (N2O) is an environmental issue of global concern. In biogeochemical studies, N2O production is commonly assumed to arise solely from enzymatic reactions in microbes and fungi. However, iron, manganese and organic compounds readily undergo redox reactions with intermediates in the nitrogen cycle that produce N2O abiotically under relevant environmental conditions at circumneutral pH. Although these abiotic N2O production pathways have been known to occur for close to a century, they are often neglected in modern ecological studies. In this Synthesis and Emerging Ideas paper, we highlight the defining characteristics, environmental controls, and isotopic signatures of abiotic reactions between nitrogen cycle intermediates (hydroxylamine, nitric oxide, and nitrite), redox-active metals (iron and manganese) and organic matter (humic and fulvic acids) that can lead to N2O production. We also discuss the emerging idea that abiotic reactions coupled to biotic processes have widespread ecological relevance and encourage consideration of abiotic production mechanisms in future biogeochemical investigations of N2O cycling.","container-title":"Biogeochemistry","DOI":"10.1007/s10533-015-0166-4","ISSN":"1573-515X","issue":"3","journalAbbreviation":"Biogeochemistry","language":"en","page":"251-267","source":"Springer Link","title":"The importance of abiotic reactions for nitrous oxide production","volume":"126","author":[{"family":"Zhu-Barker","given":"Xia"},{"family":"Cavazos","given":"Amanda R."},{"family":"Ostrom","given":"Nathaniel E."},{"family":"Horwath","given":"William R."},{"family":"Glass","given":"Jennifer B."}],"issued":{"date-parts":[["2015",12,1]]}}}],"schema":"https://github.com/citation-style-language/schema/raw/master/csl-citation.json"} </w:instrText>
      </w:r>
      <w:r>
        <w:rPr>
          <w:szCs w:val="24"/>
        </w:rPr>
        <w:fldChar w:fldCharType="separate"/>
      </w:r>
      <w:r w:rsidRPr="002D3DE1">
        <w:rPr>
          <w:rFonts w:cs="Times New Roman"/>
        </w:rPr>
        <w:t>(Bremner et al., 1980; Heil et al., 2015; Zhu-Barker et al., 2015)</w:t>
      </w:r>
      <w:r>
        <w:rPr>
          <w:szCs w:val="24"/>
        </w:rPr>
        <w:fldChar w:fldCharType="end"/>
      </w:r>
      <w:r w:rsidRPr="00890723">
        <w:rPr>
          <w:szCs w:val="24"/>
        </w:rPr>
        <w:t xml:space="preserve">, and while abiotic hydroxylamine oxidation has a much higher ideal temperature than biotic oxidation at 50+ °C </w:t>
      </w:r>
      <w:r w:rsidRPr="00890723">
        <w:rPr>
          <w:szCs w:val="24"/>
        </w:rPr>
        <w:fldChar w:fldCharType="begin"/>
      </w:r>
      <w:r w:rsidR="003C7682">
        <w:rPr>
          <w:szCs w:val="24"/>
        </w:rPr>
        <w:instrText xml:space="preserve"> ADDIN ZOTERO_ITEM CSL_CITATION {"citationID":"mHC6rzhS","properties":{"formattedCitation":"(Heil et al., 2015)","plainCitation":"(Heil et al., 2015)","noteIndex":0},"citationItems":[{"id":2153,"uris":["http://zotero.org/groups/5631027/items/R6PNKQQA"],"itemData":{"id":2153,"type":"article-journal","abstract":"Despite the fact that microbial nitrification and denitrification are considered the major soil N2O emission sources, especially from agricultural soils, several abiotic reactions involving the nitrification intermediate hydroxylamine (NH2OH) have been identified leading to N2O emissions, but are being neglected in most current studies. Here, we studied N2O formation from NH2OH in cropland, grassland, and forest soils in laboratory incubation experiments. Incubations were conducted with and without the addition of NH2OH to non-sterile and sterile soil samples. N2O evolution was quantified with gas chromatography and further analyzed with online laser absorption spectroscopy. Additionally, the isotopic signature of the produced N2O (δ15N, δ18O, and 15N site preference) was analyzed with isotope ratio mass spectrometry. While the forest soil samples showed hardly any N2O evolution upon the addition of NH2OH, immediate and very large formation of N2O was observed in the cropland soil, also in sterilized samples. Correlation analysis revealed soil parameters that might explain the variability of NH2OH-induced N2O production to be: soil pH, C/N ratio, and Mn content. Our results suggest a coupled biotic–abiotic production of N2O during nitrification, e.g. due to leakage of the nitrification intermediate NH2OH with subsequent reaction with the soil matrix.","container-title":"Soil Biology and Biochemistry","DOI":"10.1016/j.soilbio.2015.02.022","ISSN":"0038-0717","journalAbbreviation":"Soil Biology and Biochemistry","page":"107-115","source":"ScienceDirect","title":"Abiotic nitrous oxide production from hydroxylamine in soils and their dependence on soil properties","volume":"84","author":[{"family":"Heil","given":"Jannis"},{"family":"Liu","given":"Shurong"},{"family":"Vereecken","given":"Harry"},{"family":"Brüggemann","given":"Nicolas"}],"issued":{"date-parts":[["2015",5,1]]}}}],"schema":"https://github.com/citation-style-language/schema/raw/master/csl-citation.json"} </w:instrText>
      </w:r>
      <w:r w:rsidRPr="00890723">
        <w:rPr>
          <w:szCs w:val="24"/>
        </w:rPr>
        <w:fldChar w:fldCharType="separate"/>
      </w:r>
      <w:r w:rsidRPr="00890723">
        <w:rPr>
          <w:rFonts w:cs="Times New Roman"/>
          <w:szCs w:val="24"/>
        </w:rPr>
        <w:t>(Heil et al., 2015)</w:t>
      </w:r>
      <w:r w:rsidRPr="00890723">
        <w:rPr>
          <w:szCs w:val="24"/>
        </w:rPr>
        <w:fldChar w:fldCharType="end"/>
      </w:r>
      <w:r w:rsidRPr="00890723">
        <w:rPr>
          <w:szCs w:val="24"/>
        </w:rPr>
        <w:t xml:space="preserve">, in realistic conditions both are expected to simply be positively correlated with temperature. However, a key difference exists in </w:t>
      </w:r>
      <w:r w:rsidRPr="00890723">
        <w:rPr>
          <w:szCs w:val="24"/>
        </w:rPr>
        <w:lastRenderedPageBreak/>
        <w:t>the optimal pH range between these two subprocesses. Hydroxylamine has a pKa of 5.95, meaning that in the soil system it will protonate to the more stable species NH</w:t>
      </w:r>
      <w:r w:rsidRPr="00890723">
        <w:rPr>
          <w:szCs w:val="24"/>
          <w:vertAlign w:val="subscript"/>
        </w:rPr>
        <w:t>3</w:t>
      </w:r>
      <w:r w:rsidRPr="00890723">
        <w:rPr>
          <w:szCs w:val="24"/>
        </w:rPr>
        <w:t>OH</w:t>
      </w:r>
      <w:r w:rsidRPr="00890723">
        <w:rPr>
          <w:szCs w:val="24"/>
          <w:vertAlign w:val="superscript"/>
        </w:rPr>
        <w:t xml:space="preserve">+ </w:t>
      </w:r>
      <w:r w:rsidRPr="00890723">
        <w:rPr>
          <w:szCs w:val="24"/>
          <w:vertAlign w:val="superscript"/>
        </w:rPr>
        <w:fldChar w:fldCharType="begin"/>
      </w:r>
      <w:r w:rsidR="003C7682">
        <w:rPr>
          <w:szCs w:val="24"/>
          <w:vertAlign w:val="superscript"/>
        </w:rPr>
        <w:instrText xml:space="preserve"> ADDIN ZOTERO_ITEM CSL_CITATION {"citationID":"FTfiTcCi","properties":{"formattedCitation":"(Heil et al., 2015)","plainCitation":"(Heil et al., 2015)","noteIndex":0},"citationItems":[{"id":2153,"uris":["http://zotero.org/groups/5631027/items/R6PNKQQA"],"itemData":{"id":2153,"type":"article-journal","abstract":"Despite the fact that microbial nitrification and denitrification are considered the major soil N2O emission sources, especially from agricultural soils, several abiotic reactions involving the nitrification intermediate hydroxylamine (NH2OH) have been identified leading to N2O emissions, but are being neglected in most current studies. Here, we studied N2O formation from NH2OH in cropland, grassland, and forest soils in laboratory incubation experiments. Incubations were conducted with and without the addition of NH2OH to non-sterile and sterile soil samples. N2O evolution was quantified with gas chromatography and further analyzed with online laser absorption spectroscopy. Additionally, the isotopic signature of the produced N2O (δ15N, δ18O, and 15N site preference) was analyzed with isotope ratio mass spectrometry. While the forest soil samples showed hardly any N2O evolution upon the addition of NH2OH, immediate and very large formation of N2O was observed in the cropland soil, also in sterilized samples. Correlation analysis revealed soil parameters that might explain the variability of NH2OH-induced N2O production to be: soil pH, C/N ratio, and Mn content. Our results suggest a coupled biotic–abiotic production of N2O during nitrification, e.g. due to leakage of the nitrification intermediate NH2OH with subsequent reaction with the soil matrix.","container-title":"Soil Biology and Biochemistry","DOI":"10.1016/j.soilbio.2015.02.022","ISSN":"0038-0717","journalAbbreviation":"Soil Biology and Biochemistry","page":"107-115","source":"ScienceDirect","title":"Abiotic nitrous oxide production from hydroxylamine in soils and their dependence on soil properties","volume":"84","author":[{"family":"Heil","given":"Jannis"},{"family":"Liu","given":"Shurong"},{"family":"Vereecken","given":"Harry"},{"family":"Brüggemann","given":"Nicolas"}],"issued":{"date-parts":[["2015",5,1]]}}}],"schema":"https://github.com/citation-style-language/schema/raw/master/csl-citation.json"} </w:instrText>
      </w:r>
      <w:r w:rsidRPr="00890723">
        <w:rPr>
          <w:szCs w:val="24"/>
          <w:vertAlign w:val="superscript"/>
        </w:rPr>
        <w:fldChar w:fldCharType="separate"/>
      </w:r>
      <w:r w:rsidRPr="00890723">
        <w:rPr>
          <w:rFonts w:cs="Times New Roman"/>
          <w:szCs w:val="24"/>
        </w:rPr>
        <w:t>(Heil et al., 2015)</w:t>
      </w:r>
      <w:r w:rsidRPr="00890723">
        <w:rPr>
          <w:szCs w:val="24"/>
          <w:vertAlign w:val="superscript"/>
        </w:rPr>
        <w:fldChar w:fldCharType="end"/>
      </w:r>
      <w:r w:rsidRPr="00890723">
        <w:rPr>
          <w:szCs w:val="24"/>
        </w:rPr>
        <w:t xml:space="preserve">. Thus, chemical decomposition rates are highest at neutral or alkaline pH. </w:t>
      </w:r>
    </w:p>
    <w:p w14:paraId="79EE33FC" w14:textId="45AD48CF" w:rsidR="00032567" w:rsidRPr="00890723" w:rsidRDefault="00032567" w:rsidP="001B567A">
      <w:pPr>
        <w:spacing w:after="0" w:line="480" w:lineRule="auto"/>
        <w:rPr>
          <w:szCs w:val="24"/>
        </w:rPr>
      </w:pPr>
      <w:r w:rsidRPr="00890723">
        <w:rPr>
          <w:szCs w:val="24"/>
        </w:rPr>
        <w:t>As is true of nitrification, denitrification is a broad category of biogeochemical processes, with alternate versions taking place by different organisms and under different conditions. The first is heterotrophic denitrification, which is performed by microbial communities that have been termed denitrifiers. This pathway is heterotrophic and anaerobic, and thus its production of N</w:t>
      </w:r>
      <w:r w:rsidRPr="00890723">
        <w:rPr>
          <w:szCs w:val="24"/>
          <w:vertAlign w:val="subscript"/>
        </w:rPr>
        <w:t>2</w:t>
      </w:r>
      <w:r w:rsidRPr="00890723">
        <w:rPr>
          <w:szCs w:val="24"/>
        </w:rPr>
        <w:t xml:space="preserve">O is positively correlated with carbon availability and negatively correlated with oxygen availability </w:t>
      </w:r>
      <w:r w:rsidRPr="00890723">
        <w:rPr>
          <w:szCs w:val="24"/>
        </w:rPr>
        <w:fldChar w:fldCharType="begin"/>
      </w:r>
      <w:r w:rsidR="003C7682">
        <w:rPr>
          <w:szCs w:val="24"/>
        </w:rPr>
        <w:instrText xml:space="preserve"> ADDIN ZOTERO_ITEM CSL_CITATION {"citationID":"a1man3a9sa","properties":{"formattedCitation":"(Wallenstein et al., 2006)","plainCitation":"(Wallenstein et al., 2006)","noteIndex":0},"citationItems":[{"id":1510,"uris":["http://zotero.org/groups/4573874/items/WUTC27X4"],"itemData":{"id":1510,"type":"article-journal","abstract":"The advent of molecular techniques has improved our understanding of the microbial communities responsible for denitrification and is beginning to address their role in controlling denitrification processes. There is a large diversity of bacteria, archaea, and fungi capable of denitrification, and their community composition is structured by long-term environmental drivers. The range of temperature and moisture conditions, substrate availability, competition, and disturbances have long-lasting legacies on denitrifier community structure. These communities may differ in physiology, environmental tolerances to pH and O2, growth rate, and enzyme kinetics. Although factors such as O2, pH, C availability, and NO3− pools affect instantaneous rates, these drivers act through the biotic community. This review summarizes the results of molecular investigations of denitrifier communities in natural environments and provides a framework for developing future research for addressing connections between denitrifier community structure and function.","container-title":"Ecological Applications","DOI":"10.1890/1051-0761(2006)016[2143:ECODCA]2.0.CO;2","ISSN":"1939-5582","issue":"6","language":"en","license":"© 2006 by the Ecological Society of America","note":"_eprint: https://onlinelibrary.wiley.com/doi/pdf/10.1890/1051-0761%282006%29016%5B2143%3AECODCA%5D2.0.CO%3B2","page":"2143-2152","source":"Wiley Online Library","title":"Environmental Controls on Denitrifying Communities and Denitrification Rates: Insights from Molecular Methods","title-short":"Environmental Controls on Denitrifying Communities and Denitrification Rates","volume":"16","author":[{"family":"Wallenstein","given":"Matthew D."},{"family":"Myrold","given":"David D."},{"family":"Firestone","given":"Mary"},{"family":"Voytek","given":"Mary"}],"issued":{"date-parts":[["2006"]]}}}],"schema":"https://github.com/citation-style-language/schema/raw/master/csl-citation.json"} </w:instrText>
      </w:r>
      <w:r w:rsidRPr="00890723">
        <w:rPr>
          <w:szCs w:val="24"/>
        </w:rPr>
        <w:fldChar w:fldCharType="separate"/>
      </w:r>
      <w:r w:rsidRPr="00890723">
        <w:rPr>
          <w:rFonts w:cs="Times New Roman"/>
          <w:kern w:val="0"/>
        </w:rPr>
        <w:t>(Wallenstein et al., 2006)</w:t>
      </w:r>
      <w:r w:rsidRPr="00890723">
        <w:rPr>
          <w:szCs w:val="24"/>
        </w:rPr>
        <w:fldChar w:fldCharType="end"/>
      </w:r>
      <w:r w:rsidRPr="00890723">
        <w:rPr>
          <w:szCs w:val="24"/>
        </w:rPr>
        <w:t xml:space="preserve">. Denitrification also has a high ideal temperature of ~55 °C </w:t>
      </w:r>
      <w:r w:rsidRPr="00890723">
        <w:rPr>
          <w:szCs w:val="24"/>
        </w:rPr>
        <w:fldChar w:fldCharType="begin"/>
      </w:r>
      <w:r w:rsidR="003C7682">
        <w:rPr>
          <w:szCs w:val="24"/>
        </w:rPr>
        <w:instrText xml:space="preserve"> ADDIN ZOTERO_ITEM CSL_CITATION {"citationID":"QrvztE1e","properties":{"formattedCitation":"(Benoit et al., 2015)","plainCitation":"(Benoit et al., 2015)","noteIndex":0},"citationItems":[{"id":3359,"uris":["http://zotero.org/groups/5631027/items/T7MM5YHA"],"itemData":{"id":3359,"type":"article-journal","abstract":"This study aims to determine the effect of temperature on N2O produced from a surface soil both in nitrification and denitrification experimental conditions. In a context of changes of both temperature and rainfall, formalizing temperature relationships of N2O production is useful for model parameterization of process-based modeling approaches. Samples of luvisolic soils were incubated in destructive slurry batches in controlled specific conditions designed to promote nitrification and denitrification. The experiments were run at seven temperatures, from 5 to 45°C. When fitted with a sigmoid function overall potential activities show that the potential production rate of nitrate (NO3−nit) is optimal at a temperature of 32.5°C and the potential reduction rate of nitrate (NO3−denit) being optimal at around 45°C. Regarding the production rate of N2O, optimal values occur at a temperature about 10°C higher than the optimum temperature for the respective processes, namely 42°C for nitrification and 54.5°C for denitrification. N2O emissions and nitrite production due to denitrification are around 10 times higher than nitrification. These findings show that a sigmoid function of N2O emissions from both denitrification and nitrification is more relevant than an exponential one.","container-title":"Process Biochemistry","DOI":"10.1016/j.procbio.2014.10.013","ISSN":"1359-5113","issue":"1","journalAbbreviation":"Process Biochemistry","page":"79-85","source":"ScienceDirect","title":"Temperature dependence of nitrous oxide production of a luvisolic soil in batch experiments","volume":"50","author":[{"family":"Benoit","given":"Marie"},{"family":"Garnier","given":"Josette"},{"family":"Billen","given":"Gilles"}],"issued":{"date-parts":[["2015",1,1]]}}}],"schema":"https://github.com/citation-style-language/schema/raw/master/csl-citation.json"} </w:instrText>
      </w:r>
      <w:r w:rsidRPr="00890723">
        <w:rPr>
          <w:szCs w:val="24"/>
        </w:rPr>
        <w:fldChar w:fldCharType="separate"/>
      </w:r>
      <w:r w:rsidRPr="00890723">
        <w:rPr>
          <w:rFonts w:cs="Times New Roman"/>
          <w:szCs w:val="24"/>
        </w:rPr>
        <w:t>(Benoit et al., 2015)</w:t>
      </w:r>
      <w:r w:rsidRPr="00890723">
        <w:rPr>
          <w:szCs w:val="24"/>
        </w:rPr>
        <w:fldChar w:fldCharType="end"/>
      </w:r>
      <w:r w:rsidRPr="00890723">
        <w:rPr>
          <w:szCs w:val="24"/>
        </w:rPr>
        <w:t xml:space="preserve">, and thus is effectively always positively correlated with temperature in soil. Soil pH has also been shown to positively correlate with the overall rate of denitrification </w:t>
      </w:r>
      <w:r w:rsidRPr="00890723">
        <w:rPr>
          <w:szCs w:val="24"/>
        </w:rPr>
        <w:fldChar w:fldCharType="begin"/>
      </w:r>
      <w:r w:rsidR="003C7682">
        <w:rPr>
          <w:szCs w:val="24"/>
        </w:rPr>
        <w:instrText xml:space="preserve"> ADDIN ZOTERO_ITEM CSL_CITATION {"citationID":"Lx1ImLI0","properties":{"formattedCitation":"(\\uc0\\u352{}Imek &amp; Cooper, 2002)","plainCitation":"(ŠImek &amp; Cooper, 2002)","noteIndex":0},"citationItems":[{"id":1513,"uris":["http://zotero.org/groups/4573874/items/6A7TX5C2"],"itemData":{"id":1513,"type":"article-journal","abstract":"Results from the pioneering research on the interactions between pH and denitrification in soil from the 1950s to the present are reviewed, the changing perceptions of this complex relationship are discussed, and the current status of the subject is assessed. Facets of this relationship that are analysed in detail include the direct or indirect influence of pH on overall denitrification rates in soils, changes in the composition of gaseous products that depend on pH, methods for measuring the process, the concept of an optimum pH for denitrification, and the adaptation of microbial denitrifying communities to acidic environments. The main conclusions to be drawn are as follows. Total gaseous emissions to the atmosphere (N2O, NO and N2) have repeatedly been shown to be less in acidic than in neutral or slightly alkaline soils. This may be attributable to smaller amounts of organic carbon and mineral nitrogen available to the denitrifying population under acid conditions rather than a direct effect of low pH on denitrification enzymes. Numerous laboratory and field studies have demonstrated that the ratio N2O:N2 is increased when the pH of soils is reduced. The relation between soil pH and potential denitrification as determined by various incubation methods remains unclear, results being influenced both by original conditions in soil samples and by unknown changes during incubation. The concept of an optimum pH for denitrification has been frequently proposed, but such a term has little or no meaning without reference to specific attributes of the process.","container-title":"European Journal of Soil Science","DOI":"10.1046/j.1365-2389.2002.00461.x","ISSN":"1365-2389","issue":"3","language":"en","note":"_eprint: https://onlinelibrary.wiley.com/doi/pdf/10.1046/j.1365-2389.2002.00461.x","page":"345-354","source":"Wiley Online Library","title":"The influence of soil pH on denitrification: progress towards the understanding of this interaction over the last 50 years","title-short":"The influence of soil pH on denitrification","volume":"53","author":[{"family":"ŠImek","given":"M."},{"family":"Cooper","given":"J. E."}],"issued":{"date-parts":[["2002"]]}}}],"schema":"https://github.com/citation-style-language/schema/raw/master/csl-citation.json"} </w:instrText>
      </w:r>
      <w:r w:rsidRPr="00890723">
        <w:rPr>
          <w:szCs w:val="24"/>
        </w:rPr>
        <w:fldChar w:fldCharType="separate"/>
      </w:r>
      <w:r w:rsidRPr="00890723">
        <w:rPr>
          <w:rFonts w:cs="Times New Roman"/>
          <w:kern w:val="0"/>
          <w:szCs w:val="24"/>
        </w:rPr>
        <w:t>(ŠImek &amp; Cooper, 2002)</w:t>
      </w:r>
      <w:r w:rsidRPr="00890723">
        <w:rPr>
          <w:szCs w:val="24"/>
        </w:rPr>
        <w:fldChar w:fldCharType="end"/>
      </w:r>
      <w:r w:rsidRPr="00890723">
        <w:rPr>
          <w:szCs w:val="24"/>
        </w:rPr>
        <w:t>, yet high pH negatively impacts the final reduction of N</w:t>
      </w:r>
      <w:r w:rsidRPr="00890723">
        <w:rPr>
          <w:szCs w:val="24"/>
          <w:vertAlign w:val="subscript"/>
        </w:rPr>
        <w:t>2</w:t>
      </w:r>
      <w:r w:rsidRPr="00890723">
        <w:rPr>
          <w:szCs w:val="24"/>
        </w:rPr>
        <w:t>O to N</w:t>
      </w:r>
      <w:r w:rsidRPr="00890723">
        <w:rPr>
          <w:szCs w:val="24"/>
          <w:vertAlign w:val="subscript"/>
        </w:rPr>
        <w:t>2</w:t>
      </w:r>
      <w:r w:rsidRPr="00890723">
        <w:rPr>
          <w:szCs w:val="24"/>
        </w:rPr>
        <w:t xml:space="preserve"> by damaging the necessary enzyme </w:t>
      </w:r>
      <w:r w:rsidRPr="00890723">
        <w:rPr>
          <w:szCs w:val="24"/>
        </w:rPr>
        <w:fldChar w:fldCharType="begin"/>
      </w:r>
      <w:r w:rsidR="003C7682">
        <w:rPr>
          <w:szCs w:val="24"/>
        </w:rPr>
        <w:instrText xml:space="preserve"> ADDIN ZOTERO_ITEM CSL_CITATION {"citationID":"DRBHV53x","properties":{"formattedCitation":"(Y. Wang et al., 2018)","plainCitation":"(Y. Wang et al., 2018)","noteIndex":0},"citationItems":[{"id":2285,"uris":["http://zotero.org/groups/5631027/items/JGMXTFGP"],"itemData":{"id":2285,"type":"article-journal","abstract":"Nitrous oxide (N2O) is a greenhouse gas that also plays the primary role in stratospheric ozone depletion. The use of nitrogen fertilizers is known as the major reason for atmospheric N2O increase. Empirical bottom-up models therefore estimate agricultural N2O inventories using N loading as the sole predictor, disregarding the regional heterogeneities in soil inherent response to external N loading. Several environmental factors have been found to influence the response in soil N2O emission to N fertilization, but their interdependence and relative importance have not been addressed properly. Here, we show that soil pH is the chief factor explaining regional disparities in N2O emission, using a global meta-analysis of 1,104 field measurements. The emission factor (EF) of N2O increases significantly (p &lt; .001) with soil pH decrease. The default EF value of 1.0%, according to IPCC (Intergovernmental Panel on Climate Change) for agricultural soils, occurs at soil pH 6.76. Moreover, changes in EF with N fertilization (i.e. ΔEF) is also negatively correlated (p &lt; .001) with soil pH. This indicates that N2O emission in acidic soils is more sensitive to changing N fertilization than that in alkaline soils. Incorporating our findings into bottom-up models has significant consequences for regional and global N2O emission inventories and reconciling them with those from top-down models. Moreover, our results allow region-specific development of tailor-made N2O mitigation measures in agriculture.","container-title":"Global Change Biology","DOI":"10.1111/gcb.13966","ISSN":"1365-2486","issue":"2","language":"en","license":"© 2017 John Wiley &amp; Sons Ltd","note":"_eprint: https://onlinelibrary.wiley.com/doi/pdf/10.1111/gcb.13966","page":"e617-e626","source":"Wiley Online Library","title":"Soil pH as the chief modifier for regional nitrous oxide emissions: New evidence and implications for global estimates and mitigation","title-short":"Soil pH as the chief modifier for regional nitrous oxide emissions","volume":"24","author":[{"family":"Wang","given":"Yajing"},{"family":"Guo","given":"Jingheng"},{"family":"Vogt","given":"Rolf David"},{"family":"Mulder","given":"Jan"},{"family":"Wang","given":"Jingguo"},{"family":"Zhang","given":"Xiaoshan"}],"issued":{"date-parts":[["2018"]]}}}],"schema":"https://github.com/citation-style-language/schema/raw/master/csl-citation.json"} </w:instrText>
      </w:r>
      <w:r w:rsidRPr="00890723">
        <w:rPr>
          <w:szCs w:val="24"/>
        </w:rPr>
        <w:fldChar w:fldCharType="separate"/>
      </w:r>
      <w:r w:rsidRPr="00890723">
        <w:rPr>
          <w:rFonts w:cs="Times New Roman"/>
          <w:szCs w:val="24"/>
        </w:rPr>
        <w:t>(Y. Wang et al., 2018)</w:t>
      </w:r>
      <w:r w:rsidRPr="00890723">
        <w:rPr>
          <w:szCs w:val="24"/>
        </w:rPr>
        <w:fldChar w:fldCharType="end"/>
      </w:r>
      <w:r w:rsidRPr="00890723">
        <w:rPr>
          <w:szCs w:val="24"/>
        </w:rPr>
        <w:t>. As a result, emissions of N</w:t>
      </w:r>
      <w:r w:rsidRPr="00890723">
        <w:rPr>
          <w:szCs w:val="24"/>
          <w:vertAlign w:val="subscript"/>
        </w:rPr>
        <w:t>2</w:t>
      </w:r>
      <w:r w:rsidRPr="00890723">
        <w:rPr>
          <w:szCs w:val="24"/>
        </w:rPr>
        <w:t xml:space="preserve">O via this pathway are negatively correlated with pH </w:t>
      </w:r>
      <w:r w:rsidRPr="00890723">
        <w:rPr>
          <w:szCs w:val="24"/>
        </w:rPr>
        <w:fldChar w:fldCharType="begin"/>
      </w:r>
      <w:r w:rsidR="003C7682">
        <w:rPr>
          <w:szCs w:val="24"/>
        </w:rPr>
        <w:instrText xml:space="preserve"> ADDIN ZOTERO_ITEM CSL_CITATION {"citationID":"5JfrrXgz","properties":{"formattedCitation":"(Hu et al., 2015; \\uc0\\u352{}Imek &amp; Cooper, 2002)","plainCitation":"(Hu et al., 2015; ŠImek &amp; Cooper, 2002)","noteIndex":0},"citationItems":[{"id":3327,"uris":["http://zotero.org/groups/5631027/items/DSFJI6LY"],"itemData":{"id":3327,"type":"article-journal","abstract":"The continuous increase of the greenhouse gas nitrous oxide (N2O) in the atmosphere due to increasing anthropogenic nitrogen input in agriculture has become a global concern. In recent years, identification of the microbial assemblages responsible for soil N2O production has substantially advanced with the development of molecular technologies and the discoveries of novel functional guilds and new types of metabolism. However, few practical tools are available to effectively reduce in situ soil N2O flux. Combating the negative impacts of increasing N2O fluxes poses considerable challenges and will be ineffective without successfully incorporating microbially regulated N2O processes into ecosystem modeling and mitigation strategies. Here, we synthesize the latest knowledge of (i) the key microbial pathways regulating N2O production and consumption processes in terrestrial ecosystems and the critical environmental factors influencing their occurrence, and (ii) the relative contributions of major biological pathways to soil N2O emissions by analyzing available natural isotopic signatures of N2O and by using stable isotope enrichment and inhibition techniques. We argue that it is urgently necessary to incorporate microbial traits into biogeochemical ecosystem modeling in order to increase the estimation reliability of N2O emissions. We further propose a molecular methodology oriented framework from gene to ecosystem scales for more robust prediction and mitigation of future N2O emissions.","container-title":"FEMS Microbiology Reviews","DOI":"10.1093/femsre/fuv021","ISSN":"0168-6445","issue":"5","journalAbbreviation":"FEMS Microbiology Reviews","page":"729-749","source":"Silverchair","title":"Microbial regulation of terrestrial nitrous oxide formation: understanding the biological pathways for prediction of emission rates","title-short":"Microbial regulation of terrestrial nitrous oxide formation","volume":"39","author":[{"family":"Hu","given":"Hang-Wei"},{"family":"Chen","given":"Deli"},{"family":"He","given":"Ji-Zheng"}],"issued":{"date-parts":[["2015",9,1]]}}},{"id":1513,"uris":["http://zotero.org/groups/4573874/items/6A7TX5C2"],"itemData":{"id":1513,"type":"article-journal","abstract":"Results from the pioneering research on the interactions between pH and denitrification in soil from the 1950s to the present are reviewed, the changing perceptions of this complex relationship are discussed, and the current status of the subject is assessed. Facets of this relationship that are analysed in detail include the direct or indirect influence of pH on overall denitrification rates in soils, changes in the composition of gaseous products that depend on pH, methods for measuring the process, the concept of an optimum pH for denitrification, and the adaptation of microbial denitrifying communities to acidic environments. The main conclusions to be drawn are as follows. Total gaseous emissions to the atmosphere (N2O, NO and N2) have repeatedly been shown to be less in acidic than in neutral or slightly alkaline soils. This may be attributable to smaller amounts of organic carbon and mineral nitrogen available to the denitrifying population under acid conditions rather than a direct effect of low pH on denitrification enzymes. Numerous laboratory and field studies have demonstrated that the ratio N2O:N2 is increased when the pH of soils is reduced. The relation between soil pH and potential denitrification as determined by various incubation methods remains unclear, results being influenced both by original conditions in soil samples and by unknown changes during incubation. The concept of an optimum pH for denitrification has been frequently proposed, but such a term has little or no meaning without reference to specific attributes of the process.","container-title":"European Journal of Soil Science","DOI":"10.1046/j.1365-2389.2002.00461.x","ISSN":"1365-2389","issue":"3","language":"en","note":"_eprint: https://onlinelibrary.wiley.com/doi/pdf/10.1046/j.1365-2389.2002.00461.x","page":"345-354","source":"Wiley Online Library","title":"The influence of soil pH on denitrification: progress towards the understanding of this interaction over the last 50 years","title-short":"The influence of soil pH on denitrification","volume":"53","author":[{"family":"ŠImek","given":"M."},{"family":"Cooper","given":"J. E."}],"issued":{"date-parts":[["2002"]]}}}],"schema":"https://github.com/citation-style-language/schema/raw/master/csl-citation.json"} </w:instrText>
      </w:r>
      <w:r w:rsidRPr="00890723">
        <w:rPr>
          <w:szCs w:val="24"/>
        </w:rPr>
        <w:fldChar w:fldCharType="separate"/>
      </w:r>
      <w:r w:rsidRPr="00890723">
        <w:rPr>
          <w:rFonts w:cs="Times New Roman"/>
          <w:kern w:val="0"/>
          <w:szCs w:val="24"/>
        </w:rPr>
        <w:t>(Hu et al., 2015; ŠImek &amp; Cooper, 2002)</w:t>
      </w:r>
      <w:r w:rsidRPr="00890723">
        <w:rPr>
          <w:szCs w:val="24"/>
        </w:rPr>
        <w:fldChar w:fldCharType="end"/>
      </w:r>
      <w:r w:rsidRPr="00890723">
        <w:rPr>
          <w:szCs w:val="24"/>
        </w:rPr>
        <w:t>.</w:t>
      </w:r>
    </w:p>
    <w:p w14:paraId="424D4A26" w14:textId="69B95456" w:rsidR="00032567" w:rsidRPr="00890723" w:rsidRDefault="00032567" w:rsidP="001B567A">
      <w:pPr>
        <w:spacing w:after="0" w:line="480" w:lineRule="auto"/>
        <w:rPr>
          <w:szCs w:val="24"/>
        </w:rPr>
      </w:pPr>
      <w:r w:rsidRPr="00890723">
        <w:rPr>
          <w:szCs w:val="24"/>
        </w:rPr>
        <w:t xml:space="preserve">Finally, some nitrifiers (namely AOB) contain nitrogen reducing functional genes in addition to their nitrification-related oxidizing genes, allowing them to perform a specialized process of denitrification under anaerobic conditions. This process is termed nitrifier denitrification, and differs from the heterotrophic denitrification pathway in that it does not involve nitrate, but rather begins the reduction process with nitrite produced by nitrification directly to nitric oxide </w:t>
      </w:r>
      <w:r w:rsidRPr="00890723">
        <w:rPr>
          <w:szCs w:val="24"/>
        </w:rPr>
        <w:fldChar w:fldCharType="begin"/>
      </w:r>
      <w:r w:rsidR="00950694">
        <w:rPr>
          <w:szCs w:val="24"/>
        </w:rPr>
        <w:instrText xml:space="preserve"> ADDIN ZOTERO_ITEM CSL_CITATION {"citationID":"PA76LlOb","properties":{"formattedCitation":"(Butterbach-Bahl et al., 2013)","plainCitation":"(Butterbach-Bahl et al., 2013)","noteIndex":0},"citationItems":[{"id":1313,"uris":["http://zotero.org/groups/4573874/items/5DUZFISM"],"itemData":{"id":1313,"type":"article-journal","abstract":"Although it is well established that soils are the dominating source for atmospheric nitrous oxide (N2O), we are still struggling to fully understand the complexity of the underlying microbial production and consumption processes and the links to biotic (e.g. inter- and intraspecies competition, food webs, plant–microbe interaction) and abiotic (e.g. soil climate, physics and chemistry) factors. Recent work shows that a better understanding of the composition and diversity of the microbial community across a variety of soils in different climates and under different land use, as well as plant–microbe interactions in the rhizosphere, may provide a key to better understand the variability of N2O fluxes at the soil–atmosphere interface. Moreover, recent insights into the regulation of the reduction of N2O to dinitrogen (N2) have increased our understanding of N2O exchange. This improved process understanding, building on the increased use of isotope tracing techniques and metagenomics, needs to go along with improvements in measurement techniques for N2O (and N2) emission in order to obtain robust field and laboratory datasets for different ecosystem types. Advances in both fields are currently used to improve process descriptions in biogeochemical models, which may eventually be used not only to test our current process understanding from the microsite to the field level, but also used as tools for up-scaling emissions to landscapes and regions and to explore feedbacks of soil N2O emissions to changes in environmental conditions, land management and land use.","container-title":"Philosophical Transactions of the Royal Society B: Biological Sciences","DOI":"10.1098/rstb.2013.0122","issue":"1621","note":"publisher: Royal Society","page":"20130122","source":"royalsocietypublishing.org (Atypon)","title":"Nitrous oxide emissions from soils: how well do we understand the processes and their controls?","title-short":"Nitrous oxide emissions from soils","volume":"368","author":[{"family":"Butterbach-Bahl","given":"Klaus"},{"family":"Baggs","given":"Elizabeth M."},{"family":"Dannenmann","given":"Michael"},{"family":"Kiese","given":"Ralf"},{"family":"Zechmeister-Boltenstern","given":"Sophie"}],"issued":{"date-parts":[["2013",7,5]]}}}],"schema":"https://github.com/citation-style-language/schema/raw/master/csl-citation.json"} </w:instrText>
      </w:r>
      <w:r w:rsidRPr="00890723">
        <w:rPr>
          <w:szCs w:val="24"/>
        </w:rPr>
        <w:fldChar w:fldCharType="separate"/>
      </w:r>
      <w:r w:rsidR="00950694" w:rsidRPr="00950694">
        <w:rPr>
          <w:rFonts w:cs="Times New Roman"/>
        </w:rPr>
        <w:t>(Butterbach-Bahl et al., 2013)</w:t>
      </w:r>
      <w:r w:rsidRPr="00890723">
        <w:rPr>
          <w:szCs w:val="24"/>
        </w:rPr>
        <w:fldChar w:fldCharType="end"/>
      </w:r>
      <w:r w:rsidRPr="00890723">
        <w:rPr>
          <w:szCs w:val="24"/>
        </w:rPr>
        <w:t xml:space="preserve">. This metabolic pathway is autotrophic, meaning that in contrast to traditional denitrification it is not limited by low carbon availability </w:t>
      </w:r>
      <w:r w:rsidRPr="00890723">
        <w:rPr>
          <w:szCs w:val="24"/>
        </w:rPr>
        <w:fldChar w:fldCharType="begin"/>
      </w:r>
      <w:r w:rsidR="003C7682">
        <w:rPr>
          <w:szCs w:val="24"/>
        </w:rPr>
        <w:instrText xml:space="preserve"> ADDIN ZOTERO_ITEM CSL_CITATION {"citationID":"TgU6kfd0","properties":{"formattedCitation":"(Wrage-M\\uc0\\u246{}nnig et al., 2018)","plainCitation":"(Wrage-Mönnig et al., 2018)","noteIndex":0},"citationItems":[{"id":2047,"uris":["http://zotero.org/groups/5631027/items/HSDATYGF"],"itemData":{"id":2047,"type":"article-journal","abstract":"Nitrifier denitrification is the reduction of nitrite (NO2−) by ammonia-oxidizing bacteria. This process may account for up to 100% of nitrous oxide (N2O) emissions from ammonium (NH4+) in soils and is more significant than classical denitrification under some conditions. Investigations of nitrifier denitrification have expanded in the last decade but many aspects are still not understood. In this review, we revisit our 2001 paper, present a comprehensive summary of current knowledge concerning nitrifier denitrification, and identify the many research needs. Nitrifier denitrification can be distinguished from other routes of N2O production using isotopic methods: either isotopomer techniques or a combination of 15N and 18O tracers. Our understanding of the regulation and conditions favouring nitrifier denitrification has improved over the last decade as a result of adopting molecular and modelling approaches. Environments low in oxygen, and especially those with fluctuating aerobic-anaerobic conditions, promote N2O production by nitrifier denitrification. Also, large NO2− concentrations, which often arise following inputs of ammonium or urea, may be linked to changes in aerobicity and high pH and favour nitrifier denitrification. The effects of temperature and carbon contents on nitrifier denitrification are incompletely understood and future research needs include: the study of pathways similar to nitrifier denitrification in archaea and nitrite oxidizers; the effects of interactions among microorganisms and between microorganism and plants; and the regulation and importance of the enzymes involved. A comparison and evaluation of the methods used for differentiating the sources of N2O is urgently needed. Furthermore, results from studies of freshwater and marine environments as well as wastewater treatment, where nitrifier denitrification is also known as nitrous aerobic denitritation (up to N2O) or aerobic denitritation (up to N2), will further advance our understanding.","container-title":"Soil Biology and Biochemistry","DOI":"10.1016/j.soilbio.2018.03.020","ISSN":"0038-0717","journalAbbreviation":"Soil Biology and Biochemistry","page":"A3-A16","source":"ScienceDirect","title":"The role of nitrifier denitrification in the production of nitrous oxide revisited","volume":"123","author":[{"family":"Wrage-Mönnig","given":"Nicole"},{"family":"Horn","given":"Marcus A."},{"family":"Well","given":"Reinhard"},{"family":"Müller","given":"Christoph"},{"family":"Velthof","given":"Gerard"},{"family":"Oenema","given":"Oene"}],"issued":{"date-parts":[["2018",8,1]]}}}],"schema":"https://github.com/citation-style-language/schema/raw/master/csl-citation.json"} </w:instrText>
      </w:r>
      <w:r w:rsidRPr="00890723">
        <w:rPr>
          <w:szCs w:val="24"/>
        </w:rPr>
        <w:fldChar w:fldCharType="separate"/>
      </w:r>
      <w:r w:rsidRPr="00890723">
        <w:rPr>
          <w:rFonts w:cs="Times New Roman"/>
          <w:kern w:val="0"/>
          <w:szCs w:val="24"/>
        </w:rPr>
        <w:t>(Wrage-Mönnig et al., 2018)</w:t>
      </w:r>
      <w:r w:rsidRPr="00890723">
        <w:rPr>
          <w:szCs w:val="24"/>
        </w:rPr>
        <w:fldChar w:fldCharType="end"/>
      </w:r>
      <w:r w:rsidRPr="00890723">
        <w:rPr>
          <w:szCs w:val="24"/>
        </w:rPr>
        <w:t>. Nitrifier denitrification also varies in that its production of N</w:t>
      </w:r>
      <w:r w:rsidRPr="00890723">
        <w:rPr>
          <w:szCs w:val="24"/>
          <w:vertAlign w:val="subscript"/>
        </w:rPr>
        <w:t>2</w:t>
      </w:r>
      <w:r w:rsidRPr="00890723">
        <w:rPr>
          <w:szCs w:val="24"/>
        </w:rPr>
        <w:t xml:space="preserve">O increases with pH, which may be related to increased nitrite accumulation in alkaline environments, providing an </w:t>
      </w:r>
      <w:r w:rsidRPr="00890723">
        <w:rPr>
          <w:szCs w:val="24"/>
        </w:rPr>
        <w:lastRenderedPageBreak/>
        <w:t>abundance of substrate for the reduction of nitrate to N</w:t>
      </w:r>
      <w:r w:rsidRPr="00890723">
        <w:rPr>
          <w:szCs w:val="24"/>
          <w:vertAlign w:val="subscript"/>
        </w:rPr>
        <w:t>2</w:t>
      </w:r>
      <w:r w:rsidRPr="00890723">
        <w:rPr>
          <w:szCs w:val="24"/>
        </w:rPr>
        <w:t xml:space="preserve">O </w:t>
      </w:r>
      <w:r w:rsidRPr="00890723">
        <w:rPr>
          <w:szCs w:val="24"/>
        </w:rPr>
        <w:fldChar w:fldCharType="begin"/>
      </w:r>
      <w:r w:rsidR="003C7682">
        <w:rPr>
          <w:szCs w:val="24"/>
        </w:rPr>
        <w:instrText xml:space="preserve"> ADDIN ZOTERO_ITEM CSL_CITATION {"citationID":"DbsWNI88","properties":{"formattedCitation":"(Smith, 2017; Tierling &amp; Kuhlmann, 2018)","plainCitation":"(Smith, 2017; Tierling &amp; Kuhlmann, 2018)","noteIndex":0},"citationItems":[{"id":1923,"uris":["http://zotero.org/groups/5631027/items/L5F4M7F9"],"itemData":{"id":1923,"type":"article-journal","abstract":"Nitrous oxide, N2O, is the third most important of the long-lived greenhouse gases, in terms of its contribution to global warming, and is expected to be the dominant cause of stratospheric ozone depletion this century. The concentration of N2O in the atmosphere was fairly constant until the beginning of the industrial age, but has gone up by 20% since. This is because of increased anthropogenic emissions, of which about 60% come from agricultural soil. The cause is the increased use of synthetic fertilizer nitrogen globally to meet the demands for increased production of food and biofuels. This review examines the isotopic evidence for this role of fertilizer N, the main mechanisms for microbial production of N2O in soil, the key soil physical and other variables that greatly affect the magnitude of emissions, and the spatial and temporal variation in emissions and the associated problems of measurement. The review also considers the methodology devised by the Intergovernmental Panel on Climate Change (IPCC) to enable countries to compile national inventories of their emissions, direct and indirect, that arise from anthropogenic activity related to agriculture and land use. This methodology also enables modellers to make ‘bottom-up’ global estimates of N2O emissions. These estimates agree quite well at the global scale with ‘top-down’ estimates based on the relation between reactive nitrogen newly introduced into agricultural ecosystems and increases in the global atmospheric concentration of N2O, but not with some recent regional-scale emission measurements. The discrepancy may be related to problems of estimating indirect emissions. Top-down estimates indicate that N2O emissions from crop-based biofuels are too great to comply with national and international environmental regulations. Finally, possible future trends in emissions and possible mitigation measures are discussed. Highlights Evidence for increasing N2O in the atmosphere suggests it is caused by fertilizer N use. Agreements and inconsistencies in assessments of N2O emissions are considered. The main cause of increasing N2O is the use of synthetic N fertilizers on agricultural soil worldwide. Indirect emissions from waters receiving leached N may be a major cause of assessment uncertainties.","container-title":"European Journal of Soil Science","DOI":"10.1111/ejss.12409","ISSN":"1365-2389","issue":"2","language":"en","license":"© 2017 British Society of Soil Science","note":"_eprint: https://onlinelibrary.wiley.com/doi/pdf/10.1111/ejss.12409","page":"137-155","source":"Wiley Online Library","title":"Changing views of nitrous oxide emissions from agricultural soil: key controlling processes and assessment at different spatial scales","title-short":"Changing views of nitrous oxide emissions from agricultural soil","volume":"68","author":[{"family":"Smith","given":"K. A."}],"issued":{"date-parts":[["2017"]]}}},{"id":3393,"uris":["http://zotero.org/groups/5631027/items/4ZWFF7BJ"],"itemData":{"id":3393,"type":"article-journal","abstract":"The potential of nitrogen (N) fertilizer forms to mitigate N2O emissions from agricultural fields is not very well understood. It is known that both reduced and oxidized N forms can be beneficial, depending on site-specific edaphic and climatic conditions. In the present study four laboratory incubation experiments were conducted under conditions that should minimize denitrification to investigate N2O emissions during the nitrification of solid N fertilizers. It was found that on two loamy sand soils with pH values slightly above pH5, urea caused 2.7–3.8 fold higher cumulative N2O emissions than ammonium sulphate (AS). N2O emission rates from urea were accompanied by elevated soil nitrite levels, while those of AS were not. The direct addition of a NaNO2 solution revealed an exponential relationship between soil nitrite levels and cumulative N2O emissions, indicating that soil nitrite induces N2O emissions, probably by nitrite reduction via nitrifier denitrification. When the soil pH was increased to 6.3 (soil from a long-term liming experiment) nitrite accumulation during nitrification was observed for both N forms. Cumulative N2O emissions did not differ between N forms on the latter soil, but N2O emission kinetics were faster for urea. Cumulative N2O emissions from AS at soil pH6.3 were significantly higher than those of AS at pH values around 5. It was concluded that i) nitrite accumulation during nitrification of reduced N fertilizer forms can significantly contribute to N2O emissions under non-denitrifying conditions, ii) the risk of nitrite accumulation increases with higher soil pH values, and iii) that the alkalizing hydrolysis of urea increases the risk of nitrite accumulation and thus higher N2O emissions as well. This mechanism would explain why urea causes higher N2O emissions than fertilizers in the form of ammonium salts.","container-title":"Geoderma","DOI":"10.1016/j.geoderma.2017.08.040","ISSN":"0016-7061","journalAbbreviation":"Geoderma","page":"12-21","source":"ScienceDirect","title":"Emissions of nitrous oxide (N2O) affected by pH-related nitrite accumulation during nitrification of N fertilizers","volume":"310","author":[{"family":"Tierling","given":"Jens"},{"family":"Kuhlmann","given":"Hermann"}],"issued":{"date-parts":[["2018",1,15]]}}}],"schema":"https://github.com/citation-style-language/schema/raw/master/csl-citation.json"} </w:instrText>
      </w:r>
      <w:r w:rsidRPr="00890723">
        <w:rPr>
          <w:szCs w:val="24"/>
        </w:rPr>
        <w:fldChar w:fldCharType="separate"/>
      </w:r>
      <w:r w:rsidRPr="00890723">
        <w:rPr>
          <w:rFonts w:cs="Times New Roman"/>
          <w:szCs w:val="24"/>
        </w:rPr>
        <w:t>(Smith, 2017; Tierling &amp; Kuhlmann, 2018)</w:t>
      </w:r>
      <w:r w:rsidRPr="00890723">
        <w:rPr>
          <w:szCs w:val="24"/>
        </w:rPr>
        <w:fldChar w:fldCharType="end"/>
      </w:r>
      <w:r w:rsidRPr="00890723">
        <w:rPr>
          <w:szCs w:val="24"/>
        </w:rPr>
        <w:t>. While not strictly anaerobic, as evidence has shown nitrifier denitrification to be a substantial contributor to N</w:t>
      </w:r>
      <w:r w:rsidRPr="00890723">
        <w:rPr>
          <w:szCs w:val="24"/>
          <w:vertAlign w:val="subscript"/>
        </w:rPr>
        <w:t>2</w:t>
      </w:r>
      <w:r w:rsidRPr="00890723">
        <w:rPr>
          <w:szCs w:val="24"/>
        </w:rPr>
        <w:t xml:space="preserve">O emissions in aerobic soils </w:t>
      </w:r>
      <w:r w:rsidRPr="00890723">
        <w:rPr>
          <w:szCs w:val="24"/>
        </w:rPr>
        <w:fldChar w:fldCharType="begin"/>
      </w:r>
      <w:r w:rsidR="00950694">
        <w:rPr>
          <w:szCs w:val="24"/>
        </w:rPr>
        <w:instrText xml:space="preserve"> ADDIN ZOTERO_ITEM CSL_CITATION {"citationID":"krVLwrhK","properties":{"formattedCitation":"(Butterbach-Bahl et al., 2013)","plainCitation":"(Butterbach-Bahl et al., 2013)","noteIndex":0},"citationItems":[{"id":1313,"uris":["http://zotero.org/groups/4573874/items/5DUZFISM"],"itemData":{"id":1313,"type":"article-journal","abstract":"Although it is well established that soils are the dominating source for atmospheric nitrous oxide (N2O), we are still struggling to fully understand the complexity of the underlying microbial production and consumption processes and the links to biotic (e.g. inter- and intraspecies competition, food webs, plant–microbe interaction) and abiotic (e.g. soil climate, physics and chemistry) factors. Recent work shows that a better understanding of the composition and diversity of the microbial community across a variety of soils in different climates and under different land use, as well as plant–microbe interactions in the rhizosphere, may provide a key to better understand the variability of N2O fluxes at the soil–atmosphere interface. Moreover, recent insights into the regulation of the reduction of N2O to dinitrogen (N2) have increased our understanding of N2O exchange. This improved process understanding, building on the increased use of isotope tracing techniques and metagenomics, needs to go along with improvements in measurement techniques for N2O (and N2) emission in order to obtain robust field and laboratory datasets for different ecosystem types. Advances in both fields are currently used to improve process descriptions in biogeochemical models, which may eventually be used not only to test our current process understanding from the microsite to the field level, but also used as tools for up-scaling emissions to landscapes and regions and to explore feedbacks of soil N2O emissions to changes in environmental conditions, land management and land use.","container-title":"Philosophical Transactions of the Royal Society B: Biological Sciences","DOI":"10.1098/rstb.2013.0122","issue":"1621","note":"publisher: Royal Society","page":"20130122","source":"royalsocietypublishing.org (Atypon)","title":"Nitrous oxide emissions from soils: how well do we understand the processes and their controls?","title-short":"Nitrous oxide emissions from soils","volume":"368","author":[{"family":"Butterbach-Bahl","given":"Klaus"},{"family":"Baggs","given":"Elizabeth M."},{"family":"Dannenmann","given":"Michael"},{"family":"Kiese","given":"Ralf"},{"family":"Zechmeister-Boltenstern","given":"Sophie"}],"issued":{"date-parts":[["2013",7,5]]}}}],"schema":"https://github.com/citation-style-language/schema/raw/master/csl-citation.json"} </w:instrText>
      </w:r>
      <w:r w:rsidRPr="00890723">
        <w:rPr>
          <w:szCs w:val="24"/>
        </w:rPr>
        <w:fldChar w:fldCharType="separate"/>
      </w:r>
      <w:r w:rsidR="00950694" w:rsidRPr="00950694">
        <w:rPr>
          <w:rFonts w:cs="Times New Roman"/>
        </w:rPr>
        <w:t>(Butterbach-Bahl et al., 2013)</w:t>
      </w:r>
      <w:r w:rsidRPr="00890723">
        <w:rPr>
          <w:szCs w:val="24"/>
        </w:rPr>
        <w:fldChar w:fldCharType="end"/>
      </w:r>
      <w:r w:rsidRPr="00890723">
        <w:rPr>
          <w:szCs w:val="24"/>
        </w:rPr>
        <w:t xml:space="preserve">, this pathway is nonetheless greatly accelerated by low- though not zero- oxygen availability </w:t>
      </w:r>
      <w:r w:rsidRPr="00890723">
        <w:rPr>
          <w:szCs w:val="24"/>
        </w:rPr>
        <w:fldChar w:fldCharType="begin"/>
      </w:r>
      <w:r w:rsidR="003C7682">
        <w:rPr>
          <w:szCs w:val="24"/>
        </w:rPr>
        <w:instrText xml:space="preserve"> ADDIN ZOTERO_ITEM CSL_CITATION {"citationID":"zLgctwyK","properties":{"formattedCitation":"(Hu et al., 2015; Smith, 2017; Wrage-M\\uc0\\u246{}nnig et al., 2018)","plainCitation":"(Hu et al., 2015; Smith, 2017; Wrage-Mönnig et al., 2018)","noteIndex":0},"citationItems":[{"id":3327,"uris":["http://zotero.org/groups/5631027/items/DSFJI6LY"],"itemData":{"id":3327,"type":"article-journal","abstract":"The continuous increase of the greenhouse gas nitrous oxide (N2O) in the atmosphere due to increasing anthropogenic nitrogen input in agriculture has become a global concern. In recent years, identification of the microbial assemblages responsible for soil N2O production has substantially advanced with the development of molecular technologies and the discoveries of novel functional guilds and new types of metabolism. However, few practical tools are available to effectively reduce in situ soil N2O flux. Combating the negative impacts of increasing N2O fluxes poses considerable challenges and will be ineffective without successfully incorporating microbially regulated N2O processes into ecosystem modeling and mitigation strategies. Here, we synthesize the latest knowledge of (i) the key microbial pathways regulating N2O production and consumption processes in terrestrial ecosystems and the critical environmental factors influencing their occurrence, and (ii) the relative contributions of major biological pathways to soil N2O emissions by analyzing available natural isotopic signatures of N2O and by using stable isotope enrichment and inhibition techniques. We argue that it is urgently necessary to incorporate microbial traits into biogeochemical ecosystem modeling in order to increase the estimation reliability of N2O emissions. We further propose a molecular methodology oriented framework from gene to ecosystem scales for more robust prediction and mitigation of future N2O emissions.","container-title":"FEMS Microbiology Reviews","DOI":"10.1093/femsre/fuv021","ISSN":"0168-6445","issue":"5","journalAbbreviation":"FEMS Microbiology Reviews","page":"729-749","source":"Silverchair","title":"Microbial regulation of terrestrial nitrous oxide formation: understanding the biological pathways for prediction of emission rates","title-short":"Microbial regulation of terrestrial nitrous oxide formation","volume":"39","author":[{"family":"Hu","given":"Hang-Wei"},{"family":"Chen","given":"Deli"},{"family":"He","given":"Ji-Zheng"}],"issued":{"date-parts":[["2015",9,1]]}}},{"id":1923,"uris":["http://zotero.org/groups/5631027/items/L5F4M7F9"],"itemData":{"id":1923,"type":"article-journal","abstract":"Nitrous oxide, N2O, is the third most important of the long-lived greenhouse gases, in terms of its contribution to global warming, and is expected to be the dominant cause of stratospheric ozone depletion this century. The concentration of N2O in the atmosphere was fairly constant until the beginning of the industrial age, but has gone up by 20% since. This is because of increased anthropogenic emissions, of which about 60% come from agricultural soil. The cause is the increased use of synthetic fertilizer nitrogen globally to meet the demands for increased production of food and biofuels. This review examines the isotopic evidence for this role of fertilizer N, the main mechanisms for microbial production of N2O in soil, the key soil physical and other variables that greatly affect the magnitude of emissions, and the spatial and temporal variation in emissions and the associated problems of measurement. The review also considers the methodology devised by the Intergovernmental Panel on Climate Change (IPCC) to enable countries to compile national inventories of their emissions, direct and indirect, that arise from anthropogenic activity related to agriculture and land use. This methodology also enables modellers to make ‘bottom-up’ global estimates of N2O emissions. These estimates agree quite well at the global scale with ‘top-down’ estimates based on the relation between reactive nitrogen newly introduced into agricultural ecosystems and increases in the global atmospheric concentration of N2O, but not with some recent regional-scale emission measurements. The discrepancy may be related to problems of estimating indirect emissions. Top-down estimates indicate that N2O emissions from crop-based biofuels are too great to comply with national and international environmental regulations. Finally, possible future trends in emissions and possible mitigation measures are discussed. Highlights Evidence for increasing N2O in the atmosphere suggests it is caused by fertilizer N use. Agreements and inconsistencies in assessments of N2O emissions are considered. The main cause of increasing N2O is the use of synthetic N fertilizers on agricultural soil worldwide. Indirect emissions from waters receiving leached N may be a major cause of assessment uncertainties.","container-title":"European Journal of Soil Science","DOI":"10.1111/ejss.12409","ISSN":"1365-2389","issue":"2","language":"en","license":"© 2017 British Society of Soil Science","note":"_eprint: https://onlinelibrary.wiley.com/doi/pdf/10.1111/ejss.12409","page":"137-155","source":"Wiley Online Library","title":"Changing views of nitrous oxide emissions from agricultural soil: key controlling processes and assessment at different spatial scales","title-short":"Changing views of nitrous oxide emissions from agricultural soil","volume":"68","author":[{"family":"Smith","given":"K. A."}],"issued":{"date-parts":[["2017"]]}}},{"id":2047,"uris":["http://zotero.org/groups/5631027/items/HSDATYGF"],"itemData":{"id":2047,"type":"article-journal","abstract":"Nitrifier denitrification is the reduction of nitrite (NO2−) by ammonia-oxidizing bacteria. This process may account for up to 100% of nitrous oxide (N2O) emissions from ammonium (NH4+) in soils and is more significant than classical denitrification under some conditions. Investigations of nitrifier denitrification have expanded in the last decade but many aspects are still not understood. In this review, we revisit our 2001 paper, present a comprehensive summary of current knowledge concerning nitrifier denitrification, and identify the many research needs. Nitrifier denitrification can be distinguished from other routes of N2O production using isotopic methods: either isotopomer techniques or a combination of 15N and 18O tracers. Our understanding of the regulation and conditions favouring nitrifier denitrification has improved over the last decade as a result of adopting molecular and modelling approaches. Environments low in oxygen, and especially those with fluctuating aerobic-anaerobic conditions, promote N2O production by nitrifier denitrification. Also, large NO2− concentrations, which often arise following inputs of ammonium or urea, may be linked to changes in aerobicity and high pH and favour nitrifier denitrification. The effects of temperature and carbon contents on nitrifier denitrification are incompletely understood and future research needs include: the study of pathways similar to nitrifier denitrification in archaea and nitrite oxidizers; the effects of interactions among microorganisms and between microorganism and plants; and the regulation and importance of the enzymes involved. A comparison and evaluation of the methods used for differentiating the sources of N2O is urgently needed. Furthermore, results from studies of freshwater and marine environments as well as wastewater treatment, where nitrifier denitrification is also known as nitrous aerobic denitritation (up to N2O) or aerobic denitritation (up to N2), will further advance our understanding.","container-title":"Soil Biology and Biochemistry","DOI":"10.1016/j.soilbio.2018.03.020","ISSN":"0038-0717","journalAbbreviation":"Soil Biology and Biochemistry","page":"A3-A16","source":"ScienceDirect","title":"The role of nitrifier denitrification in the production of nitrous oxide revisited","volume":"123","author":[{"family":"Wrage-Mönnig","given":"Nicole"},{"family":"Horn","given":"Marcus A."},{"family":"Well","given":"Reinhard"},{"family":"Müller","given":"Christoph"},{"family":"Velthof","given":"Gerard"},{"family":"Oenema","given":"Oene"}],"issued":{"date-parts":[["2018",8,1]]}}}],"schema":"https://github.com/citation-style-language/schema/raw/master/csl-citation.json"} </w:instrText>
      </w:r>
      <w:r w:rsidRPr="00890723">
        <w:rPr>
          <w:szCs w:val="24"/>
        </w:rPr>
        <w:fldChar w:fldCharType="separate"/>
      </w:r>
      <w:r w:rsidRPr="00890723">
        <w:rPr>
          <w:rFonts w:cs="Times New Roman"/>
          <w:kern w:val="0"/>
          <w:szCs w:val="24"/>
        </w:rPr>
        <w:t>(Hu et al., 2015; Smith, 2017; Wrage-Mönnig et al., 2018)</w:t>
      </w:r>
      <w:r w:rsidRPr="00890723">
        <w:rPr>
          <w:szCs w:val="24"/>
        </w:rPr>
        <w:fldChar w:fldCharType="end"/>
      </w:r>
      <w:r w:rsidRPr="00890723">
        <w:rPr>
          <w:szCs w:val="24"/>
        </w:rPr>
        <w:t>.</w:t>
      </w:r>
    </w:p>
    <w:p w14:paraId="2A227A88" w14:textId="1C5A8A28" w:rsidR="00032567" w:rsidRDefault="002B4159" w:rsidP="001B567A">
      <w:pPr>
        <w:spacing w:after="0" w:line="480" w:lineRule="auto"/>
        <w:rPr>
          <w:szCs w:val="24"/>
        </w:rPr>
      </w:pPr>
      <w:r>
        <w:rPr>
          <w:szCs w:val="24"/>
        </w:rPr>
        <w:t xml:space="preserve">In summary, </w:t>
      </w:r>
      <w:r w:rsidR="000F2942">
        <w:rPr>
          <w:szCs w:val="24"/>
        </w:rPr>
        <w:t>N</w:t>
      </w:r>
      <w:r w:rsidR="000F2942">
        <w:rPr>
          <w:szCs w:val="24"/>
          <w:vertAlign w:val="subscript"/>
        </w:rPr>
        <w:t>2</w:t>
      </w:r>
      <w:r w:rsidR="000F2942">
        <w:rPr>
          <w:szCs w:val="24"/>
        </w:rPr>
        <w:t>O production is largely controlled by</w:t>
      </w:r>
      <w:r w:rsidR="00407666">
        <w:rPr>
          <w:szCs w:val="24"/>
        </w:rPr>
        <w:t xml:space="preserve"> four major</w:t>
      </w:r>
      <w:r w:rsidR="00032567" w:rsidRPr="00890723">
        <w:rPr>
          <w:szCs w:val="24"/>
        </w:rPr>
        <w:t xml:space="preserve"> factors</w:t>
      </w:r>
      <w:r>
        <w:rPr>
          <w:szCs w:val="24"/>
        </w:rPr>
        <w:t>-</w:t>
      </w:r>
      <w:r w:rsidR="00032567" w:rsidRPr="00890723">
        <w:rPr>
          <w:szCs w:val="24"/>
        </w:rPr>
        <w:t xml:space="preserve"> oxygen, nitrogen, pH, and carbon availability</w:t>
      </w:r>
      <w:r>
        <w:rPr>
          <w:szCs w:val="24"/>
        </w:rPr>
        <w:t>-</w:t>
      </w:r>
      <w:r w:rsidR="00032567" w:rsidRPr="00890723">
        <w:rPr>
          <w:szCs w:val="24"/>
        </w:rPr>
        <w:t xml:space="preserve"> </w:t>
      </w:r>
      <w:r w:rsidR="00407666">
        <w:rPr>
          <w:szCs w:val="24"/>
        </w:rPr>
        <w:t xml:space="preserve">through the various ways these factors impact </w:t>
      </w:r>
      <w:r w:rsidR="00F3106C">
        <w:rPr>
          <w:szCs w:val="24"/>
        </w:rPr>
        <w:t>microbial metabolic activity (</w:t>
      </w:r>
      <w:r w:rsidR="00F3106C" w:rsidRPr="00F3106C">
        <w:rPr>
          <w:b/>
          <w:bCs/>
          <w:szCs w:val="24"/>
        </w:rPr>
        <w:t>Table 1.1</w:t>
      </w:r>
      <w:r w:rsidR="00F3106C">
        <w:rPr>
          <w:szCs w:val="24"/>
        </w:rPr>
        <w:t>). These major controlling factors</w:t>
      </w:r>
      <w:r w:rsidR="00407666">
        <w:rPr>
          <w:szCs w:val="24"/>
        </w:rPr>
        <w:t xml:space="preserve"> </w:t>
      </w:r>
      <w:r w:rsidR="00032567" w:rsidRPr="00890723">
        <w:rPr>
          <w:szCs w:val="24"/>
        </w:rPr>
        <w:t xml:space="preserve">can also be related to specific environmental and management events, which is critical to modeling efforts </w:t>
      </w:r>
      <w:r w:rsidR="00032567" w:rsidRPr="00890723">
        <w:rPr>
          <w:szCs w:val="24"/>
        </w:rPr>
        <w:fldChar w:fldCharType="begin"/>
      </w:r>
      <w:r w:rsidR="003C7682">
        <w:rPr>
          <w:szCs w:val="24"/>
        </w:rPr>
        <w:instrText xml:space="preserve"> ADDIN ZOTERO_ITEM CSL_CITATION {"citationID":"a2injtj5s5j","properties":{"formattedCitation":"(P. Groffman et al., 1988; Wallenstein et al., 2006)","plainCitation":"(P. Groffman et al., 1988; Wallenstein et al., 2006)","noteIndex":0},"citationItems":[{"id":1509,"uris":["http://zotero.org/groups/4573874/items/3VKZZKBD"],"itemData":{"id":1509,"type":"article-journal","container-title":"Advances in nitrogen cycling in agricultural ecosystems","journalAbbreviation":"Advances in nitrogen cycling in agricultural ecosystems","note":"publisher: CAB International Wallingford, UK","page":"174-192","title":"Denitrification at different temporal and geographical scales: proximal and distal controls","author":[{"family":"Groffman","given":"Peter"},{"family":"Tiedje","given":"JM"},{"family":"Robertson","given":"GP"},{"family":"Christensen","given":"S"}],"issued":{"date-parts":[["1988"]]}}},{"id":1510,"uris":["http://zotero.org/groups/4573874/items/WUTC27X4"],"itemData":{"id":1510,"type":"article-journal","abstract":"The advent of molecular techniques has improved our understanding of the microbial communities responsible for denitrification and is beginning to address their role in controlling denitrification processes. There is a large diversity of bacteria, archaea, and fungi capable of denitrification, and their community composition is structured by long-term environmental drivers. The range of temperature and moisture conditions, substrate availability, competition, and disturbances have long-lasting legacies on denitrifier community structure. These communities may differ in physiology, environmental tolerances to pH and O2, growth rate, and enzyme kinetics. Although factors such as O2, pH, C availability, and NO3− pools affect instantaneous rates, these drivers act through the biotic community. This review summarizes the results of molecular investigations of denitrifier communities in natural environments and provides a framework for developing future research for addressing connections between denitrifier community structure and function.","container-title":"Ecological Applications","DOI":"10.1890/1051-0761(2006)016[2143:ECODCA]2.0.CO;2","ISSN":"1939-5582","issue":"6","language":"en","license":"© 2006 by the Ecological Society of America","note":"_eprint: https://onlinelibrary.wiley.com/doi/pdf/10.1890/1051-0761%282006%29016%5B2143%3AECODCA%5D2.0.CO%3B2","page":"2143-2152","source":"Wiley Online Library","title":"Environmental Controls on Denitrifying Communities and Denitrification Rates: Insights from Molecular Methods","title-short":"Environmental Controls on Denitrifying Communities and Denitrification Rates","volume":"16","author":[{"family":"Wallenstein","given":"Matthew D."},{"family":"Myrold","given":"David D."},{"family":"Firestone","given":"Mary"},{"family":"Voytek","given":"Mary"}],"issued":{"date-parts":[["2006"]]}}}],"schema":"https://github.com/citation-style-language/schema/raw/master/csl-citation.json"} </w:instrText>
      </w:r>
      <w:r w:rsidR="00032567" w:rsidRPr="00890723">
        <w:rPr>
          <w:szCs w:val="24"/>
        </w:rPr>
        <w:fldChar w:fldCharType="separate"/>
      </w:r>
      <w:r w:rsidR="003C7682" w:rsidRPr="003C7682">
        <w:rPr>
          <w:rFonts w:cs="Times New Roman"/>
          <w:kern w:val="0"/>
        </w:rPr>
        <w:t>(Groffman et al., 1988; Wallenstein et al., 2006)</w:t>
      </w:r>
      <w:r w:rsidR="00032567" w:rsidRPr="00890723">
        <w:rPr>
          <w:szCs w:val="24"/>
        </w:rPr>
        <w:fldChar w:fldCharType="end"/>
      </w:r>
      <w:r w:rsidR="00032567" w:rsidRPr="00890723">
        <w:rPr>
          <w:szCs w:val="24"/>
        </w:rPr>
        <w:t xml:space="preserve">. For example, rather than attempting to consider soil oxygen content and diffusivity across several acres to understand the dynamics of aerobic and anaerobic metabolic processes, it becomes logical to step back and use broader proxies that are simpler to measure and model. Because water inhibits gas diffusion and occupies pore space that gases otherwise would, soil moisture can be considered to be strongly negatively correlated with oxygen availability and thus used as its proxy </w:t>
      </w:r>
      <w:r w:rsidR="00032567" w:rsidRPr="00890723">
        <w:rPr>
          <w:szCs w:val="24"/>
        </w:rPr>
        <w:fldChar w:fldCharType="begin"/>
      </w:r>
      <w:r w:rsidR="003C7682">
        <w:rPr>
          <w:szCs w:val="24"/>
        </w:rPr>
        <w:instrText xml:space="preserve"> ADDIN ZOTERO_ITEM CSL_CITATION {"citationID":"ae6gupj8to","properties":{"formattedCitation":"(P. Groffman et al., 1988)","plainCitation":"(P. Groffman et al., 1988)","noteIndex":0},"citationItems":[{"id":1509,"uris":["http://zotero.org/groups/4573874/items/3VKZZKBD"],"itemData":{"id":1509,"type":"article-journal","container-title":"Advances in nitrogen cycling in agricultural ecosystems","journalAbbreviation":"Advances in nitrogen cycling in agricultural ecosystems","note":"publisher: CAB International Wallingford, UK","page":"174-192","title":"Denitrification at different temporal and geographical scales: proximal and distal controls","author":[{"family":"Groffman","given":"Peter"},{"family":"Tiedje","given":"JM"},{"family":"Robertson","given":"GP"},{"family":"Christensen","given":"S"}],"issued":{"date-parts":[["1988"]]}}}],"schema":"https://github.com/citation-style-language/schema/raw/master/csl-citation.json"} </w:instrText>
      </w:r>
      <w:r w:rsidR="00032567" w:rsidRPr="00890723">
        <w:rPr>
          <w:szCs w:val="24"/>
        </w:rPr>
        <w:fldChar w:fldCharType="separate"/>
      </w:r>
      <w:r w:rsidR="003C7682" w:rsidRPr="003C7682">
        <w:rPr>
          <w:rFonts w:cs="Times New Roman"/>
          <w:kern w:val="0"/>
        </w:rPr>
        <w:t>(Groffman et al., 1988)</w:t>
      </w:r>
      <w:r w:rsidR="00032567" w:rsidRPr="00890723">
        <w:rPr>
          <w:szCs w:val="24"/>
        </w:rPr>
        <w:fldChar w:fldCharType="end"/>
      </w:r>
      <w:r w:rsidR="00032567" w:rsidRPr="00890723">
        <w:rPr>
          <w:szCs w:val="24"/>
        </w:rPr>
        <w:t>.</w:t>
      </w:r>
    </w:p>
    <w:p w14:paraId="6B5EC99C" w14:textId="480F23B8" w:rsidR="006F609B" w:rsidRPr="00890723" w:rsidRDefault="00F7364F" w:rsidP="001B567A">
      <w:pPr>
        <w:spacing w:after="0" w:line="480" w:lineRule="auto"/>
        <w:rPr>
          <w:szCs w:val="24"/>
        </w:rPr>
      </w:pPr>
      <w:r w:rsidRPr="00890723">
        <w:rPr>
          <w:szCs w:val="24"/>
        </w:rPr>
        <w:t>Taking yet another step back, soil moisture is strongly controlled by precipitation and/or irrigation, and thus in the absence of measuring soil moisture directly, these factors can be used</w:t>
      </w:r>
      <w:r>
        <w:rPr>
          <w:szCs w:val="24"/>
        </w:rPr>
        <w:t xml:space="preserve"> </w:t>
      </w:r>
      <w:r w:rsidRPr="00890723">
        <w:rPr>
          <w:szCs w:val="24"/>
        </w:rPr>
        <w:t>as second-order proxies. However, each step further removed results in some loss in information:</w:t>
      </w:r>
      <w:r w:rsidR="006F609B">
        <w:rPr>
          <w:szCs w:val="24"/>
        </w:rPr>
        <w:t xml:space="preserve"> </w:t>
      </w:r>
      <w:r w:rsidR="006F609B" w:rsidRPr="00890723">
        <w:rPr>
          <w:szCs w:val="24"/>
        </w:rPr>
        <w:t>precipitation may largely control soil moisture, but soil texture and cover will also play a role in infiltration and water holding capacity. Thus, there is a tradeoff between the simplicity of measuring these more distant controlling factors and the number of factors that must be</w:t>
      </w:r>
    </w:p>
    <w:tbl>
      <w:tblPr>
        <w:tblStyle w:val="TableGrid"/>
        <w:tblpPr w:leftFromText="187" w:rightFromText="187" w:topFromText="144" w:vertAnchor="page" w:horzAnchor="margin" w:tblpY="2056"/>
        <w:tblOverlap w:val="never"/>
        <w:tblW w:w="9544" w:type="dxa"/>
        <w:tblLook w:val="04A0" w:firstRow="1" w:lastRow="0" w:firstColumn="1" w:lastColumn="0" w:noHBand="0" w:noVBand="1"/>
      </w:tblPr>
      <w:tblGrid>
        <w:gridCol w:w="1862"/>
        <w:gridCol w:w="1391"/>
        <w:gridCol w:w="1949"/>
        <w:gridCol w:w="1471"/>
        <w:gridCol w:w="1581"/>
        <w:gridCol w:w="1290"/>
      </w:tblGrid>
      <w:tr w:rsidR="00ED5E97" w:rsidRPr="00890723" w14:paraId="0979DDD5" w14:textId="77777777" w:rsidTr="00ED5E97">
        <w:trPr>
          <w:trHeight w:val="619"/>
        </w:trPr>
        <w:tc>
          <w:tcPr>
            <w:tcW w:w="1862" w:type="dxa"/>
            <w:tcBorders>
              <w:top w:val="single" w:sz="4" w:space="0" w:color="auto"/>
              <w:left w:val="nil"/>
              <w:bottom w:val="single" w:sz="8" w:space="0" w:color="auto"/>
              <w:right w:val="nil"/>
            </w:tcBorders>
            <w:vAlign w:val="center"/>
          </w:tcPr>
          <w:p w14:paraId="19BCD125" w14:textId="77777777" w:rsidR="00ED5E97" w:rsidRPr="00890723" w:rsidRDefault="00ED5E97" w:rsidP="00ED5E97">
            <w:pPr>
              <w:jc w:val="center"/>
              <w:rPr>
                <w:szCs w:val="24"/>
              </w:rPr>
            </w:pPr>
            <w:r w:rsidRPr="00890723">
              <w:rPr>
                <w:szCs w:val="24"/>
              </w:rPr>
              <w:lastRenderedPageBreak/>
              <w:t>Process</w:t>
            </w:r>
          </w:p>
        </w:tc>
        <w:tc>
          <w:tcPr>
            <w:tcW w:w="1391" w:type="dxa"/>
            <w:tcBorders>
              <w:top w:val="single" w:sz="4" w:space="0" w:color="auto"/>
              <w:left w:val="nil"/>
              <w:bottom w:val="single" w:sz="8" w:space="0" w:color="auto"/>
              <w:right w:val="nil"/>
            </w:tcBorders>
            <w:vAlign w:val="center"/>
          </w:tcPr>
          <w:p w14:paraId="7BB0259F" w14:textId="77777777" w:rsidR="00ED5E97" w:rsidRPr="00890723" w:rsidRDefault="00ED5E97" w:rsidP="00ED5E97">
            <w:pPr>
              <w:jc w:val="center"/>
              <w:rPr>
                <w:szCs w:val="24"/>
              </w:rPr>
            </w:pPr>
            <w:r w:rsidRPr="00890723">
              <w:rPr>
                <w:szCs w:val="24"/>
              </w:rPr>
              <w:t>Nitrogen Substrate</w:t>
            </w:r>
          </w:p>
        </w:tc>
        <w:tc>
          <w:tcPr>
            <w:tcW w:w="1949" w:type="dxa"/>
            <w:tcBorders>
              <w:top w:val="single" w:sz="4" w:space="0" w:color="auto"/>
              <w:left w:val="nil"/>
              <w:bottom w:val="single" w:sz="8" w:space="0" w:color="auto"/>
              <w:right w:val="nil"/>
            </w:tcBorders>
            <w:vAlign w:val="center"/>
          </w:tcPr>
          <w:p w14:paraId="2FA032E8" w14:textId="77777777" w:rsidR="00ED5E97" w:rsidRPr="00890723" w:rsidRDefault="00ED5E97" w:rsidP="00ED5E97">
            <w:pPr>
              <w:jc w:val="center"/>
              <w:rPr>
                <w:szCs w:val="24"/>
              </w:rPr>
            </w:pPr>
            <w:r w:rsidRPr="00890723">
              <w:rPr>
                <w:szCs w:val="24"/>
              </w:rPr>
              <w:t>Carbon Availability</w:t>
            </w:r>
          </w:p>
        </w:tc>
        <w:tc>
          <w:tcPr>
            <w:tcW w:w="1471" w:type="dxa"/>
            <w:tcBorders>
              <w:top w:val="single" w:sz="4" w:space="0" w:color="auto"/>
              <w:left w:val="nil"/>
              <w:bottom w:val="single" w:sz="8" w:space="0" w:color="auto"/>
              <w:right w:val="nil"/>
            </w:tcBorders>
            <w:vAlign w:val="center"/>
          </w:tcPr>
          <w:p w14:paraId="2FCDC8B9" w14:textId="77777777" w:rsidR="00ED5E97" w:rsidRPr="00890723" w:rsidRDefault="00ED5E97" w:rsidP="00ED5E97">
            <w:pPr>
              <w:jc w:val="center"/>
              <w:rPr>
                <w:szCs w:val="24"/>
              </w:rPr>
            </w:pPr>
            <w:r w:rsidRPr="00890723">
              <w:rPr>
                <w:szCs w:val="24"/>
              </w:rPr>
              <w:t>Oxygen Availability</w:t>
            </w:r>
          </w:p>
        </w:tc>
        <w:tc>
          <w:tcPr>
            <w:tcW w:w="1581" w:type="dxa"/>
            <w:tcBorders>
              <w:top w:val="single" w:sz="4" w:space="0" w:color="auto"/>
              <w:left w:val="nil"/>
              <w:bottom w:val="single" w:sz="8" w:space="0" w:color="auto"/>
              <w:right w:val="nil"/>
            </w:tcBorders>
            <w:vAlign w:val="center"/>
          </w:tcPr>
          <w:p w14:paraId="049A1DE7" w14:textId="77777777" w:rsidR="00ED5E97" w:rsidRPr="00890723" w:rsidRDefault="00ED5E97" w:rsidP="00ED5E97">
            <w:pPr>
              <w:jc w:val="center"/>
              <w:rPr>
                <w:szCs w:val="24"/>
              </w:rPr>
            </w:pPr>
            <w:r w:rsidRPr="00890723">
              <w:rPr>
                <w:szCs w:val="24"/>
              </w:rPr>
              <w:t>Temperature</w:t>
            </w:r>
          </w:p>
        </w:tc>
        <w:tc>
          <w:tcPr>
            <w:tcW w:w="1290" w:type="dxa"/>
            <w:tcBorders>
              <w:top w:val="single" w:sz="4" w:space="0" w:color="auto"/>
              <w:left w:val="nil"/>
              <w:bottom w:val="single" w:sz="8" w:space="0" w:color="auto"/>
              <w:right w:val="nil"/>
            </w:tcBorders>
            <w:vAlign w:val="center"/>
          </w:tcPr>
          <w:p w14:paraId="2779DF57" w14:textId="77777777" w:rsidR="00ED5E97" w:rsidRPr="00890723" w:rsidRDefault="00ED5E97" w:rsidP="00ED5E97">
            <w:pPr>
              <w:jc w:val="center"/>
              <w:rPr>
                <w:szCs w:val="24"/>
              </w:rPr>
            </w:pPr>
            <w:r w:rsidRPr="00890723">
              <w:rPr>
                <w:szCs w:val="24"/>
              </w:rPr>
              <w:t>pH</w:t>
            </w:r>
          </w:p>
        </w:tc>
      </w:tr>
      <w:tr w:rsidR="00ED5E97" w:rsidRPr="00890723" w14:paraId="380BA772" w14:textId="77777777" w:rsidTr="00ED5E97">
        <w:trPr>
          <w:trHeight w:val="597"/>
        </w:trPr>
        <w:tc>
          <w:tcPr>
            <w:tcW w:w="1862" w:type="dxa"/>
            <w:tcBorders>
              <w:top w:val="single" w:sz="8" w:space="0" w:color="auto"/>
              <w:left w:val="nil"/>
              <w:bottom w:val="nil"/>
              <w:right w:val="nil"/>
            </w:tcBorders>
            <w:vAlign w:val="center"/>
          </w:tcPr>
          <w:p w14:paraId="233FE3F6" w14:textId="77777777" w:rsidR="00ED5E97" w:rsidRPr="00890723" w:rsidRDefault="00ED5E97" w:rsidP="00ED5E97">
            <w:pPr>
              <w:jc w:val="center"/>
              <w:rPr>
                <w:szCs w:val="24"/>
              </w:rPr>
            </w:pPr>
            <w:r w:rsidRPr="00890723">
              <w:rPr>
                <w:szCs w:val="24"/>
              </w:rPr>
              <w:t>Nitrification (byproduct of ammonia oxidation)</w:t>
            </w:r>
          </w:p>
          <w:p w14:paraId="651914F4" w14:textId="77777777" w:rsidR="00ED5E97" w:rsidRPr="00890723" w:rsidRDefault="00ED5E97" w:rsidP="00ED5E97">
            <w:pPr>
              <w:jc w:val="center"/>
              <w:rPr>
                <w:szCs w:val="24"/>
              </w:rPr>
            </w:pPr>
          </w:p>
        </w:tc>
        <w:tc>
          <w:tcPr>
            <w:tcW w:w="1391" w:type="dxa"/>
            <w:tcBorders>
              <w:top w:val="single" w:sz="8" w:space="0" w:color="auto"/>
              <w:left w:val="nil"/>
              <w:bottom w:val="nil"/>
              <w:right w:val="nil"/>
            </w:tcBorders>
            <w:vAlign w:val="center"/>
          </w:tcPr>
          <w:p w14:paraId="0E45C483" w14:textId="77777777" w:rsidR="00ED5E97" w:rsidRPr="00890723" w:rsidRDefault="00ED5E97" w:rsidP="00ED5E97">
            <w:pPr>
              <w:jc w:val="center"/>
              <w:rPr>
                <w:szCs w:val="24"/>
              </w:rPr>
            </w:pPr>
            <w:r w:rsidRPr="00890723">
              <w:rPr>
                <w:szCs w:val="24"/>
              </w:rPr>
              <w:t>NH</w:t>
            </w:r>
            <w:r w:rsidRPr="00890723">
              <w:rPr>
                <w:szCs w:val="24"/>
                <w:vertAlign w:val="subscript"/>
              </w:rPr>
              <w:t>2</w:t>
            </w:r>
            <w:r w:rsidRPr="00890723">
              <w:rPr>
                <w:szCs w:val="24"/>
              </w:rPr>
              <w:t>OH</w:t>
            </w:r>
          </w:p>
        </w:tc>
        <w:tc>
          <w:tcPr>
            <w:tcW w:w="1949" w:type="dxa"/>
            <w:tcBorders>
              <w:top w:val="single" w:sz="8" w:space="0" w:color="auto"/>
              <w:left w:val="nil"/>
              <w:bottom w:val="nil"/>
              <w:right w:val="nil"/>
            </w:tcBorders>
            <w:vAlign w:val="center"/>
          </w:tcPr>
          <w:p w14:paraId="25909056" w14:textId="208C252D" w:rsidR="00ED5E97" w:rsidRPr="00890723" w:rsidRDefault="00ED5E97" w:rsidP="00ED5E97">
            <w:pPr>
              <w:jc w:val="center"/>
              <w:rPr>
                <w:szCs w:val="24"/>
              </w:rPr>
            </w:pPr>
            <w:r w:rsidRPr="00890723">
              <w:rPr>
                <w:szCs w:val="24"/>
              </w:rPr>
              <w:t xml:space="preserve">Low/Neutral </w:t>
            </w:r>
            <w:r w:rsidRPr="00890723">
              <w:rPr>
                <w:szCs w:val="24"/>
              </w:rPr>
              <w:fldChar w:fldCharType="begin"/>
            </w:r>
            <w:r w:rsidR="003C7682">
              <w:rPr>
                <w:szCs w:val="24"/>
              </w:rPr>
              <w:instrText xml:space="preserve"> ADDIN ZOTERO_ITEM CSL_CITATION {"citationID":"7EUKfrOS","properties":{"formattedCitation":"(Wrage-M\\uc0\\u246{}nnig et al., 2018)","plainCitation":"(Wrage-Mönnig et al., 2018)","noteIndex":0},"citationItems":[{"id":2047,"uris":["http://zotero.org/groups/5631027/items/HSDATYGF"],"itemData":{"id":2047,"type":"article-journal","abstract":"Nitrifier denitrification is the reduction of nitrite (NO2−) by ammonia-oxidizing bacteria. This process may account for up to 100% of nitrous oxide (N2O) emissions from ammonium (NH4+) in soils and is more significant than classical denitrification under some conditions. Investigations of nitrifier denitrification have expanded in the last decade but many aspects are still not understood. In this review, we revisit our 2001 paper, present a comprehensive summary of current knowledge concerning nitrifier denitrification, and identify the many research needs. Nitrifier denitrification can be distinguished from other routes of N2O production using isotopic methods: either isotopomer techniques or a combination of 15N and 18O tracers. Our understanding of the regulation and conditions favouring nitrifier denitrification has improved over the last decade as a result of adopting molecular and modelling approaches. Environments low in oxygen, and especially those with fluctuating aerobic-anaerobic conditions, promote N2O production by nitrifier denitrification. Also, large NO2− concentrations, which often arise following inputs of ammonium or urea, may be linked to changes in aerobicity and high pH and favour nitrifier denitrification. The effects of temperature and carbon contents on nitrifier denitrification are incompletely understood and future research needs include: the study of pathways similar to nitrifier denitrification in archaea and nitrite oxidizers; the effects of interactions among microorganisms and between microorganism and plants; and the regulation and importance of the enzymes involved. A comparison and evaluation of the methods used for differentiating the sources of N2O is urgently needed. Furthermore, results from studies of freshwater and marine environments as well as wastewater treatment, where nitrifier denitrification is also known as nitrous aerobic denitritation (up to N2O) or aerobic denitritation (up to N2), will further advance our understanding.","container-title":"Soil Biology and Biochemistry","DOI":"10.1016/j.soilbio.2018.03.020","ISSN":"0038-0717","journalAbbreviation":"Soil Biology and Biochemistry","page":"A3-A16","source":"ScienceDirect","title":"The role of nitrifier denitrification in the production of nitrous oxide revisited","volume":"123","author":[{"family":"Wrage-Mönnig","given":"Nicole"},{"family":"Horn","given":"Marcus A."},{"family":"Well","given":"Reinhard"},{"family":"Müller","given":"Christoph"},{"family":"Velthof","given":"Gerard"},{"family":"Oenema","given":"Oene"}],"issued":{"date-parts":[["2018",8,1]]}}}],"schema":"https://github.com/citation-style-language/schema/raw/master/csl-citation.json"} </w:instrText>
            </w:r>
            <w:r w:rsidRPr="00890723">
              <w:rPr>
                <w:szCs w:val="24"/>
              </w:rPr>
              <w:fldChar w:fldCharType="separate"/>
            </w:r>
            <w:r w:rsidRPr="00890723">
              <w:rPr>
                <w:rFonts w:cs="Times New Roman"/>
                <w:kern w:val="0"/>
                <w:szCs w:val="24"/>
              </w:rPr>
              <w:t>(Wrage-Mönnig et al., 2018)</w:t>
            </w:r>
            <w:r w:rsidRPr="00890723">
              <w:rPr>
                <w:szCs w:val="24"/>
              </w:rPr>
              <w:fldChar w:fldCharType="end"/>
            </w:r>
          </w:p>
        </w:tc>
        <w:tc>
          <w:tcPr>
            <w:tcW w:w="1471" w:type="dxa"/>
            <w:tcBorders>
              <w:top w:val="single" w:sz="8" w:space="0" w:color="auto"/>
              <w:left w:val="nil"/>
              <w:bottom w:val="nil"/>
              <w:right w:val="nil"/>
            </w:tcBorders>
            <w:vAlign w:val="center"/>
          </w:tcPr>
          <w:p w14:paraId="35FDF64E" w14:textId="66872BAE" w:rsidR="00ED5E97" w:rsidRPr="00890723" w:rsidRDefault="00ED5E97" w:rsidP="00ED5E97">
            <w:pPr>
              <w:jc w:val="center"/>
              <w:rPr>
                <w:szCs w:val="24"/>
              </w:rPr>
            </w:pPr>
            <w:r w:rsidRPr="00890723">
              <w:rPr>
                <w:szCs w:val="24"/>
              </w:rPr>
              <w:t xml:space="preserve">Moderate </w:t>
            </w:r>
            <w:r w:rsidRPr="00890723">
              <w:rPr>
                <w:szCs w:val="24"/>
              </w:rPr>
              <w:fldChar w:fldCharType="begin"/>
            </w:r>
            <w:r w:rsidR="003C7682">
              <w:rPr>
                <w:szCs w:val="24"/>
              </w:rPr>
              <w:instrText xml:space="preserve"> ADDIN ZOTERO_ITEM CSL_CITATION {"citationID":"yX16oLbj","properties":{"formattedCitation":"(Caranto &amp; Lancaster, 2017)","plainCitation":"(Caranto &amp; Lancaster, 2017)","noteIndex":0},"citationItems":[{"id":3380,"uris":["http://zotero.org/groups/5631027/items/LADU32K8"],"itemData":{"id":3380,"type":"article-journal","abstract":"Ammonia (NH3)-oxidizing bacteria (AOB) emit substantial amounts of nitric oxide (NO) and nitrous oxide (N2O), both of which contribute to the harmful environmental side effects of large-scale agriculture. The currently accepted model for AOB metabolism involves NH3 oxidation to nitrite (NO2–) via a single obligate intermediate, hydroxylamine (NH2OH). Within this model, the multiheme enzyme hydroxylamine oxidoreductase (HAO) catalyzes the four-electron oxidation of NH2OH to NO2–. We provide evidence that HAO oxidizes NH2OH by only three electrons to NO under both anaerobic and aerobic conditions. NO2– observed in HAO activity assays is a nonenzymatic product resulting from the oxidation of NO by O2 under aerobic conditions. Our present study implies that aerobic NH3 oxidation by AOB occurs via two obligate intermediates, NH2OH and NO, necessitating a mediator of the third enzymatic step.","container-title":"Proceedings of the National Academy of Sciences","DOI":"10.1073/pnas.1704504114","issue":"31","note":"publisher: Proceedings of the National Academy of Sciences","page":"8217-8222","source":"pnas.org (Atypon)","title":"Nitric oxide is an obligate bacterial nitrification intermediate produced by hydroxylamine oxidoreductase","volume":"114","author":[{"family":"Caranto","given":"Jonathan D."},{"family":"Lancaster","given":"Kyle M."}],"issued":{"date-parts":[["2017",8]]}}}],"schema":"https://github.com/citation-style-language/schema/raw/master/csl-citation.json"} </w:instrText>
            </w:r>
            <w:r w:rsidRPr="00890723">
              <w:rPr>
                <w:szCs w:val="24"/>
              </w:rPr>
              <w:fldChar w:fldCharType="separate"/>
            </w:r>
            <w:r w:rsidRPr="00890723">
              <w:rPr>
                <w:rFonts w:cs="Times New Roman"/>
                <w:szCs w:val="24"/>
              </w:rPr>
              <w:t>(Caranto &amp; Lancaster, 2017)</w:t>
            </w:r>
            <w:r w:rsidRPr="00890723">
              <w:rPr>
                <w:szCs w:val="24"/>
              </w:rPr>
              <w:fldChar w:fldCharType="end"/>
            </w:r>
          </w:p>
        </w:tc>
        <w:tc>
          <w:tcPr>
            <w:tcW w:w="1581" w:type="dxa"/>
            <w:tcBorders>
              <w:top w:val="single" w:sz="8" w:space="0" w:color="auto"/>
              <w:left w:val="nil"/>
              <w:bottom w:val="nil"/>
              <w:right w:val="nil"/>
            </w:tcBorders>
            <w:vAlign w:val="center"/>
          </w:tcPr>
          <w:p w14:paraId="6ADED79D" w14:textId="4CC7B669" w:rsidR="00ED5E97" w:rsidRPr="00890723" w:rsidRDefault="00ED5E97" w:rsidP="00ED5E97">
            <w:pPr>
              <w:jc w:val="center"/>
              <w:rPr>
                <w:szCs w:val="24"/>
              </w:rPr>
            </w:pPr>
            <w:r w:rsidRPr="00890723">
              <w:rPr>
                <w:szCs w:val="24"/>
              </w:rPr>
              <w:t xml:space="preserve">~35 °C </w:t>
            </w:r>
            <w:r w:rsidRPr="00890723">
              <w:rPr>
                <w:szCs w:val="24"/>
              </w:rPr>
              <w:fldChar w:fldCharType="begin"/>
            </w:r>
            <w:r w:rsidR="003C7682">
              <w:rPr>
                <w:szCs w:val="24"/>
              </w:rPr>
              <w:instrText xml:space="preserve"> ADDIN ZOTERO_ITEM CSL_CITATION {"citationID":"5Netjo5p","properties":{"formattedCitation":"(Grunditz &amp; Dalhammar, 2001)","plainCitation":"(Grunditz &amp; Dalhammar, 2001)","noteIndex":0},"citationItems":[{"id":3361,"uris":["http://zotero.org/groups/5631027/items/FI6S5ARM"],"itemData":{"id":3361,"type":"article-journal","abstract":"Restricted requirements for nitrogen reduction at wastewater treatment plants have increased the need for assays determining the inhibition of nitrification. In this paper, two new assays studying ammonia oxidation and nitrite oxidation, respectively, are presented. As test organisms, pure cultures of Nitrosomonas and Nitrobacter isolated from activated sludge are used. The assays are performed in test tubes where the bacteria are incubated with the compound or wastewater to be tested. The nitrification rate is measured during 4h and compared with reference samples. The test organisms were characterised with respect to temperature, pH and cell activity. Optimum temperature was 35°C for Nitrosomonas and 38°C for Nitrobacter; optimum pH was 8.1 for Nitrosomonas and 7.9 for Nitrobacter. There was a linear relationship between the nitrification rate and the cell concentration in the studied interval. The cell activity decreased slightly with storage time. A significant level of inhibition was calculated to 11% for the Nitrosomonas assay, and to 9% for the Nitrobacter assay. The assays are applicable to determination of nitrification inhibition in samples of industrial waste waters or influents of treatment plants, or chemical substances likely to be found in wastewater.","container-title":"Water Research","DOI":"10.1016/S0043-1354(00)00312-2","ISSN":"0043-1354","issue":"2","journalAbbreviation":"Water Research","page":"433-440","source":"ScienceDirect","title":"Development of nitrification inhibition assays using pure cultures of &lt;i&gt;nitrosomonas&lt;/i&gt; and &lt;i&gt;nitrobacter&lt;/i&gt;","volume":"35","author":[{"family":"Grunditz","given":"Camilla"},{"family":"Dalhammar","given":"Gunnel"}],"issued":{"date-parts":[["2001",2,1]]}}}],"schema":"https://github.com/citation-style-language/schema/raw/master/csl-citation.json"} </w:instrText>
            </w:r>
            <w:r w:rsidRPr="00890723">
              <w:rPr>
                <w:szCs w:val="24"/>
              </w:rPr>
              <w:fldChar w:fldCharType="separate"/>
            </w:r>
            <w:r w:rsidRPr="00890723">
              <w:rPr>
                <w:rFonts w:cs="Times New Roman"/>
                <w:szCs w:val="24"/>
              </w:rPr>
              <w:t>(Grunditz &amp; Dalhammar, 2001)</w:t>
            </w:r>
            <w:r w:rsidRPr="00890723">
              <w:rPr>
                <w:szCs w:val="24"/>
              </w:rPr>
              <w:fldChar w:fldCharType="end"/>
            </w:r>
          </w:p>
        </w:tc>
        <w:tc>
          <w:tcPr>
            <w:tcW w:w="1290" w:type="dxa"/>
            <w:tcBorders>
              <w:top w:val="single" w:sz="8" w:space="0" w:color="auto"/>
              <w:left w:val="nil"/>
              <w:bottom w:val="nil"/>
              <w:right w:val="nil"/>
            </w:tcBorders>
            <w:vAlign w:val="center"/>
          </w:tcPr>
          <w:p w14:paraId="0202949B" w14:textId="2D7B4C18" w:rsidR="00ED5E97" w:rsidRPr="00890723" w:rsidRDefault="00ED5E97" w:rsidP="00ED5E97">
            <w:pPr>
              <w:jc w:val="center"/>
              <w:rPr>
                <w:szCs w:val="24"/>
              </w:rPr>
            </w:pPr>
            <w:r w:rsidRPr="00890723">
              <w:rPr>
                <w:szCs w:val="24"/>
              </w:rPr>
              <w:t xml:space="preserve">Acidic </w:t>
            </w:r>
            <w:r w:rsidRPr="00890723">
              <w:rPr>
                <w:szCs w:val="24"/>
              </w:rPr>
              <w:fldChar w:fldCharType="begin"/>
            </w:r>
            <w:r w:rsidR="003C7682">
              <w:rPr>
                <w:szCs w:val="24"/>
              </w:rPr>
              <w:instrText xml:space="preserve"> ADDIN ZOTERO_ITEM CSL_CITATION {"citationID":"daYaeN2e","properties":{"formattedCitation":"(Hu et al., 2015)","plainCitation":"(Hu et al., 2015)","noteIndex":0},"citationItems":[{"id":3327,"uris":["http://zotero.org/groups/5631027/items/DSFJI6LY"],"itemData":{"id":3327,"type":"article-journal","abstract":"The continuous increase of the greenhouse gas nitrous oxide (N2O) in the atmosphere due to increasing anthropogenic nitrogen input in agriculture has become a global concern. In recent years, identification of the microbial assemblages responsible for soil N2O production has substantially advanced with the development of molecular technologies and the discoveries of novel functional guilds and new types of metabolism. However, few practical tools are available to effectively reduce in situ soil N2O flux. Combating the negative impacts of increasing N2O fluxes poses considerable challenges and will be ineffective without successfully incorporating microbially regulated N2O processes into ecosystem modeling and mitigation strategies. Here, we synthesize the latest knowledge of (i) the key microbial pathways regulating N2O production and consumption processes in terrestrial ecosystems and the critical environmental factors influencing their occurrence, and (ii) the relative contributions of major biological pathways to soil N2O emissions by analyzing available natural isotopic signatures of N2O and by using stable isotope enrichment and inhibition techniques. We argue that it is urgently necessary to incorporate microbial traits into biogeochemical ecosystem modeling in order to increase the estimation reliability of N2O emissions. We further propose a molecular methodology oriented framework from gene to ecosystem scales for more robust prediction and mitigation of future N2O emissions.","container-title":"FEMS Microbiology Reviews","DOI":"10.1093/femsre/fuv021","ISSN":"0168-6445","issue":"5","journalAbbreviation":"FEMS Microbiology Reviews","page":"729-749","source":"Silverchair","title":"Microbial regulation of terrestrial nitrous oxide formation: understanding the biological pathways for prediction of emission rates","title-short":"Microbial regulation of terrestrial nitrous oxide formation","volume":"39","author":[{"family":"Hu","given":"Hang-Wei"},{"family":"Chen","given":"Deli"},{"family":"He","given":"Ji-Zheng"}],"issued":{"date-parts":[["2015",9,1]]}}}],"schema":"https://github.com/citation-style-language/schema/raw/master/csl-citation.json"} </w:instrText>
            </w:r>
            <w:r w:rsidRPr="00890723">
              <w:rPr>
                <w:szCs w:val="24"/>
              </w:rPr>
              <w:fldChar w:fldCharType="separate"/>
            </w:r>
            <w:r w:rsidRPr="00890723">
              <w:rPr>
                <w:rFonts w:cs="Times New Roman"/>
                <w:szCs w:val="24"/>
              </w:rPr>
              <w:t>(Hu et al., 2015)</w:t>
            </w:r>
            <w:r w:rsidRPr="00890723">
              <w:rPr>
                <w:szCs w:val="24"/>
              </w:rPr>
              <w:fldChar w:fldCharType="end"/>
            </w:r>
          </w:p>
        </w:tc>
      </w:tr>
      <w:tr w:rsidR="00ED5E97" w:rsidRPr="00890723" w14:paraId="0071CECA" w14:textId="77777777" w:rsidTr="00ED5E97">
        <w:trPr>
          <w:trHeight w:val="597"/>
        </w:trPr>
        <w:tc>
          <w:tcPr>
            <w:tcW w:w="1862" w:type="dxa"/>
            <w:tcBorders>
              <w:top w:val="nil"/>
              <w:left w:val="nil"/>
              <w:bottom w:val="nil"/>
              <w:right w:val="nil"/>
            </w:tcBorders>
            <w:vAlign w:val="center"/>
          </w:tcPr>
          <w:p w14:paraId="32238F8B" w14:textId="77777777" w:rsidR="00ED5E97" w:rsidRPr="00890723" w:rsidRDefault="00ED5E97" w:rsidP="00ED5E97">
            <w:pPr>
              <w:jc w:val="center"/>
              <w:rPr>
                <w:szCs w:val="24"/>
              </w:rPr>
            </w:pPr>
            <w:r w:rsidRPr="00890723">
              <w:rPr>
                <w:szCs w:val="24"/>
              </w:rPr>
              <w:t>Chemical Decomposition of Hydroxylamine</w:t>
            </w:r>
          </w:p>
        </w:tc>
        <w:tc>
          <w:tcPr>
            <w:tcW w:w="1391" w:type="dxa"/>
            <w:tcBorders>
              <w:top w:val="nil"/>
              <w:left w:val="nil"/>
              <w:bottom w:val="nil"/>
              <w:right w:val="nil"/>
            </w:tcBorders>
            <w:vAlign w:val="center"/>
          </w:tcPr>
          <w:p w14:paraId="19468AC9" w14:textId="77777777" w:rsidR="00ED5E97" w:rsidRPr="00890723" w:rsidRDefault="00ED5E97" w:rsidP="00ED5E97">
            <w:pPr>
              <w:jc w:val="center"/>
              <w:rPr>
                <w:szCs w:val="24"/>
              </w:rPr>
            </w:pPr>
            <w:r w:rsidRPr="00890723">
              <w:rPr>
                <w:szCs w:val="24"/>
              </w:rPr>
              <w:t>NH</w:t>
            </w:r>
            <w:r w:rsidRPr="00890723">
              <w:rPr>
                <w:szCs w:val="24"/>
                <w:vertAlign w:val="subscript"/>
              </w:rPr>
              <w:t>2</w:t>
            </w:r>
            <w:r w:rsidRPr="00890723">
              <w:rPr>
                <w:szCs w:val="24"/>
              </w:rPr>
              <w:t>OH</w:t>
            </w:r>
          </w:p>
        </w:tc>
        <w:tc>
          <w:tcPr>
            <w:tcW w:w="1949" w:type="dxa"/>
            <w:tcBorders>
              <w:top w:val="nil"/>
              <w:left w:val="nil"/>
              <w:bottom w:val="nil"/>
              <w:right w:val="nil"/>
            </w:tcBorders>
            <w:vAlign w:val="center"/>
          </w:tcPr>
          <w:p w14:paraId="4246F8D7" w14:textId="5C9CEC54" w:rsidR="00ED5E97" w:rsidRPr="00890723" w:rsidRDefault="00ED5E97" w:rsidP="00ED5E97">
            <w:pPr>
              <w:jc w:val="center"/>
              <w:rPr>
                <w:szCs w:val="24"/>
              </w:rPr>
            </w:pPr>
            <w:r w:rsidRPr="00890723">
              <w:rPr>
                <w:szCs w:val="24"/>
              </w:rPr>
              <w:t xml:space="preserve">Low </w:t>
            </w:r>
            <w:r w:rsidRPr="00890723">
              <w:rPr>
                <w:szCs w:val="24"/>
              </w:rPr>
              <w:fldChar w:fldCharType="begin"/>
            </w:r>
            <w:r w:rsidR="003C7682">
              <w:rPr>
                <w:szCs w:val="24"/>
              </w:rPr>
              <w:instrText xml:space="preserve"> ADDIN ZOTERO_ITEM CSL_CITATION {"citationID":"TIsaM5kR","properties":{"formattedCitation":"(Heil et al., 2015)","plainCitation":"(Heil et al., 2015)","noteIndex":0},"citationItems":[{"id":2153,"uris":["http://zotero.org/groups/5631027/items/R6PNKQQA"],"itemData":{"id":2153,"type":"article-journal","abstract":"Despite the fact that microbial nitrification and denitrification are considered the major soil N2O emission sources, especially from agricultural soils, several abiotic reactions involving the nitrification intermediate hydroxylamine (NH2OH) have been identified leading to N2O emissions, but are being neglected in most current studies. Here, we studied N2O formation from NH2OH in cropland, grassland, and forest soils in laboratory incubation experiments. Incubations were conducted with and without the addition of NH2OH to non-sterile and sterile soil samples. N2O evolution was quantified with gas chromatography and further analyzed with online laser absorption spectroscopy. Additionally, the isotopic signature of the produced N2O (δ15N, δ18O, and 15N site preference) was analyzed with isotope ratio mass spectrometry. While the forest soil samples showed hardly any N2O evolution upon the addition of NH2OH, immediate and very large formation of N2O was observed in the cropland soil, also in sterilized samples. Correlation analysis revealed soil parameters that might explain the variability of NH2OH-induced N2O production to be: soil pH, C/N ratio, and Mn content. Our results suggest a coupled biotic–abiotic production of N2O during nitrification, e.g. due to leakage of the nitrification intermediate NH2OH with subsequent reaction with the soil matrix.","container-title":"Soil Biology and Biochemistry","DOI":"10.1016/j.soilbio.2015.02.022","ISSN":"0038-0717","journalAbbreviation":"Soil Biology and Biochemistry","page":"107-115","source":"ScienceDirect","title":"Abiotic nitrous oxide production from hydroxylamine in soils and their dependence on soil properties","volume":"84","author":[{"family":"Heil","given":"Jannis"},{"family":"Liu","given":"Shurong"},{"family":"Vereecken","given":"Harry"},{"family":"Brüggemann","given":"Nicolas"}],"issued":{"date-parts":[["2015",5,1]]}}}],"schema":"https://github.com/citation-style-language/schema/raw/master/csl-citation.json"} </w:instrText>
            </w:r>
            <w:r w:rsidRPr="00890723">
              <w:rPr>
                <w:szCs w:val="24"/>
              </w:rPr>
              <w:fldChar w:fldCharType="separate"/>
            </w:r>
            <w:r w:rsidRPr="00890723">
              <w:rPr>
                <w:rFonts w:cs="Times New Roman"/>
                <w:szCs w:val="24"/>
              </w:rPr>
              <w:t>(Heil et al., 2015)</w:t>
            </w:r>
            <w:r w:rsidRPr="00890723">
              <w:rPr>
                <w:szCs w:val="24"/>
              </w:rPr>
              <w:fldChar w:fldCharType="end"/>
            </w:r>
          </w:p>
        </w:tc>
        <w:tc>
          <w:tcPr>
            <w:tcW w:w="1471" w:type="dxa"/>
            <w:tcBorders>
              <w:top w:val="nil"/>
              <w:left w:val="nil"/>
              <w:bottom w:val="nil"/>
              <w:right w:val="nil"/>
            </w:tcBorders>
            <w:vAlign w:val="center"/>
          </w:tcPr>
          <w:p w14:paraId="37C5364F" w14:textId="77777777" w:rsidR="00ED5E97" w:rsidRPr="00890723" w:rsidRDefault="00ED5E97" w:rsidP="00ED5E97">
            <w:pPr>
              <w:jc w:val="center"/>
              <w:rPr>
                <w:szCs w:val="24"/>
              </w:rPr>
            </w:pPr>
            <w:r w:rsidRPr="00890723">
              <w:rPr>
                <w:szCs w:val="24"/>
              </w:rPr>
              <w:t>-</w:t>
            </w:r>
          </w:p>
        </w:tc>
        <w:tc>
          <w:tcPr>
            <w:tcW w:w="1581" w:type="dxa"/>
            <w:tcBorders>
              <w:top w:val="nil"/>
              <w:left w:val="nil"/>
              <w:bottom w:val="nil"/>
              <w:right w:val="nil"/>
            </w:tcBorders>
            <w:vAlign w:val="center"/>
          </w:tcPr>
          <w:p w14:paraId="23C14540" w14:textId="595E760A" w:rsidR="00ED5E97" w:rsidRPr="00890723" w:rsidRDefault="00ED5E97" w:rsidP="00ED5E97">
            <w:pPr>
              <w:jc w:val="center"/>
              <w:rPr>
                <w:szCs w:val="24"/>
              </w:rPr>
            </w:pPr>
            <w:r w:rsidRPr="00890723">
              <w:rPr>
                <w:szCs w:val="24"/>
              </w:rPr>
              <w:t xml:space="preserve">50+ °C </w:t>
            </w:r>
            <w:r w:rsidRPr="00890723">
              <w:rPr>
                <w:szCs w:val="24"/>
              </w:rPr>
              <w:fldChar w:fldCharType="begin"/>
            </w:r>
            <w:r w:rsidR="003C7682">
              <w:rPr>
                <w:szCs w:val="24"/>
              </w:rPr>
              <w:instrText xml:space="preserve"> ADDIN ZOTERO_ITEM CSL_CITATION {"citationID":"oSwiuNYn","properties":{"formattedCitation":"(Heil et al., 2015)","plainCitation":"(Heil et al., 2015)","noteIndex":0},"citationItems":[{"id":2153,"uris":["http://zotero.org/groups/5631027/items/R6PNKQQA"],"itemData":{"id":2153,"type":"article-journal","abstract":"Despite the fact that microbial nitrification and denitrification are considered the major soil N2O emission sources, especially from agricultural soils, several abiotic reactions involving the nitrification intermediate hydroxylamine (NH2OH) have been identified leading to N2O emissions, but are being neglected in most current studies. Here, we studied N2O formation from NH2OH in cropland, grassland, and forest soils in laboratory incubation experiments. Incubations were conducted with and without the addition of NH2OH to non-sterile and sterile soil samples. N2O evolution was quantified with gas chromatography and further analyzed with online laser absorption spectroscopy. Additionally, the isotopic signature of the produced N2O (δ15N, δ18O, and 15N site preference) was analyzed with isotope ratio mass spectrometry. While the forest soil samples showed hardly any N2O evolution upon the addition of NH2OH, immediate and very large formation of N2O was observed in the cropland soil, also in sterilized samples. Correlation analysis revealed soil parameters that might explain the variability of NH2OH-induced N2O production to be: soil pH, C/N ratio, and Mn content. Our results suggest a coupled biotic–abiotic production of N2O during nitrification, e.g. due to leakage of the nitrification intermediate NH2OH with subsequent reaction with the soil matrix.","container-title":"Soil Biology and Biochemistry","DOI":"10.1016/j.soilbio.2015.02.022","ISSN":"0038-0717","journalAbbreviation":"Soil Biology and Biochemistry","page":"107-115","source":"ScienceDirect","title":"Abiotic nitrous oxide production from hydroxylamine in soils and their dependence on soil properties","volume":"84","author":[{"family":"Heil","given":"Jannis"},{"family":"Liu","given":"Shurong"},{"family":"Vereecken","given":"Harry"},{"family":"Brüggemann","given":"Nicolas"}],"issued":{"date-parts":[["2015",5,1]]}}}],"schema":"https://github.com/citation-style-language/schema/raw/master/csl-citation.json"} </w:instrText>
            </w:r>
            <w:r w:rsidRPr="00890723">
              <w:rPr>
                <w:szCs w:val="24"/>
              </w:rPr>
              <w:fldChar w:fldCharType="separate"/>
            </w:r>
            <w:r w:rsidRPr="00890723">
              <w:rPr>
                <w:rFonts w:cs="Times New Roman"/>
                <w:szCs w:val="24"/>
              </w:rPr>
              <w:t>(Heil et al., 2015)</w:t>
            </w:r>
            <w:r w:rsidRPr="00890723">
              <w:rPr>
                <w:szCs w:val="24"/>
              </w:rPr>
              <w:fldChar w:fldCharType="end"/>
            </w:r>
          </w:p>
        </w:tc>
        <w:tc>
          <w:tcPr>
            <w:tcW w:w="1290" w:type="dxa"/>
            <w:tcBorders>
              <w:top w:val="nil"/>
              <w:left w:val="nil"/>
              <w:bottom w:val="nil"/>
              <w:right w:val="nil"/>
            </w:tcBorders>
            <w:vAlign w:val="center"/>
          </w:tcPr>
          <w:p w14:paraId="488A65D7" w14:textId="45D5F571" w:rsidR="00ED5E97" w:rsidRPr="00890723" w:rsidRDefault="00ED5E97" w:rsidP="00ED5E97">
            <w:pPr>
              <w:jc w:val="center"/>
              <w:rPr>
                <w:szCs w:val="24"/>
              </w:rPr>
            </w:pPr>
            <w:r w:rsidRPr="00890723">
              <w:rPr>
                <w:szCs w:val="24"/>
              </w:rPr>
              <w:t xml:space="preserve">Alkaline </w:t>
            </w:r>
            <w:r w:rsidRPr="00890723">
              <w:rPr>
                <w:szCs w:val="24"/>
              </w:rPr>
              <w:fldChar w:fldCharType="begin"/>
            </w:r>
            <w:r w:rsidR="003C7682">
              <w:rPr>
                <w:szCs w:val="24"/>
              </w:rPr>
              <w:instrText xml:space="preserve"> ADDIN ZOTERO_ITEM CSL_CITATION {"citationID":"RlTKaPzj","properties":{"formattedCitation":"(Heil et al., 2015)","plainCitation":"(Heil et al., 2015)","noteIndex":0},"citationItems":[{"id":2153,"uris":["http://zotero.org/groups/5631027/items/R6PNKQQA"],"itemData":{"id":2153,"type":"article-journal","abstract":"Despite the fact that microbial nitrification and denitrification are considered the major soil N2O emission sources, especially from agricultural soils, several abiotic reactions involving the nitrification intermediate hydroxylamine (NH2OH) have been identified leading to N2O emissions, but are being neglected in most current studies. Here, we studied N2O formation from NH2OH in cropland, grassland, and forest soils in laboratory incubation experiments. Incubations were conducted with and without the addition of NH2OH to non-sterile and sterile soil samples. N2O evolution was quantified with gas chromatography and further analyzed with online laser absorption spectroscopy. Additionally, the isotopic signature of the produced N2O (δ15N, δ18O, and 15N site preference) was analyzed with isotope ratio mass spectrometry. While the forest soil samples showed hardly any N2O evolution upon the addition of NH2OH, immediate and very large formation of N2O was observed in the cropland soil, also in sterilized samples. Correlation analysis revealed soil parameters that might explain the variability of NH2OH-induced N2O production to be: soil pH, C/N ratio, and Mn content. Our results suggest a coupled biotic–abiotic production of N2O during nitrification, e.g. due to leakage of the nitrification intermediate NH2OH with subsequent reaction with the soil matrix.","container-title":"Soil Biology and Biochemistry","DOI":"10.1016/j.soilbio.2015.02.022","ISSN":"0038-0717","journalAbbreviation":"Soil Biology and Biochemistry","page":"107-115","source":"ScienceDirect","title":"Abiotic nitrous oxide production from hydroxylamine in soils and their dependence on soil properties","volume":"84","author":[{"family":"Heil","given":"Jannis"},{"family":"Liu","given":"Shurong"},{"family":"Vereecken","given":"Harry"},{"family":"Brüggemann","given":"Nicolas"}],"issued":{"date-parts":[["2015",5,1]]}}}],"schema":"https://github.com/citation-style-language/schema/raw/master/csl-citation.json"} </w:instrText>
            </w:r>
            <w:r w:rsidRPr="00890723">
              <w:rPr>
                <w:szCs w:val="24"/>
              </w:rPr>
              <w:fldChar w:fldCharType="separate"/>
            </w:r>
            <w:r w:rsidRPr="00890723">
              <w:rPr>
                <w:rFonts w:cs="Times New Roman"/>
                <w:szCs w:val="24"/>
              </w:rPr>
              <w:t>(Heil et al., 2015)</w:t>
            </w:r>
            <w:r w:rsidRPr="00890723">
              <w:rPr>
                <w:szCs w:val="24"/>
              </w:rPr>
              <w:fldChar w:fldCharType="end"/>
            </w:r>
          </w:p>
        </w:tc>
      </w:tr>
      <w:tr w:rsidR="00ED5E97" w:rsidRPr="00890723" w14:paraId="358B1522" w14:textId="77777777" w:rsidTr="00ED5E97">
        <w:trPr>
          <w:trHeight w:val="1610"/>
        </w:trPr>
        <w:tc>
          <w:tcPr>
            <w:tcW w:w="1862" w:type="dxa"/>
            <w:tcBorders>
              <w:top w:val="nil"/>
              <w:left w:val="nil"/>
              <w:bottom w:val="nil"/>
              <w:right w:val="nil"/>
            </w:tcBorders>
            <w:vAlign w:val="center"/>
          </w:tcPr>
          <w:p w14:paraId="2916BB27" w14:textId="77777777" w:rsidR="00ED5E97" w:rsidRPr="00890723" w:rsidRDefault="00ED5E97" w:rsidP="00ED5E97">
            <w:pPr>
              <w:jc w:val="center"/>
              <w:rPr>
                <w:szCs w:val="24"/>
              </w:rPr>
            </w:pPr>
            <w:r w:rsidRPr="00890723">
              <w:rPr>
                <w:szCs w:val="24"/>
              </w:rPr>
              <w:t>Heterotrophic Denitrification</w:t>
            </w:r>
          </w:p>
        </w:tc>
        <w:tc>
          <w:tcPr>
            <w:tcW w:w="1391" w:type="dxa"/>
            <w:tcBorders>
              <w:top w:val="nil"/>
              <w:left w:val="nil"/>
              <w:bottom w:val="nil"/>
              <w:right w:val="nil"/>
            </w:tcBorders>
            <w:vAlign w:val="center"/>
          </w:tcPr>
          <w:p w14:paraId="6816A19B" w14:textId="77777777" w:rsidR="00ED5E97" w:rsidRPr="00890723" w:rsidRDefault="00ED5E97" w:rsidP="00ED5E97">
            <w:pPr>
              <w:jc w:val="center"/>
              <w:rPr>
                <w:szCs w:val="24"/>
              </w:rPr>
            </w:pPr>
            <w:r w:rsidRPr="00890723">
              <w:rPr>
                <w:szCs w:val="24"/>
              </w:rPr>
              <w:t>NO</w:t>
            </w:r>
            <w:r w:rsidRPr="00890723">
              <w:rPr>
                <w:szCs w:val="24"/>
                <w:vertAlign w:val="subscript"/>
              </w:rPr>
              <w:t>3</w:t>
            </w:r>
            <w:r w:rsidRPr="00890723">
              <w:rPr>
                <w:szCs w:val="24"/>
                <w:vertAlign w:val="superscript"/>
              </w:rPr>
              <w:t>-</w:t>
            </w:r>
          </w:p>
          <w:p w14:paraId="4742A5DD" w14:textId="77777777" w:rsidR="00ED5E97" w:rsidRPr="00890723" w:rsidRDefault="00ED5E97" w:rsidP="00ED5E97">
            <w:pPr>
              <w:jc w:val="center"/>
              <w:rPr>
                <w:szCs w:val="24"/>
              </w:rPr>
            </w:pPr>
          </w:p>
        </w:tc>
        <w:tc>
          <w:tcPr>
            <w:tcW w:w="1949" w:type="dxa"/>
            <w:tcBorders>
              <w:top w:val="nil"/>
              <w:left w:val="nil"/>
              <w:bottom w:val="nil"/>
              <w:right w:val="nil"/>
            </w:tcBorders>
            <w:vAlign w:val="center"/>
          </w:tcPr>
          <w:p w14:paraId="62E1FCAE" w14:textId="77777777" w:rsidR="00ED5E97" w:rsidRPr="00890723" w:rsidRDefault="00ED5E97" w:rsidP="00ED5E97">
            <w:pPr>
              <w:jc w:val="center"/>
              <w:rPr>
                <w:szCs w:val="24"/>
              </w:rPr>
            </w:pPr>
            <w:r w:rsidRPr="00890723">
              <w:rPr>
                <w:szCs w:val="24"/>
              </w:rPr>
              <w:t>High</w:t>
            </w:r>
          </w:p>
        </w:tc>
        <w:tc>
          <w:tcPr>
            <w:tcW w:w="1471" w:type="dxa"/>
            <w:tcBorders>
              <w:top w:val="nil"/>
              <w:left w:val="nil"/>
              <w:bottom w:val="nil"/>
              <w:right w:val="nil"/>
            </w:tcBorders>
            <w:vAlign w:val="center"/>
          </w:tcPr>
          <w:p w14:paraId="12A7808C" w14:textId="77777777" w:rsidR="00ED5E97" w:rsidRPr="00890723" w:rsidRDefault="00ED5E97" w:rsidP="00ED5E97">
            <w:pPr>
              <w:jc w:val="center"/>
              <w:rPr>
                <w:szCs w:val="24"/>
              </w:rPr>
            </w:pPr>
            <w:r w:rsidRPr="00890723">
              <w:rPr>
                <w:szCs w:val="24"/>
              </w:rPr>
              <w:t>Low</w:t>
            </w:r>
          </w:p>
        </w:tc>
        <w:tc>
          <w:tcPr>
            <w:tcW w:w="1581" w:type="dxa"/>
            <w:tcBorders>
              <w:top w:val="nil"/>
              <w:left w:val="nil"/>
              <w:bottom w:val="nil"/>
              <w:right w:val="nil"/>
            </w:tcBorders>
            <w:vAlign w:val="center"/>
          </w:tcPr>
          <w:p w14:paraId="3EFB2C76" w14:textId="0662BE38" w:rsidR="00ED5E97" w:rsidRPr="00890723" w:rsidRDefault="00ED5E97" w:rsidP="00ED5E97">
            <w:pPr>
              <w:jc w:val="center"/>
              <w:rPr>
                <w:szCs w:val="24"/>
              </w:rPr>
            </w:pPr>
            <w:r w:rsidRPr="00890723">
              <w:rPr>
                <w:szCs w:val="24"/>
              </w:rPr>
              <w:t xml:space="preserve">~55 °C </w:t>
            </w:r>
            <w:r w:rsidRPr="00890723">
              <w:rPr>
                <w:szCs w:val="24"/>
              </w:rPr>
              <w:fldChar w:fldCharType="begin"/>
            </w:r>
            <w:r w:rsidR="003C7682">
              <w:rPr>
                <w:szCs w:val="24"/>
              </w:rPr>
              <w:instrText xml:space="preserve"> ADDIN ZOTERO_ITEM CSL_CITATION {"citationID":"PCEya1Zd","properties":{"formattedCitation":"(Benoit et al., 2015)","plainCitation":"(Benoit et al., 2015)","noteIndex":0},"citationItems":[{"id":3359,"uris":["http://zotero.org/groups/5631027/items/T7MM5YHA"],"itemData":{"id":3359,"type":"article-journal","abstract":"This study aims to determine the effect of temperature on N2O produced from a surface soil both in nitrification and denitrification experimental conditions. In a context of changes of both temperature and rainfall, formalizing temperature relationships of N2O production is useful for model parameterization of process-based modeling approaches. Samples of luvisolic soils were incubated in destructive slurry batches in controlled specific conditions designed to promote nitrification and denitrification. The experiments were run at seven temperatures, from 5 to 45°C. When fitted with a sigmoid function overall potential activities show that the potential production rate of nitrate (NO3−nit) is optimal at a temperature of 32.5°C and the potential reduction rate of nitrate (NO3−denit) being optimal at around 45°C. Regarding the production rate of N2O, optimal values occur at a temperature about 10°C higher than the optimum temperature for the respective processes, namely 42°C for nitrification and 54.5°C for denitrification. N2O emissions and nitrite production due to denitrification are around 10 times higher than nitrification. These findings show that a sigmoid function of N2O emissions from both denitrification and nitrification is more relevant than an exponential one.","container-title":"Process Biochemistry","DOI":"10.1016/j.procbio.2014.10.013","ISSN":"1359-5113","issue":"1","journalAbbreviation":"Process Biochemistry","page":"79-85","source":"ScienceDirect","title":"Temperature dependence of nitrous oxide production of a luvisolic soil in batch experiments","volume":"50","author":[{"family":"Benoit","given":"Marie"},{"family":"Garnier","given":"Josette"},{"family":"Billen","given":"Gilles"}],"issued":{"date-parts":[["2015",1,1]]}}}],"schema":"https://github.com/citation-style-language/schema/raw/master/csl-citation.json"} </w:instrText>
            </w:r>
            <w:r w:rsidRPr="00890723">
              <w:rPr>
                <w:szCs w:val="24"/>
              </w:rPr>
              <w:fldChar w:fldCharType="separate"/>
            </w:r>
            <w:r w:rsidRPr="00890723">
              <w:rPr>
                <w:rFonts w:cs="Times New Roman"/>
                <w:szCs w:val="24"/>
              </w:rPr>
              <w:t>(Benoit et al., 2015)</w:t>
            </w:r>
            <w:r w:rsidRPr="00890723">
              <w:rPr>
                <w:szCs w:val="24"/>
              </w:rPr>
              <w:fldChar w:fldCharType="end"/>
            </w:r>
          </w:p>
        </w:tc>
        <w:tc>
          <w:tcPr>
            <w:tcW w:w="1290" w:type="dxa"/>
            <w:tcBorders>
              <w:top w:val="nil"/>
              <w:left w:val="nil"/>
              <w:bottom w:val="nil"/>
              <w:right w:val="nil"/>
            </w:tcBorders>
            <w:vAlign w:val="center"/>
          </w:tcPr>
          <w:p w14:paraId="44E58E26" w14:textId="2DAA84C0" w:rsidR="00ED5E97" w:rsidRPr="00890723" w:rsidRDefault="00ED5E97" w:rsidP="00ED5E97">
            <w:pPr>
              <w:jc w:val="center"/>
              <w:rPr>
                <w:szCs w:val="24"/>
              </w:rPr>
            </w:pPr>
            <w:r w:rsidRPr="00890723">
              <w:rPr>
                <w:szCs w:val="24"/>
              </w:rPr>
              <w:t xml:space="preserve">Acidic </w:t>
            </w:r>
            <w:r w:rsidRPr="00890723">
              <w:rPr>
                <w:szCs w:val="24"/>
              </w:rPr>
              <w:fldChar w:fldCharType="begin"/>
            </w:r>
            <w:r w:rsidR="003C7682">
              <w:rPr>
                <w:szCs w:val="24"/>
              </w:rPr>
              <w:instrText xml:space="preserve"> ADDIN ZOTERO_ITEM CSL_CITATION {"citationID":"DWAcUutI","properties":{"formattedCitation":"(Hu et al., 2015)","plainCitation":"(Hu et al., 2015)","noteIndex":0},"citationItems":[{"id":3327,"uris":["http://zotero.org/groups/5631027/items/DSFJI6LY"],"itemData":{"id":3327,"type":"article-journal","abstract":"The continuous increase of the greenhouse gas nitrous oxide (N2O) in the atmosphere due to increasing anthropogenic nitrogen input in agriculture has become a global concern. In recent years, identification of the microbial assemblages responsible for soil N2O production has substantially advanced with the development of molecular technologies and the discoveries of novel functional guilds and new types of metabolism. However, few practical tools are available to effectively reduce in situ soil N2O flux. Combating the negative impacts of increasing N2O fluxes poses considerable challenges and will be ineffective without successfully incorporating microbially regulated N2O processes into ecosystem modeling and mitigation strategies. Here, we synthesize the latest knowledge of (i) the key microbial pathways regulating N2O production and consumption processes in terrestrial ecosystems and the critical environmental factors influencing their occurrence, and (ii) the relative contributions of major biological pathways to soil N2O emissions by analyzing available natural isotopic signatures of N2O and by using stable isotope enrichment and inhibition techniques. We argue that it is urgently necessary to incorporate microbial traits into biogeochemical ecosystem modeling in order to increase the estimation reliability of N2O emissions. We further propose a molecular methodology oriented framework from gene to ecosystem scales for more robust prediction and mitigation of future N2O emissions.","container-title":"FEMS Microbiology Reviews","DOI":"10.1093/femsre/fuv021","ISSN":"0168-6445","issue":"5","journalAbbreviation":"FEMS Microbiology Reviews","page":"729-749","source":"Silverchair","title":"Microbial regulation of terrestrial nitrous oxide formation: understanding the biological pathways for prediction of emission rates","title-short":"Microbial regulation of terrestrial nitrous oxide formation","volume":"39","author":[{"family":"Hu","given":"Hang-Wei"},{"family":"Chen","given":"Deli"},{"family":"He","given":"Ji-Zheng"}],"issued":{"date-parts":[["2015",9,1]]}}}],"schema":"https://github.com/citation-style-language/schema/raw/master/csl-citation.json"} </w:instrText>
            </w:r>
            <w:r w:rsidRPr="00890723">
              <w:rPr>
                <w:szCs w:val="24"/>
              </w:rPr>
              <w:fldChar w:fldCharType="separate"/>
            </w:r>
            <w:r w:rsidRPr="00890723">
              <w:rPr>
                <w:rFonts w:cs="Times New Roman"/>
                <w:szCs w:val="24"/>
              </w:rPr>
              <w:t>(Hu et al., 2015)</w:t>
            </w:r>
            <w:r w:rsidRPr="00890723">
              <w:rPr>
                <w:szCs w:val="24"/>
              </w:rPr>
              <w:fldChar w:fldCharType="end"/>
            </w:r>
          </w:p>
        </w:tc>
      </w:tr>
      <w:tr w:rsidR="00ED5E97" w:rsidRPr="00890723" w14:paraId="4E521453" w14:textId="77777777" w:rsidTr="00ED5E97">
        <w:trPr>
          <w:trHeight w:val="1610"/>
        </w:trPr>
        <w:tc>
          <w:tcPr>
            <w:tcW w:w="1862" w:type="dxa"/>
            <w:tcBorders>
              <w:top w:val="nil"/>
              <w:left w:val="nil"/>
              <w:bottom w:val="single" w:sz="4" w:space="0" w:color="auto"/>
              <w:right w:val="nil"/>
            </w:tcBorders>
            <w:vAlign w:val="center"/>
          </w:tcPr>
          <w:p w14:paraId="33B67E36" w14:textId="77777777" w:rsidR="00ED5E97" w:rsidRPr="00890723" w:rsidRDefault="00ED5E97" w:rsidP="00ED5E97">
            <w:pPr>
              <w:jc w:val="center"/>
              <w:rPr>
                <w:szCs w:val="24"/>
              </w:rPr>
            </w:pPr>
            <w:r w:rsidRPr="00890723">
              <w:rPr>
                <w:szCs w:val="24"/>
              </w:rPr>
              <w:t>Nitrifier denitrification</w:t>
            </w:r>
          </w:p>
        </w:tc>
        <w:tc>
          <w:tcPr>
            <w:tcW w:w="1391" w:type="dxa"/>
            <w:tcBorders>
              <w:top w:val="nil"/>
              <w:left w:val="nil"/>
              <w:bottom w:val="single" w:sz="4" w:space="0" w:color="auto"/>
              <w:right w:val="nil"/>
            </w:tcBorders>
            <w:vAlign w:val="center"/>
          </w:tcPr>
          <w:p w14:paraId="7B14B4AE" w14:textId="77777777" w:rsidR="00ED5E97" w:rsidRPr="00890723" w:rsidRDefault="00ED5E97" w:rsidP="00ED5E97">
            <w:pPr>
              <w:jc w:val="center"/>
              <w:rPr>
                <w:szCs w:val="24"/>
              </w:rPr>
            </w:pPr>
            <w:r w:rsidRPr="00890723">
              <w:rPr>
                <w:szCs w:val="24"/>
              </w:rPr>
              <w:t>NO</w:t>
            </w:r>
            <w:r w:rsidRPr="00890723">
              <w:rPr>
                <w:szCs w:val="24"/>
                <w:vertAlign w:val="subscript"/>
              </w:rPr>
              <w:t>2</w:t>
            </w:r>
            <w:r w:rsidRPr="00890723">
              <w:rPr>
                <w:szCs w:val="24"/>
                <w:vertAlign w:val="superscript"/>
              </w:rPr>
              <w:t>-</w:t>
            </w:r>
          </w:p>
          <w:p w14:paraId="646479F5" w14:textId="77777777" w:rsidR="00ED5E97" w:rsidRPr="00890723" w:rsidRDefault="00ED5E97" w:rsidP="00ED5E97">
            <w:pPr>
              <w:jc w:val="center"/>
              <w:rPr>
                <w:szCs w:val="24"/>
              </w:rPr>
            </w:pPr>
          </w:p>
        </w:tc>
        <w:tc>
          <w:tcPr>
            <w:tcW w:w="1949" w:type="dxa"/>
            <w:tcBorders>
              <w:top w:val="nil"/>
              <w:left w:val="nil"/>
              <w:bottom w:val="single" w:sz="4" w:space="0" w:color="auto"/>
              <w:right w:val="nil"/>
            </w:tcBorders>
            <w:vAlign w:val="center"/>
          </w:tcPr>
          <w:p w14:paraId="7DA7AADB" w14:textId="3C9DAD1C" w:rsidR="00ED5E97" w:rsidRPr="00890723" w:rsidRDefault="00ED5E97" w:rsidP="00ED5E97">
            <w:pPr>
              <w:jc w:val="center"/>
              <w:rPr>
                <w:szCs w:val="24"/>
              </w:rPr>
            </w:pPr>
            <w:r w:rsidRPr="00890723">
              <w:rPr>
                <w:szCs w:val="24"/>
              </w:rPr>
              <w:t xml:space="preserve">Neutral/Unknown </w:t>
            </w:r>
            <w:r w:rsidRPr="00890723">
              <w:rPr>
                <w:szCs w:val="24"/>
              </w:rPr>
              <w:fldChar w:fldCharType="begin"/>
            </w:r>
            <w:r w:rsidR="003C7682">
              <w:rPr>
                <w:szCs w:val="24"/>
              </w:rPr>
              <w:instrText xml:space="preserve"> ADDIN ZOTERO_ITEM CSL_CITATION {"citationID":"yoMooCG0","properties":{"formattedCitation":"(Wrage-M\\uc0\\u246{}nnig et al., 2018)","plainCitation":"(Wrage-Mönnig et al., 2018)","noteIndex":0},"citationItems":[{"id":2047,"uris":["http://zotero.org/groups/5631027/items/HSDATYGF"],"itemData":{"id":2047,"type":"article-journal","abstract":"Nitrifier denitrification is the reduction of nitrite (NO2−) by ammonia-oxidizing bacteria. This process may account for up to 100% of nitrous oxide (N2O) emissions from ammonium (NH4+) in soils and is more significant than classical denitrification under some conditions. Investigations of nitrifier denitrification have expanded in the last decade but many aspects are still not understood. In this review, we revisit our 2001 paper, present a comprehensive summary of current knowledge concerning nitrifier denitrification, and identify the many research needs. Nitrifier denitrification can be distinguished from other routes of N2O production using isotopic methods: either isotopomer techniques or a combination of 15N and 18O tracers. Our understanding of the regulation and conditions favouring nitrifier denitrification has improved over the last decade as a result of adopting molecular and modelling approaches. Environments low in oxygen, and especially those with fluctuating aerobic-anaerobic conditions, promote N2O production by nitrifier denitrification. Also, large NO2− concentrations, which often arise following inputs of ammonium or urea, may be linked to changes in aerobicity and high pH and favour nitrifier denitrification. The effects of temperature and carbon contents on nitrifier denitrification are incompletely understood and future research needs include: the study of pathways similar to nitrifier denitrification in archaea and nitrite oxidizers; the effects of interactions among microorganisms and between microorganism and plants; and the regulation and importance of the enzymes involved. A comparison and evaluation of the methods used for differentiating the sources of N2O is urgently needed. Furthermore, results from studies of freshwater and marine environments as well as wastewater treatment, where nitrifier denitrification is also known as nitrous aerobic denitritation (up to N2O) or aerobic denitritation (up to N2), will further advance our understanding.","container-title":"Soil Biology and Biochemistry","DOI":"10.1016/j.soilbio.2018.03.020","ISSN":"0038-0717","journalAbbreviation":"Soil Biology and Biochemistry","page":"A3-A16","source":"ScienceDirect","title":"The role of nitrifier denitrification in the production of nitrous oxide revisited","volume":"123","author":[{"family":"Wrage-Mönnig","given":"Nicole"},{"family":"Horn","given":"Marcus A."},{"family":"Well","given":"Reinhard"},{"family":"Müller","given":"Christoph"},{"family":"Velthof","given":"Gerard"},{"family":"Oenema","given":"Oene"}],"issued":{"date-parts":[["2018",8,1]]}}}],"schema":"https://github.com/citation-style-language/schema/raw/master/csl-citation.json"} </w:instrText>
            </w:r>
            <w:r w:rsidRPr="00890723">
              <w:rPr>
                <w:szCs w:val="24"/>
              </w:rPr>
              <w:fldChar w:fldCharType="separate"/>
            </w:r>
            <w:r w:rsidRPr="00890723">
              <w:rPr>
                <w:rFonts w:cs="Times New Roman"/>
                <w:kern w:val="0"/>
                <w:szCs w:val="24"/>
              </w:rPr>
              <w:t>(Wrage-Mönnig et al., 2018)</w:t>
            </w:r>
            <w:r w:rsidRPr="00890723">
              <w:rPr>
                <w:szCs w:val="24"/>
              </w:rPr>
              <w:fldChar w:fldCharType="end"/>
            </w:r>
          </w:p>
        </w:tc>
        <w:tc>
          <w:tcPr>
            <w:tcW w:w="1471" w:type="dxa"/>
            <w:tcBorders>
              <w:top w:val="nil"/>
              <w:left w:val="nil"/>
              <w:bottom w:val="single" w:sz="4" w:space="0" w:color="auto"/>
              <w:right w:val="nil"/>
            </w:tcBorders>
            <w:vAlign w:val="center"/>
          </w:tcPr>
          <w:p w14:paraId="24528141" w14:textId="17E38A42" w:rsidR="00ED5E97" w:rsidRPr="00890723" w:rsidRDefault="00ED5E97" w:rsidP="00ED5E97">
            <w:pPr>
              <w:jc w:val="center"/>
              <w:rPr>
                <w:szCs w:val="24"/>
              </w:rPr>
            </w:pPr>
            <w:r w:rsidRPr="00890723">
              <w:rPr>
                <w:szCs w:val="24"/>
              </w:rPr>
              <w:t xml:space="preserve">Low </w:t>
            </w:r>
            <w:r w:rsidRPr="00890723">
              <w:rPr>
                <w:szCs w:val="24"/>
              </w:rPr>
              <w:fldChar w:fldCharType="begin"/>
            </w:r>
            <w:r w:rsidR="003C7682">
              <w:rPr>
                <w:szCs w:val="24"/>
              </w:rPr>
              <w:instrText xml:space="preserve"> ADDIN ZOTERO_ITEM CSL_CITATION {"citationID":"a2uIDefV","properties":{"formattedCitation":"(Hu et al., 2015)","plainCitation":"(Hu et al., 2015)","noteIndex":0},"citationItems":[{"id":3327,"uris":["http://zotero.org/groups/5631027/items/DSFJI6LY"],"itemData":{"id":3327,"type":"article-journal","abstract":"The continuous increase of the greenhouse gas nitrous oxide (N2O) in the atmosphere due to increasing anthropogenic nitrogen input in agriculture has become a global concern. In recent years, identification of the microbial assemblages responsible for soil N2O production has substantially advanced with the development of molecular technologies and the discoveries of novel functional guilds and new types of metabolism. However, few practical tools are available to effectively reduce in situ soil N2O flux. Combating the negative impacts of increasing N2O fluxes poses considerable challenges and will be ineffective without successfully incorporating microbially regulated N2O processes into ecosystem modeling and mitigation strategies. Here, we synthesize the latest knowledge of (i) the key microbial pathways regulating N2O production and consumption processes in terrestrial ecosystems and the critical environmental factors influencing their occurrence, and (ii) the relative contributions of major biological pathways to soil N2O emissions by analyzing available natural isotopic signatures of N2O and by using stable isotope enrichment and inhibition techniques. We argue that it is urgently necessary to incorporate microbial traits into biogeochemical ecosystem modeling in order to increase the estimation reliability of N2O emissions. We further propose a molecular methodology oriented framework from gene to ecosystem scales for more robust prediction and mitigation of future N2O emissions.","container-title":"FEMS Microbiology Reviews","DOI":"10.1093/femsre/fuv021","ISSN":"0168-6445","issue":"5","journalAbbreviation":"FEMS Microbiology Reviews","page":"729-749","source":"Silverchair","title":"Microbial regulation of terrestrial nitrous oxide formation: understanding the biological pathways for prediction of emission rates","title-short":"Microbial regulation of terrestrial nitrous oxide formation","volume":"39","author":[{"family":"Hu","given":"Hang-Wei"},{"family":"Chen","given":"Deli"},{"family":"He","given":"Ji-Zheng"}],"issued":{"date-parts":[["2015",9,1]]}}}],"schema":"https://github.com/citation-style-language/schema/raw/master/csl-citation.json"} </w:instrText>
            </w:r>
            <w:r w:rsidRPr="00890723">
              <w:rPr>
                <w:szCs w:val="24"/>
              </w:rPr>
              <w:fldChar w:fldCharType="separate"/>
            </w:r>
            <w:r w:rsidRPr="00890723">
              <w:rPr>
                <w:rFonts w:cs="Times New Roman"/>
                <w:szCs w:val="24"/>
              </w:rPr>
              <w:t>(Hu et al., 2015)</w:t>
            </w:r>
            <w:r w:rsidRPr="00890723">
              <w:rPr>
                <w:szCs w:val="24"/>
              </w:rPr>
              <w:fldChar w:fldCharType="end"/>
            </w:r>
          </w:p>
        </w:tc>
        <w:tc>
          <w:tcPr>
            <w:tcW w:w="1581" w:type="dxa"/>
            <w:tcBorders>
              <w:top w:val="nil"/>
              <w:left w:val="nil"/>
              <w:bottom w:val="single" w:sz="4" w:space="0" w:color="auto"/>
              <w:right w:val="nil"/>
            </w:tcBorders>
            <w:vAlign w:val="center"/>
          </w:tcPr>
          <w:p w14:paraId="0C357175" w14:textId="77777777" w:rsidR="00ED5E97" w:rsidRPr="00890723" w:rsidRDefault="00ED5E97" w:rsidP="00ED5E97">
            <w:pPr>
              <w:jc w:val="center"/>
              <w:rPr>
                <w:szCs w:val="24"/>
              </w:rPr>
            </w:pPr>
          </w:p>
        </w:tc>
        <w:tc>
          <w:tcPr>
            <w:tcW w:w="1290" w:type="dxa"/>
            <w:tcBorders>
              <w:top w:val="nil"/>
              <w:left w:val="nil"/>
              <w:bottom w:val="single" w:sz="4" w:space="0" w:color="auto"/>
              <w:right w:val="nil"/>
            </w:tcBorders>
            <w:vAlign w:val="center"/>
          </w:tcPr>
          <w:p w14:paraId="794E5CFB" w14:textId="5D2874BE" w:rsidR="00ED5E97" w:rsidRPr="00890723" w:rsidRDefault="00ED5E97" w:rsidP="00ED5E97">
            <w:pPr>
              <w:jc w:val="center"/>
              <w:rPr>
                <w:szCs w:val="24"/>
              </w:rPr>
            </w:pPr>
            <w:r w:rsidRPr="00890723">
              <w:rPr>
                <w:szCs w:val="24"/>
              </w:rPr>
              <w:t xml:space="preserve">Alkaline </w:t>
            </w:r>
            <w:r w:rsidRPr="00890723">
              <w:rPr>
                <w:szCs w:val="24"/>
              </w:rPr>
              <w:fldChar w:fldCharType="begin"/>
            </w:r>
            <w:r w:rsidR="003C7682">
              <w:rPr>
                <w:szCs w:val="24"/>
              </w:rPr>
              <w:instrText xml:space="preserve"> ADDIN ZOTERO_ITEM CSL_CITATION {"citationID":"fl5zmgzB","properties":{"formattedCitation":"(Hu et al., 2015; Tierling &amp; Kuhlmann, 2018)","plainCitation":"(Hu et al., 2015; Tierling &amp; Kuhlmann, 2018)","noteIndex":0},"citationItems":[{"id":3327,"uris":["http://zotero.org/groups/5631027/items/DSFJI6LY"],"itemData":{"id":3327,"type":"article-journal","abstract":"The continuous increase of the greenhouse gas nitrous oxide (N2O) in the atmosphere due to increasing anthropogenic nitrogen input in agriculture has become a global concern. In recent years, identification of the microbial assemblages responsible for soil N2O production has substantially advanced with the development of molecular technologies and the discoveries of novel functional guilds and new types of metabolism. However, few practical tools are available to effectively reduce in situ soil N2O flux. Combating the negative impacts of increasing N2O fluxes poses considerable challenges and will be ineffective without successfully incorporating microbially regulated N2O processes into ecosystem modeling and mitigation strategies. Here, we synthesize the latest knowledge of (i) the key microbial pathways regulating N2O production and consumption processes in terrestrial ecosystems and the critical environmental factors influencing their occurrence, and (ii) the relative contributions of major biological pathways to soil N2O emissions by analyzing available natural isotopic signatures of N2O and by using stable isotope enrichment and inhibition techniques. We argue that it is urgently necessary to incorporate microbial traits into biogeochemical ecosystem modeling in order to increase the estimation reliability of N2O emissions. We further propose a molecular methodology oriented framework from gene to ecosystem scales for more robust prediction and mitigation of future N2O emissions.","container-title":"FEMS Microbiology Reviews","DOI":"10.1093/femsre/fuv021","ISSN":"0168-6445","issue":"5","journalAbbreviation":"FEMS Microbiology Reviews","page":"729-749","source":"Silverchair","title":"Microbial regulation of terrestrial nitrous oxide formation: understanding the biological pathways for prediction of emission rates","title-short":"Microbial regulation of terrestrial nitrous oxide formation","volume":"39","author":[{"family":"Hu","given":"Hang-Wei"},{"family":"Chen","given":"Deli"},{"family":"He","given":"Ji-Zheng"}],"issued":{"date-parts":[["2015",9,1]]}}},{"id":3393,"uris":["http://zotero.org/groups/5631027/items/4ZWFF7BJ"],"itemData":{"id":3393,"type":"article-journal","abstract":"The potential of nitrogen (N) fertilizer forms to mitigate N2O emissions from agricultural fields is not very well understood. It is known that both reduced and oxidized N forms can be beneficial, depending on site-specific edaphic and climatic conditions. In the present study four laboratory incubation experiments were conducted under conditions that should minimize denitrification to investigate N2O emissions during the nitrification of solid N fertilizers. It was found that on two loamy sand soils with pH values slightly above pH5, urea caused 2.7–3.8 fold higher cumulative N2O emissions than ammonium sulphate (AS). N2O emission rates from urea were accompanied by elevated soil nitrite levels, while those of AS were not. The direct addition of a NaNO2 solution revealed an exponential relationship between soil nitrite levels and cumulative N2O emissions, indicating that soil nitrite induces N2O emissions, probably by nitrite reduction via nitrifier denitrification. When the soil pH was increased to 6.3 (soil from a long-term liming experiment) nitrite accumulation during nitrification was observed for both N forms. Cumulative N2O emissions did not differ between N forms on the latter soil, but N2O emission kinetics were faster for urea. Cumulative N2O emissions from AS at soil pH6.3 were significantly higher than those of AS at pH values around 5. It was concluded that i) nitrite accumulation during nitrification of reduced N fertilizer forms can significantly contribute to N2O emissions under non-denitrifying conditions, ii) the risk of nitrite accumulation increases with higher soil pH values, and iii) that the alkalizing hydrolysis of urea increases the risk of nitrite accumulation and thus higher N2O emissions as well. This mechanism would explain why urea causes higher N2O emissions than fertilizers in the form of ammonium salts.","container-title":"Geoderma","DOI":"10.1016/j.geoderma.2017.08.040","ISSN":"0016-7061","journalAbbreviation":"Geoderma","page":"12-21","source":"ScienceDirect","title":"Emissions of nitrous oxide (N2O) affected by pH-related nitrite accumulation during nitrification of N fertilizers","volume":"310","author":[{"family":"Tierling","given":"Jens"},{"family":"Kuhlmann","given":"Hermann"}],"issued":{"date-parts":[["2018",1,15]]}}}],"schema":"https://github.com/citation-style-language/schema/raw/master/csl-citation.json"} </w:instrText>
            </w:r>
            <w:r w:rsidRPr="00890723">
              <w:rPr>
                <w:szCs w:val="24"/>
              </w:rPr>
              <w:fldChar w:fldCharType="separate"/>
            </w:r>
            <w:r w:rsidRPr="00890723">
              <w:rPr>
                <w:rFonts w:cs="Times New Roman"/>
                <w:szCs w:val="24"/>
              </w:rPr>
              <w:t>(Hu et al., 2015; Tierling &amp; Kuhlmann, 2018)</w:t>
            </w:r>
            <w:r w:rsidRPr="00890723">
              <w:rPr>
                <w:szCs w:val="24"/>
              </w:rPr>
              <w:fldChar w:fldCharType="end"/>
            </w:r>
          </w:p>
        </w:tc>
      </w:tr>
    </w:tbl>
    <w:p w14:paraId="0E5F4A52" w14:textId="51B675D9" w:rsidR="00032567" w:rsidRDefault="00032567" w:rsidP="00032567">
      <w:pPr>
        <w:spacing w:line="480" w:lineRule="auto"/>
        <w:rPr>
          <w:szCs w:val="24"/>
        </w:rPr>
      </w:pPr>
      <w:bookmarkStart w:id="25" w:name="_Toc204261959"/>
      <w:r w:rsidRPr="00890723">
        <w:rPr>
          <w:b/>
          <w:bCs/>
          <w:szCs w:val="24"/>
        </w:rPr>
        <w:t>Table 1</w:t>
      </w:r>
      <w:r w:rsidR="00827B75">
        <w:rPr>
          <w:b/>
          <w:bCs/>
          <w:szCs w:val="24"/>
        </w:rPr>
        <w:t>.</w:t>
      </w:r>
      <w:r w:rsidR="00827B75">
        <w:rPr>
          <w:b/>
          <w:bCs/>
          <w:szCs w:val="24"/>
        </w:rPr>
        <w:fldChar w:fldCharType="begin"/>
      </w:r>
      <w:r w:rsidR="00827B75">
        <w:rPr>
          <w:b/>
          <w:bCs/>
          <w:szCs w:val="24"/>
        </w:rPr>
        <w:instrText xml:space="preserve"> SEQ Table \* ARABIC \s 1 </w:instrText>
      </w:r>
      <w:r w:rsidR="00827B75">
        <w:rPr>
          <w:b/>
          <w:bCs/>
          <w:szCs w:val="24"/>
        </w:rPr>
        <w:fldChar w:fldCharType="separate"/>
      </w:r>
      <w:r w:rsidR="00827B75">
        <w:rPr>
          <w:b/>
          <w:bCs/>
          <w:noProof/>
          <w:szCs w:val="24"/>
        </w:rPr>
        <w:t>1</w:t>
      </w:r>
      <w:r w:rsidR="00827B75">
        <w:rPr>
          <w:b/>
          <w:bCs/>
          <w:szCs w:val="24"/>
        </w:rPr>
        <w:fldChar w:fldCharType="end"/>
      </w:r>
      <w:r w:rsidRPr="00890723">
        <w:rPr>
          <w:szCs w:val="24"/>
        </w:rPr>
        <w:t>: Major soil N</w:t>
      </w:r>
      <w:r w:rsidRPr="00890723">
        <w:rPr>
          <w:szCs w:val="24"/>
          <w:vertAlign w:val="subscript"/>
        </w:rPr>
        <w:t>2</w:t>
      </w:r>
      <w:r w:rsidRPr="00890723">
        <w:rPr>
          <w:szCs w:val="24"/>
        </w:rPr>
        <w:t>O producing processes and their key drivers</w:t>
      </w:r>
      <w:r w:rsidR="00ED5E97">
        <w:rPr>
          <w:szCs w:val="24"/>
        </w:rPr>
        <w:t>.</w:t>
      </w:r>
      <w:bookmarkEnd w:id="25"/>
    </w:p>
    <w:p w14:paraId="2CBF6ECC" w14:textId="77777777" w:rsidR="00ED5E97" w:rsidRDefault="00ED5E97" w:rsidP="00ED5E97">
      <w:pPr>
        <w:spacing w:line="480" w:lineRule="auto"/>
        <w:rPr>
          <w:szCs w:val="24"/>
        </w:rPr>
      </w:pPr>
    </w:p>
    <w:p w14:paraId="3B04277D" w14:textId="77777777" w:rsidR="001B567A" w:rsidRDefault="001B567A" w:rsidP="00417D93">
      <w:pPr>
        <w:spacing w:after="0" w:line="480" w:lineRule="auto"/>
        <w:rPr>
          <w:szCs w:val="24"/>
        </w:rPr>
      </w:pPr>
    </w:p>
    <w:p w14:paraId="24A73557" w14:textId="77777777" w:rsidR="001B567A" w:rsidRDefault="001B567A" w:rsidP="00417D93">
      <w:pPr>
        <w:spacing w:after="0" w:line="480" w:lineRule="auto"/>
        <w:rPr>
          <w:szCs w:val="24"/>
        </w:rPr>
      </w:pPr>
    </w:p>
    <w:p w14:paraId="0B9BE963" w14:textId="77777777" w:rsidR="001B567A" w:rsidRDefault="001B567A" w:rsidP="00417D93">
      <w:pPr>
        <w:spacing w:after="0" w:line="480" w:lineRule="auto"/>
        <w:rPr>
          <w:szCs w:val="24"/>
        </w:rPr>
      </w:pPr>
    </w:p>
    <w:p w14:paraId="1C72D93D" w14:textId="77777777" w:rsidR="001B567A" w:rsidRDefault="001B567A" w:rsidP="00417D93">
      <w:pPr>
        <w:spacing w:after="0" w:line="480" w:lineRule="auto"/>
        <w:rPr>
          <w:szCs w:val="24"/>
        </w:rPr>
      </w:pPr>
    </w:p>
    <w:p w14:paraId="3A3F99C8" w14:textId="77777777" w:rsidR="001B567A" w:rsidRDefault="001B567A" w:rsidP="00417D93">
      <w:pPr>
        <w:spacing w:after="0" w:line="480" w:lineRule="auto"/>
        <w:rPr>
          <w:szCs w:val="24"/>
        </w:rPr>
      </w:pPr>
    </w:p>
    <w:p w14:paraId="28D2E66F" w14:textId="77777777" w:rsidR="001B567A" w:rsidRDefault="001B567A" w:rsidP="00417D93">
      <w:pPr>
        <w:spacing w:after="0" w:line="480" w:lineRule="auto"/>
        <w:rPr>
          <w:szCs w:val="24"/>
        </w:rPr>
      </w:pPr>
    </w:p>
    <w:p w14:paraId="301D045D" w14:textId="77777777" w:rsidR="001B567A" w:rsidRDefault="001B567A" w:rsidP="00417D93">
      <w:pPr>
        <w:spacing w:after="0" w:line="480" w:lineRule="auto"/>
        <w:rPr>
          <w:szCs w:val="24"/>
        </w:rPr>
      </w:pPr>
    </w:p>
    <w:p w14:paraId="199215E8" w14:textId="77777777" w:rsidR="001B567A" w:rsidRDefault="001B567A" w:rsidP="00417D93">
      <w:pPr>
        <w:spacing w:after="0" w:line="480" w:lineRule="auto"/>
        <w:rPr>
          <w:szCs w:val="24"/>
        </w:rPr>
      </w:pPr>
    </w:p>
    <w:p w14:paraId="5B968DA5" w14:textId="643D2A71" w:rsidR="00673C45" w:rsidRPr="00890723" w:rsidRDefault="00032567" w:rsidP="001B567A">
      <w:pPr>
        <w:spacing w:after="0" w:line="480" w:lineRule="auto"/>
        <w:rPr>
          <w:szCs w:val="24"/>
        </w:rPr>
      </w:pPr>
      <w:r w:rsidRPr="00890723">
        <w:rPr>
          <w:szCs w:val="24"/>
        </w:rPr>
        <w:lastRenderedPageBreak/>
        <w:t xml:space="preserve">measured to accurately represent the dynamics of the proximal controlling factor </w:t>
      </w:r>
      <w:r w:rsidRPr="00890723">
        <w:rPr>
          <w:szCs w:val="24"/>
        </w:rPr>
        <w:fldChar w:fldCharType="begin"/>
      </w:r>
      <w:r w:rsidR="003C7682">
        <w:rPr>
          <w:szCs w:val="24"/>
        </w:rPr>
        <w:instrText xml:space="preserve"> ADDIN ZOTERO_ITEM CSL_CITATION {"citationID":"aje7l5siul","properties":{"formattedCitation":"(P. Groffman et al., 1988)","plainCitation":"(P. Groffman et al., 1988)","noteIndex":0},"citationItems":[{"id":1509,"uris":["http://zotero.org/groups/4573874/items/3VKZZKBD"],"itemData":{"id":1509,"type":"article-journal","container-title":"Advances in nitrogen cycling in agricultural ecosystems","journalAbbreviation":"Advances in nitrogen cycling in agricultural ecosystems","note":"publisher: CAB International Wallingford, UK","page":"174-192","title":"Denitrification at different temporal and geographical scales: proximal and distal controls","author":[{"family":"Groffman","given":"Peter"},{"family":"Tiedje","given":"JM"},{"family":"Robertson","given":"GP"},{"family":"Christensen","given":"S"}],"issued":{"date-parts":[["1988"]]}}}],"schema":"https://github.com/citation-style-language/schema/raw/master/csl-citation.json"} </w:instrText>
      </w:r>
      <w:r w:rsidRPr="00890723">
        <w:rPr>
          <w:szCs w:val="24"/>
        </w:rPr>
        <w:fldChar w:fldCharType="separate"/>
      </w:r>
      <w:r w:rsidR="003C7682" w:rsidRPr="003C7682">
        <w:rPr>
          <w:rFonts w:cs="Times New Roman"/>
          <w:kern w:val="0"/>
        </w:rPr>
        <w:t>(Groffman et al., 1988)</w:t>
      </w:r>
      <w:r w:rsidRPr="00890723">
        <w:rPr>
          <w:szCs w:val="24"/>
        </w:rPr>
        <w:fldChar w:fldCharType="end"/>
      </w:r>
      <w:r w:rsidRPr="00890723">
        <w:rPr>
          <w:szCs w:val="24"/>
        </w:rPr>
        <w:t>.</w:t>
      </w:r>
    </w:p>
    <w:p w14:paraId="01710246" w14:textId="7FF32CCB" w:rsidR="00032567" w:rsidRPr="00890723" w:rsidRDefault="00032567" w:rsidP="001B567A">
      <w:pPr>
        <w:pStyle w:val="Heading3"/>
      </w:pPr>
      <w:bookmarkStart w:id="26" w:name="_Toc204282737"/>
      <w:r w:rsidRPr="00890723">
        <w:t xml:space="preserve">Hot </w:t>
      </w:r>
      <w:r w:rsidR="0055280E">
        <w:t>m</w:t>
      </w:r>
      <w:r w:rsidRPr="00890723">
        <w:t xml:space="preserve">oments and their </w:t>
      </w:r>
      <w:r w:rsidR="0055280E">
        <w:t>e</w:t>
      </w:r>
      <w:r w:rsidRPr="00890723">
        <w:t xml:space="preserve">nvironmental </w:t>
      </w:r>
      <w:r w:rsidR="0055280E">
        <w:t>d</w:t>
      </w:r>
      <w:r w:rsidRPr="00890723">
        <w:t>rivers</w:t>
      </w:r>
      <w:bookmarkEnd w:id="26"/>
    </w:p>
    <w:p w14:paraId="6770FACA" w14:textId="15F1C001" w:rsidR="00032567" w:rsidRPr="00890723" w:rsidRDefault="00032567" w:rsidP="001B567A">
      <w:pPr>
        <w:spacing w:after="0" w:line="480" w:lineRule="auto"/>
        <w:rPr>
          <w:szCs w:val="24"/>
        </w:rPr>
      </w:pPr>
      <w:r w:rsidRPr="00890723">
        <w:rPr>
          <w:szCs w:val="24"/>
        </w:rPr>
        <w:t xml:space="preserve">Hot moments are events during which the rate of biogeochemical reactions sharply rise above the predominant rate over longer time periods </w:t>
      </w:r>
      <w:r w:rsidRPr="00890723">
        <w:rPr>
          <w:szCs w:val="24"/>
        </w:rPr>
        <w:fldChar w:fldCharType="begin"/>
      </w:r>
      <w:r w:rsidR="003C7682">
        <w:rPr>
          <w:szCs w:val="24"/>
        </w:rPr>
        <w:instrText xml:space="preserve"> ADDIN ZOTERO_ITEM CSL_CITATION {"citationID":"mIphM0hD","properties":{"formattedCitation":"(McClain et al., 2003)","plainCitation":"(McClain et al., 2003)","noteIndex":0},"citationItems":[{"id":1273,"uris":["http://zotero.org/groups/4573874/items/XVDDXTU7"],"itemData":{"id":1273,"type":"article-journal","container-title":"Ecosystems","DOI":"10.1007/s10021-003-0161-9","ISSN":"1432-9840","issue":"4","journalAbbreviation":"Ecosystems","language":"en","page":"301-312","source":"Springer Link","title":"Biogeochemical Hot Spots and Hot Moments at the Interface of Terrestrial and Aquatic Ecosystems","volume":"6","author":[{"family":"McClain","given":"Michael E."},{"family":"Boyer","given":"Elizabeth W."},{"family":"Dent","given":"C. Lisa"},{"family":"Gergel","given":"Sarah E."},{"family":"Grimm","given":"Nancy B."},{"family":"Groffman","given":"Peter M."},{"family":"Hart","given":"Stephen C."},{"family":"Harvey","given":"Judson W."},{"family":"Johnston","given":"Carol A."},{"family":"Mayorga","given":"Emilio"},{"family":"McDowell","given":"William H."},{"family":"Pinay","given":"Gilles"}],"issued":{"date-parts":[["2003",6,1]]}}}],"schema":"https://github.com/citation-style-language/schema/raw/master/csl-citation.json"} </w:instrText>
      </w:r>
      <w:r w:rsidRPr="00890723">
        <w:rPr>
          <w:szCs w:val="24"/>
        </w:rPr>
        <w:fldChar w:fldCharType="separate"/>
      </w:r>
      <w:r w:rsidRPr="00890723">
        <w:rPr>
          <w:rFonts w:cs="Times New Roman"/>
          <w:szCs w:val="24"/>
        </w:rPr>
        <w:t>(McClain et al., 2003)</w:t>
      </w:r>
      <w:r w:rsidRPr="00890723">
        <w:rPr>
          <w:szCs w:val="24"/>
        </w:rPr>
        <w:fldChar w:fldCharType="end"/>
      </w:r>
      <w:r w:rsidRPr="00890723">
        <w:rPr>
          <w:szCs w:val="24"/>
        </w:rPr>
        <w:t>. These dramatic changes to reaction rates are driven by sudden changes to the environment, as microbial activity and population dynamics are controlled by environmental conditions. In the case of N</w:t>
      </w:r>
      <w:r w:rsidRPr="00890723">
        <w:rPr>
          <w:szCs w:val="24"/>
          <w:vertAlign w:val="subscript"/>
        </w:rPr>
        <w:t>2</w:t>
      </w:r>
      <w:r w:rsidRPr="00890723">
        <w:rPr>
          <w:szCs w:val="24"/>
        </w:rPr>
        <w:t>O, hot moments describe periods of anomalously high N</w:t>
      </w:r>
      <w:r w:rsidRPr="00890723">
        <w:rPr>
          <w:szCs w:val="24"/>
          <w:vertAlign w:val="subscript"/>
        </w:rPr>
        <w:t>2</w:t>
      </w:r>
      <w:r w:rsidRPr="00890723">
        <w:rPr>
          <w:szCs w:val="24"/>
        </w:rPr>
        <w:t>O emissions which may be produced by multiple pathways. However, empirical evidence from field trials, isotopic labeling, microbial genetic analysis, and knowledge of drivers of specific biogeochemical pathways indicates that certain environmental changes have the greatest impact on hot moments in agroecosystems. Knowledge of these environmental and biological drivers is key to improving models of N</w:t>
      </w:r>
      <w:r w:rsidRPr="00890723">
        <w:rPr>
          <w:szCs w:val="24"/>
          <w:vertAlign w:val="subscript"/>
        </w:rPr>
        <w:t>2</w:t>
      </w:r>
      <w:r w:rsidRPr="00890723">
        <w:rPr>
          <w:szCs w:val="24"/>
        </w:rPr>
        <w:t>O hot moments, which is urgently needed to improve overall N</w:t>
      </w:r>
      <w:r w:rsidRPr="00890723">
        <w:rPr>
          <w:szCs w:val="24"/>
          <w:vertAlign w:val="subscript"/>
        </w:rPr>
        <w:t>2</w:t>
      </w:r>
      <w:r w:rsidRPr="00890723">
        <w:rPr>
          <w:szCs w:val="24"/>
        </w:rPr>
        <w:t xml:space="preserve">O estimations and informing mitigation efforts </w:t>
      </w:r>
      <w:r w:rsidRPr="00890723">
        <w:rPr>
          <w:szCs w:val="24"/>
        </w:rPr>
        <w:fldChar w:fldCharType="begin"/>
      </w:r>
      <w:r w:rsidR="008752F6">
        <w:rPr>
          <w:szCs w:val="24"/>
        </w:rPr>
        <w:instrText xml:space="preserve"> ADDIN ZOTERO_ITEM CSL_CITATION {"citationID":"a1bo8n0bi3n","properties":{"formattedCitation":"(P. Groffman et al., 2009; Wagner-Riddle et al., 2020)","plainCitation":"(P. Groffman et al., 2009; Wagner-Riddle et al., 2020)","dontUpdate":true,"noteIndex":0},"citationItems":[{"id":1331,"uris":["http://zotero.org/groups/4573874/items/EXZXMUGS"],"itemData":{"id":1331,"type":"article-journal","abstract":"Denitrification, the anaerobic reduction of nitrogen oxides to nitrogenous gases, is an extremely challenging process to measure and model. Much of this challenge arises from the fact that small areas (hotspots) and brief periods (hot moments) frequently account for a high percentage of the denitrification activity that occurs in both terrestrial and aquatic ecosystems. In this paper, we describe the prospects for incorporating hotspot and hot moment phenomena into denitrification models in terrestrial soils, the interface between terrestrial and aquatic ecosystems, and in aquatic ecosystems. Our analysis suggests that while our data needs are strongest for hot moments, the greatest modeling challenges are for hotspots. Given the increasing availability of high temporal frequency climate data, models are promising tools for evaluating the importance of hot moments such as freeze-thaw cycles and drying/rewetting events. Spatial hotspots are less tractable due to our inability to get high resolution spatial approximations of denitrification drivers such as carbon substrate. Investigators need to consider the types of hotspots and hot moments that might be occurring at small, medium, and large spatial scales in the particular ecosystem type they are working in before starting a study or developing a new model. New experimental design and heterogeneity quantification tools can then be applied from the outset and will result in better quantification and more robust and widely applicable denitrification models.","container-title":"Biogeochemistry","DOI":"10.1007/s10533-008-9277-5","ISSN":"1573-515X","issue":"1","journalAbbreviation":"Biogeochemistry","language":"en","page":"49-77","source":"Springer Link","title":"Challenges to incorporating spatially and temporally explicit phenomena (hotspots and hot moments) in denitrification models","volume":"93","author":[{"family":"Groffman","given":"Peter"},{"family":"Butterbach-Bahl","given":"Klaus"},{"family":"Fulweiler","given":"Robinson W."},{"family":"Gold","given":"Arthur J."},{"family":"Morse","given":"Jennifer L."},{"family":"Stander","given":"Emilie K."},{"family":"Tague","given":"Christina"},{"family":"Tonitto","given":"Christina"},{"family":"Vidon","given":"Philippe"}],"issued":{"date-parts":[["2009",3,1]]}}},{"id":738,"uris":["http://zotero.org/groups/4573874/items/ASMIL7DP"],"itemData":{"id":738,"type":"article-journal","abstract":"Across landscape and field scales, nitrogen (N) transformation rates are enhanced in hot spots (HS) and transient hot moments (HM), leading to losses of environmentally reactive N. Nitrous oxide (N2O) emission trends follow these spatial and temporal patterns. Consequently, landscape features can accelerate N2O emissions, and significant fractions of total annual emissions occur in these N2O emissions HS and HM. In agroecosystems, naturally occurring and management-induced HS and HM can be exacerbated or ameliorated through mitigation management practices. Although mitigation practices have been recommended for reduction of N2O emissions, these have not explicitly targeted HS and HM. Here we review, and synthesize, N2O mitigation practices with an emphasis on how they can be aligned to reduce the occurrence of HS and HM of N2O emission.","collection-title":"Climate Change, Reactive Nitrogen, Food Security and Sustainable Agriculture","container-title":"Current Opinion in Environmental Sustainability","DOI":"10.1016/j.cosust.2020.08.002","ISSN":"1877-3435","journalAbbreviation":"Current Opinion in Environmental Sustainability","language":"en","page":"46-53","source":"ScienceDirect","title":"Mitigation of nitrous oxide emissions in the context of nitrogen loss reduction from agroecosystems: managing hot spots and hot moments","title-short":"Mitigation of nitrous oxide emissions in the context of nitrogen loss reduction from agroecosystems","volume":"47","author":[{"family":"Wagner-Riddle","given":"Claudia"},{"family":"Baggs","given":"Elizabeth M"},{"family":"Clough","given":"Tim J"},{"family":"Fuchs","given":"Kathrin"},{"family":"Petersen","given":"Søren O"}],"issued":{"date-parts":[["2020",12,1]]}}}],"schema":"https://github.com/citation-style-language/schema/raw/master/csl-citation.json"} </w:instrText>
      </w:r>
      <w:r w:rsidRPr="00890723">
        <w:rPr>
          <w:szCs w:val="24"/>
        </w:rPr>
        <w:fldChar w:fldCharType="separate"/>
      </w:r>
      <w:r w:rsidR="006D717C" w:rsidRPr="006D717C">
        <w:rPr>
          <w:rFonts w:cs="Times New Roman"/>
        </w:rPr>
        <w:t>(Groffman et al., 2009; Wagner-Riddle et al., 2020)</w:t>
      </w:r>
      <w:r w:rsidRPr="00890723">
        <w:rPr>
          <w:szCs w:val="24"/>
        </w:rPr>
        <w:fldChar w:fldCharType="end"/>
      </w:r>
      <w:r w:rsidRPr="00890723">
        <w:rPr>
          <w:szCs w:val="24"/>
        </w:rPr>
        <w:t>.</w:t>
      </w:r>
    </w:p>
    <w:p w14:paraId="36DB3251" w14:textId="77777777" w:rsidR="00032567" w:rsidRPr="00890723" w:rsidRDefault="00032567" w:rsidP="001B567A">
      <w:pPr>
        <w:spacing w:after="0" w:line="480" w:lineRule="auto"/>
        <w:rPr>
          <w:szCs w:val="24"/>
        </w:rPr>
      </w:pPr>
      <w:r w:rsidRPr="00890723">
        <w:rPr>
          <w:szCs w:val="24"/>
        </w:rPr>
        <w:t>The most important driver of N</w:t>
      </w:r>
      <w:r w:rsidRPr="00890723">
        <w:rPr>
          <w:szCs w:val="24"/>
          <w:vertAlign w:val="subscript"/>
        </w:rPr>
        <w:t>2</w:t>
      </w:r>
      <w:r w:rsidRPr="00890723">
        <w:rPr>
          <w:szCs w:val="24"/>
        </w:rPr>
        <w:t xml:space="preserve">O hot moments is often considered to be oxygen availability, as oxygen’s role as the preferred electron acceptor causes it to play the role of a fulcrum for various microbial metabolic pathways </w:t>
      </w:r>
      <w:r w:rsidRPr="00890723">
        <w:rPr>
          <w:szCs w:val="24"/>
        </w:rPr>
        <w:fldChar w:fldCharType="begin"/>
      </w:r>
      <w:r w:rsidR="00950694">
        <w:rPr>
          <w:szCs w:val="24"/>
        </w:rPr>
        <w:instrText xml:space="preserve"> ADDIN ZOTERO_ITEM CSL_CITATION {"citationID":"uoW1VrFS","properties":{"formattedCitation":"(Butterbach-Bahl et al., 2013; Hu et al., 2015; Zumft, 1997)","plainCitation":"(Butterbach-Bahl et al., 2013; Hu et al., 2015; Zumft, 1997)","noteIndex":0},"citationItems":[{"id":1313,"uris":["http://zotero.org/groups/4573874/items/5DUZFISM"],"itemData":{"id":1313,"type":"article-journal","abstract":"Although it is well established that soils are the dominating source for atmospheric nitrous oxide (N2O), we are still struggling to fully understand the complexity of the underlying microbial production and consumption processes and the links to biotic (e.g. inter- and intraspecies competition, food webs, plant–microbe interaction) and abiotic (e.g. soil climate, physics and chemistry) factors. Recent work shows that a better understanding of the composition and diversity of the microbial community across a variety of soils in different climates and under different land use, as well as plant–microbe interactions in the rhizosphere, may provide a key to better understand the variability of N2O fluxes at the soil–atmosphere interface. Moreover, recent insights into the regulation of the reduction of N2O to dinitrogen (N2) have increased our understanding of N2O exchange. This improved process understanding, building on the increased use of isotope tracing techniques and metagenomics, needs to go along with improvements in measurement techniques for N2O (and N2) emission in order to obtain robust field and laboratory datasets for different ecosystem types. Advances in both fields are currently used to improve process descriptions in biogeochemical models, which may eventually be used not only to test our current process understanding from the microsite to the field level, but also used as tools for up-scaling emissions to landscapes and regions and to explore feedbacks of soil N2O emissions to changes in environmental conditions, land management and land use.","container-title":"Philosophical Transactions of the Royal Society B: Biological Sciences","DOI":"10.1098/rstb.2013.0122","issue":"1621","note":"publisher: Royal Society","page":"20130122","source":"royalsocietypublishing.org (Atypon)","title":"Nitrous oxide emissions from soils: how well do we understand the processes and their controls?","title-short":"Nitrous oxide emissions from soils","volume":"368","author":[{"family":"Butterbach-Bahl","given":"Klaus"},{"family":"Baggs","given":"Elizabeth M."},{"family":"Dannenmann","given":"Michael"},{"family":"Kiese","given":"Ralf"},{"family":"Zechmeister-Boltenstern","given":"Sophie"}],"issued":{"date-parts":[["2013",7,5]]}}},{"id":3327,"uris":["http://zotero.org/groups/5631027/items/DSFJI6LY"],"itemData":{"id":3327,"type":"article-journal","abstract":"The continuous increase of the greenhouse gas nitrous oxide (N2O) in the atmosphere due to increasing anthropogenic nitrogen input in agriculture has become a global concern. In recent years, identification of the microbial assemblages responsible for soil N2O production has substantially advanced with the development of molecular technologies and the discoveries of novel functional guilds and new types of metabolism. However, few practical tools are available to effectively reduce in situ soil N2O flux. Combating the negative impacts of increasing N2O fluxes poses considerable challenges and will be ineffective without successfully incorporating microbially regulated N2O processes into ecosystem modeling and mitigation strategies. Here, we synthesize the latest knowledge of (i) the key microbial pathways regulating N2O production and consumption processes in terrestrial ecosystems and the critical environmental factors influencing their occurrence, and (ii) the relative contributions of major biological pathways to soil N2O emissions by analyzing available natural isotopic signatures of N2O and by using stable isotope enrichment and inhibition techniques. We argue that it is urgently necessary to incorporate microbial traits into biogeochemical ecosystem modeling in order to increase the estimation reliability of N2O emissions. We further propose a molecular methodology oriented framework from gene to ecosystem scales for more robust prediction and mitigation of future N2O emissions.","container-title":"FEMS Microbiology Reviews","DOI":"10.1093/femsre/fuv021","ISSN":"0168-6445","issue":"5","journalAbbreviation":"FEMS Microbiology Reviews","page":"729-749","source":"Silverchair","title":"Microbial regulation of terrestrial nitrous oxide formation: understanding the biological pathways for prediction of emission rates","title-short":"Microbial regulation of terrestrial nitrous oxide formation","volume":"39","author":[{"family":"Hu","given":"Hang-Wei"},{"family":"Chen","given":"Deli"},{"family":"He","given":"Ji-Zheng"}],"issued":{"date-parts":[["2015",9,1]]}}},{"id":2295,"uris":["http://zotero.org/groups/5631027/items/RUSH74ZZ"],"itemData":{"id":2295,"type":"article-journal","abstract":"Denitrification is a distinct means of energy conservation, making use of N oxides as terminal electron acceptors for cellular bioenergetics under anaerobic, microaerophilic, and occasionally aerobic conditions. The process is an essential branch of the global N cycle, reversing dinitrogen fixation, and is associated with chemolithotrophic, phototrophic, diazotrophic, or organotrophic metabolism but generally not with obligately anaerobic life. Discovered more than a century ago and believed to be exclusively a bacterial trait, denitrification has now been found in halophilic and hyperthermophilic archaea and in the mitochondria of fungi, raising evolutionarily intriguing vistas. Important advances in the biochemical characterization of denitrification and the underlying genetics have been achieved with Pseudomonas stutzeri, Pseudomonas aeruginosa, Paracoccus denitrificans, Ralstonia eutropha, and Rhodobacter sphaeroides. Pseudomonads represent one of the largest assemblies of the denitrifying bacteria within a single genus, favoring their use as model organisms. Around 50 genes are required within a single bacterium to encode the core structures of the denitrification apparatus. Much of the denitrification process of gram-negative bacteria has been found confined to the periplasm, whereas the topology and enzymology of the gram-positive bacteria are less well established. The activation and enzymatic transformation of N oxides is based on the redox chemistry of Fe, Cu, and Mo. Biochemical breakthroughs have included the X-ray structures of the two types of respiratory nitrite reductases and the isolation of the novel enzymes nitric oxide reductase and nitrous oxide reductase, as well as their structural characterization by indirect spectroscopic means. This revealed unexpected relationships among denitrification enzymes and respiratory oxygen reductases. Denitrification is intimately related to fundamental cellular processes that include primary and secondary transport, protein translocation, cytochrome c biogenesis, anaerobic gene regulation, metalloprotein assembly, and the biosynthesis of the cofactors molybdopterin and heme D1. An important class of regulators for the anaerobic expression of the denitrification apparatus are transcription factors of the greater FNR family. Nitrate and nitric oxide, in addition to being respiratory substrates, have been identified as signaling molecules for the induction of distinct N oxide-metabolizing enzymes.","container-title":"Microbiology and Molecular Biology Reviews","DOI":"10.1128/mmbr.61.4.533-616.1997","issue":"4","note":"publisher: American Society for Microbiology","page":"533-616","source":"journals.asm.org (Atypon)","title":"Cell biology and molecular basis of denitrification","volume":"61","author":[{"family":"Zumft","given":"W G"}],"issued":{"date-parts":[["1997",12]]}}}],"schema":"https://github.com/citation-style-language/schema/raw/master/csl-citation.json"} </w:instrText>
      </w:r>
      <w:r w:rsidRPr="00890723">
        <w:rPr>
          <w:szCs w:val="24"/>
        </w:rPr>
        <w:fldChar w:fldCharType="separate"/>
      </w:r>
      <w:r w:rsidR="00950694" w:rsidRPr="00950694">
        <w:rPr>
          <w:rFonts w:cs="Times New Roman"/>
        </w:rPr>
        <w:t>(Butterbach-Bahl et al., 2013; Hu et al., 2015; Zumft, 1997)</w:t>
      </w:r>
      <w:r w:rsidRPr="00890723">
        <w:rPr>
          <w:szCs w:val="24"/>
        </w:rPr>
        <w:fldChar w:fldCharType="end"/>
      </w:r>
      <w:r w:rsidRPr="00890723">
        <w:rPr>
          <w:szCs w:val="24"/>
        </w:rPr>
        <w:t>. Three of the four most important N</w:t>
      </w:r>
      <w:r w:rsidRPr="00890723">
        <w:rPr>
          <w:szCs w:val="24"/>
          <w:vertAlign w:val="subscript"/>
        </w:rPr>
        <w:t>2</w:t>
      </w:r>
      <w:r w:rsidRPr="00890723">
        <w:rPr>
          <w:szCs w:val="24"/>
        </w:rPr>
        <w:t xml:space="preserve">O producing pathways have the potential to increase their rates with a decrease in oxygen from aerobic conditions: heterotrophic denitrification is an obligate anaerobic process </w:t>
      </w:r>
      <w:r w:rsidRPr="00890723">
        <w:rPr>
          <w:szCs w:val="24"/>
        </w:rPr>
        <w:fldChar w:fldCharType="begin"/>
      </w:r>
      <w:r w:rsidR="003C7682">
        <w:rPr>
          <w:szCs w:val="24"/>
        </w:rPr>
        <w:instrText xml:space="preserve"> ADDIN ZOTERO_ITEM CSL_CITATION {"citationID":"lsyc73Go","properties":{"formattedCitation":"(Zumft, 1997)","plainCitation":"(Zumft, 1997)","noteIndex":0},"citationItems":[{"id":2295,"uris":["http://zotero.org/groups/5631027/items/RUSH74ZZ"],"itemData":{"id":2295,"type":"article-journal","abstract":"Denitrification is a distinct means of energy conservation, making use of N oxides as terminal electron acceptors for cellular bioenergetics under anaerobic, microaerophilic, and occasionally aerobic conditions. The process is an essential branch of the global N cycle, reversing dinitrogen fixation, and is associated with chemolithotrophic, phototrophic, diazotrophic, or organotrophic metabolism but generally not with obligately anaerobic life. Discovered more than a century ago and believed to be exclusively a bacterial trait, denitrification has now been found in halophilic and hyperthermophilic archaea and in the mitochondria of fungi, raising evolutionarily intriguing vistas. Important advances in the biochemical characterization of denitrification and the underlying genetics have been achieved with Pseudomonas stutzeri, Pseudomonas aeruginosa, Paracoccus denitrificans, Ralstonia eutropha, and Rhodobacter sphaeroides. Pseudomonads represent one of the largest assemblies of the denitrifying bacteria within a single genus, favoring their use as model organisms. Around 50 genes are required within a single bacterium to encode the core structures of the denitrification apparatus. Much of the denitrification process of gram-negative bacteria has been found confined to the periplasm, whereas the topology and enzymology of the gram-positive bacteria are less well established. The activation and enzymatic transformation of N oxides is based on the redox chemistry of Fe, Cu, and Mo. Biochemical breakthroughs have included the X-ray structures of the two types of respiratory nitrite reductases and the isolation of the novel enzymes nitric oxide reductase and nitrous oxide reductase, as well as their structural characterization by indirect spectroscopic means. This revealed unexpected relationships among denitrification enzymes and respiratory oxygen reductases. Denitrification is intimately related to fundamental cellular processes that include primary and secondary transport, protein translocation, cytochrome c biogenesis, anaerobic gene regulation, metalloprotein assembly, and the biosynthesis of the cofactors molybdopterin and heme D1. An important class of regulators for the anaerobic expression of the denitrification apparatus are transcription factors of the greater FNR family. Nitrate and nitric oxide, in addition to being respiratory substrates, have been identified as signaling molecules for the induction of distinct N oxide-metabolizing enzymes.","container-title":"Microbiology and Molecular Biology Reviews","DOI":"10.1128/mmbr.61.4.533-616.1997","issue":"4","note":"publisher: American Society for Microbiology","page":"533-616","source":"journals.asm.org (Atypon)","title":"Cell biology and molecular basis of denitrification","volume":"61","author":[{"family":"Zumft","given":"W G"}],"issued":{"date-parts":[["1997",12]]}}}],"schema":"https://github.com/citation-style-language/schema/raw/master/csl-citation.json"} </w:instrText>
      </w:r>
      <w:r w:rsidRPr="00890723">
        <w:rPr>
          <w:szCs w:val="24"/>
        </w:rPr>
        <w:fldChar w:fldCharType="separate"/>
      </w:r>
      <w:r w:rsidRPr="00890723">
        <w:rPr>
          <w:rFonts w:cs="Times New Roman"/>
          <w:szCs w:val="24"/>
        </w:rPr>
        <w:t>(Zumft, 1997)</w:t>
      </w:r>
      <w:r w:rsidRPr="00890723">
        <w:rPr>
          <w:szCs w:val="24"/>
        </w:rPr>
        <w:fldChar w:fldCharType="end"/>
      </w:r>
      <w:r w:rsidRPr="00890723">
        <w:rPr>
          <w:szCs w:val="24"/>
        </w:rPr>
        <w:t xml:space="preserve">, nitrifier denitrification proceeds most efficiently under low oxic conditions </w:t>
      </w:r>
      <w:r w:rsidRPr="00890723">
        <w:rPr>
          <w:szCs w:val="24"/>
        </w:rPr>
        <w:fldChar w:fldCharType="begin"/>
      </w:r>
      <w:r w:rsidR="003C7682">
        <w:rPr>
          <w:szCs w:val="24"/>
        </w:rPr>
        <w:instrText xml:space="preserve"> ADDIN ZOTERO_ITEM CSL_CITATION {"citationID":"Mpkm8bUV","properties":{"formattedCitation":"(Hu et al., 2015; Wrage-M\\uc0\\u246{}nnig et al., 2018)","plainCitation":"(Hu et al., 2015; Wrage-Mönnig et al., 2018)","noteIndex":0},"citationItems":[{"id":3327,"uris":["http://zotero.org/groups/5631027/items/DSFJI6LY"],"itemData":{"id":3327,"type":"article-journal","abstract":"The continuous increase of the greenhouse gas nitrous oxide (N2O) in the atmosphere due to increasing anthropogenic nitrogen input in agriculture has become a global concern. In recent years, identification of the microbial assemblages responsible for soil N2O production has substantially advanced with the development of molecular technologies and the discoveries of novel functional guilds and new types of metabolism. However, few practical tools are available to effectively reduce in situ soil N2O flux. Combating the negative impacts of increasing N2O fluxes poses considerable challenges and will be ineffective without successfully incorporating microbially regulated N2O processes into ecosystem modeling and mitigation strategies. Here, we synthesize the latest knowledge of (i) the key microbial pathways regulating N2O production and consumption processes in terrestrial ecosystems and the critical environmental factors influencing their occurrence, and (ii) the relative contributions of major biological pathways to soil N2O emissions by analyzing available natural isotopic signatures of N2O and by using stable isotope enrichment and inhibition techniques. We argue that it is urgently necessary to incorporate microbial traits into biogeochemical ecosystem modeling in order to increase the estimation reliability of N2O emissions. We further propose a molecular methodology oriented framework from gene to ecosystem scales for more robust prediction and mitigation of future N2O emissions.","container-title":"FEMS Microbiology Reviews","DOI":"10.1093/femsre/fuv021","ISSN":"0168-6445","issue":"5","journalAbbreviation":"FEMS Microbiology Reviews","page":"729-749","source":"Silverchair","title":"Microbial regulation of terrestrial nitrous oxide formation: understanding the biological pathways for prediction of emission rates","title-short":"Microbial regulation of terrestrial nitrous oxide formation","volume":"39","author":[{"family":"Hu","given":"Hang-Wei"},{"family":"Chen","given":"Deli"},{"family":"He","given":"Ji-Zheng"}],"issued":{"date-parts":[["2015",9,1]]}}},{"id":2047,"uris":["http://zotero.org/groups/5631027/items/HSDATYGF"],"itemData":{"id":2047,"type":"article-journal","abstract":"Nitrifier denitrification is the reduction of nitrite (NO2−) by ammonia-oxidizing bacteria. This process may account for up to 100% of nitrous oxide (N2O) emissions from ammonium (NH4+) in soils and is more significant than classical denitrification under some conditions. Investigations of nitrifier denitrification have expanded in the last decade but many aspects are still not understood. In this review, we revisit our 2001 paper, present a comprehensive summary of current knowledge concerning nitrifier denitrification, and identify the many research needs. Nitrifier denitrification can be distinguished from other routes of N2O production using isotopic methods: either isotopomer techniques or a combination of 15N and 18O tracers. Our understanding of the regulation and conditions favouring nitrifier denitrification has improved over the last decade as a result of adopting molecular and modelling approaches. Environments low in oxygen, and especially those with fluctuating aerobic-anaerobic conditions, promote N2O production by nitrifier denitrification. Also, large NO2− concentrations, which often arise following inputs of ammonium or urea, may be linked to changes in aerobicity and high pH and favour nitrifier denitrification. The effects of temperature and carbon contents on nitrifier denitrification are incompletely understood and future research needs include: the study of pathways similar to nitrifier denitrification in archaea and nitrite oxidizers; the effects of interactions among microorganisms and between microorganism and plants; and the regulation and importance of the enzymes involved. A comparison and evaluation of the methods used for differentiating the sources of N2O is urgently needed. Furthermore, results from studies of freshwater and marine environments as well as wastewater treatment, where nitrifier denitrification is also known as nitrous aerobic denitritation (up to N2O) or aerobic denitritation (up to N2), will further advance our understanding.","container-title":"Soil Biology and Biochemistry","DOI":"10.1016/j.soilbio.2018.03.020","ISSN":"0038-0717","journalAbbreviation":"Soil Biology and Biochemistry","page":"A3-A16","source":"ScienceDirect","title":"The role of nitrifier denitrification in the production of nitrous oxide revisited","volume":"123","author":[{"family":"Wrage-Mönnig","given":"Nicole"},{"family":"Horn","given":"Marcus A."},{"family":"Well","given":"Reinhard"},{"family":"Müller","given":"Christoph"},{"family":"Velthof","given":"Gerard"},{"family":"Oenema","given":"Oene"}],"issued":{"date-parts":[["2018",8,1]]}}}],"schema":"https://github.com/citation-style-language/schema/raw/master/csl-citation.json"} </w:instrText>
      </w:r>
      <w:r w:rsidRPr="00890723">
        <w:rPr>
          <w:szCs w:val="24"/>
        </w:rPr>
        <w:fldChar w:fldCharType="separate"/>
      </w:r>
      <w:r w:rsidRPr="00890723">
        <w:rPr>
          <w:rFonts w:cs="Times New Roman"/>
          <w:kern w:val="0"/>
          <w:szCs w:val="24"/>
        </w:rPr>
        <w:t>(Hu et al., 2015; Wrage-Mönnig et al., 2018)</w:t>
      </w:r>
      <w:r w:rsidRPr="00890723">
        <w:rPr>
          <w:szCs w:val="24"/>
        </w:rPr>
        <w:fldChar w:fldCharType="end"/>
      </w:r>
      <w:r w:rsidRPr="00890723">
        <w:rPr>
          <w:szCs w:val="24"/>
        </w:rPr>
        <w:t>, and even enzymatic N</w:t>
      </w:r>
      <w:r w:rsidRPr="00890723">
        <w:rPr>
          <w:szCs w:val="24"/>
          <w:vertAlign w:val="subscript"/>
        </w:rPr>
        <w:t>2</w:t>
      </w:r>
      <w:r w:rsidRPr="00890723">
        <w:rPr>
          <w:szCs w:val="24"/>
        </w:rPr>
        <w:t xml:space="preserve">O production by nitrification is highest under moderate oxygen availability </w:t>
      </w:r>
      <w:r w:rsidRPr="00890723">
        <w:rPr>
          <w:szCs w:val="24"/>
        </w:rPr>
        <w:fldChar w:fldCharType="begin"/>
      </w:r>
      <w:r w:rsidR="003C7682">
        <w:rPr>
          <w:szCs w:val="24"/>
        </w:rPr>
        <w:instrText xml:space="preserve"> ADDIN ZOTERO_ITEM CSL_CITATION {"citationID":"aWkhp8AO","properties":{"formattedCitation":"(Caranto &amp; Lancaster, 2017)","plainCitation":"(Caranto &amp; Lancaster, 2017)","noteIndex":0},"citationItems":[{"id":3380,"uris":["http://zotero.org/groups/5631027/items/LADU32K8"],"itemData":{"id":3380,"type":"article-journal","abstract":"Ammonia (NH3)-oxidizing bacteria (AOB) emit substantial amounts of nitric oxide (NO) and nitrous oxide (N2O), both of which contribute to the harmful environmental side effects of large-scale agriculture. The currently accepted model for AOB metabolism involves NH3 oxidation to nitrite (NO2–) via a single obligate intermediate, hydroxylamine (NH2OH). Within this model, the multiheme enzyme hydroxylamine oxidoreductase (HAO) catalyzes the four-electron oxidation of NH2OH to NO2–. We provide evidence that HAO oxidizes NH2OH by only three electrons to NO under both anaerobic and aerobic conditions. NO2– observed in HAO activity assays is a nonenzymatic product resulting from the oxidation of NO by O2 under aerobic conditions. Our present study implies that aerobic NH3 oxidation by AOB occurs via two obligate intermediates, NH2OH and NO, necessitating a mediator of the third enzymatic step.","container-title":"Proceedings of the National Academy of Sciences","DOI":"10.1073/pnas.1704504114","issue":"31","note":"publisher: Proceedings of the National Academy of Sciences","page":"8217-8222","source":"pnas.org (Atypon)","title":"Nitric oxide is an obligate bacterial nitrification intermediate produced by hydroxylamine oxidoreductase","volume":"114","author":[{"family":"Caranto","given":"Jonathan D."},{"family":"Lancaster","given":"Kyle M."}],"issued":{"date-parts":[["2017",8]]}}}],"schema":"https://github.com/citation-style-language/schema/raw/master/csl-citation.json"} </w:instrText>
      </w:r>
      <w:r w:rsidRPr="00890723">
        <w:rPr>
          <w:szCs w:val="24"/>
        </w:rPr>
        <w:fldChar w:fldCharType="separate"/>
      </w:r>
      <w:r w:rsidRPr="00890723">
        <w:rPr>
          <w:rFonts w:cs="Times New Roman"/>
          <w:szCs w:val="24"/>
        </w:rPr>
        <w:t>(Caranto &amp; Lancaster, 2017)</w:t>
      </w:r>
      <w:r w:rsidRPr="00890723">
        <w:rPr>
          <w:szCs w:val="24"/>
        </w:rPr>
        <w:fldChar w:fldCharType="end"/>
      </w:r>
      <w:r w:rsidRPr="00890723">
        <w:rPr>
          <w:szCs w:val="24"/>
        </w:rPr>
        <w:t xml:space="preserve">. The most common event which decreases soil oxygen availability is soil wetting, for </w:t>
      </w:r>
      <w:r w:rsidRPr="00890723">
        <w:rPr>
          <w:szCs w:val="24"/>
        </w:rPr>
        <w:lastRenderedPageBreak/>
        <w:t xml:space="preserve">example through precipitation or irrigation, in which water displaces oxygen in the pore spaces. Thus, wetting events have been shown to be critical triggers of hot moments </w:t>
      </w:r>
      <w:r w:rsidRPr="00890723">
        <w:rPr>
          <w:szCs w:val="24"/>
        </w:rPr>
        <w:fldChar w:fldCharType="begin"/>
      </w:r>
      <w:r w:rsidR="003C7682">
        <w:rPr>
          <w:szCs w:val="24"/>
        </w:rPr>
        <w:instrText xml:space="preserve"> ADDIN ZOTERO_ITEM CSL_CITATION {"citationID":"zMaEsVt5","properties":{"formattedCitation":"(Anthony &amp; Silver, 2021; Barrat et al., 2021, 2022; Smith, 2017; Wagner-Riddle et al., 2020)","plainCitation":"(Anthony &amp; Silver, 2021; Barrat et al., 2021, 2022; Smith, 2017; Wagner-Riddle et al., 2020)","noteIndex":0},"citationItems":[{"id":794,"uris":["http://zotero.org/groups/4573874/items/UNBCKZAX"],"itemData":{"id":794,"type":"article-journal","abstract":"Agricultural peatlands are estimated to emit approximately one third of global greenhouse gas (GHG) emissions from croplands, but the temporal dynamics and controls of these emissions are poorly understood, particularly for nitrous oxide (N2O). We used cavity ring-down spectroscopy and automated chambers in a drained agricultural peatland to measure over 70,000 individual N2O, methane (CH4), and carbon dioxide (CO2) fluxes over 3 years. Our results showed that N2O fluxes were high, contributing 26% (annual range: 16%–35%) of annual CO2e emissions. Total N2O fluxes averaged 26 ± 0.5 kg N2O-N ha−1 y−1 and exhibited significant inter- and intra-annual variability with a maximum annual flux of 42 ± 1.8 kg N2O-N ha−1 y−1. Hot moments of N2O and CH4 emissions represented 1.1 ± 0.2 and 1.3 ± 0.2% of measurements, respectively, but contributed to 45 ± 1% of mean annual N2O fluxes and to 140 ± 9% of mean annual CH4 fluxes. Soil moisture, soil temperature, and bulk soil oxygen (O2) concentrations were strongly correlated with soil N2O and CH4 emissions; soil nitrate () concentrations were also significantly correlated with soil N2O emissions. These results suggest that IPCC benchmarks underestimate N2O emissions from these high emitting agricultural peatlands by up to 70%. Scaling to regional agricultural peatlands with similar management suggests these ecosystems could emit up to 1.86 Tg CO2e y−1 (range: 1.58–2.21 Tg CO2e y−1). Data suggest that these agricultural peatlands are large sources of GHGs, and that short-term hot moments of N2O and CH4 are a significant fraction of total greenhouse budgets.","container-title":"Global Change Biology","DOI":"10.1111/gcb.15802","ISSN":"1365-2486","issue":"20","language":"en","note":"_eprint: https://onlinelibrary.wiley.com/doi/pdf/10.1111/gcb.15802","page":"5141-5153","source":"Wiley Online Library","title":"Hot moments drive extreme nitrous oxide and methane emissions from agricultural peatlands","volume":"27","author":[{"family":"Anthony","given":"Tyler L."},{"family":"Silver","given":"Whendee L."}],"issued":{"date-parts":[["2021"]]}}},{"id":1277,"uris":["http://zotero.org/groups/4573874/items/RE9NEBZF"],"itemData":{"id":1277,"type":"article-journal","abstract":"The potential for soils to produce nitrous oxide (N2O) is impacted by past moisture conditions; however, the extent of this impact is not fully understood. We conducted the first review of this, using two literature searches and a meta-analysis. We found 36 studies out of a possible 735 that described experiments where soil moisture conditions had been controlled, such that the impact of antecedent moisture levels could be separated from contemporary moisture levels and attributed to N2O emissions. Of those studies, 14 (130 data points) used the appropriate experimental design and presented suitable data that could be standardized for the meta-analysis. We found that the degree to which the soil was rewetted and the water filled pore space (WFPS) the soil was brought to were significant explanatory variables (p = &lt; 0.0001). The larger the difference between the dry and wet states of the soil and the higher the WFPS of the soil after rewetting, the larger the hot moment, with an exponential increase once the soil is anaerobic. Substrate availability and fertiliser quantity and type were also important controls on the amount of N2O emitted during the hot moment (p = &lt; 0.0001). However, controls with a constant WFPS can have the same anaerobicity and substrate concentrations, yet much lower emissions, so we suggest that it is the bioavailability of and how the substrates are utilized by the microbial community, and thus how they are primed by the drought, that is the main causal mechanism. Unfortunately, there is still a large uncertainty regarding how microbial population structure, relative gene abundances and gene expression profiles change according to antecedent dry/wet cycles. We suggest several areas of improvement for future studies and the development of drought-impact curves. These would show the relationship between N2O emissions and the length of drought (we found no studies that have investigated this) and N2O emissions and the severity of drought (e.g. the difference between 20% and 40% WFPS). Highlights We investigated the main causal mechanisms of N2O hot moments after soil is rewetted. This is the first meta-analysis and synthesis of the literature regarding N2O hot moments. The more anaerobic the soil and the more C and N substrates, the larger the hot moment. We provide recommendations for future studies and outline key gaps in the research.","container-title":"European Journal of Soil Science","DOI":"10.1111/ejss.13015","ISSN":"1365-2389","issue":"6","language":"en","license":"© 2020 British Society of Soil Science","note":"_eprint: https://onlinelibrary.wiley.com/doi/pdf/10.1111/ejss.13015","page":"2504-2516","source":"Wiley Online Library","title":"The impact of drought and rewetting on N2O emissions from soil in temperate and Mediterranean climates","volume":"72","author":[{"family":"Barrat","given":"Harry A."},{"family":"Evans","given":"Jess"},{"family":"Chadwick","given":"David R."},{"family":"Clark","given":"Ian M."},{"family":"Le Cocq","given":"Kate"},{"family":"M. Cardenas","given":"Laura"}],"issued":{"date-parts":[["2021"]]}}},{"id":3396,"uris":["http://zotero.org/groups/4573874/items/F27YJ9QJ"],"itemData":{"id":3396,"type":"article-journal","abstract":"If a dry soil is wetted it can produce a large flush of nitrous oxide (N2O), which can be 10 times above the background rate, this phenomenon is called a hot moment. However, there is uncertainty in the literature regarding the mechanisms that cause hot moments. Therefore, this study aimed to induce two different hot moments on soil cores to investigate changes in nitrogen (N) cycling functional genes, and correlate these changes with subsequent N2O emissions, and transformations in soil chemistry. We induced a ‘pre-dry’ treatment which wetted soils from 50% to 90% water-filled pore space (WFPS) and ‘pre-wet’ treatment which wetted soils from 70% to 90% WFPS to analyse changes in gas fluxes (N2O, nitric oxide [NO] and carbon dioxide [CO2]), soil chemistry (pH, dissolved organic carbon [DOC], total oxidised nitrogen [TON], ammonium [NH4+]) and microbiology (bacterial 16S, fungal ITS and nitrogen cycling functional genes associated with denitrification). The soil produced emissions of N2O that were significantly higher for the pre-dry treatment compared with the pre-wet treatment (p = &lt;0.001; 9 times that of the pre-wet). The pre-dry treatments did not prime the soil any more than the pre-wet treatments for CO2 and NO emissions, and the results showed that the soils TON and DOC concentrations were significantly higher in the pre-wet conditions despite its lower N2O emissions. This suggests that the cause of the hot moment was not as dependant on the soil's substrate concentrations as previously thought. Moreover, the amount of denitrification genes in the pre-dry soil was statistically similar to the pre-wet (nirK, norB, nifH, nosZI, nxrA), apart from nirS which was marginally higher (p = 0.03). Contrary to other experiments, this study provides evidence that changes in soil substrates and functional gene abundance are not the cause of N2O hot moments. We therefore suggest that future studies should investigate changes in mRNA abundance related to N cycling genes. Highlights Rewetting following drought caused a significant release of N2O. The pre-dry soil produced higher N2O fluxes but contained less key substrates (TOC, NH4+ and DOC) than the pre-wet soil. The pre-dry and pre-wet soil had a similar quantity of denitrification functional genes. Differences in soil chemistry and denitrification functional genes between the pre-dry and pre-wet soil cannot explain the differences in N2O emissions.","container-title":"European Journal of Soil Science","DOI":"10.1111/ejss.13190","ISSN":"1365-2389","issue":"1","language":"en","license":"© 2021 British Society of Soil Science.","note":"_eprint: https://onlinelibrary.wiley.com/doi/pdf/10.1111/ejss.13190","page":"e13190","source":"Wiley Online Library","title":"N2O hot moments were not driven by changes in nitrogen and carbon substrates or changes in N cycling functional genes","volume":"73","author":[{"family":"Barrat","given":"Harry A."},{"family":"Charteris","given":"Alice F."},{"family":"Le Cocq","given":"Kate"},{"family":"Abadie","given":"Maider"},{"family":"Clark","given":"Ian M."},{"family":"Chadwick","given":"David R."},{"family":"Cardenas","given":"Laura"}],"issued":{"date-parts":[["2022"]]}}},{"id":1923,"uris":["http://zotero.org/groups/5631027/items/L5F4M7F9"],"itemData":{"id":1923,"type":"article-journal","abstract":"Nitrous oxide, N2O, is the third most important of the long-lived greenhouse gases, in terms of its contribution to global warming, and is expected to be the dominant cause of stratospheric ozone depletion this century. The concentration of N2O in the atmosphere was fairly constant until the beginning of the industrial age, but has gone up by 20% since. This is because of increased anthropogenic emissions, of which about 60% come from agricultural soil. The cause is the increased use of synthetic fertilizer nitrogen globally to meet the demands for increased production of food and biofuels. This review examines the isotopic evidence for this role of fertilizer N, the main mechanisms for microbial production of N2O in soil, the key soil physical and other variables that greatly affect the magnitude of emissions, and the spatial and temporal variation in emissions and the associated problems of measurement. The review also considers the methodology devised by the Intergovernmental Panel on Climate Change (IPCC) to enable countries to compile national inventories of their emissions, direct and indirect, that arise from anthropogenic activity related to agriculture and land use. This methodology also enables modellers to make ‘bottom-up’ global estimates of N2O emissions. These estimates agree quite well at the global scale with ‘top-down’ estimates based on the relation between reactive nitrogen newly introduced into agricultural ecosystems and increases in the global atmospheric concentration of N2O, but not with some recent regional-scale emission measurements. The discrepancy may be related to problems of estimating indirect emissions. Top-down estimates indicate that N2O emissions from crop-based biofuels are too great to comply with national and international environmental regulations. Finally, possible future trends in emissions and possible mitigation measures are discussed. Highlights Evidence for increasing N2O in the atmosphere suggests it is caused by fertilizer N use. Agreements and inconsistencies in assessments of N2O emissions are considered. The main cause of increasing N2O is the use of synthetic N fertilizers on agricultural soil worldwide. Indirect emissions from waters receiving leached N may be a major cause of assessment uncertainties.","container-title":"European Journal of Soil Science","DOI":"10.1111/ejss.12409","ISSN":"1365-2389","issue":"2","language":"en","license":"© 2017 British Society of Soil Science","note":"_eprint: https://onlinelibrary.wiley.com/doi/pdf/10.1111/ejss.12409","page":"137-155","source":"Wiley Online Library","title":"Changing views of nitrous oxide emissions from agricultural soil: key controlling processes and assessment at different spatial scales","title-short":"Changing views of nitrous oxide emissions from agricultural soil","volume":"68","author":[{"family":"Smith","given":"K. A."}],"issued":{"date-parts":[["2017"]]}}},{"id":738,"uris":["http://zotero.org/groups/4573874/items/ASMIL7DP"],"itemData":{"id":738,"type":"article-journal","abstract":"Across landscape and field scales, nitrogen (N) transformation rates are enhanced in hot spots (HS) and transient hot moments (HM), leading to losses of environmentally reactive N. Nitrous oxide (N2O) emission trends follow these spatial and temporal patterns. Consequently, landscape features can accelerate N2O emissions, and significant fractions of total annual emissions occur in these N2O emissions HS and HM. In agroecosystems, naturally occurring and management-induced HS and HM can be exacerbated or ameliorated through mitigation management practices. Although mitigation practices have been recommended for reduction of N2O emissions, these have not explicitly targeted HS and HM. Here we review, and synthesize, N2O mitigation practices with an emphasis on how they can be aligned to reduce the occurrence of HS and HM of N2O emission.","collection-title":"Climate Change, Reactive Nitrogen, Food Security and Sustainable Agriculture","container-title":"Current Opinion in Environmental Sustainability","DOI":"10.1016/j.cosust.2020.08.002","ISSN":"1877-3435","journalAbbreviation":"Current Opinion in Environmental Sustainability","language":"en","page":"46-53","source":"ScienceDirect","title":"Mitigation of nitrous oxide emissions in the context of nitrogen loss reduction from agroecosystems: managing hot spots and hot moments","title-short":"Mitigation of nitrous oxide emissions in the context of nitrogen loss reduction from agroecosystems","volume":"47","author":[{"family":"Wagner-Riddle","given":"Claudia"},{"family":"Baggs","given":"Elizabeth M"},{"family":"Clough","given":"Tim J"},{"family":"Fuchs","given":"Kathrin"},{"family":"Petersen","given":"Søren O"}],"issued":{"date-parts":[["2020",12,1]]}}}],"schema":"https://github.com/citation-style-language/schema/raw/master/csl-citation.json"} </w:instrText>
      </w:r>
      <w:r w:rsidRPr="00890723">
        <w:rPr>
          <w:szCs w:val="24"/>
        </w:rPr>
        <w:fldChar w:fldCharType="separate"/>
      </w:r>
      <w:r w:rsidRPr="00890723">
        <w:rPr>
          <w:rFonts w:cs="Times New Roman"/>
          <w:szCs w:val="24"/>
        </w:rPr>
        <w:t>(Anthony &amp; Silver, 2021; Barrat et al., 2021, 2022; Smith, 2017; Wagner-Riddle et al., 2020)</w:t>
      </w:r>
      <w:r w:rsidRPr="00890723">
        <w:rPr>
          <w:szCs w:val="24"/>
        </w:rPr>
        <w:fldChar w:fldCharType="end"/>
      </w:r>
      <w:r w:rsidRPr="00890723">
        <w:rPr>
          <w:szCs w:val="24"/>
        </w:rPr>
        <w:t xml:space="preserve">. A thawing of aboveground snow and frozen soil water can also suddenly increase soil moisture to induce hot moments </w:t>
      </w:r>
      <w:r w:rsidRPr="00890723">
        <w:rPr>
          <w:szCs w:val="24"/>
        </w:rPr>
        <w:fldChar w:fldCharType="begin"/>
      </w:r>
      <w:r w:rsidR="003C7682">
        <w:rPr>
          <w:szCs w:val="24"/>
        </w:rPr>
        <w:instrText xml:space="preserve"> ADDIN ZOTERO_ITEM CSL_CITATION {"citationID":"ePyDDVCx","properties":{"formattedCitation":"(Luo et al., 2025; X. Wang et al., 2023)","plainCitation":"(Luo et al., 2025; X. Wang et al., 2023)","noteIndex":0},"citationItems":[{"id":3402,"uris":["http://zotero.org/groups/4573874/items/QFETDBPS"],"itemData":{"id":3402,"type":"article-journal","abstract":"Freeze–thaw-induced N2O pulses could account for nearly half of annual N2O fluxes in cold climates, but their episodic nature, sensitivity to snow cover dynamics, and the challenges of cold-season monitoring complicate their accurate estimation and representation in global models. To address these challenges, we combined in situ automated high-frequency flux measurements with cross-ecoregion soil core incubations to investigate the mechanisms driving freeze–thaw-induced N2O emissions. We found that deepened snow significantly amplified freeze–thaw N2O pulses, with these 50-day episodes contributing over 50% of annual fluxes. Additionally, freeze–thaw-induced N2O pulses exhibited significant spatial heterogeneity, ranging from 3.4 to 1184.1 μg N m−2 h−1 depending on site conditions. Despite significant spatiotemporal variation, our results indicated that 68%–86% of this variation can be explained by shifts in controlling factors: from water-filled pore space (WFPS), which drove anaerobic conditions, to microbial constraints as snow depth increases. Below 43% WFPS, soil moisture was the overwhelmingly dominant driver of emissions; between 43% and 66% WFPS, moisture and microbial attributes (including denitrifying gene abundance, nitrogen enzyme kinetics, and microbial biomass) jointly triggered N2O emissions pulses; above 66% WFPS, microbial attributes, particularly nitrogen enzyme kinetics, prevailed. These findings suggested that maintaining higher soil moisture served as a trigger for activating microbial activity, particularly enhancing nitrogen cycling. Furthermore, we showed that hotspots of freeze–thaw-induced N2O emissions were linked to high root production and microbial activity in cold and humid grasslands. Overall, our study highlighted the hierarchical control of WFPS and microbial processes in driving freeze–thaw-induced N2O emission pulses. The easily measurable WFPS and microbial attributes predictable from plant and soil properties could forecast the magnitude and spatial distribution of N2O emission “hot moments” under changing climate. Integrating these hot moments, particularly the dynamics of WFPS, into process-based models could refine N2O emission modeling and enhance the accuracy of global N2O budget prediction.","container-title":"Global Change Biology","DOI":"10.1111/gcb.70254","ISSN":"1365-2486","issue":"5","language":"en","license":"© 2025 John Wiley &amp; Sons Ltd.","note":"_eprint: https://onlinelibrary.wiley.com/doi/pdf/10.1111/gcb.70254","page":"e70254","source":"Wiley Online Library","title":"Moisture–Microbial Interaction Amplifies N2O Emission Hot Moments Under Deepened Snow in Grasslands","volume":"31","author":[{"family":"Luo","given":"Jie"},{"family":"Peng","given":"Yong"},{"family":"Jia","given":"Zhou"},{"family":"Wu","given":"Yuntao"},{"family":"Gao","given":"Yuxuan"},{"family":"Jalaid","given":"Nairsag"},{"family":"Zhang","given":"Xingming"},{"family":"Ge","given":"Heng"},{"family":"Qing","given":"Bowen"},{"family":"Chen","given":"Hongyi"},{"family":"Zhan","given":"Yanxin"},{"family":"Li","given":"Ping"},{"family":"Liu","given":"Lingli"}],"issued":{"date-parts":[["2025"]]}}},{"id":3076,"uris":["http://zotero.org/groups/4573874/items/PWVEI7S6"],"itemData":{"id":3076,"type":"article-journal","abstract":"Since the start of the Anthropocene, northern seasonally frozen peatlands have been warming at a rate of 0.6 °C per decade, twice that of the Earth’s average rate, thereby triggering increased nitrogen mineralization with subsequent potentially large losses of nitrous oxide (N2O) to the atmosphere. Here we provide evidence that seasonally frozen peatlands are important N2O emission sources in the Northern Hemisphere and the thawing periods are the hot moment of annual N2O emissions. The flux during the hot moment of thawing in spring was 1.20 ± 0.82 mg N2O m−2 d−1, significantly higher than that during the other periods (freezing, −0.12 ± 0.02 mg N2O m−2 d−1; frozen, 0.04 ± 0.04 mg N2O m−2 d−1; thawed, 0.09 ± 0.01 mg N2O m−2 d−1) or observed for other ecosystems at the same latitude in previous studies. The observed emission flux is even higher than those of tropical forests, the World’s largest natural terrestrial N2O source. Furthermore, based on soil incubation with 15N and 18O isotope tracing and differential inhibitors, heterotrophic bacterial and fungal denitrification was revealed as the main source of N2O in peatland profiles (0–200 cm). Metagenomic, metatranscriptomic, and qPCR assays further revealed that seasonally frozen peatlands have high N2O emission potential, but thawing significantly stimulates expression of genes encoding N2O-producing protein complexes (hydroxylamine dehydrogenase (hao) and nitric oxide reductase (nor)), resulting in high N2O emissions during spring. This hot moment converts seasonally frozen peatlands into an important N2O emission source when it is otherwise a sink. Extrapolation of our data to all northern peatland areas reveals that the hot moment emissions could amount to approximately 0.17 Tg of N2O yr−1. However, these N2O emissions are still not routinely included in Earth system models and global IPCC assessments.","container-title":"The ISME Journal","DOI":"10.1038/s41396-023-01389-x","ISSN":"1751-7362","issue":"6","journalAbbreviation":"The ISME Journal","page":"792-802","source":"Silverchair","title":"Hot moment of N2O emissions in seasonally frozen peatlands","volume":"17","author":[{"family":"Wang","given":"Xiaomin"},{"family":"Wang","given":"Shanyun"},{"family":"Yang","given":"Yuanhe"},{"family":"Tian","given":"Hanqin"},{"family":"Jetten","given":"Mike S M"},{"family":"Song","given":"Changchun"},{"family":"Zhu","given":"Guibing"}],"issued":{"date-parts":[["2023",6,1]]}}}],"schema":"https://github.com/citation-style-language/schema/raw/master/csl-citation.json"} </w:instrText>
      </w:r>
      <w:r w:rsidRPr="00890723">
        <w:rPr>
          <w:szCs w:val="24"/>
        </w:rPr>
        <w:fldChar w:fldCharType="separate"/>
      </w:r>
      <w:r w:rsidR="003C7682" w:rsidRPr="003C7682">
        <w:rPr>
          <w:rFonts w:cs="Times New Roman"/>
        </w:rPr>
        <w:t>(Luo et al., 2025; X. Wang et al., 2023)</w:t>
      </w:r>
      <w:r w:rsidRPr="00890723">
        <w:rPr>
          <w:szCs w:val="24"/>
        </w:rPr>
        <w:fldChar w:fldCharType="end"/>
      </w:r>
      <w:r w:rsidRPr="00890723">
        <w:rPr>
          <w:szCs w:val="24"/>
        </w:rPr>
        <w:t xml:space="preserve">. Finally, rapid aerobic microbial activity induced by an increase in oxygen or substrate availability, such as cover crop incorporation, tillage, or fertilization, can also lead to the consumption of soil oxygen to the point of anoxia </w:t>
      </w:r>
      <w:r w:rsidRPr="00890723">
        <w:rPr>
          <w:szCs w:val="24"/>
        </w:rPr>
        <w:fldChar w:fldCharType="begin"/>
      </w:r>
      <w:r w:rsidR="003C7682">
        <w:rPr>
          <w:szCs w:val="24"/>
        </w:rPr>
        <w:instrText xml:space="preserve"> ADDIN ZOTERO_ITEM CSL_CITATION {"citationID":"xdhwvR2d","properties":{"formattedCitation":"(Lussich et al., 2024)","plainCitation":"(Lussich et al., 2024)","noteIndex":0},"citationItems":[{"id":3581,"uris":["http://zotero.org/groups/6023057/items/7YPZA3KI"],"itemData":{"id":3581,"type":"article-journal","abstract":"Cover cropping is a promising strategy to improve soil health, but it may also trigger greenhouse gas emissions, especially nitrous oxide (N2O). Beyond nitrogen (N) availability, cover crop residue decomposition may accelerate heterotrophic respiration to limit soil O2 availability, hence promote N2O emissions from denitrification under sub-optimal water-filled pore space (WFPS) conditions that are typically not conducive to large N2O production. We conducted a 21-day incubation experiment to examine the effects of contrasting cover crop residue (grass vs legume) decomposition on soil O2 and biogeochemical changes to influence N2O and CO2 emissions from 15N labeled fertilized soils under 50% and 80% WFPS levels. Irrespective of cover crop type, mixing cover crop residue with N fertilizer resulted in high cumulative N2O emissions under both WFPS conditions. In the absence of cover crop residues, the N fertilizer effect of N2O was only realized under 80% WFPS, whereas it was comparable to the control under 50% WFPS. The N2O peaks under 50% WFPS coincided with soil O2 depletion and concomitant high CO2 emissions when cover crop residues were mixed with N fertilizer. While N fertilizer largely contributed to the total N2O emissions from the cover crop treatments, soil organic matter and/or cover crop residue derived N2O had a greater contribution under 50% than 80% WFPS. Our results underscore the importance of N2O emissions from cover crop-based fertilized systems under relatively lower WFPS via a mechanism of respiration-induced anoxia and highlight potential risks of underestimating N2O emissions under sole reliance on WFPS.","container-title":"Scientific Reports","DOI":"10.1038/s41598-024-58942-7","ISSN":"2045-2322","issue":"1","journalAbbreviation":"Sci Rep","language":"en","license":"2024 The Author(s)","note":"publisher: Nature Publishing Group","page":"8437","source":"www.nature.com","title":"Cover crop residue decomposition triggered soil oxygen depletion and promoted nitrous oxide emissions","volume":"14","author":[{"family":"Lussich","given":"Facundo"},{"family":"Dhaliwal","given":"Jashanjeet Kaur"},{"family":"Faiia","given":"Anthony M."},{"family":"Jagadamma","given":"Sindhu"},{"family":"Schaeffer","given":"Sean M."},{"family":"Saha","given":"Debasish"}],"issued":{"date-parts":[["2024",4,10]]}}}],"schema":"https://github.com/citation-style-language/schema/raw/master/csl-citation.json"} </w:instrText>
      </w:r>
      <w:r w:rsidRPr="00890723">
        <w:rPr>
          <w:szCs w:val="24"/>
        </w:rPr>
        <w:fldChar w:fldCharType="separate"/>
      </w:r>
      <w:r w:rsidRPr="00B26E88">
        <w:rPr>
          <w:rFonts w:cs="Times New Roman"/>
        </w:rPr>
        <w:t>(Lussich et al., 2024)</w:t>
      </w:r>
      <w:r w:rsidRPr="00890723">
        <w:rPr>
          <w:szCs w:val="24"/>
        </w:rPr>
        <w:fldChar w:fldCharType="end"/>
      </w:r>
      <w:r w:rsidRPr="00890723">
        <w:rPr>
          <w:szCs w:val="24"/>
        </w:rPr>
        <w:t>.</w:t>
      </w:r>
    </w:p>
    <w:p w14:paraId="08520152" w14:textId="6311A45B" w:rsidR="00032567" w:rsidRPr="00890723" w:rsidRDefault="00032567" w:rsidP="001B567A">
      <w:pPr>
        <w:spacing w:after="0" w:line="480" w:lineRule="auto"/>
        <w:rPr>
          <w:szCs w:val="24"/>
        </w:rPr>
      </w:pPr>
      <w:r w:rsidRPr="00890723">
        <w:rPr>
          <w:szCs w:val="24"/>
        </w:rPr>
        <w:t>Hot moments also depend on sufficient substrate availability for N</w:t>
      </w:r>
      <w:r w:rsidRPr="00890723">
        <w:rPr>
          <w:szCs w:val="24"/>
          <w:vertAlign w:val="subscript"/>
        </w:rPr>
        <w:t>2</w:t>
      </w:r>
      <w:r w:rsidRPr="00890723">
        <w:rPr>
          <w:szCs w:val="24"/>
        </w:rPr>
        <w:t xml:space="preserve">O producing reactions. Measuring this substrate availability directly, such as soil nitrate content, typically requires destructive soil sampling and lab analysis, which is time consuming and expensive particularly at scale. Thus, models often use proxies for these controlling factors. The most obvious proxy for mineral nitrogen content is fertilization, which directly adds a known quantity of nitrogen to the soil system and the losses of which over time can be estimated </w:t>
      </w:r>
      <w:r w:rsidRPr="00890723">
        <w:rPr>
          <w:szCs w:val="24"/>
        </w:rPr>
        <w:fldChar w:fldCharType="begin"/>
      </w:r>
      <w:r w:rsidR="003C7682">
        <w:rPr>
          <w:szCs w:val="24"/>
        </w:rPr>
        <w:instrText xml:space="preserve"> ADDIN ZOTERO_ITEM CSL_CITATION {"citationID":"vRl21dRe","properties":{"formattedCitation":"(Li &amp; Culver, 2022; Saha, Basso, et al., 2021a)","plainCitation":"(Li &amp; Culver, 2022; Saha, Basso, et al., 2021a)","dontUpdate":true,"noteIndex":0},"citationItems":[{"id":2497,"uris":["http://zotero.org/groups/5631027/items/S76P6RCX"],"itemData":{"id":2497,"type":"article-journal","abstract":"A process-based nitrogen model suitable for urban stormwater Best Management Practices (BMPs), when used as an extension to current stormwater models, can assist decision-making by predicting nitrogen removal performances. While such a model has not been created, process-based nitrogen modules for agricultural fields have been developed and applied. In this paper, the nitrogen modules in six agricultural models are reviewed in the perspective of assisting the development of a process-based nitrogen module for stormwater BMPs. The agricultural nitrogen modules have consistent structures and mathematical descriptions of biochemical reactions, but show more variety in incorporating environmental factors. The operational challenges, strengths, and weaknesses of simulating stormwater BMPs’ nitrogen removal performances with current models are illustrated with a case study. Finally, suggestions on developing the process-based nitrogen module for stormwater BMPs are offered based on the review, the case study results, and the differences between the stormwater BMPs and agricultural fields.","container-title":"Environmental Modelling &amp; Software","DOI":"10.1016/j.envsoft.2022.105363","ISSN":"1364-8152","journalAbbreviation":"Environmental Modelling &amp; Software","page":"105363","source":"ScienceDirect","title":"Review of process-based nitrogen model for agricultural fields with implications for nitrogen simulations in stormwater BMPs","volume":"151","author":[{"family":"Li","given":"Jiayi"},{"family":"Culver","given":"Teresa B."}],"issued":{"date-parts":[["2022",5,1]]}}},{"id":3128,"uris":["http://zotero.org/groups/4573874/items/85VMI5M4"],"itemData":{"id":3128,"type":"article-journal","abstract":"The potent greenhouse gas nitrous oxide (N2O) is accumulating in the atmosphere at unprecedented rates largely due to agricultural intensification, and cultivated soils contribute </w:instrText>
      </w:r>
      <w:r w:rsidR="003C7682">
        <w:rPr>
          <w:rFonts w:ascii="Cambria Math" w:hAnsi="Cambria Math" w:cs="Cambria Math"/>
          <w:szCs w:val="24"/>
        </w:rPr>
        <w:instrText>∼</w:instrText>
      </w:r>
      <w:r w:rsidR="003C7682">
        <w:rPr>
          <w:szCs w:val="24"/>
        </w:rPr>
        <w:instrText>60% of the agricultural flux. Empirical models of N2O fluxes for intensively managed cropping systems are confounded by highly variable fluxes and limited geographic coverage; process-based biogeochemical models are rarely able to predict daily to monthly emissions with &gt;20% accuracy even with site-specific calibration. Here we show the promise for machine learning (ML) to significantly improve field-level flux predictions, especially when coupled with a cropping systems model to simulate unmeasured soil parameters. We used sub-daily N2O flux data from six years of automated flux chambers installed in a continuous corn rotation at a site in the upper US Midwest (</w:instrText>
      </w:r>
      <w:r w:rsidR="003C7682">
        <w:rPr>
          <w:rFonts w:ascii="Cambria Math" w:hAnsi="Cambria Math" w:cs="Cambria Math"/>
          <w:szCs w:val="24"/>
        </w:rPr>
        <w:instrText>∼</w:instrText>
      </w:r>
      <w:r w:rsidR="003C7682">
        <w:rPr>
          <w:szCs w:val="24"/>
        </w:rPr>
        <w:instrText>3000 sub-daily flux observations), supplemented with weekly to biweekly manual chamber measurements (</w:instrText>
      </w:r>
      <w:r w:rsidR="003C7682">
        <w:rPr>
          <w:rFonts w:ascii="Cambria Math" w:hAnsi="Cambria Math" w:cs="Cambria Math"/>
          <w:szCs w:val="24"/>
        </w:rPr>
        <w:instrText>∼</w:instrText>
      </w:r>
      <w:r w:rsidR="003C7682">
        <w:rPr>
          <w:szCs w:val="24"/>
        </w:rPr>
        <w:instrText xml:space="preserve">1100 daily fluxes), to train an ML model that explained 65%–89% of daily flux variance with very few input variables—soil moisture, days after fertilization, soil texture, air temperature, soil carbon, precipitation, and nitrogen (N) fertilizer rate. When applied to a long-term test site not used to train the model, the model explained 38% of the variation observed in weekly to biweekly manual chamber measurements from corn, and 51% upon coupling the ML model with a cropping systems model that predicted daily soil N availability. This represents a two to three times improvement over conventional process-based models and with substantially fewer input requirements. This coupled approach offers promise for better predictions of agricultural N2O emissions and thus more precise global models and more effective agricultural mitigation interventions.","container-title":"Environmental Research Letters","DOI":"10.1088/1748-9326/abd2f3","ISSN":"1748-9326","issue":"2","journalAbbreviation":"Environ. Res. Lett.","language":"en","note":"publisher: IOP Publishing","page":"024004","source":"Institute of Physics","title":"Machine learning improves predictions of agricultural nitrous oxide (N2O) emissions from intensively managed cropping systems","volume":"16","author":[{"family":"Saha","given":"Debasish"},{"family":"Basso","given":"Bruno"},{"family":"Robertson","given":"G Philip"}],"issued":{"date-parts":[["2021",1]]}}}],"schema":"https://github.com/citation-style-language/schema/raw/master/csl-citation.json"} </w:instrText>
      </w:r>
      <w:r w:rsidRPr="00890723">
        <w:rPr>
          <w:szCs w:val="24"/>
        </w:rPr>
        <w:fldChar w:fldCharType="separate"/>
      </w:r>
      <w:r w:rsidR="005F68B9" w:rsidRPr="005F68B9">
        <w:rPr>
          <w:rFonts w:cs="Times New Roman"/>
        </w:rPr>
        <w:t>(Li &amp; Culver, 2022; Saha et al., 2021a)</w:t>
      </w:r>
      <w:r w:rsidRPr="00890723">
        <w:rPr>
          <w:szCs w:val="24"/>
        </w:rPr>
        <w:fldChar w:fldCharType="end"/>
      </w:r>
      <w:r w:rsidRPr="00890723">
        <w:rPr>
          <w:szCs w:val="24"/>
        </w:rPr>
        <w:t>. Fertilizer-related hot moments are major drivers of total agricultural N</w:t>
      </w:r>
      <w:r w:rsidRPr="00890723">
        <w:rPr>
          <w:szCs w:val="24"/>
          <w:vertAlign w:val="subscript"/>
        </w:rPr>
        <w:t>2</w:t>
      </w:r>
      <w:r w:rsidRPr="00890723">
        <w:rPr>
          <w:szCs w:val="24"/>
        </w:rPr>
        <w:t xml:space="preserve">O emissions </w:t>
      </w:r>
      <w:r w:rsidRPr="00890723">
        <w:rPr>
          <w:szCs w:val="24"/>
        </w:rPr>
        <w:fldChar w:fldCharType="begin"/>
      </w:r>
      <w:r w:rsidR="00D74AD1">
        <w:rPr>
          <w:szCs w:val="24"/>
        </w:rPr>
        <w:instrText xml:space="preserve"> ADDIN ZOTERO_ITEM CSL_CITATION {"citationID":"BHT1qkoO","properties":{"formattedCitation":"(Anthony &amp; Silver, 2021; Tierling &amp; Kuhlmann, 2018; Wagner-Riddle et al., 2020; C. Wang et al., 2021)","plainCitation":"(Anthony &amp; Silver, 2021; Tierling &amp; Kuhlmann, 2018; Wagner-Riddle et al., 2020; C. Wang et al., 2021)","noteIndex":0},"citationItems":[{"id":794,"uris":["http://zotero.org/groups/4573874/items/UNBCKZAX"],"itemData":{"id":794,"type":"article-journal","abstract":"Agricultural peatlands are estimated to emit approximately one third of global greenhouse gas (GHG) emissions from croplands, but the temporal dynamics and controls of these emissions are poorly understood, particularly for nitrous oxide (N2O). We used cavity ring-down spectroscopy and automated chambers in a drained agricultural peatland to measure over 70,000 individual N2O, methane (CH4), and carbon dioxide (CO2) fluxes over 3 years. Our results showed that N2O fluxes were high, contributing 26% (annual range: 16%–35%) of annual CO2e emissions. Total N2O fluxes averaged 26 ± 0.5 kg N2O-N ha−1 y−1 and exhibited significant inter- and intra-annual variability with a maximum annual flux of 42 ± 1.8 kg N2O-N ha−1 y−1. Hot moments of N2O and CH4 emissions represented 1.1 ± 0.2 and 1.3 ± 0.2% of measurements, respectively, but contributed to 45 ± 1% of mean annual N2O fluxes and to 140 ± 9% of mean annual CH4 fluxes. Soil moisture, soil temperature, and bulk soil oxygen (O2) concentrations were strongly correlated with soil N2O and CH4 emissions; soil nitrate () concentrations were also significantly correlated with soil N2O emissions. These results suggest that IPCC benchmarks underestimate N2O emissions from these high emitting agricultural peatlands by up to 70%. Scaling to regional agricultural peatlands with similar management suggests these ecosystems could emit up to 1.86 Tg CO2e y−1 (range: 1.58–2.21 Tg CO2e y−1). Data suggest that these agricultural peatlands are large sources of GHGs, and that short-term hot moments of N2O and CH4 are a significant fraction of total greenhouse budgets.","container-title":"Global Change Biology","DOI":"10.1111/gcb.15802","ISSN":"1365-2486","issue":"20","language":"en","note":"_eprint: https://onlinelibrary.wiley.com/doi/pdf/10.1111/gcb.15802","page":"5141-5153","source":"Wiley Online Library","title":"Hot moments drive extreme nitrous oxide and methane emissions from agricultural peatlands","volume":"27","author":[{"family":"Anthony","given":"Tyler L."},{"family":"Silver","given":"Whendee L."}],"issued":{"date-parts":[["2021"]]}}},{"id":3393,"uris":["http://zotero.org/groups/5631027/items/4ZWFF7BJ"],"itemData":{"id":3393,"type":"article-journal","abstract":"The potential of nitrogen (N) fertilizer forms to mitigate N2O emissions from agricultural fields is not very well understood. It is known that both reduced and oxidized N forms can be beneficial, depending on site-specific edaphic and climatic conditions. In the present study four laboratory incubation experiments were conducted under conditions that should minimize denitrification to investigate N2O emissions during the nitrification of solid N fertilizers. It was found that on two loamy sand soils with pH values slightly above pH5, urea caused 2.7–3.8 fold higher cumulative N2O emissions than ammonium sulphate (AS). N2O emission rates from urea were accompanied by elevated soil nitrite levels, while those of AS were not. The direct addition of a NaNO2 solution revealed an exponential relationship between soil nitrite levels and cumulative N2O emissions, indicating that soil nitrite induces N2O emissions, probably by nitrite reduction via nitrifier denitrification. When the soil pH was increased to 6.3 (soil from a long-term liming experiment) nitrite accumulation during nitrification was observed for both N forms. Cumulative N2O emissions did not differ between N forms on the latter soil, but N2O emission kinetics were faster for urea. Cumulative N2O emissions from AS at soil pH6.3 were significantly higher than those of AS at pH values around 5. It was concluded that i) nitrite accumulation during nitrification of reduced N fertilizer forms can significantly contribute to N2O emissions under non-denitrifying conditions, ii) the risk of nitrite accumulation increases with higher soil pH values, and iii) that the alkalizing hydrolysis of urea increases the risk of nitrite accumulation and thus higher N2O emissions as well. This mechanism would explain why urea causes higher N2O emissions than fertilizers in the form of ammonium salts.","container-title":"Geoderma","DOI":"10.1016/j.geoderma.2017.08.040","ISSN":"0016-7061","journalAbbreviation":"Geoderma","page":"12-21","source":"ScienceDirect","title":"Emissions of nitrous oxide (N2O) affected by pH-related nitrite accumulation during nitrification of N fertilizers","volume":"310","author":[{"family":"Tierling","given":"Jens"},{"family":"Kuhlmann","given":"Hermann"}],"issued":{"date-parts":[["2018",1,15]]}}},{"id":738,"uris":["http://zotero.org/groups/4573874/items/ASMIL7DP"],"itemData":{"id":738,"type":"article-journal","abstract":"Across landscape and field scales, nitrogen (N) transformation rates are enhanced in hot spots (HS) and transient hot moments (HM), leading to losses of environmentally reactive N. Nitrous oxide (N2O) emission trends follow these spatial and temporal patterns. Consequently, landscape features can accelerate N2O emissions, and significant fractions of total annual emissions occur in these N2O emissions HS and HM. In agroecosystems, naturally occurring and management-induced HS and HM can be exacerbated or ameliorated through mitigation management practices. Although mitigation practices have been recommended for reduction of N2O emissions, these have not explicitly targeted HS and HM. Here we review, and synthesize, N2O mitigation practices with an emphasis on how they can be aligned to reduce the occurrence of HS and HM of N2O emission.","collection-title":"Climate Change, Reactive Nitrogen, Food Security and Sustainable Agriculture","container-title":"Current Opinion in Environmental Sustainability","DOI":"10.1016/j.cosust.2020.08.002","ISSN":"1877-3435","journalAbbreviation":"Current Opinion in Environmental Sustainability","language":"en","page":"46-53","source":"ScienceDirect","title":"Mitigation of nitrous oxide emissions in the context of nitrogen loss reduction from agroecosystems: managing hot spots and hot moments","title-short":"Mitigation of nitrous oxide emissions in the context of nitrogen loss reduction from agroecosystems","volume":"47","author":[{"family":"Wagner-Riddle","given":"Claudia"},{"family":"Baggs","given":"Elizabeth M"},{"family":"Clough","given":"Tim J"},{"family":"Fuchs","given":"Kathrin"},{"family":"Petersen","given":"Søren O"}],"issued":{"date-parts":[["2020",12,1]]}}},{"id":1925,"uris":["http://zotero.org/groups/5631027/items/KF48PBSA"],"itemData":{"id":1925,"type":"article-journal","abstract":"Nitrous oxide (N2O) is a long-lived greenhouse gas that contributes to global warming. Emissions of N2O mainly stem from agricultural soils. This review highlights the principal factors from peer-reviewed literature affecting N2O emissions from agricultural soils, by grouping the factors into three categories: environmental, management and measurement. Within these categories, each impact factor is explained in detail and its influence on N2O emissions from the soil is summarized. It is also shown how each impact factor influences other impact factors. Process-based simulation models used for estimating N2O emissions are reviewed regarding their ability to consider the impact factors in simulating N2O. The model strengths and weaknesses in simulating N2O emissions from managed soils are summarized. Finally, three selected process-based simulation models (Daily Century (DAYCENT), DeNitrification-DeComposition (DNDC), and Soil and Water Assessment Tool (SWAT)) are discussed that are widely used to simulate N2O emissions from cropping systems. Their ability to simulate N2O emissions is evaluated by describing the model components that are relevant to N2O processes and their representation in the model.","container-title":"Agronomy","DOI":"10.3390/agronomy11040770","ISSN":"2073-4395","issue":"4","language":"en","license":"http://creativecommons.org/licenses/by/3.0/","note":"number: 4\npublisher: Multidisciplinary Digital Publishing Institute","page":"770","source":"www.mdpi.com","title":"Factors That Influence Nitrous Oxide Emissions from Agricultural Soils as Well as Their Representation in Simulation Models: A Review","title-short":"Factors That Influence Nitrous Oxide Emissions from Agricultural Soils as Well as Their Representation in Simulation Models","volume":"11","author":[{"family":"Wang","given":"Cong"},{"family":"Amon","given":"Barbara"},{"family":"Schulz","given":"Karsten"},{"family":"Mehdi","given":"Bano"}],"issued":{"date-parts":[["2021",4]]}}}],"schema":"https://github.com/citation-style-language/schema/raw/master/csl-citation.json"} </w:instrText>
      </w:r>
      <w:r w:rsidRPr="00890723">
        <w:rPr>
          <w:szCs w:val="24"/>
        </w:rPr>
        <w:fldChar w:fldCharType="separate"/>
      </w:r>
      <w:r w:rsidRPr="00890723">
        <w:rPr>
          <w:rFonts w:cs="Times New Roman"/>
          <w:szCs w:val="24"/>
        </w:rPr>
        <w:t>(Anthony &amp; Silver, 2021; Tierling &amp; Kuhlmann, 2018; Wagner-Riddle et al., 2020; C. Wang et al., 2021)</w:t>
      </w:r>
      <w:r w:rsidRPr="00890723">
        <w:rPr>
          <w:szCs w:val="24"/>
        </w:rPr>
        <w:fldChar w:fldCharType="end"/>
      </w:r>
      <w:r w:rsidRPr="00890723">
        <w:rPr>
          <w:szCs w:val="24"/>
        </w:rPr>
        <w:t xml:space="preserve">, and fertilization is particularly important to estimating the magnitude of hot moments </w:t>
      </w:r>
      <w:r w:rsidRPr="00890723">
        <w:rPr>
          <w:szCs w:val="24"/>
        </w:rPr>
        <w:fldChar w:fldCharType="begin"/>
      </w:r>
      <w:r w:rsidR="00D74AD1">
        <w:rPr>
          <w:szCs w:val="24"/>
        </w:rPr>
        <w:instrText xml:space="preserve"> ADDIN ZOTERO_ITEM CSL_CITATION {"citationID":"2upLO7KX","properties":{"formattedCitation":"(Fuchs et al., 2020; Scheer et al., 2014; Smith, 2017)","plainCitation":"(Fuchs et al., 2020; Scheer et al., 2014; Smith, 2017)","noteIndex":0},"citationItems":[{"id":1927,"uris":["http://zotero.org/groups/5631027/items/QL5HCKR9"],"itemData":{"id":1927,"type":"article-journal","abstract":"Process-based models are useful for assessing the impact of changing management practices and climate on yields and greenhouse gas (GHG) emissions from agricultural systems such as grasslands. They can be used to construct national GHG inventories using a Tier 3 approach. However, accurate simulations of nitrous oxide (N2O) fluxes remain challenging. Models are limited by our understanding of soil-plant-microbe interactions and the impact of uncertainty in measured input parameters on simulated outputs. To improve model performance, thorough evaluations against in situ measurements are needed. Experimental data of N2O emissions under two management practices (control with typical fertilization versus increased clover and no fertilization) were acquired in a Swiss field experiment. We conducted a multimodel evaluation with three commonly used biogeochemical models (DayCent in two variants, PaSim, APSIM in two variants) comparing four years of data. DayCent was the most accurate model for simulating N2O fluxes on annual timescales, while APSIM was most accurate for daily N2O fluxes. The multimodel ensemble average reduced the error in estimated annual fluxes by 41% compared to an estimate using the Intergovernmental Panel on Climate Change (IPCC)-derived method for the Swiss agricultural GHG inventory (IPCC-Swiss), but individual models were not systematically more accurate than IPCC-Swiss. The model ensemble overestimated the N2O mitigation effect of the clover-based treatment (measured: 39–45%; ensemble: 52–57%) but was more accurate than IPCC-Swiss (IPCC-Swiss: 72–81%). These results suggest that multimodel ensembles are valuable for estimating the impact of climate and management on N2O emissions.","container-title":"Journal of Geophysical Research: Biogeosciences","DOI":"10.1029/2019JG005261","ISSN":"2169-8961","issue":"1","language":"en","license":"©2019. The Authors.","note":"_eprint: https://onlinelibrary.wiley.com/doi/pdf/10.1029/2019JG005261","page":"e2019JG005261","source":"Wiley Online Library","title":"Multimodel Evaluation of Nitrous Oxide Emissions From an Intensively Managed Grassland","volume":"125","author":[{"family":"Fuchs","given":"Kathrin"},{"family":"Merbold","given":"Lutz"},{"family":"Buchmann","given":"Nina"},{"family":"Bretscher","given":"Daniel"},{"family":"Brilli","given":"Lorenzo"},{"family":"Fitton","given":"Nuala"},{"family":"Topp","given":"Cairistiona F. E."},{"family":"Klumpp","given":"Katja"},{"family":"Lieffering","given":"Mark"},{"family":"Martin","given":"Raphaël"},{"family":"Newton","given":"Paul C. D."},{"family":"Rees","given":"Robert M."},{"family":"Rolinski","given":"Susanne"},{"family":"Smith","given":"Pete"},{"family":"Snow","given":"Val"}],"issued":{"date-parts":[["2020"]]}}},{"id":1515,"uris":["http://zotero.org/groups/4573874/items/GWL898GW"],"itemData":{"id":1515,"type":"article-journal","abstract":"A unique high temporal frequency data set from an irrigated cotton–wheat rotation was used to test the agroecosystem model DayCent to simulate daily N2O emissions from subtropical vertisols under different irrigation intensities. DayCent was able to simulate the effect of different irrigation intensities on N2O fluxes and yield, although it tended to overestimate seasonal fluxes during the cotton season. DayCent accurately predicted soil moisture dynamics and the timing and magnitude of high fluxes associated with fertilizer additions and irrigation events. At the daily scale we found a good correlation of predicted vs. measured N2O fluxes (r2 = 0.52), confirming that DayCent can be used to test agricultural practices for mitigating N2O emission from irrigated cropping systems. A 25-year scenario analysis indicated that N2O losses from irrigated cotton–wheat rotations on black vertisols in Australia can be substantially reduced by an optimized fertilizer and irrigation management system (i.e., frequent irrigation, avoidance of excessive fertilizer application), while sustaining maximum yield potentials.","container-title":"Ecological Applications","DOI":"10.1890/13-0570.1","ISSN":"1939-5582","issue":"3","language":"en","license":"© 2014 by the Ecological Society of America","note":"_eprint: https://onlinelibrary.wiley.com/doi/pdf/10.1890/13-0570.1","page":"528-538","source":"Wiley Online Library","title":"Modeling nitrous oxide emissions from irrigated agriculture: testing DayCent with high-frequency measurements","title-short":"Modeling nitrous oxide emissions from irrigated agriculture","volume":"24","author":[{"family":"Scheer","given":"Clemens"},{"family":"Del Grosso","given":"Stephen J."},{"family":"Parton","given":"William J."},{"family":"Rowlings","given":"David W."},{"family":"Grace","given":"Peter R."}],"issued":{"date-parts":[["2014"]]}}},{"id":1923,"uris":["http://zotero.org/groups/5631027/items/L5F4M7F9"],"itemData":{"id":1923,"type":"article-journal","abstract":"Nitrous oxide, N2O, is the third most important of the long-lived greenhouse gases, in terms of its contribution to global warming, and is expected to be the dominant cause of stratospheric ozone depletion this century. The concentration of N2O in the atmosphere was fairly constant until the beginning of the industrial age, but has gone up by 20% since. This is because of increased anthropogenic emissions, of which about 60% come from agricultural soil. The cause is the increased use of synthetic fertilizer nitrogen globally to meet the demands for increased production of food and biofuels. This review examines the isotopic evidence for this role of fertilizer N, the main mechanisms for microbial production of N2O in soil, the key soil physical and other variables that greatly affect the magnitude of emissions, and the spatial and temporal variation in emissions and the associated problems of measurement. The review also considers the methodology devised by the Intergovernmental Panel on Climate Change (IPCC) to enable countries to compile national inventories of their emissions, direct and indirect, that arise from anthropogenic activity related to agriculture and land use. This methodology also enables modellers to make ‘bottom-up’ global estimates of N2O emissions. These estimates agree quite well at the global scale with ‘top-down’ estimates based on the relation between reactive nitrogen newly introduced into agricultural ecosystems and increases in the global atmospheric concentration of N2O, but not with some recent regional-scale emission measurements. The discrepancy may be related to problems of estimating indirect emissions. Top-down estimates indicate that N2O emissions from crop-based biofuels are too great to comply with national and international environmental regulations. Finally, possible future trends in emissions and possible mitigation measures are discussed. Highlights Evidence for increasing N2O in the atmosphere suggests it is caused by fertilizer N use. Agreements and inconsistencies in assessments of N2O emissions are considered. The main cause of increasing N2O is the use of synthetic N fertilizers on agricultural soil worldwide. Indirect emissions from waters receiving leached N may be a major cause of assessment uncertainties.","container-title":"European Journal of Soil Science","DOI":"10.1111/ejss.12409","ISSN":"1365-2389","issue":"2","language":"en","license":"© 2017 British Society of Soil Science","note":"_eprint: https://onlinelibrary.wiley.com/doi/pdf/10.1111/ejss.12409","page":"137-155","source":"Wiley Online Library","title":"Changing views of nitrous oxide emissions from agricultural soil: key controlling processes and assessment at different spatial scales","title-short":"Changing views of nitrous oxide emissions from agricultural soil","volume":"68","author":[{"family":"Smith","given":"K. A."}],"issued":{"date-parts":[["2017"]]}}}],"schema":"https://github.com/citation-style-language/schema/raw/master/csl-citation.json"} </w:instrText>
      </w:r>
      <w:r w:rsidRPr="00890723">
        <w:rPr>
          <w:szCs w:val="24"/>
        </w:rPr>
        <w:fldChar w:fldCharType="separate"/>
      </w:r>
      <w:r w:rsidRPr="00890723">
        <w:rPr>
          <w:rFonts w:cs="Times New Roman"/>
          <w:szCs w:val="24"/>
        </w:rPr>
        <w:t>(Fuchs et al., 2020; Scheer et al., 2014; Smith, 2017)</w:t>
      </w:r>
      <w:r w:rsidRPr="00890723">
        <w:rPr>
          <w:szCs w:val="24"/>
        </w:rPr>
        <w:fldChar w:fldCharType="end"/>
      </w:r>
      <w:r w:rsidRPr="00890723">
        <w:rPr>
          <w:szCs w:val="24"/>
        </w:rPr>
        <w:t xml:space="preserve">. Freeze-thaw events also create dramatic shifts in substrate availability, as the thawing of frozen water releases trapped nitrogen and reconnects water-mobile microbes and substrates to instigate a flurry of microbial activity </w:t>
      </w:r>
      <w:r w:rsidRPr="00890723">
        <w:rPr>
          <w:szCs w:val="24"/>
        </w:rPr>
        <w:fldChar w:fldCharType="begin"/>
      </w:r>
      <w:r w:rsidR="00D74AD1">
        <w:rPr>
          <w:szCs w:val="24"/>
        </w:rPr>
        <w:instrText xml:space="preserve"> ADDIN ZOTERO_ITEM CSL_CITATION {"citationID":"nvekp7nV","properties":{"formattedCitation":"(Wagner-Riddle et al., 2020; X. Wang et al., 2023)","plainCitation":"(Wagner-Riddle et al., 2020; X. Wang et al., 2023)","noteIndex":0},"citationItems":[{"id":738,"uris":["http://zotero.org/groups/4573874/items/ASMIL7DP"],"itemData":{"id":738,"type":"article-journal","abstract":"Across landscape and field scales, nitrogen (N) transformation rates are enhanced in hot spots (HS) and transient hot moments (HM), leading to losses of environmentally reactive N. Nitrous oxide (N2O) emission trends follow these spatial and temporal patterns. Consequently, landscape features can accelerate N2O emissions, and significant fractions of total annual emissions occur in these N2O emissions HS and HM. In agroecosystems, naturally occurring and management-induced HS and HM can be exacerbated or ameliorated through mitigation management practices. Although mitigation practices have been recommended for reduction of N2O emissions, these have not explicitly targeted HS and HM. Here we review, and synthesize, N2O mitigation practices with an emphasis on how they can be aligned to reduce the occurrence of HS and HM of N2O emission.","collection-title":"Climate Change, Reactive Nitrogen, Food Security and Sustainable Agriculture","container-title":"Current Opinion in Environmental Sustainability","DOI":"10.1016/j.cosust.2020.08.002","ISSN":"1877-3435","journalAbbreviation":"Current Opinion in Environmental Sustainability","language":"en","page":"46-53","source":"ScienceDirect","title":"Mitigation of nitrous oxide emissions in the context of nitrogen loss reduction from agroecosystems: managing hot spots and hot moments","title-short":"Mitigation of nitrous oxide emissions in the context of nitrogen loss reduction from agroecosystems","volume":"47","author":[{"family":"Wagner-Riddle","given":"Claudia"},{"family":"Baggs","given":"Elizabeth M"},{"family":"Clough","given":"Tim J"},{"family":"Fuchs","given":"Kathrin"},{"family":"Petersen","given":"Søren O"}],"issued":{"date-parts":[["2020",12,1]]}}},{"id":3076,"uris":["http://zotero.org/groups/4573874/items/PWVEI7S6"],"itemData":{"id":3076,"type":"article-journal","abstract":"Since the start of the Anthropocene, northern seasonally frozen peatlands have been warming at a rate of 0.6 °C per decade, twice that of the Earth’s average rate, thereby triggering increased nitrogen mineralization with subsequent potentially large losses of nitrous oxide (N2O) to the atmosphere. Here we provide evidence that seasonally frozen peatlands are important N2O emission sources in the Northern Hemisphere and the thawing periods are the hot moment of annual N2O emissions. The flux during the hot moment of thawing in spring was 1.20 ± 0.82 mg N2O m−2 d−1, significantly higher than that during the other periods (freezing, −0.12 ± 0.02 mg N2O m−2 d−1; frozen, 0.04 ± 0.04 mg N2O m−2 d−1; thawed, 0.09 ± 0.01 mg N2O m−2 d−1) or observed for other ecosystems at the same latitude in previous studies. The observed emission flux is even higher than those of tropical forests, the World’s largest natural terrestrial N2O source. Furthermore, based on soil incubation with 15N and 18O isotope tracing and differential inhibitors, heterotrophic bacterial and fungal denitrification was revealed as the main source of N2O in peatland profiles (0–200 cm). Metagenomic, metatranscriptomic, and qPCR assays further revealed that seasonally frozen peatlands have high N2O emission potential, but thawing significantly stimulates expression of genes encoding N2O-producing protein complexes (hydroxylamine dehydrogenase (hao) and nitric oxide reductase (nor)), resulting in high N2O emissions during spring. This hot moment converts seasonally frozen peatlands into an important N2O emission source when it is otherwise a sink. Extrapolation of our data to all northern peatland areas reveals that the hot moment emissions could amount to approximately 0.17 Tg of N2O yr−1. However, these N2O emissions are still not routinely included in Earth system models and global IPCC assessments.","container-title":"The ISME Journal","DOI":"10.1038/s41396-023-01389-x","ISSN":"1751-7362","issue":"6","journalAbbreviation":"The ISME Journal","page":"792-802","source":"Silverchair","title":"Hot moment of N2O emissions in seasonally frozen peatlands","volume":"17","author":[{"family":"Wang","given":"Xiaomin"},{"family":"Wang","given":"Shanyun"},{"family":"Yang","given":"Yuanhe"},{"family":"Tian","given":"Hanqin"},{"family":"Jetten","given":"Mike S M"},{"family":"Song","given":"Changchun"},{"family":"Zhu","given":"Guibing"}],"issued":{"date-parts":[["2023",6,1]]}}}],"schema":"https://github.com/citation-style-language/schema/raw/master/csl-citation.json"} </w:instrText>
      </w:r>
      <w:r w:rsidRPr="00890723">
        <w:rPr>
          <w:szCs w:val="24"/>
        </w:rPr>
        <w:fldChar w:fldCharType="separate"/>
      </w:r>
      <w:r w:rsidRPr="00890723">
        <w:rPr>
          <w:rFonts w:cs="Times New Roman"/>
          <w:szCs w:val="24"/>
        </w:rPr>
        <w:t>(Wagner-Riddle et al., 2020; X. Wang et al., 2023)</w:t>
      </w:r>
      <w:r w:rsidRPr="00890723">
        <w:rPr>
          <w:szCs w:val="24"/>
        </w:rPr>
        <w:fldChar w:fldCharType="end"/>
      </w:r>
      <w:r w:rsidRPr="00890723">
        <w:rPr>
          <w:szCs w:val="24"/>
        </w:rPr>
        <w:t>. Freeze-thaw induced hot moments have been shown to be significant contributors of overall N</w:t>
      </w:r>
      <w:r w:rsidRPr="00890723">
        <w:rPr>
          <w:szCs w:val="24"/>
          <w:vertAlign w:val="subscript"/>
        </w:rPr>
        <w:t>2</w:t>
      </w:r>
      <w:r w:rsidRPr="00890723">
        <w:rPr>
          <w:szCs w:val="24"/>
        </w:rPr>
        <w:t xml:space="preserve">O emissions in temperate climates </w:t>
      </w:r>
      <w:r w:rsidRPr="00890723">
        <w:rPr>
          <w:szCs w:val="24"/>
        </w:rPr>
        <w:fldChar w:fldCharType="begin"/>
      </w:r>
      <w:r w:rsidR="008752F6">
        <w:rPr>
          <w:szCs w:val="24"/>
        </w:rPr>
        <w:instrText xml:space="preserve"> ADDIN ZOTERO_ITEM CSL_CITATION {"citationID":"a2mk2lr6a7j","properties":{"formattedCitation":"(P. Groffman et al., 2009; Risk et al., 2013; Smith, 2017; Wagner-Riddle et al., 2017; C. Wang et al., 2021)","plainCitation":"(P. Groffman et al., 2009; Risk et al., 2013; Smith, 2017; Wagner-Riddle et al., 2017; C. Wang et al., 2021)","dontUpdate":true,"noteIndex":0},"citationItems":[{"id":1331,"uris":["http://zotero.org/groups/4573874/items/EXZXMUGS"],"itemData":{"id":1331,"type":"article-journal","abstract":"Denitrification, the anaerobic reduction of nitrogen oxides to nitrogenous gases, is an extremely challenging process to measure and model. Much of this challenge arises from the fact that small areas (hotspots) and brief periods (hot moments) frequently account for a high percentage of the denitrification activity that occurs in both terrestrial and aquatic ecosystems. In this paper, we describe the prospects for incorporating hotspot and hot moment phenomena into denitrification models in terrestrial soils, the interface between terrestrial and aquatic ecosystems, and in aquatic ecosystems. Our analysis suggests that while our data needs are strongest for hot moments, the greatest modeling challenges are for hotspots. Given the increasing availability of high temporal frequency climate data, models are promising tools for evaluating the importance of hot moments such as freeze-thaw cycles and drying/rewetting events. Spatial hotspots are less tractable due to our inability to get high resolution spatial approximations of denitrification drivers such as carbon substrate. Investigators need to consider the types of hotspots and hot moments that might be occurring at small, medium, and large spatial scales in the particular ecosystem type they are working in before starting a study or developing a new model. New experimental design and heterogeneity quantification tools can then be applied from the outset and will result in better quantification and more robust and widely applicable denitrification models.","container-title":"Biogeochemistry","DOI":"10.1007/s10533-008-9277-5","ISSN":"1573-515X","issue":"1","journalAbbreviation":"Biogeochemistry","language":"en","page":"49-77","source":"Springer Link","title":"Challenges to incorporating spatially and temporally explicit phenomena (hotspots and hot moments) in denitrification models","volume":"93","author":[{"family":"Groffman","given":"Peter"},{"family":"Butterbach-Bahl","given":"Klaus"},{"family":"Fulweiler","given":"Robinson W."},{"family":"Gold","given":"Arthur J."},{"family":"Morse","given":"Jennifer L."},{"family":"Stander","given":"Emilie K."},{"family":"Tague","given":"Christina"},{"family":"Tonitto","given":"Christina"},{"family":"Vidon","given":"Philippe"}],"issued":{"date-parts":[["2009",3,1]]}}},{"id":2515,"uris":["http://zotero.org/groups/4573874/items/3KNAG6R6"],"itemData":{"id":2515,"type":"article-journal","abstract":"Risk, N., Snider, D. and Wagner-Riddle, C. 2013. Mechanisms leading to enhanced soil nitrous oxide fluxes induced by freeze–thaw cycles. Can. J. Soil Sci. 93: 401–414. The freezing and thawing of soil in cold climates often produces large emissions of nitrous oxide (N2O) that may contribute significantly to a soil's annual greenhouse gas emission budget. This review summarizes the state of knowledge of the physical and biological mechanisms that drive heightened N2O emissions at spring melt. Most studies of freeze–thaw N2O emissions have concluded that denitrification is the dominant process responsible for the large thaw fluxes. Soil moisture, availability of carbon and nitrogen substrates, and freeze temperature and duration are the major factors identified as controlling freeze–thaw cycle (FTC) N2O emissions. Two mechanisms are proposed to lead to enhanced N2O emissions at thaw: (1) the physical release of N2O that is produced throughout the winter and trapped under frozen surface layers and/or within nutrient-rich water films in the frozen layers, and (2) the emission of newly produced (de novo) N2O at the onset of thaw, which is stimulated by increased biological activity and changes in physical and chemical soil conditions. Early studies implicated the physical release of N2O from subsurface soil layers as the main mechanism contributing to spring thaw emissions, but most current studies do not support this hypothesis. Mounting evidence suggests that most of the emitted N2O is produced de novo. This may be fueled by newly available denitrification substrates that are liberated from dead microbes, fine roots, and/or the disintegration of soil aggregates. The release of N2O trapped in shallow surface layers may represent a small, but important contribution of the total emissions. Application of new techniques to study microbial communities in their natural environments, such as metagenomics and stable isotope studies, have the potential to enhance our understanding of the soil N cycle and its linkages to FTC N2O emissions. Future field studies of N2O emissions ought to quantify both overwinter accumulation/release and the de novo production of N2O so that the contribution of each mechanism to the annual emission budget is known.","container-title":"Canadian Journal of Soil Science","DOI":"10.4141/cjss2012-071","ISSN":"0008-4271","issue":"4","journalAbbreviation":"Can. J. Soil. Sci.","note":"publisher: NRC Research Press","page":"401-414","source":"cdnsciencepub.com (Atypon)","title":"Mechanisms leading to enhanced soil nitrous oxide fluxes induced by freeze–thaw cycles","volume":"93","author":[{"family":"Risk","given":"Neil"},{"family":"Snider","given":"David"},{"family":"Wagner-Riddle","given":"Claudia"}],"issued":{"date-parts":[["2013",9]]}}},{"id":1923,"uris":["http://zotero.org/groups/5631027/items/L5F4M7F9"],"itemData":{"id":1923,"type":"article-journal","abstract":"Nitrous oxide, N2O, is the third most important of the long-lived greenhouse gases, in terms of its contribution to global warming, and is expected to be the dominant cause of stratospheric ozone depletion this century. The concentration of N2O in the atmosphere was fairly constant until the beginning of the industrial age, but has gone up by 20% since. This is because of increased anthropogenic emissions, of which about 60% come from agricultural soil. The cause is the increased use of synthetic fertilizer nitrogen globally to meet the demands for increased production of food and biofuels. This review examines the isotopic evidence for this role of fertilizer N, the main mechanisms for microbial production of N2O in soil, the key soil physical and other variables that greatly affect the magnitude of emissions, and the spatial and temporal variation in emissions and the associated problems of measurement. The review also considers the methodology devised by the Intergovernmental Panel on Climate Change (IPCC) to enable countries to compile national inventories of their emissions, direct and indirect, that arise from anthropogenic activity related to agriculture and land use. This methodology also enables modellers to make ‘bottom-up’ global estimates of N2O emissions. These estimates agree quite well at the global scale with ‘top-down’ estimates based on the relation between reactive nitrogen newly introduced into agricultural ecosystems and increases in the global atmospheric concentration of N2O, but not with some recent regional-scale emission measurements. The discrepancy may be related to problems of estimating indirect emissions. Top-down estimates indicate that N2O emissions from crop-based biofuels are too great to comply with national and international environmental regulations. Finally, possible future trends in emissions and possible mitigation measures are discussed. Highlights Evidence for increasing N2O in the atmosphere suggests it is caused by fertilizer N use. Agreements and inconsistencies in assessments of N2O emissions are considered. The main cause of increasing N2O is the use of synthetic N fertilizers on agricultural soil worldwide. Indirect emissions from waters receiving leached N may be a major cause of assessment uncertainties.","container-title":"European Journal of Soil Science","DOI":"10.1111/ejss.12409","ISSN":"1365-2389","issue":"2","language":"en","license":"© 2017 British Society of Soil Science","note":"_eprint: https://onlinelibrary.wiley.com/doi/pdf/10.1111/ejss.12409","page":"137-155","source":"Wiley Online Library","title":"Changing views of nitrous oxide emissions from agricultural soil: key controlling processes and assessment at different spatial scales","title-short":"Changing views of nitrous oxide emissions from agricultural soil","volume":"68","author":[{"family":"Smith","given":"K. A."}],"issued":{"date-parts":[["2017"]]}}},{"id":3077,"uris":["http://zotero.org/groups/4573874/items/JXJ7U4B8"],"itemData":{"id":3077,"type":"article-journal","abstract":"Seasonal freezing induces large thaw emissions of nitrous oxide, a trace gas that contributes to stratospheric ozone destruction and atmospheric warming. Cropland soils are by far the largest anthropogenic source of nitrous oxide. However, the global contribution of seasonal freezing to nitrous oxide emissions from croplands is poorly quantified, mostly due to the lack of year-round measurements and difficulty in capturing short-lived pulses of nitrous oxide with traditional measurement methods. Here we present measurements collected with half-hourly resolution at two contrasting cropland sites in Ontario and Manitoba, Canada, over 14 and 9 years, respectively. We find that the magnitude of freeze–thaw-induced nitrous oxide emissions is related to the number of days with soil temperatures below 0 °C, and we validate these findings with emissions data from 11 additional sites from cold climates around the globe. Based on an estimate of cropland area experiencing seasonal freezing, reanalysis model estimates of soil temperature, and the relationship between cumulative soil freezing days and emissions that we derived from the cropland sites, we estimate that seasonally frozen cropland contributes 1.07 ± 0.59 Tg of nitrogen as nitrous oxide annually. We conclude that neglecting freeze–thaw emissions would lead to an underestimation of global agricultural nitrous oxide emissions by 17 to 28%.","container-title":"Nature Geoscience","DOI":"10.1038/ngeo2907","ISSN":"1752-0908","issue":"4","journalAbbreviation":"Nature Geosci","language":"en","license":"2017 Springer Nature Limited","note":"publisher: Nature Publishing Group","page":"279-283","source":"www.nature.com","title":"Globally important nitrous oxide emissions from croplands induced by freeze–thaw cycles","volume":"10","author":[{"family":"Wagner-Riddle","given":"Claudia"},{"family":"Congreves","given":"Katelyn A."},{"family":"Abalos","given":"Diego"},{"family":"Berg","given":"Aaron A."},{"family":"Brown","given":"Shannon E."},{"family":"Ambadan","given":"Jaison Thomas"},{"family":"Gao","given":"Xiaopeng"},{"family":"Tenuta","given":"Mario"}],"issued":{"date-parts":[["2017",4]]}}},{"id":1925,"uris":["http://zotero.org/groups/5631027/items/KF48PBSA"],"itemData":{"id":1925,"type":"article-journal","abstract":"Nitrous oxide (N2O) is a long-lived greenhouse gas that contributes to global warming. Emissions of N2O mainly stem from agricultural soils. This review highlights the principal factors from peer-reviewed literature affecting N2O emissions from agricultural soils, by grouping the factors into three categories: environmental, management and measurement. Within these categories, each impact factor is explained in detail and its influence on N2O emissions from the soil is summarized. It is also shown how each impact factor influences other impact factors. Process-based simulation models used for estimating N2O emissions are reviewed regarding their ability to consider the impact factors in simulating N2O. The model strengths and weaknesses in simulating N2O emissions from managed soils are summarized. Finally, three selected process-based simulation models (Daily Century (DAYCENT), DeNitrification-DeComposition (DNDC), and Soil and Water Assessment Tool (SWAT)) are discussed that are widely used to simulate N2O emissions from cropping systems. Their ability to simulate N2O emissions is evaluated by describing the model components that are relevant to N2O processes and their representation in the model.","container-title":"Agronomy","DOI":"10.3390/agronomy11040770","ISSN":"2073-4395","issue":"4","language":"en","license":"http://creativecommons.org/licenses/by/3.0/","note":"number: 4\npublisher: Multidisciplinary Digital Publishing Institute","page":"770","source":"www.mdpi.com","title":"Factors That Influence Nitrous Oxide Emissions from Agricultural Soils as Well as Their Representation in Simulation Models: A Review","title-short":"Factors That Influence Nitrous Oxide Emissions from Agricultural Soils as Well as Their Representation in Simulation Models","volume":"11","author":[{"family":"Wang","given":"Cong"},{"family":"Amon","given":"Barbara"},{"family":"Schulz","given":"Karsten"},{"family":"Mehdi","given":"Bano"}],"issued":{"date-parts":[["2021",4]]}}}],"schema":"https://github.com/citation-style-language/schema/raw/master/csl-citation.json"} </w:instrText>
      </w:r>
      <w:r w:rsidRPr="00890723">
        <w:rPr>
          <w:szCs w:val="24"/>
        </w:rPr>
        <w:fldChar w:fldCharType="separate"/>
      </w:r>
      <w:r w:rsidR="006D717C" w:rsidRPr="006D717C">
        <w:rPr>
          <w:rFonts w:cs="Times New Roman"/>
        </w:rPr>
        <w:t>(Groffman et al., 2009; Risk et al., 2013; Smith, 2017; Wagner-Riddle et al., 2017; C. Wang et al., 2021)</w:t>
      </w:r>
      <w:r w:rsidRPr="00890723">
        <w:rPr>
          <w:szCs w:val="24"/>
        </w:rPr>
        <w:fldChar w:fldCharType="end"/>
      </w:r>
      <w:r w:rsidRPr="00890723">
        <w:rPr>
          <w:szCs w:val="24"/>
        </w:rPr>
        <w:t>.</w:t>
      </w:r>
    </w:p>
    <w:p w14:paraId="4D09497B" w14:textId="05580501" w:rsidR="00032567" w:rsidRPr="00890723" w:rsidRDefault="00032567" w:rsidP="001B567A">
      <w:pPr>
        <w:spacing w:after="0" w:line="480" w:lineRule="auto"/>
        <w:rPr>
          <w:szCs w:val="24"/>
        </w:rPr>
      </w:pPr>
      <w:r w:rsidRPr="00890723">
        <w:rPr>
          <w:szCs w:val="24"/>
        </w:rPr>
        <w:lastRenderedPageBreak/>
        <w:t xml:space="preserve">Beyond freeze-thaw events, temperature also plays an important modulating influence on hot moments that can affect their magnitude or even circumvent a hot moment when conditions are otherwise conducive </w:t>
      </w:r>
      <w:r w:rsidRPr="00890723">
        <w:rPr>
          <w:szCs w:val="24"/>
        </w:rPr>
        <w:fldChar w:fldCharType="begin"/>
      </w:r>
      <w:r w:rsidR="00D74AD1">
        <w:rPr>
          <w:szCs w:val="24"/>
        </w:rPr>
        <w:instrText xml:space="preserve"> ADDIN ZOTERO_ITEM CSL_CITATION {"citationID":"nGgMam3O","properties":{"formattedCitation":"(Krichels &amp; Yang, 2019)","plainCitation":"(Krichels &amp; Yang, 2019)","noteIndex":0},"citationItems":[{"id":1580,"uris":["http://zotero.org/groups/4573874/items/PRXKL8WD"],"itemData":{"id":1580,"type":"article-journal","abstract":"Soil nitrous oxide (N2O) emissions are highly variable in space and time, making it difficult to estimate ecosystem level fluxes of this potent greenhouse gas. While topographic depressions are often evoked as permanent N2O hot spots and rain events are well-known triggers of N2O hot moments, soil N2O emissions are still poorly predicted. Thus, the objective of this study was to determine how to best use topography and rain events as variables to predict soil N2O emissions at the field scale. We measured soil N2O emissions 11 times over the course of one growing season from 65 locations within an agricultural field exhibiting microtopography. We found that the topographic indices best predicting soil N2O emissions varied by date, with soil properties as consistently poor predictors. Large rain events (&gt;30 mm) led to an N2O hot moment only in the early summer and not in the cool spring or later in the summer when crops were at peak growth and likely had high evapotranspiration rates. In a laboratory experiment, we demonstrated that low heterotrophic respiration rates at cold temperatures slowly depleted soil dissolved O2, thus suppressing denitrification over the 2–3 day timescale typical of field ponding. Our findings show that topographic depressions do not consistently act as N2O hot spots and that rainfall does not consistently trigger N2O hot moments. We assert that the spatiotemporal variation in soil N2O emissions is not always characterized by predictable hot spots or hot moments and that controls on this variation change depending on environmental conditions.","container-title":"Journal of Geophysical Research: Biogeosciences","DOI":"10.1029/2019JG005224","ISSN":"2169-8961","issue":"11","language":"en","license":"©2019. American Geophysical Union. All Rights Reserved.","note":"_eprint: https://onlinelibrary.wiley.com/doi/pdf/10.1029/2019JG005224","page":"3618-3634","source":"Wiley Online Library","title":"Dynamic Controls on Field-Scale Soil Nitrous Oxide Hot Spots and Hot Moments Across a Microtopographic Gradient","volume":"124","author":[{"family":"Krichels","given":"Alexander H."},{"family":"Yang","given":"Wendy H."}],"issued":{"date-parts":[["2019"]]}}}],"schema":"https://github.com/citation-style-language/schema/raw/master/csl-citation.json"} </w:instrText>
      </w:r>
      <w:r w:rsidRPr="00890723">
        <w:rPr>
          <w:szCs w:val="24"/>
        </w:rPr>
        <w:fldChar w:fldCharType="separate"/>
      </w:r>
      <w:r w:rsidRPr="00890723">
        <w:rPr>
          <w:rFonts w:cs="Times New Roman"/>
          <w:szCs w:val="24"/>
        </w:rPr>
        <w:t>(Krichels &amp; Yang, 2019)</w:t>
      </w:r>
      <w:r w:rsidRPr="00890723">
        <w:rPr>
          <w:szCs w:val="24"/>
        </w:rPr>
        <w:fldChar w:fldCharType="end"/>
      </w:r>
      <w:r w:rsidRPr="00890723">
        <w:rPr>
          <w:szCs w:val="24"/>
        </w:rPr>
        <w:t>. Microbial activity rates are correlated with temperature, and the reaction rates of metabolic processes (including the production of N</w:t>
      </w:r>
      <w:r w:rsidRPr="00890723">
        <w:rPr>
          <w:szCs w:val="24"/>
          <w:vertAlign w:val="subscript"/>
        </w:rPr>
        <w:t>2</w:t>
      </w:r>
      <w:r w:rsidRPr="00890723">
        <w:rPr>
          <w:szCs w:val="24"/>
        </w:rPr>
        <w:t xml:space="preserve">O) increases up to a certain optimal temperature </w:t>
      </w:r>
      <w:r w:rsidRPr="00890723">
        <w:rPr>
          <w:szCs w:val="24"/>
        </w:rPr>
        <w:fldChar w:fldCharType="begin"/>
      </w:r>
      <w:r w:rsidR="00D74AD1">
        <w:rPr>
          <w:szCs w:val="24"/>
        </w:rPr>
        <w:instrText xml:space="preserve"> ADDIN ZOTERO_ITEM CSL_CITATION {"citationID":"u3VQIZtF","properties":{"formattedCitation":"(Benoit et al., 2015; Parton et al., 1996; Stanford, Dzienia, et al., 1975)","plainCitation":"(Benoit et al., 2015; Parton et al., 1996; Stanford, Dzienia, et al., 1975)","dontUpdate":true,"noteIndex":0},"citationItems":[{"id":3359,"uris":["http://zotero.org/groups/5631027/items/T7MM5YHA"],"itemData":{"id":3359,"type":"article-journal","abstract":"This study aims to determine the effect of temperature on N2O produced from a surface soil both in nitrification and denitrification experimental conditions. In a context of changes of both temperature and rainfall, formalizing temperature relationships of N2O production is useful for model parameterization of process-based modeling approaches. Samples of luvisolic soils were incubated in destructive slurry batches in controlled specific conditions designed to promote nitrification and denitrification. The experiments were run at seven temperatures, from 5 to 45°C. When fitted with a sigmoid function overall potential activities show that the potential production rate of nitrate (NO3−nit) is optimal at a temperature of 32.5°C and the potential reduction rate of nitrate (NO3−denit) being optimal at around 45°C. Regarding the production rate of N2O, optimal values occur at a temperature about 10°C higher than the optimum temperature for the respective processes, namely 42°C for nitrification and 54.5°C for denitrification. N2O emissions and nitrite production due to denitrification are around 10 times higher than nitrification. These findings show that a sigmoid function of N2O emissions from both denitrification and nitrification is more relevant than an exponential one.","container-title":"Process Biochemistry","DOI":"10.1016/j.procbio.2014.10.013","ISSN":"1359-5113","issue":"1","journalAbbreviation":"Process Biochemistry","page":"79-85","source":"ScienceDirect","title":"Temperature dependence of nitrous oxide production of a luvisolic soil in batch experiments","volume":"50","author":[{"family":"Benoit","given":"Marie"},{"family":"Garnier","given":"Josette"},{"family":"Billen","given":"Gilles"}],"issued":{"date-parts":[["2015",1,1]]}}},{"id":3337,"uris":["http://zotero.org/groups/5631027/items/RWA7MEK3"],"itemData":{"id":3337,"type":"article-journal","abstract":"We describe a model of N2 and N2O gas fluxes from nitrification and denitrification. The model was developed using laboratory denitrification gas flux data and field-observed N2O gas fluxes from different sites. Controls over nitrification N2O gas fluxes are soil texture, soil NH4, soil water-filled pore space, soil N turnover rate, soil pH, and soil temperature. Observed data suggest that nitrification N2O gas fluxes are proportional to soil N turnover and that soil NH4 levels only impact N2O gas fluxes with high levels of soil NH4 (&gt;3 μg N g−1). Total denitrification (N2 plus N2O) gas fluxes are a function of soil heterotrophic respiration rates, soil NO3, soil water content, and soil texture. N2:N2O ratio is a function of soil water content, soil NO3, and soil heterotrophic respiration rates. The denitrification model was developed using laboratory data [Weier et al, 1993] where soil water content, soil NO3, and soil C availability were varied using a full factorial design. The Weier's model simulated observed N2 and N2O gas fluxes for different soils quite well with r2 equal to 0.62 and 0.75, respectively. Comparison of simulated model results with field N2O data for several validation sites shows that the model results compare well with the observed data (r2 = 0.62). Winter denitrification events were poorly simulated by the model. This problem could have been caused by spatial and temporal variations in the observed soil water data and N2O fluxes. The model results and observed data suggest that approximately 14% of the N2O fluxes for a shortgrass steppe are a result of denitrification and that this percentage ranged from 0% to 59% for different sites.","container-title":"Global Biogeochemical Cycles","DOI":"10.1029/96GB01455","ISSN":"1944-9224","issue":"3","language":"en","license":"Copyright 1996 by the American Geophysical Union.","note":"_eprint: https://onlinelibrary.wiley.com/doi/pdf/10.1029/96GB01455","page":"401-412","source":"Wiley Online Library","title":"Generalized model for N2 and N2O production from nitrification and denitrification","volume":"10","author":[{"family":"Parton","given":"W. J."},{"family":"Mosier","given":"A. R."},{"family":"Ojima","given":"D. S."},{"family":"Valentine","given":"D. W."},{"family":"Schimel","given":"D. S."},{"family":"Weier","given":"K."},{"family":"Kulmala","given":"A. E."}],"issued":{"date-parts":[["1996"]]}}},{"id":1529,"uris":["http://zotero.org/groups/4573874/items/SIW7J5RL"],"itemData":{"id":1529,"type":"article-journal","abstract":"The effect of temperature on denitrification rate was studied with nine soils differing widely in organic matter content and chemical and physical characteristics. In the range of 15 to 35C, the temperature coefficient of denitrification, Q10, was approximately 2. Denitrification rates at 35 and 45C were similar. Between 10 and 5C, denitrification rate declined abruptly. The lower limit of the temperature range conforming to a Q10 of 2 was estimated to be 11C. In this study of water-logged soils sealed from the atmosphere, denitrification appeared to obey first-order kinetics.","container-title":"Soil Science Society of America Journal","DOI":"10.2136/sssaj1975.03615995003900050024x","ISSN":"1435-0661","issue":"5","language":"en","license":"© 1975 Soil Science Society of America","note":"_eprint: https://onlinelibrary.wiley.com/doi/pdf/10.2136/sssaj1975.03615995003900050024x","page":"867-870","source":"Wiley Online Library","title":"Effect of Temperature on Denitrification Rate in Soils","volume":"39","author":[{"family":"Stanford","given":"George"},{"family":"Dzienia","given":"Stanislaw"},{"family":"Vander Pol","given":"Roger A."}],"issued":{"date-parts":[["1975"]]}}}],"schema":"https://github.com/citation-style-language/schema/raw/master/csl-citation.json"} </w:instrText>
      </w:r>
      <w:r w:rsidRPr="00890723">
        <w:rPr>
          <w:szCs w:val="24"/>
        </w:rPr>
        <w:fldChar w:fldCharType="separate"/>
      </w:r>
      <w:r w:rsidR="005F68B9" w:rsidRPr="005F68B9">
        <w:rPr>
          <w:rFonts w:cs="Times New Roman"/>
        </w:rPr>
        <w:t>(Benoit et al., 2015; Parton et al., 1996; Stanford et al., 1975)</w:t>
      </w:r>
      <w:r w:rsidRPr="00890723">
        <w:rPr>
          <w:szCs w:val="24"/>
        </w:rPr>
        <w:fldChar w:fldCharType="end"/>
      </w:r>
      <w:r w:rsidRPr="00890723">
        <w:rPr>
          <w:szCs w:val="24"/>
        </w:rPr>
        <w:t>. Thus, while wetting events create anoxic conditions favoring key N</w:t>
      </w:r>
      <w:r w:rsidRPr="00890723">
        <w:rPr>
          <w:szCs w:val="24"/>
          <w:vertAlign w:val="subscript"/>
        </w:rPr>
        <w:t>2</w:t>
      </w:r>
      <w:r w:rsidRPr="00890723">
        <w:rPr>
          <w:szCs w:val="24"/>
        </w:rPr>
        <w:t xml:space="preserve">O producing pathways, the temperature controls the rate at which these processes will proceed. Wetting events which occur in warm temperatures are likely to induce hot moments, while those that occur in winter may produce smaller hot moments or none at all as a result of the temperature’s inhibition of microbial processes </w:t>
      </w:r>
      <w:r w:rsidRPr="00890723">
        <w:rPr>
          <w:szCs w:val="24"/>
        </w:rPr>
        <w:fldChar w:fldCharType="begin"/>
      </w:r>
      <w:r w:rsidR="00D74AD1">
        <w:rPr>
          <w:szCs w:val="24"/>
        </w:rPr>
        <w:instrText xml:space="preserve"> ADDIN ZOTERO_ITEM CSL_CITATION {"citationID":"mVujC8Bk","properties":{"formattedCitation":"(Krichels &amp; Yang, 2019)","plainCitation":"(Krichels &amp; Yang, 2019)","noteIndex":0},"citationItems":[{"id":1580,"uris":["http://zotero.org/groups/4573874/items/PRXKL8WD"],"itemData":{"id":1580,"type":"article-journal","abstract":"Soil nitrous oxide (N2O) emissions are highly variable in space and time, making it difficult to estimate ecosystem level fluxes of this potent greenhouse gas. While topographic depressions are often evoked as permanent N2O hot spots and rain events are well-known triggers of N2O hot moments, soil N2O emissions are still poorly predicted. Thus, the objective of this study was to determine how to best use topography and rain events as variables to predict soil N2O emissions at the field scale. We measured soil N2O emissions 11 times over the course of one growing season from 65 locations within an agricultural field exhibiting microtopography. We found that the topographic indices best predicting soil N2O emissions varied by date, with soil properties as consistently poor predictors. Large rain events (&gt;30 mm) led to an N2O hot moment only in the early summer and not in the cool spring or later in the summer when crops were at peak growth and likely had high evapotranspiration rates. In a laboratory experiment, we demonstrated that low heterotrophic respiration rates at cold temperatures slowly depleted soil dissolved O2, thus suppressing denitrification over the 2–3 day timescale typical of field ponding. Our findings show that topographic depressions do not consistently act as N2O hot spots and that rainfall does not consistently trigger N2O hot moments. We assert that the spatiotemporal variation in soil N2O emissions is not always characterized by predictable hot spots or hot moments and that controls on this variation change depending on environmental conditions.","container-title":"Journal of Geophysical Research: Biogeosciences","DOI":"10.1029/2019JG005224","ISSN":"2169-8961","issue":"11","language":"en","license":"©2019. American Geophysical Union. All Rights Reserved.","note":"_eprint: https://onlinelibrary.wiley.com/doi/pdf/10.1029/2019JG005224","page":"3618-3634","source":"Wiley Online Library","title":"Dynamic Controls on Field-Scale Soil Nitrous Oxide Hot Spots and Hot Moments Across a Microtopographic Gradient","volume":"124","author":[{"family":"Krichels","given":"Alexander H."},{"family":"Yang","given":"Wendy H."}],"issued":{"date-parts":[["2019"]]}}}],"schema":"https://github.com/citation-style-language/schema/raw/master/csl-citation.json"} </w:instrText>
      </w:r>
      <w:r w:rsidRPr="00890723">
        <w:rPr>
          <w:szCs w:val="24"/>
        </w:rPr>
        <w:fldChar w:fldCharType="separate"/>
      </w:r>
      <w:r w:rsidRPr="00890723">
        <w:rPr>
          <w:rFonts w:cs="Times New Roman"/>
          <w:szCs w:val="24"/>
        </w:rPr>
        <w:t>(Krichels &amp; Yang, 2019)</w:t>
      </w:r>
      <w:r w:rsidRPr="00890723">
        <w:rPr>
          <w:szCs w:val="24"/>
        </w:rPr>
        <w:fldChar w:fldCharType="end"/>
      </w:r>
    </w:p>
    <w:p w14:paraId="7854D157" w14:textId="180D13A3" w:rsidR="00032567" w:rsidRPr="00890723" w:rsidRDefault="00032567" w:rsidP="001B567A">
      <w:pPr>
        <w:spacing w:after="0" w:line="480" w:lineRule="auto"/>
        <w:rPr>
          <w:szCs w:val="24"/>
        </w:rPr>
      </w:pPr>
      <w:r w:rsidRPr="00890723">
        <w:rPr>
          <w:szCs w:val="24"/>
        </w:rPr>
        <w:t>To summarize, soil water, temperature, and nitrogen availability together can explain nearly all temporal variability of N</w:t>
      </w:r>
      <w:r w:rsidRPr="00890723">
        <w:rPr>
          <w:szCs w:val="24"/>
          <w:vertAlign w:val="subscript"/>
        </w:rPr>
        <w:t>2</w:t>
      </w:r>
      <w:r w:rsidRPr="00890723">
        <w:rPr>
          <w:szCs w:val="24"/>
        </w:rPr>
        <w:t xml:space="preserve">O flux in a given field </w:t>
      </w:r>
      <w:r w:rsidRPr="00890723">
        <w:rPr>
          <w:szCs w:val="24"/>
        </w:rPr>
        <w:fldChar w:fldCharType="begin"/>
      </w:r>
      <w:r w:rsidR="00950694">
        <w:rPr>
          <w:szCs w:val="24"/>
        </w:rPr>
        <w:instrText xml:space="preserve"> ADDIN ZOTERO_ITEM CSL_CITATION {"citationID":"mw8Sl0mY","properties":{"formattedCitation":"(Butterbach-Bahl et al., 2013)","plainCitation":"(Butterbach-Bahl et al., 2013)","noteIndex":0},"citationItems":[{"id":1313,"uris":["http://zotero.org/groups/4573874/items/5DUZFISM"],"itemData":{"id":1313,"type":"article-journal","abstract":"Although it is well established that soils are the dominating source for atmospheric nitrous oxide (N2O), we are still struggling to fully understand the complexity of the underlying microbial production and consumption processes and the links to biotic (e.g. inter- and intraspecies competition, food webs, plant–microbe interaction) and abiotic (e.g. soil climate, physics and chemistry) factors. Recent work shows that a better understanding of the composition and diversity of the microbial community across a variety of soils in different climates and under different land use, as well as plant–microbe interactions in the rhizosphere, may provide a key to better understand the variability of N2O fluxes at the soil–atmosphere interface. Moreover, recent insights into the regulation of the reduction of N2O to dinitrogen (N2) have increased our understanding of N2O exchange. This improved process understanding, building on the increased use of isotope tracing techniques and metagenomics, needs to go along with improvements in measurement techniques for N2O (and N2) emission in order to obtain robust field and laboratory datasets for different ecosystem types. Advances in both fields are currently used to improve process descriptions in biogeochemical models, which may eventually be used not only to test our current process understanding from the microsite to the field level, but also used as tools for up-scaling emissions to landscapes and regions and to explore feedbacks of soil N2O emissions to changes in environmental conditions, land management and land use.","container-title":"Philosophical Transactions of the Royal Society B: Biological Sciences","DOI":"10.1098/rstb.2013.0122","issue":"1621","note":"publisher: Royal Society","page":"20130122","source":"royalsocietypublishing.org (Atypon)","title":"Nitrous oxide emissions from soils: how well do we understand the processes and their controls?","title-short":"Nitrous oxide emissions from soils","volume":"368","author":[{"family":"Butterbach-Bahl","given":"Klaus"},{"family":"Baggs","given":"Elizabeth M."},{"family":"Dannenmann","given":"Michael"},{"family":"Kiese","given":"Ralf"},{"family":"Zechmeister-Boltenstern","given":"Sophie"}],"issued":{"date-parts":[["2013",7,5]]}}}],"schema":"https://github.com/citation-style-language/schema/raw/master/csl-citation.json"} </w:instrText>
      </w:r>
      <w:r w:rsidRPr="00890723">
        <w:rPr>
          <w:szCs w:val="24"/>
        </w:rPr>
        <w:fldChar w:fldCharType="separate"/>
      </w:r>
      <w:r w:rsidR="00950694" w:rsidRPr="00950694">
        <w:rPr>
          <w:rFonts w:cs="Times New Roman"/>
        </w:rPr>
        <w:t>(Butterbach-Bahl et al., 2013)</w:t>
      </w:r>
      <w:r w:rsidRPr="00890723">
        <w:rPr>
          <w:szCs w:val="24"/>
        </w:rPr>
        <w:fldChar w:fldCharType="end"/>
      </w:r>
      <w:r w:rsidRPr="00890723">
        <w:rPr>
          <w:szCs w:val="24"/>
        </w:rPr>
        <w:t xml:space="preserve">. In turn, hot moments are driven primarily by a handful of environmental and management events, such as precipitation, irrigation, fertilization, tillage, and thawing. </w:t>
      </w:r>
    </w:p>
    <w:p w14:paraId="68EFF8C1" w14:textId="4E99F147" w:rsidR="00032567" w:rsidRPr="00890723" w:rsidRDefault="00032567" w:rsidP="001B567A">
      <w:pPr>
        <w:pStyle w:val="Heading3"/>
      </w:pPr>
      <w:bookmarkStart w:id="27" w:name="_Toc204282738"/>
      <w:r w:rsidRPr="00890723">
        <w:t xml:space="preserve">Anomaly </w:t>
      </w:r>
      <w:r w:rsidR="0055280E">
        <w:t>d</w:t>
      </w:r>
      <w:r w:rsidRPr="00890723">
        <w:t>etection</w:t>
      </w:r>
      <w:bookmarkEnd w:id="27"/>
    </w:p>
    <w:p w14:paraId="5926F195" w14:textId="27F0E2DE" w:rsidR="00032567" w:rsidRPr="00890723" w:rsidRDefault="00032567" w:rsidP="001B567A">
      <w:pPr>
        <w:spacing w:after="0" w:line="480" w:lineRule="auto"/>
        <w:rPr>
          <w:szCs w:val="24"/>
        </w:rPr>
      </w:pPr>
      <w:r w:rsidRPr="00890723">
        <w:rPr>
          <w:szCs w:val="24"/>
        </w:rPr>
        <w:t>Measurement data of soil N</w:t>
      </w:r>
      <w:r w:rsidRPr="00890723">
        <w:rPr>
          <w:szCs w:val="24"/>
          <w:vertAlign w:val="subscript"/>
        </w:rPr>
        <w:t>2</w:t>
      </w:r>
      <w:r w:rsidRPr="00890723">
        <w:rPr>
          <w:szCs w:val="24"/>
        </w:rPr>
        <w:t xml:space="preserve">O emissions typically exhibits a heavy-tailed distribution which results from the pattern of relatively stable, low-level background emissions transpiring throughout the majority of time and interrupted by high magnitude, relatively infrequent hot moments </w:t>
      </w:r>
      <w:r w:rsidRPr="00890723">
        <w:rPr>
          <w:szCs w:val="24"/>
        </w:rPr>
        <w:fldChar w:fldCharType="begin"/>
      </w:r>
      <w:r w:rsidR="00D74AD1">
        <w:rPr>
          <w:szCs w:val="24"/>
        </w:rPr>
        <w:instrText xml:space="preserve"> ADDIN ZOTERO_ITEM CSL_CITATION {"citationID":"coZGjQhh","properties":{"formattedCitation":"(Yates et al., 2006)","plainCitation":"(Yates et al., 2006)","noteIndex":0},"citationItems":[{"id":2539,"uris":["http://zotero.org/groups/4573874/items/74JF4Z2W"],"itemData":{"id":2539,"type":"article-journal","abstract":"Climate controls soil N2O emissions via its effects on soil properties such as water-filled pore space. Changes in climate should produce changes in the probability distribution and spatial dependency of soil N2O data. Knowing the extent of the changes in the distribution of this data is important for validating model predictions. The objectives of this study were to describe the probability distributions and estimate the spatial dependency of soil N2O emission data. On a hummocky, agricultural landscape in Saskatchewan, N2O emission data and related soil variables were taken from a 128-point transect 15 times over 2 yr. Probability distributions were compared using a Chi-square test. The range in spatial correlation was determined using the indicator semivariogram with a nested model fit approach. The mean N2O flux ranged from 25.3 to −0.2 ng N2O–N m−2 s−1 Probability distributions ranged in shape from reverse J-shape through log normal to symmetrical. The majority of distributions were statistically different from each other, showing a lack of temporal stability. Mean N2O flux and distribution shape followed an event-based/background emission pattern. High flux events had statistically similar, reverse J-shaped distributions. As mean N2O flux decreased to a background level distribution, shape changed to log normal and symmetrical forms. A high nugget/sill ratio characterized the majority of sampling dates, although spatial dependency was generally moderate. Flux values in the fourth quartile tended to have a spatial dependency of 15 m, probably reflecting a topographic control at a landform element scale.","container-title":"Soil Science Society of America Journal","DOI":"10.2136/sssaj2005.0214","ISSN":"1435-0661","issue":"3","language":"en","license":"Soil Science Society of America","note":"_eprint: https://onlinelibrary.wiley.com/doi/pdf/10.2136/sssaj2005.0214","page":"753-762","source":"Wiley Online Library","title":"Probability Distribution and Spatial Dependence of Nitrous Oxide Emission","volume":"70","author":[{"family":"Yates","given":"T. T."},{"family":"Si","given":"B. C."},{"family":"Farrell","given":"R. E."},{"family":"Pennock","given":"D. J."}],"issued":{"date-parts":[["2006"]]}}}],"schema":"https://github.com/citation-style-language/schema/raw/master/csl-citation.json"} </w:instrText>
      </w:r>
      <w:r w:rsidRPr="00890723">
        <w:rPr>
          <w:szCs w:val="24"/>
        </w:rPr>
        <w:fldChar w:fldCharType="separate"/>
      </w:r>
      <w:r w:rsidRPr="00890723">
        <w:rPr>
          <w:rFonts w:cs="Times New Roman"/>
          <w:szCs w:val="24"/>
        </w:rPr>
        <w:t>(Yates et al., 2006)</w:t>
      </w:r>
      <w:r w:rsidRPr="00890723">
        <w:rPr>
          <w:szCs w:val="24"/>
        </w:rPr>
        <w:fldChar w:fldCharType="end"/>
      </w:r>
      <w:r w:rsidRPr="00890723">
        <w:rPr>
          <w:szCs w:val="24"/>
        </w:rPr>
        <w:t xml:space="preserve">. As discussed, hot moments are key events worthy of identification and further study due to their disproportionate contributions to overall soil GHG emissions and their origination from shifts in environmental conditions altering biogeochemical dynamics. Isolating these events of interest from the rest of the data is a necessary step in pursuit of these goals. </w:t>
      </w:r>
    </w:p>
    <w:p w14:paraId="460EC96E" w14:textId="3C90AA64" w:rsidR="00032567" w:rsidRPr="00890723" w:rsidRDefault="00032567" w:rsidP="001B567A">
      <w:pPr>
        <w:spacing w:after="0" w:line="480" w:lineRule="auto"/>
        <w:rPr>
          <w:rFonts w:eastAsia="Times New Roman" w:cs="Times New Roman"/>
          <w:kern w:val="0"/>
          <w:szCs w:val="24"/>
          <w14:ligatures w14:val="none"/>
        </w:rPr>
      </w:pPr>
      <w:r w:rsidRPr="00890723">
        <w:rPr>
          <w:szCs w:val="24"/>
        </w:rPr>
        <w:lastRenderedPageBreak/>
        <w:t xml:space="preserve">One method of doing so makes us of hot moments’ nature as outliers, or anomalous, in comparison to background emissions. Anomaly detection (AD), also often referred to as outlier detection, is an area of statistics which seeks to identify data points that do not conform to expected behavior. </w:t>
      </w:r>
      <w:r w:rsidRPr="00890723">
        <w:rPr>
          <w:szCs w:val="24"/>
        </w:rPr>
        <w:fldChar w:fldCharType="begin"/>
      </w:r>
      <w:r w:rsidR="00D74AD1">
        <w:rPr>
          <w:szCs w:val="24"/>
        </w:rPr>
        <w:instrText xml:space="preserve"> ADDIN ZOTERO_ITEM CSL_CITATION {"citationID":"MlVnJWsB","properties":{"formattedCitation":"(Pasha &amp; Umesh, 2013)","plainCitation":"(Pasha &amp; Umesh, 2013)","noteIndex":0},"citationItems":[{"id":858,"uris":["http://zotero.org/groups/4573874/items/4F7TTLFT"],"itemData":{"id":858,"type":"article-journal","container-title":"International Journal of Computer Applications","issue":"24","note":"publisher: Citeseer","title":"A comparative study on outlier detection techniques","volume":"66","author":[{"family":"Pasha","given":"Mohammad Zaid"},{"family":"Umesh","given":"Nitin"}],"issued":{"date-parts":[["2013"]]}}}],"schema":"https://github.com/citation-style-language/schema/raw/master/csl-citation.json"} </w:instrText>
      </w:r>
      <w:r w:rsidRPr="00890723">
        <w:rPr>
          <w:szCs w:val="24"/>
        </w:rPr>
        <w:fldChar w:fldCharType="separate"/>
      </w:r>
      <w:r w:rsidRPr="00890723">
        <w:rPr>
          <w:szCs w:val="24"/>
        </w:rPr>
        <w:t>(Pasha &amp; Umesh, 2013)</w:t>
      </w:r>
      <w:r w:rsidRPr="00890723">
        <w:rPr>
          <w:szCs w:val="24"/>
        </w:rPr>
        <w:fldChar w:fldCharType="end"/>
      </w:r>
      <w:r w:rsidRPr="00890723">
        <w:rPr>
          <w:szCs w:val="24"/>
        </w:rPr>
        <w:t xml:space="preserve">. </w:t>
      </w:r>
      <w:r w:rsidRPr="00890723">
        <w:rPr>
          <w:rFonts w:eastAsia="Times New Roman" w:cs="Times New Roman"/>
          <w:kern w:val="0"/>
          <w:szCs w:val="24"/>
          <w14:ligatures w14:val="none"/>
        </w:rPr>
        <w:t xml:space="preserve">The terms “outlier” and “anomaly” are often used interchangeably, yet important distinctions exist. While both terms describe data which does not follow normal or expected behavior, the cause of this unexpectedness determines which is the most appropriate usage. ‘Outlier’ is the more general term which simply describes deviant data which could be caused by noise, error, or unexpected behavior. ‘Anomaly’ more specifically describes a special kind of outlier which arises from a rare, novel, or unexpected intervening event and which may be of key interest </w:t>
      </w:r>
      <w:r w:rsidRPr="00890723">
        <w:rPr>
          <w:rFonts w:eastAsia="Times New Roman" w:cs="Times New Roman"/>
          <w:kern w:val="0"/>
          <w:szCs w:val="24"/>
          <w14:ligatures w14:val="none"/>
        </w:rPr>
        <w:fldChar w:fldCharType="begin"/>
      </w:r>
      <w:r w:rsidR="00D74AD1">
        <w:rPr>
          <w:rFonts w:eastAsia="Times New Roman" w:cs="Times New Roman"/>
          <w:kern w:val="0"/>
          <w:szCs w:val="24"/>
          <w14:ligatures w14:val="none"/>
        </w:rPr>
        <w:instrText xml:space="preserve"> ADDIN ZOTERO_ITEM CSL_CITATION {"citationID":"8hcmftBf","properties":{"formattedCitation":"(Aggarwal, 2017)","plainCitation":"(Aggarwal, 2017)","noteIndex":0},"citationItems":[{"id":3083,"uris":["http://zotero.org/groups/4573874/items/DQJHA73P"],"itemData":{"id":3083,"type":"book","ISBN":"3-319-47577-0","publisher":"Springer","title":"An introduction to outlier analysis","author":[{"family":"Aggarwal","given":"Charu C"}],"issued":{"date-parts":[["2017"]]}}}],"schema":"https://github.com/citation-style-language/schema/raw/master/csl-citation.json"} </w:instrText>
      </w:r>
      <w:r w:rsidRPr="00890723">
        <w:rPr>
          <w:rFonts w:eastAsia="Times New Roman" w:cs="Times New Roman"/>
          <w:kern w:val="0"/>
          <w:szCs w:val="24"/>
          <w14:ligatures w14:val="none"/>
        </w:rPr>
        <w:fldChar w:fldCharType="separate"/>
      </w:r>
      <w:r w:rsidRPr="00890723">
        <w:rPr>
          <w:rFonts w:cs="Times New Roman"/>
          <w:szCs w:val="24"/>
        </w:rPr>
        <w:t>(Aggarwal, 2017)</w:t>
      </w:r>
      <w:r w:rsidRPr="00890723">
        <w:rPr>
          <w:rFonts w:eastAsia="Times New Roman" w:cs="Times New Roman"/>
          <w:kern w:val="0"/>
          <w:szCs w:val="24"/>
          <w14:ligatures w14:val="none"/>
        </w:rPr>
        <w:fldChar w:fldCharType="end"/>
      </w:r>
      <w:r w:rsidRPr="00890723">
        <w:rPr>
          <w:rFonts w:eastAsia="Times New Roman" w:cs="Times New Roman"/>
          <w:kern w:val="0"/>
          <w:szCs w:val="24"/>
          <w14:ligatures w14:val="none"/>
        </w:rPr>
        <w:t xml:space="preserve">. ‘Outlier’ typically describes data which requires cleaning or correcting, while ‘anomaly’ describes accurate data which follow different patterns than the majority of data and often require further investigation </w:t>
      </w:r>
      <w:r w:rsidRPr="00890723">
        <w:rPr>
          <w:rFonts w:eastAsia="Times New Roman" w:cs="Times New Roman"/>
          <w:kern w:val="0"/>
          <w:szCs w:val="24"/>
          <w14:ligatures w14:val="none"/>
        </w:rPr>
        <w:fldChar w:fldCharType="begin"/>
      </w:r>
      <w:r w:rsidR="00D74AD1">
        <w:rPr>
          <w:rFonts w:eastAsia="Times New Roman" w:cs="Times New Roman"/>
          <w:kern w:val="0"/>
          <w:szCs w:val="24"/>
          <w14:ligatures w14:val="none"/>
        </w:rPr>
        <w:instrText xml:space="preserve"> ADDIN ZOTERO_ITEM CSL_CITATION {"citationID":"UemGJr4o","properties":{"formattedCitation":"(Fern\\uc0\\u225{}ndez et al., 2022)","plainCitation":"(Fernández et al., 2022)","noteIndex":0},"citationItems":[{"id":913,"uris":["http://zotero.org/groups/4573874/items/8HALB8LC"],"itemData":{"id":913,"type":"article-journal","abstract":"Outlier detection, i.e., the task of detecting points that are markedly different from the data sample, is an important challenge in machine learning. When a model is built, these special points can skew the model training and result in less accurate predictions. Due to this fact, it is important to identify and remove them before building any supervised model and this is often the first step when dealing with a machine learning problem. Nowadays, there exists a very large number of outlier detector algorithms that provide good results, but their main drawbacks are their unsupervised nature together with the hyperparameters that must be properly set for obtaining good performance. In this work, a new supervised outlier estimator is proposed. This is done by pipelining an outlier detector with a following a supervised model, in such a way that the targets of the later supervise how all the hyperparameters involved in the outlier detector are optimally selected. This pipeline-based approach makes it very easy to combine different outlier detectors with different classifiers and regressors. In the experiments done, nine relevant outlier detectors have been combined with three regressors over eight regression problems as well as with two classifiers over another eight binary and multi-class classification problems. The usefulness of the proposal as an objective and automatic way to optimally determine detector hyperparameters has been proven and the effectiveness of the nine outlier detectors has also been analyzed and compared.","container-title":"Neurocomputing","DOI":"10.1016/j.neucom.2022.02.047","ISSN":"0925-2312","journalAbbreviation":"Neurocomputing","language":"en","page":"77-92","source":"ScienceDirect","title":"Supervised outlier detection for classification and regression","volume":"486","author":[{"family":"Fernández","given":"Ángela"},{"family":"Bella","given":"Juan"},{"family":"Dorronsoro","given":"José R."}],"issued":{"date-parts":[["2022",5,14]]}}}],"schema":"https://github.com/citation-style-language/schema/raw/master/csl-citation.json"} </w:instrText>
      </w:r>
      <w:r w:rsidRPr="00890723">
        <w:rPr>
          <w:rFonts w:eastAsia="Times New Roman" w:cs="Times New Roman"/>
          <w:kern w:val="0"/>
          <w:szCs w:val="24"/>
          <w14:ligatures w14:val="none"/>
        </w:rPr>
        <w:fldChar w:fldCharType="separate"/>
      </w:r>
      <w:r w:rsidRPr="00890723">
        <w:rPr>
          <w:rFonts w:cs="Times New Roman"/>
          <w:kern w:val="0"/>
          <w:szCs w:val="24"/>
        </w:rPr>
        <w:t>(Fernández et al., 2022)</w:t>
      </w:r>
      <w:r w:rsidRPr="00890723">
        <w:rPr>
          <w:rFonts w:eastAsia="Times New Roman" w:cs="Times New Roman"/>
          <w:kern w:val="0"/>
          <w:szCs w:val="24"/>
          <w14:ligatures w14:val="none"/>
        </w:rPr>
        <w:fldChar w:fldCharType="end"/>
      </w:r>
      <w:r w:rsidRPr="00890723">
        <w:rPr>
          <w:rFonts w:eastAsia="Times New Roman" w:cs="Times New Roman"/>
          <w:kern w:val="0"/>
          <w:szCs w:val="24"/>
          <w14:ligatures w14:val="none"/>
        </w:rPr>
        <w:t>. I describe hot moments as ‘anomalies,’ rather than outliers which they have also been described as, to more precisely reflect that these data are the result of biogeochemical shifts distinct from noise or error.</w:t>
      </w:r>
    </w:p>
    <w:p w14:paraId="405254CE" w14:textId="3321860C" w:rsidR="00032567" w:rsidRPr="00890723" w:rsidRDefault="00032567" w:rsidP="001B567A">
      <w:pPr>
        <w:spacing w:after="0" w:line="480" w:lineRule="auto"/>
        <w:rPr>
          <w:szCs w:val="24"/>
        </w:rPr>
      </w:pPr>
      <w:r w:rsidRPr="00890723">
        <w:rPr>
          <w:szCs w:val="24"/>
        </w:rPr>
        <w:t xml:space="preserve">AD fundamentally consists of two tasks: a method of quantifying how anomalous each point is within a dataset, and the establishment of a decision threshold which divides points beyond the threshold as anomalies and points within the threshold as inliers </w:t>
      </w:r>
      <w:r w:rsidRPr="00890723">
        <w:rPr>
          <w:szCs w:val="24"/>
        </w:rPr>
        <w:fldChar w:fldCharType="begin"/>
      </w:r>
      <w:r w:rsidR="00D74AD1">
        <w:rPr>
          <w:szCs w:val="24"/>
        </w:rPr>
        <w:instrText xml:space="preserve"> ADDIN ZOTERO_ITEM CSL_CITATION {"citationID":"E1vjyaey","properties":{"formattedCitation":"(Fern\\uc0\\u225{}ndez et al., 2022)","plainCitation":"(Fernández et al., 2022)","noteIndex":0},"citationItems":[{"id":913,"uris":["http://zotero.org/groups/4573874/items/8HALB8LC"],"itemData":{"id":913,"type":"article-journal","abstract":"Outlier detection, i.e., the task of detecting points that are markedly different from the data sample, is an important challenge in machine learning. When a model is built, these special points can skew the model training and result in less accurate predictions. Due to this fact, it is important to identify and remove them before building any supervised model and this is often the first step when dealing with a machine learning problem. Nowadays, there exists a very large number of outlier detector algorithms that provide good results, but their main drawbacks are their unsupervised nature together with the hyperparameters that must be properly set for obtaining good performance. In this work, a new supervised outlier estimator is proposed. This is done by pipelining an outlier detector with a following a supervised model, in such a way that the targets of the later supervise how all the hyperparameters involved in the outlier detector are optimally selected. This pipeline-based approach makes it very easy to combine different outlier detectors with different classifiers and regressors. In the experiments done, nine relevant outlier detectors have been combined with three regressors over eight regression problems as well as with two classifiers over another eight binary and multi-class classification problems. The usefulness of the proposal as an objective and automatic way to optimally determine detector hyperparameters has been proven and the effectiveness of the nine outlier detectors has also been analyzed and compared.","container-title":"Neurocomputing","DOI":"10.1016/j.neucom.2022.02.047","ISSN":"0925-2312","journalAbbreviation":"Neurocomputing","language":"en","page":"77-92","source":"ScienceDirect","title":"Supervised outlier detection for classification and regression","volume":"486","author":[{"family":"Fernández","given":"Ángela"},{"family":"Bella","given":"Juan"},{"family":"Dorronsoro","given":"José R."}],"issued":{"date-parts":[["2022",5,14]]}}}],"schema":"https://github.com/citation-style-language/schema/raw/master/csl-citation.json"} </w:instrText>
      </w:r>
      <w:r w:rsidRPr="00890723">
        <w:rPr>
          <w:szCs w:val="24"/>
        </w:rPr>
        <w:fldChar w:fldCharType="separate"/>
      </w:r>
      <w:r w:rsidRPr="00890723">
        <w:rPr>
          <w:kern w:val="0"/>
          <w:szCs w:val="24"/>
        </w:rPr>
        <w:t>(Fernández et al., 2022)</w:t>
      </w:r>
      <w:r w:rsidRPr="00890723">
        <w:rPr>
          <w:szCs w:val="24"/>
        </w:rPr>
        <w:fldChar w:fldCharType="end"/>
      </w:r>
      <w:r w:rsidRPr="00890723">
        <w:rPr>
          <w:szCs w:val="24"/>
        </w:rPr>
        <w:t xml:space="preserve">. There are </w:t>
      </w:r>
      <w:r>
        <w:rPr>
          <w:szCs w:val="24"/>
        </w:rPr>
        <w:t>several available</w:t>
      </w:r>
      <w:r w:rsidRPr="00890723">
        <w:rPr>
          <w:szCs w:val="24"/>
        </w:rPr>
        <w:t xml:space="preserve"> methods for performing anomaly detection, each with different methods of quantifying the “anomalousness” of points or how to draw the decision threshold, and each with strengths and weaknesses that should be considered when selecting a method. As the field of AD has advanced, it has become increasingly common for methods of AD to be identified and even developed based on specific research goals and the nature of data at hand </w:t>
      </w:r>
      <w:r w:rsidRPr="00890723">
        <w:rPr>
          <w:szCs w:val="24"/>
        </w:rPr>
        <w:fldChar w:fldCharType="begin"/>
      </w:r>
      <w:r w:rsidR="00D74AD1">
        <w:rPr>
          <w:szCs w:val="24"/>
        </w:rPr>
        <w:instrText xml:space="preserve"> ADDIN ZOTERO_ITEM CSL_CITATION {"citationID":"Y5CV88tp","properties":{"formattedCitation":"(Singh &amp; Upadhyaya, 2012)","plainCitation":"(Singh &amp; Upadhyaya, 2012)","noteIndex":0},"citationItems":[{"id":854,"uris":["http://zotero.org/groups/4573874/items/I3YR7UL9"],"itemData":{"id":854,"type":"article-journal","abstract":"Outliers once upon a time regarded as noisy data in statistics, has turned out to be an important problem which is being researched in diverse fields of research and application domains. Many outlier detection techniques have been developed specific to certain application domains, while some techniques are more generic. Some application domains are being researched in strict confidentiality such as research on crime and terrorist activities. The techniques and results of such techniques are not readily forthcoming. A number of surveys, research and review articles and books cover outlier detection techniques in machine learning and statistical domains individually in great details. In this paper we make an attempt to bring together various outlier detection techniques, in a structured and generic description. With this exercise, we hope to attain a better understanding of the different directions of research on outlier analysis for ourselves as well as for beginners in this research field who could then pick up the links to different areas of applications in details.","issue":"1","language":"en","source":"Zotero","title":"Outlier Detection: Applications And Techniques","volume":"9","author":[{"family":"Singh","given":"Karanjit"},{"family":"Upadhyaya","given":"Dr Shuchita"}],"issued":{"date-parts":[["2012"]]}}}],"schema":"https://github.com/citation-style-language/schema/raw/master/csl-citation.json"} </w:instrText>
      </w:r>
      <w:r w:rsidRPr="00890723">
        <w:rPr>
          <w:szCs w:val="24"/>
        </w:rPr>
        <w:fldChar w:fldCharType="separate"/>
      </w:r>
      <w:r w:rsidRPr="00890723">
        <w:rPr>
          <w:szCs w:val="24"/>
        </w:rPr>
        <w:t xml:space="preserve">(Singh &amp; Upadhyaya, </w:t>
      </w:r>
      <w:r w:rsidRPr="00890723">
        <w:rPr>
          <w:szCs w:val="24"/>
        </w:rPr>
        <w:lastRenderedPageBreak/>
        <w:t>2012)</w:t>
      </w:r>
      <w:r w:rsidRPr="00890723">
        <w:rPr>
          <w:szCs w:val="24"/>
        </w:rPr>
        <w:fldChar w:fldCharType="end"/>
      </w:r>
      <w:r w:rsidRPr="00890723">
        <w:rPr>
          <w:szCs w:val="24"/>
        </w:rPr>
        <w:t xml:space="preserve">. Because there are infinite combinations of distribution behaviors, especially across multiple variables, as well as unique goals, there is no universally optimal AD method. Rather, proper AD requires the formulation of a problem, assessment of the available data, and the matching of a specific method to the problem and dataset. </w:t>
      </w:r>
    </w:p>
    <w:p w14:paraId="318C467E" w14:textId="05F27ED0" w:rsidR="00032567" w:rsidRPr="00890723" w:rsidRDefault="00032567" w:rsidP="001B567A">
      <w:pPr>
        <w:spacing w:after="0" w:line="480" w:lineRule="auto"/>
        <w:rPr>
          <w:szCs w:val="24"/>
        </w:rPr>
      </w:pPr>
      <w:r w:rsidRPr="00890723">
        <w:rPr>
          <w:szCs w:val="24"/>
        </w:rPr>
        <w:t xml:space="preserve">There are many factors to consider when selecting an AD method. One is the distribution of data: many of the most commonly used AD methods require the assumption of normally distributed data. Such methods include Z-score, Grubb’s Test, and Dixon’s Test </w:t>
      </w:r>
      <w:r w:rsidRPr="00890723">
        <w:rPr>
          <w:szCs w:val="24"/>
        </w:rPr>
        <w:fldChar w:fldCharType="begin"/>
      </w:r>
      <w:r w:rsidR="00D74AD1">
        <w:rPr>
          <w:szCs w:val="24"/>
        </w:rPr>
        <w:instrText xml:space="preserve"> ADDIN ZOTERO_ITEM CSL_CITATION {"citationID":"gRGl82as","properties":{"formattedCitation":"(Bendre &amp; Kale, 1987)","plainCitation":"(Bendre &amp; Kale, 1987)","noteIndex":0},"citationItems":[{"id":1375,"uris":["http://zotero.org/groups/4573874/items/KHK28T6K"],"itemData":{"id":1375,"type":"article-journal","abstract":"Bendre &amp;amp; Kale (1985) defined the masking effect on tests for outliers by the loss in power due to the presence of more than the number of outliers under test. Using the same measure, the limiting masking effects on outlier tests such as the Grubbs, Ferguson and Dixon tests are investigated. Ferguson's test based on sample skewness is more robust against the masking effect than the others.","container-title":"Biometrika","DOI":"10.1093/biomet/74.4.891","ISSN":"0006-3444","issue":"4","journalAbbreviation":"Biometrika","page":"891-896","source":"Silverchair","title":"Masking effect on tests for outliers in normal samples","volume":"74","author":[{"family":"Bendre","given":"S. M."},{"family":"Kale","given":"B. K."}],"issued":{"date-parts":[["1987",12,1]]}}}],"schema":"https://github.com/citation-style-language/schema/raw/master/csl-citation.json"} </w:instrText>
      </w:r>
      <w:r w:rsidRPr="00890723">
        <w:rPr>
          <w:szCs w:val="24"/>
        </w:rPr>
        <w:fldChar w:fldCharType="separate"/>
      </w:r>
      <w:r w:rsidRPr="00890723">
        <w:rPr>
          <w:szCs w:val="24"/>
        </w:rPr>
        <w:t>(Bendre &amp; Kale, 1987)</w:t>
      </w:r>
      <w:r w:rsidRPr="00890723">
        <w:rPr>
          <w:szCs w:val="24"/>
        </w:rPr>
        <w:fldChar w:fldCharType="end"/>
      </w:r>
      <w:r w:rsidRPr="00890723">
        <w:rPr>
          <w:szCs w:val="24"/>
        </w:rPr>
        <w:t>. If the distribution of data is non-normal, alternative methods applicable to a wide variety of distribution patterns should be used.</w:t>
      </w:r>
    </w:p>
    <w:p w14:paraId="6D791993" w14:textId="2BDF8629" w:rsidR="00032567" w:rsidRPr="00890723" w:rsidRDefault="00032567" w:rsidP="001B567A">
      <w:pPr>
        <w:spacing w:after="0" w:line="480" w:lineRule="auto"/>
        <w:rPr>
          <w:szCs w:val="24"/>
        </w:rPr>
      </w:pPr>
      <w:r w:rsidRPr="00890723">
        <w:rPr>
          <w:szCs w:val="24"/>
        </w:rPr>
        <w:t xml:space="preserve">Another consideration is variability of the extremeness of anomalies amongst </w:t>
      </w:r>
      <w:r>
        <w:rPr>
          <w:szCs w:val="24"/>
        </w:rPr>
        <w:t>diverse</w:t>
      </w:r>
      <w:r w:rsidRPr="00890723">
        <w:rPr>
          <w:szCs w:val="24"/>
        </w:rPr>
        <w:t xml:space="preserve"> dataset</w:t>
      </w:r>
      <w:r>
        <w:rPr>
          <w:szCs w:val="24"/>
        </w:rPr>
        <w:t>s</w:t>
      </w:r>
      <w:r w:rsidRPr="00890723">
        <w:rPr>
          <w:szCs w:val="24"/>
        </w:rPr>
        <w:t xml:space="preserve">. The presence of anomalies affects some measures of the distribution of data, including the mean and standard deviation. When the presence of many or extreme anomalies affects metrics used by an AD method to set a decision threshold such that true but less extreme anomalies fall below the decision threshold, it is said that these lesser anomalies were ‘masked’ by the presence of other outliers </w:t>
      </w:r>
      <w:r w:rsidRPr="00890723">
        <w:rPr>
          <w:szCs w:val="24"/>
        </w:rPr>
        <w:fldChar w:fldCharType="begin"/>
      </w:r>
      <w:r w:rsidR="00D74AD1">
        <w:rPr>
          <w:szCs w:val="24"/>
        </w:rPr>
        <w:instrText xml:space="preserve"> ADDIN ZOTERO_ITEM CSL_CITATION {"citationID":"7oS4zFSa","properties":{"formattedCitation":"(Ben-Gal, 2005; Rousseeuw &amp; Hubert, 2011)","plainCitation":"(Ben-Gal, 2005; Rousseeuw &amp; Hubert, 2011)","noteIndex":0},"citationItems":[{"id":917,"uris":["http://zotero.org/groups/4573874/items/FGLDXD8P"],"itemData":{"id":917,"type":"chapter","abstract":"Outlier detection is a primary step in many data-mining applications. We present several methods for outlier detection, while distinguishing between univariate vs. multivariate techniques and parametric vs. nonparametric procedures. In presence of outliers, special attention should be taken to assure the robustness of the used estimators. Outlier detection for Data Mining is often based on distance measures, clustering and spatial methods.","container-title":"Data Mining and Knowledge Discovery Handbook","event-place":"Boston, MA","ISBN":"978-0-387-25465-4","language":"en","note":"DOI: 10.1007/0-387-25465-X_7","page":"131-146","publisher":"Springer US","publisher-place":"Boston, MA","source":"Springer Link","title":"Outlier Detection","URL":"https://doi.org/10.1007/0-387-25465-X_7","author":[{"family":"Ben-Gal","given":"Irad"}],"editor":[{"family":"Maimon","given":"Oded"},{"family":"Rokach","given":"Lior"}],"accessed":{"date-parts":[["2023",7,3]]},"issued":{"date-parts":[["2005"]]}}},{"id":1374,"uris":["http://zotero.org/groups/4573874/items/XKRFWIGU"],"itemData":{"id":1374,"type":"article-journal","abstract":"When analyzing data, outlying observations cause problems because they may strongly influence the result. Robust statistics aims at detecting the outliers by searching for the model fitted by the majority of the data. We present an overview of several robust methods and outlier detection tools. We discuss robust procedures for univariate, low-dimensional, and high-dimensional data such as estimation of location and scatter, linear regression, principal component analysis, and classification. © 2011 John Wiley &amp; Sons, Inc. WIREs Data Mining Knowl Discov 2011 1 73-79 DOI: 10.1002/widm.2 This article is categorized under: Algorithmic Development &gt; Biological Data Mining Algorithmic Development &gt; Spatial and Temporal Data Mining Application Areas &gt; Health Care Technologies &gt; Structure Discovery and Clustering","container-title":"WIREs Data Mining and Knowledge Discovery","DOI":"10.1002/widm.2","ISSN":"1942-4795","issue":"1","language":"en","note":"_eprint: https://onlinelibrary.wiley.com/doi/pdf/10.1002/widm.2","page":"73-79","source":"Wiley Online Library","title":"Robust statistics for outlier detection","volume":"1","author":[{"family":"Rousseeuw","given":"Peter J."},{"family":"Hubert","given":"Mia"}],"issued":{"date-parts":[["2011"]]}}}],"schema":"https://github.com/citation-style-language/schema/raw/master/csl-citation.json"} </w:instrText>
      </w:r>
      <w:r w:rsidRPr="00890723">
        <w:rPr>
          <w:szCs w:val="24"/>
        </w:rPr>
        <w:fldChar w:fldCharType="separate"/>
      </w:r>
      <w:r w:rsidRPr="00890723">
        <w:rPr>
          <w:szCs w:val="24"/>
        </w:rPr>
        <w:t>(Ben-Gal, 2005; Rousseeuw &amp; Hubert, 2011)</w:t>
      </w:r>
      <w:r w:rsidRPr="00890723">
        <w:rPr>
          <w:szCs w:val="24"/>
        </w:rPr>
        <w:fldChar w:fldCharType="end"/>
      </w:r>
      <w:r w:rsidRPr="00890723">
        <w:rPr>
          <w:szCs w:val="24"/>
        </w:rPr>
        <w:t xml:space="preserve">. Dixon’s test, Grubbs’s test, and standard deviation are susceptible to this ‘masking’ effect, and thus caution should be used if the proportion of true anomalies is unknown </w:t>
      </w:r>
      <w:r w:rsidRPr="00890723">
        <w:rPr>
          <w:szCs w:val="24"/>
        </w:rPr>
        <w:fldChar w:fldCharType="begin"/>
      </w:r>
      <w:r w:rsidR="00D74AD1">
        <w:rPr>
          <w:szCs w:val="24"/>
        </w:rPr>
        <w:instrText xml:space="preserve"> ADDIN ZOTERO_ITEM CSL_CITATION {"citationID":"p0yz6cBc","properties":{"formattedCitation":"(Bendre &amp; Kale, 1987)","plainCitation":"(Bendre &amp; Kale, 1987)","noteIndex":0},"citationItems":[{"id":1375,"uris":["http://zotero.org/groups/4573874/items/KHK28T6K"],"itemData":{"id":1375,"type":"article-journal","abstract":"Bendre &amp;amp; Kale (1985) defined the masking effect on tests for outliers by the loss in power due to the presence of more than the number of outliers under test. Using the same measure, the limiting masking effects on outlier tests such as the Grubbs, Ferguson and Dixon tests are investigated. Ferguson's test based on sample skewness is more robust against the masking effect than the others.","container-title":"Biometrika","DOI":"10.1093/biomet/74.4.891","ISSN":"0006-3444","issue":"4","journalAbbreviation":"Biometrika","page":"891-896","source":"Silverchair","title":"Masking effect on tests for outliers in normal samples","volume":"74","author":[{"family":"Bendre","given":"S. M."},{"family":"Kale","given":"B. K."}],"issued":{"date-parts":[["1987",12,1]]}}}],"schema":"https://github.com/citation-style-language/schema/raw/master/csl-citation.json"} </w:instrText>
      </w:r>
      <w:r w:rsidRPr="00890723">
        <w:rPr>
          <w:szCs w:val="24"/>
        </w:rPr>
        <w:fldChar w:fldCharType="separate"/>
      </w:r>
      <w:r w:rsidRPr="00890723">
        <w:rPr>
          <w:szCs w:val="24"/>
        </w:rPr>
        <w:t>(Bendre &amp; Kale, 1987)</w:t>
      </w:r>
      <w:r w:rsidRPr="00890723">
        <w:rPr>
          <w:szCs w:val="24"/>
        </w:rPr>
        <w:fldChar w:fldCharType="end"/>
      </w:r>
      <w:r w:rsidRPr="00890723">
        <w:rPr>
          <w:szCs w:val="24"/>
        </w:rPr>
        <w:t xml:space="preserve">. In contrast, if an AD method is minimally affected or unaffected by the presence of multiple anomalies, it is said to be ‘robust.’ Popular examples of ‘robust’ methods include IQR and mean absolute deviation (MAD) </w:t>
      </w:r>
      <w:r w:rsidRPr="00890723">
        <w:rPr>
          <w:szCs w:val="24"/>
        </w:rPr>
        <w:fldChar w:fldCharType="begin"/>
      </w:r>
      <w:r w:rsidR="00D74AD1">
        <w:rPr>
          <w:szCs w:val="24"/>
        </w:rPr>
        <w:instrText xml:space="preserve"> ADDIN ZOTERO_ITEM CSL_CITATION {"citationID":"ApguoGiG","properties":{"formattedCitation":"(Andreou &amp; Karathanassi, 2014; Rousseeuw &amp; Hubert, 2011)","plainCitation":"(Andreou &amp; Karathanassi, 2014; Rousseeuw &amp; Hubert, 2011)","noteIndex":0},"citationItems":[{"id":1373,"uris":["http://zotero.org/groups/4573874/items/7SRDXX4S"],"itemData":{"id":1373,"type":"article-journal","abstract":"This paper introduces a novel approach for estimating the numbers of endmembers in hyperspectral imagery. It exploits the geometrical properties of the noise hypersphere and considers the signal as outlier of the noise hypersphere. The proposed method, called outlier detection method (ODM), is automatic and non-parametric. In a principal component space, noise is spherically symmetric in all directions and lies on the surface of a hypersphere with a constant radius. Reversely, signal radiuses are much larger that noise radius and vary in all directions, thus signal lies in a hyperellipsoid. The proposed method involves three steps: 1) noise estimation; 2) minimum noise fraction transformation; and 3) outlier detection using inter quartile range. Estimation of the number of endmembers is accomplished by the estimation of the number of noise hypersphere outliers using a robust outlier detection method. The ODM was evaluated using simulated and real hyperspectral data, and it was also compared with well-known methods for estimating the number of endmembers. Evaluation of the method showed that the method produces robust and satisfactory results, and outperforms in relation to its competitors.","container-title":"IEEE Journal of Selected Topics in Applied Earth Observations and Remote Sensing","DOI":"10.1109/JSTARS.2013.2260135","ISSN":"2151-1535","issue":"1","note":"event-title: IEEE Journal of Selected Topics in Applied Earth Observations and Remote Sensing","page":"247-256","source":"IEEE Xplore","title":"Estimation of the Number of Endmembers Using Robust Outlier Detection Method","volume":"7","author":[{"family":"Andreou","given":"Charoula"},{"family":"Karathanassi","given":"Vassilia"}],"issued":{"date-parts":[["2014",1]]}}},{"id":1374,"uris":["http://zotero.org/groups/4573874/items/XKRFWIGU"],"itemData":{"id":1374,"type":"article-journal","abstract":"When analyzing data, outlying observations cause problems because they may strongly influence the result. Robust statistics aims at detecting the outliers by searching for the model fitted by the majority of the data. We present an overview of several robust methods and outlier detection tools. We discuss robust procedures for univariate, low-dimensional, and high-dimensional data such as estimation of location and scatter, linear regression, principal component analysis, and classification. © 2011 John Wiley &amp; Sons, Inc. WIREs Data Mining Knowl Discov 2011 1 73-79 DOI: 10.1002/widm.2 This article is categorized under: Algorithmic Development &gt; Biological Data Mining Algorithmic Development &gt; Spatial and Temporal Data Mining Application Areas &gt; Health Care Technologies &gt; Structure Discovery and Clustering","container-title":"WIREs Data Mining and Knowledge Discovery","DOI":"10.1002/widm.2","ISSN":"1942-4795","issue":"1","language":"en","note":"_eprint: https://onlinelibrary.wiley.com/doi/pdf/10.1002/widm.2","page":"73-79","source":"Wiley Online Library","title":"Robust statistics for outlier detection","volume":"1","author":[{"family":"Rousseeuw","given":"Peter J."},{"family":"Hubert","given":"Mia"}],"issued":{"date-parts":[["2011"]]}}}],"schema":"https://github.com/citation-style-language/schema/raw/master/csl-citation.json"} </w:instrText>
      </w:r>
      <w:r w:rsidRPr="00890723">
        <w:rPr>
          <w:szCs w:val="24"/>
        </w:rPr>
        <w:fldChar w:fldCharType="separate"/>
      </w:r>
      <w:r w:rsidRPr="00890723">
        <w:rPr>
          <w:szCs w:val="24"/>
        </w:rPr>
        <w:t>(Andreou &amp; Karathanassi, 2014; Rousseeuw &amp; Hubert, 2011)</w:t>
      </w:r>
      <w:r w:rsidRPr="00890723">
        <w:rPr>
          <w:szCs w:val="24"/>
        </w:rPr>
        <w:fldChar w:fldCharType="end"/>
      </w:r>
    </w:p>
    <w:p w14:paraId="59D71962" w14:textId="11F5473E" w:rsidR="00032567" w:rsidRPr="00890723" w:rsidRDefault="00032567" w:rsidP="001B567A">
      <w:pPr>
        <w:spacing w:after="0" w:line="480" w:lineRule="auto"/>
        <w:rPr>
          <w:szCs w:val="24"/>
        </w:rPr>
      </w:pPr>
      <w:r w:rsidRPr="00890723">
        <w:rPr>
          <w:szCs w:val="24"/>
        </w:rPr>
        <w:t xml:space="preserve">Relatedly, an AD method may also fail when the true proportion of anomalies is unknown or variable if it assumes a specific proportion of anomalies. For example, the use of percentiles as decision thresholds for AD will definitionally result in the classification of a certain percentage </w:t>
      </w:r>
      <w:r w:rsidRPr="00890723">
        <w:rPr>
          <w:szCs w:val="24"/>
        </w:rPr>
        <w:lastRenderedPageBreak/>
        <w:t xml:space="preserve">of data points as anomalies regardless of the true portion of anomalies, as these methods set a threshold at a specific percentile and classify all data which falls above that percentile as anomalies. If the true proportion of anomalies, also called the ‘contamination rate,’ is variable, then it will either overclassify or underclassify anomalies at a rate equal to the difference between the actual and assumed contamination rate </w:t>
      </w:r>
      <w:r w:rsidRPr="00890723">
        <w:rPr>
          <w:szCs w:val="24"/>
        </w:rPr>
        <w:fldChar w:fldCharType="begin"/>
      </w:r>
      <w:r w:rsidR="00D74AD1">
        <w:rPr>
          <w:szCs w:val="24"/>
        </w:rPr>
        <w:instrText xml:space="preserve"> ADDIN ZOTERO_ITEM CSL_CITATION {"citationID":"a2gg3j0lg0u","properties":{"formattedCitation":"(Hampel, 1971; Rousseeuw &amp; Hubert, 2011)","plainCitation":"(Hampel, 1971; Rousseeuw &amp; Hubert, 2011)","noteIndex":0},"citationItems":[{"id":3045,"uris":["http://zotero.org/groups/4573874/items/KLQULHXN"],"itemData":{"id":3045,"type":"article-journal","abstract":"Two very closely related definitions of robustness of a sequence of estimators are given which take into account the types of deviations from parametric models that occur in practice. These definitions utilize the properties of the Prokhorov distance between probability distributions. It is proved that weak $^\\ast$-continuous functionals on the space of probability distributions define robust sequences of estimators (in either sense). The concept of the \"breakdown point\" of a sequence of estimators is defined, and some examples are given.","container-title":"The Annals of Mathematical Statistics","DOI":"10.1214/aoms/1177693054","ISSN":"0003-4851, 2168-8990","issue":"6","note":"publisher: Institute of Mathematical Statistics","page":"1887-1896","source":"Project Euclid","title":"A General Qualitative Definition of Robustness","volume":"42","author":[{"family":"Hampel","given":"Frank R."}],"issued":{"date-parts":[["1971",12]]}}},{"id":1374,"uris":["http://zotero.org/groups/4573874/items/XKRFWIGU"],"itemData":{"id":1374,"type":"article-journal","abstract":"When analyzing data, outlying observations cause problems because they may strongly influence the result. Robust statistics aims at detecting the outliers by searching for the model fitted by the majority of the data. We present an overview of several robust methods and outlier detection tools. We discuss robust procedures for univariate, low-dimensional, and high-dimensional data such as estimation of location and scatter, linear regression, principal component analysis, and classification. © 2011 John Wiley &amp; Sons, Inc. WIREs Data Mining Knowl Discov 2011 1 73-79 DOI: 10.1002/widm.2 This article is categorized under: Algorithmic Development &gt; Biological Data Mining Algorithmic Development &gt; Spatial and Temporal Data Mining Application Areas &gt; Health Care Technologies &gt; Structure Discovery and Clustering","container-title":"WIREs Data Mining and Knowledge Discovery","DOI":"10.1002/widm.2","ISSN":"1942-4795","issue":"1","language":"en","note":"_eprint: https://onlinelibrary.wiley.com/doi/pdf/10.1002/widm.2","page":"73-79","source":"Wiley Online Library","title":"Robust statistics for outlier detection","volume":"1","author":[{"family":"Rousseeuw","given":"Peter J."},{"family":"Hubert","given":"Mia"}],"issued":{"date-parts":[["2011"]]}}}],"schema":"https://github.com/citation-style-language/schema/raw/master/csl-citation.json"} </w:instrText>
      </w:r>
      <w:r w:rsidRPr="00890723">
        <w:rPr>
          <w:szCs w:val="24"/>
        </w:rPr>
        <w:fldChar w:fldCharType="separate"/>
      </w:r>
      <w:r w:rsidRPr="00890723">
        <w:rPr>
          <w:rFonts w:cs="Times New Roman"/>
          <w:kern w:val="0"/>
        </w:rPr>
        <w:t>(Hampel, 1971; Rousseeuw &amp; Hubert, 2011)</w:t>
      </w:r>
      <w:r w:rsidRPr="00890723">
        <w:rPr>
          <w:szCs w:val="24"/>
        </w:rPr>
        <w:fldChar w:fldCharType="end"/>
      </w:r>
      <w:r w:rsidRPr="00890723">
        <w:rPr>
          <w:szCs w:val="24"/>
        </w:rPr>
        <w:t>. A useful method of AD must be able to dynamically adjust the proportion of points it classifies as anomalies in response to differences in the data’s distribution, or else it cannot be useful in detecting hot moments across multiple datasets</w:t>
      </w:r>
      <w:r>
        <w:rPr>
          <w:szCs w:val="24"/>
        </w:rPr>
        <w:t xml:space="preserve"> with varying underlying temporal flux variability</w:t>
      </w:r>
      <w:r w:rsidRPr="00890723">
        <w:rPr>
          <w:szCs w:val="24"/>
        </w:rPr>
        <w:t>.</w:t>
      </w:r>
    </w:p>
    <w:p w14:paraId="2BF59D8B" w14:textId="732C4F9E" w:rsidR="00032567" w:rsidRDefault="00032567" w:rsidP="001B567A">
      <w:pPr>
        <w:spacing w:after="0" w:line="480" w:lineRule="auto"/>
        <w:rPr>
          <w:szCs w:val="24"/>
        </w:rPr>
      </w:pPr>
      <w:r w:rsidRPr="00890723">
        <w:rPr>
          <w:szCs w:val="24"/>
        </w:rPr>
        <w:t>There are also multiple types of anomalies, the most common being global point anomalies and contextual anomalies (</w:t>
      </w:r>
      <w:r w:rsidRPr="00A850AC">
        <w:rPr>
          <w:b/>
          <w:bCs/>
          <w:szCs w:val="24"/>
        </w:rPr>
        <w:t>Figure 1.1</w:t>
      </w:r>
      <w:r w:rsidRPr="00890723">
        <w:rPr>
          <w:szCs w:val="24"/>
        </w:rPr>
        <w:t xml:space="preserve">) </w:t>
      </w:r>
      <w:r w:rsidRPr="00890723">
        <w:rPr>
          <w:szCs w:val="24"/>
        </w:rPr>
        <w:fldChar w:fldCharType="begin"/>
      </w:r>
      <w:r w:rsidR="00D74AD1">
        <w:rPr>
          <w:szCs w:val="24"/>
        </w:rPr>
        <w:instrText xml:space="preserve"> ADDIN ZOTERO_ITEM CSL_CITATION {"citationID":"L2RDN8dv","properties":{"formattedCitation":"(Ben-Gal, 2005; Chandola et al., 2009; D &amp; Babu, 2016)","plainCitation":"(Ben-Gal, 2005; Chandola et al., 2009; D &amp; Babu, 2016)","noteIndex":0},"citationItems":[{"id":917,"uris":["http://zotero.org/groups/4573874/items/FGLDXD8P"],"itemData":{"id":917,"type":"chapter","abstract":"Outlier detection is a primary step in many data-mining applications. We present several methods for outlier detection, while distinguishing between univariate vs. multivariate techniques and parametric vs. nonparametric procedures. In presence of outliers, special attention should be taken to assure the robustness of the used estimators. Outlier detection for Data Mining is often based on distance measures, clustering and spatial methods.","container-title":"Data Mining and Knowledge Discovery Handbook","event-place":"Boston, MA","ISBN":"978-0-387-25465-4","language":"en","note":"DOI: 10.1007/0-387-25465-X_7","page":"131-146","publisher":"Springer US","publisher-place":"Boston, MA","source":"Springer Link","title":"Outlier Detection","URL":"https://doi.org/10.1007/0-387-25465-X_7","author":[{"family":"Ben-Gal","given":"Irad"}],"editor":[{"family":"Maimon","given":"Oded"},{"family":"Rokach","given":"Lior"}],"accessed":{"date-parts":[["2023",7,3]]},"issued":{"date-parts":[["2005"]]}}},{"id":1445,"uris":["http://zotero.org/groups/4573874/items/A8RD8TFP"],"itemData":{"id":1445,"type":"article-journal","abstract":"Anomaly detection is an important problem that has been researched within diverse research areas and application domains. Many anomaly detection techniques have been specifically developed for certain application domains, while others are more generic. This survey tries to provide a structured and comprehensive overview of the research on anomaly detection. We have grouped existing techniques into different categories based on the underlying approach adopted by each technique. For each category we have identified key assumptions, which are used by the techniques to differentiate between normal and anomalous behavior. When applying a given technique to a particular domain, these assumptions can be used as guidelines to assess the effectiveness of the technique in that domain. For each category, we provide a basic anomaly detection technique, and then show how the different existing techniques in that category are variants of the basic technique. This template provides an easier and more succinct understanding of the techniques belonging to each category. Further, for each category, we identify the advantages and disadvantages of the techniques in that category. We also provide a discussion on the computational complexity of the techniques since it is an important issue in real application domains. We hope that this survey will provide a better understanding of the different directions in which research has been done on this topic, and how techniques developed in one area can be applied in domains for which they were not intended to begin with.","container-title":"ACM Computing Surveys","DOI":"10.1145/1541880.1541882","ISSN":"0360-0300","issue":"3","journalAbbreviation":"ACM Comput. Surv.","page":"15:1–15:58","source":"ACM Digital Library","title":"Anomaly detection: A survey","title-short":"Anomaly detection","volume":"41","author":[{"family":"Chandola","given":"Varun"},{"family":"Banerjee","given":"Arindam"},{"family":"Kumar","given":"Vipin"}],"issued":{"date-parts":[["2009",7,30]]}}},{"id":918,"uris":["http://zotero.org/groups/4573874/items/SZ5JRE3P"],"itemData":{"id":918,"type":"paper-conference","abstract":"Outliers are those data that deviates significantly from the remaining data. Outliers has emerging applications in irregular credit card transactions, used to find credit card fraud, or identifying patients who shows abnormal symptoms due to suffering from a particular type of disease. This paper gives an idea about the various approaches and techniques used in outlier detection and the areas in which outlier detection is used and also about how outlier detection is handled in higher dimensional data.","container-title":"2016 International Conference on Data Mining and Advanced Computing (SAPIENCE)","DOI":"10.1109/SAPIENCE.2016.7684114","event-title":"2016 International Conference on Data Mining and Advanced Computing (SAPIENCE)","page":"23-28","source":"IEEE Xplore","title":"Methods to detect different types of outliers","author":[{"family":"D","given":"Divya"},{"family":"Babu","given":"Suvanam Sasidhar"}],"issued":{"date-parts":[["2016",3]]}}}],"schema":"https://github.com/citation-style-language/schema/raw/master/csl-citation.json"} </w:instrText>
      </w:r>
      <w:r w:rsidRPr="00890723">
        <w:rPr>
          <w:szCs w:val="24"/>
        </w:rPr>
        <w:fldChar w:fldCharType="separate"/>
      </w:r>
      <w:r w:rsidRPr="00890723">
        <w:rPr>
          <w:rFonts w:cs="Times New Roman"/>
        </w:rPr>
        <w:t>(Ben-Gal, 2005; Chandola et al., 2009; D &amp; Babu, 2016)</w:t>
      </w:r>
      <w:r w:rsidRPr="00890723">
        <w:rPr>
          <w:szCs w:val="24"/>
        </w:rPr>
        <w:fldChar w:fldCharType="end"/>
      </w:r>
      <w:r w:rsidRPr="00890723">
        <w:rPr>
          <w:szCs w:val="24"/>
        </w:rPr>
        <w:t xml:space="preserve">. Global anomalies are the simplest to detect, and the majority of research on AD has focused on these types of anomalies </w:t>
      </w:r>
      <w:r w:rsidRPr="00890723">
        <w:rPr>
          <w:szCs w:val="24"/>
        </w:rPr>
        <w:fldChar w:fldCharType="begin"/>
      </w:r>
      <w:r w:rsidR="00D74AD1">
        <w:rPr>
          <w:szCs w:val="24"/>
        </w:rPr>
        <w:instrText xml:space="preserve"> ADDIN ZOTERO_ITEM CSL_CITATION {"citationID":"FTeiusp6","properties":{"formattedCitation":"(Smiti, 2020)","plainCitation":"(Smiti, 2020)","noteIndex":0},"citationItems":[{"id":1376,"uris":["http://zotero.org/groups/4573874/items/EQ9E59J9"],"itemData":{"id":1376,"type":"article-journal","abstract":"One of the opening steps towards obtaining a reasoned analysis is the detection of outlaying observations. Even if outliers are often considered as a miscalculation or noise, they may bring significant information. For that reason, it is important to spot them prior to modeling and analysis. In this paper, we will present a structured and comprehensive review of the research on outlier detection. We have clustered existing methods into different categories based on the underlying approach adopted by each technique. In addition, for each category, we provide a discussion on the advantages and disadvantages of each method. Our paper’s purpose is to assist the novice researcher, to produce clear ideas and to facilitate a better understanding of the different directions in which research has been done on this topic.","container-title":"Computer Science Review","DOI":"10.1016/j.cosrev.2020.100306","ISSN":"1574-0137","journalAbbreviation":"Computer Science Review","page":"100306","source":"ScienceDirect","title":"A critical overview of outlier detection methods","volume":"38","author":[{"family":"Smiti","given":"Abir"}],"issued":{"date-parts":[["2020",11,1]]}}}],"schema":"https://github.com/citation-style-language/schema/raw/master/csl-citation.json"} </w:instrText>
      </w:r>
      <w:r w:rsidRPr="00890723">
        <w:rPr>
          <w:szCs w:val="24"/>
        </w:rPr>
        <w:fldChar w:fldCharType="separate"/>
      </w:r>
      <w:r w:rsidRPr="00890723">
        <w:rPr>
          <w:szCs w:val="24"/>
        </w:rPr>
        <w:t>(Smiti, 2020)</w:t>
      </w:r>
      <w:r w:rsidRPr="00890723">
        <w:rPr>
          <w:szCs w:val="24"/>
        </w:rPr>
        <w:fldChar w:fldCharType="end"/>
      </w:r>
      <w:r w:rsidRPr="00890723">
        <w:rPr>
          <w:szCs w:val="24"/>
        </w:rPr>
        <w:t xml:space="preserve">. At its most basic level the identification of global anomalies only requires comparison of a single univariate data point to the distribution and behavior of the univariate dataset to which it belongs. The detection of contextual anomalies, however, depends upon the consideration of additional contextual and behavioral attributes, requiring the use of multivariate data </w:t>
      </w:r>
      <w:r w:rsidRPr="00890723">
        <w:rPr>
          <w:szCs w:val="24"/>
        </w:rPr>
        <w:fldChar w:fldCharType="begin"/>
      </w:r>
      <w:r w:rsidR="00D74AD1">
        <w:rPr>
          <w:szCs w:val="24"/>
        </w:rPr>
        <w:instrText xml:space="preserve"> ADDIN ZOTERO_ITEM CSL_CITATION {"citationID":"4ZVmuV7h","properties":{"formattedCitation":"(Smiti, 2020)","plainCitation":"(Smiti, 2020)","noteIndex":0},"citationItems":[{"id":1376,"uris":["http://zotero.org/groups/4573874/items/EQ9E59J9"],"itemData":{"id":1376,"type":"article-journal","abstract":"One of the opening steps towards obtaining a reasoned analysis is the detection of outlaying observations. Even if outliers are often considered as a miscalculation or noise, they may bring significant information. For that reason, it is important to spot them prior to modeling and analysis. In this paper, we will present a structured and comprehensive review of the research on outlier detection. We have clustered existing methods into different categories based on the underlying approach adopted by each technique. In addition, for each category, we provide a discussion on the advantages and disadvantages of each method. Our paper’s purpose is to assist the novice researcher, to produce clear ideas and to facilitate a better understanding of the different directions in which research has been done on this topic.","container-title":"Computer Science Review","DOI":"10.1016/j.cosrev.2020.100306","ISSN":"1574-0137","journalAbbreviation":"Computer Science Review","page":"100306","source":"ScienceDirect","title":"A critical overview of outlier detection methods","volume":"38","author":[{"family":"Smiti","given":"Abir"}],"issued":{"date-parts":[["2020",11,1]]}}}],"schema":"https://github.com/citation-style-language/schema/raw/master/csl-citation.json"} </w:instrText>
      </w:r>
      <w:r w:rsidRPr="00890723">
        <w:rPr>
          <w:szCs w:val="24"/>
        </w:rPr>
        <w:fldChar w:fldCharType="separate"/>
      </w:r>
      <w:r w:rsidRPr="00890723">
        <w:rPr>
          <w:szCs w:val="24"/>
        </w:rPr>
        <w:t>(Smiti, 2020)</w:t>
      </w:r>
      <w:r w:rsidRPr="00890723">
        <w:rPr>
          <w:szCs w:val="24"/>
        </w:rPr>
        <w:fldChar w:fldCharType="end"/>
      </w:r>
      <w:r w:rsidRPr="00890723">
        <w:rPr>
          <w:szCs w:val="24"/>
        </w:rPr>
        <w:t xml:space="preserve">. At minimum, the detection of contextual anomalies requires a univariate dataset plus some additional quantification of the context of each data point, such as the sequential order or temporal position. For example, a mean monthly temperature of 20 °C may not be considered anomalous for the city of Knoxville, Tennessee. However, if additional context is added to the data point providing the context that a mean annual temperature of 20 °C was observed in the month of February, this data point could then be considered anomalous given its context of occurring during winter. </w:t>
      </w:r>
    </w:p>
    <w:p w14:paraId="08A9A847" w14:textId="77777777" w:rsidR="00032567" w:rsidRPr="00890723" w:rsidRDefault="00032567" w:rsidP="00032567">
      <w:pPr>
        <w:keepNext/>
        <w:spacing w:line="480" w:lineRule="auto"/>
        <w:jc w:val="center"/>
      </w:pPr>
      <w:r w:rsidRPr="00890723">
        <w:rPr>
          <w:noProof/>
          <w:szCs w:val="24"/>
        </w:rPr>
        <w:lastRenderedPageBreak/>
        <w:drawing>
          <wp:inline distT="0" distB="0" distL="0" distR="0" wp14:anchorId="0DBEF0AD" wp14:editId="17833A24">
            <wp:extent cx="1899102" cy="1303507"/>
            <wp:effectExtent l="0" t="0" r="6350" b="0"/>
            <wp:docPr id="424585234" name="Picture 424585234" descr="A graph with a line and a dotted lin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4585234" name="Picture 1" descr="A graph with a line and a dotted line&#10;&#10;Description automatically generated with medium confidence"/>
                    <pic:cNvPicPr/>
                  </pic:nvPicPr>
                  <pic:blipFill rotWithShape="1">
                    <a:blip r:embed="rId11"/>
                    <a:srcRect r="18577"/>
                    <a:stretch/>
                  </pic:blipFill>
                  <pic:spPr bwMode="auto">
                    <a:xfrm>
                      <a:off x="0" y="0"/>
                      <a:ext cx="1936416" cy="1329119"/>
                    </a:xfrm>
                    <a:prstGeom prst="rect">
                      <a:avLst/>
                    </a:prstGeom>
                    <a:ln>
                      <a:noFill/>
                    </a:ln>
                    <a:extLst>
                      <a:ext uri="{53640926-AAD7-44D8-BBD7-CCE9431645EC}">
                        <a14:shadowObscured xmlns:a14="http://schemas.microsoft.com/office/drawing/2010/main"/>
                      </a:ext>
                    </a:extLst>
                  </pic:spPr>
                </pic:pic>
              </a:graphicData>
            </a:graphic>
          </wp:inline>
        </w:drawing>
      </w:r>
    </w:p>
    <w:p w14:paraId="5150D960" w14:textId="0AD7065B" w:rsidR="00032567" w:rsidRDefault="00032567" w:rsidP="00032567">
      <w:pPr>
        <w:rPr>
          <w:szCs w:val="24"/>
        </w:rPr>
      </w:pPr>
      <w:bookmarkStart w:id="28" w:name="_Toc204263351"/>
      <w:r w:rsidRPr="00890723">
        <w:rPr>
          <w:b/>
          <w:bCs/>
          <w:szCs w:val="24"/>
        </w:rPr>
        <w:t>Figure 1</w:t>
      </w:r>
      <w:r w:rsidR="00D24801">
        <w:rPr>
          <w:b/>
          <w:bCs/>
          <w:szCs w:val="24"/>
        </w:rPr>
        <w:t>.</w:t>
      </w:r>
      <w:r w:rsidR="00D24801">
        <w:rPr>
          <w:b/>
          <w:bCs/>
          <w:szCs w:val="24"/>
        </w:rPr>
        <w:fldChar w:fldCharType="begin"/>
      </w:r>
      <w:r w:rsidR="00D24801">
        <w:rPr>
          <w:b/>
          <w:bCs/>
          <w:szCs w:val="24"/>
        </w:rPr>
        <w:instrText xml:space="preserve"> SEQ Figure \* ARABIC \s 1 </w:instrText>
      </w:r>
      <w:r w:rsidR="00D24801">
        <w:rPr>
          <w:b/>
          <w:bCs/>
          <w:szCs w:val="24"/>
        </w:rPr>
        <w:fldChar w:fldCharType="separate"/>
      </w:r>
      <w:r w:rsidR="00D24801">
        <w:rPr>
          <w:b/>
          <w:bCs/>
          <w:noProof/>
          <w:szCs w:val="24"/>
        </w:rPr>
        <w:t>1</w:t>
      </w:r>
      <w:r w:rsidR="00D24801">
        <w:rPr>
          <w:b/>
          <w:bCs/>
          <w:szCs w:val="24"/>
        </w:rPr>
        <w:fldChar w:fldCharType="end"/>
      </w:r>
      <w:r w:rsidRPr="00890723">
        <w:rPr>
          <w:szCs w:val="24"/>
        </w:rPr>
        <w:t>: Types of outliers. A) global outliers occur where data points deviate significantly from the distribution or behavior of the data set; B) collective outliers are groups of points which when considered together are anomalous, but not individually; C) contextual outliers are anomalous due to their position in relation to the neigh</w:t>
      </w:r>
      <w:r>
        <w:rPr>
          <w:szCs w:val="24"/>
        </w:rPr>
        <w:t>bors</w:t>
      </w:r>
      <w:bookmarkEnd w:id="28"/>
    </w:p>
    <w:p w14:paraId="25B00787" w14:textId="0FDF07FB" w:rsidR="00032567" w:rsidRPr="00E65A5F" w:rsidRDefault="00032567" w:rsidP="00BF6A69">
      <w:pPr>
        <w:pStyle w:val="Heading3"/>
      </w:pPr>
      <w:bookmarkStart w:id="29" w:name="_Toc204282739"/>
      <w:r w:rsidRPr="00E65A5F">
        <w:t xml:space="preserve">Research </w:t>
      </w:r>
      <w:r w:rsidR="0055280E">
        <w:t>g</w:t>
      </w:r>
      <w:r w:rsidRPr="00E65A5F">
        <w:t xml:space="preserve">aps and </w:t>
      </w:r>
      <w:r w:rsidR="0055280E">
        <w:t>i</w:t>
      </w:r>
      <w:r w:rsidRPr="00E65A5F">
        <w:t>mplications</w:t>
      </w:r>
      <w:bookmarkEnd w:id="29"/>
    </w:p>
    <w:p w14:paraId="6D1D7CBD" w14:textId="2ABFF2CC" w:rsidR="00032567" w:rsidRDefault="00032567" w:rsidP="00032567">
      <w:pPr>
        <w:spacing w:line="480" w:lineRule="auto"/>
        <w:rPr>
          <w:szCs w:val="24"/>
        </w:rPr>
      </w:pPr>
      <w:r>
        <w:rPr>
          <w:szCs w:val="24"/>
        </w:rPr>
        <w:t>Many uncertainties remain surrounding hot moments, their significance, and how best to represent them in models. At the heart of these uncertainties is the lack of consensus in how to systematically identify N</w:t>
      </w:r>
      <w:r>
        <w:rPr>
          <w:szCs w:val="24"/>
          <w:vertAlign w:val="subscript"/>
        </w:rPr>
        <w:t>2</w:t>
      </w:r>
      <w:r>
        <w:rPr>
          <w:szCs w:val="24"/>
        </w:rPr>
        <w:t xml:space="preserve">O hot moments within measurement datasets- an essential preliminary step in any quantitative analysis of hot moments </w:t>
      </w:r>
      <w:r>
        <w:rPr>
          <w:szCs w:val="24"/>
        </w:rPr>
        <w:fldChar w:fldCharType="begin"/>
      </w:r>
      <w:r w:rsidR="00D74AD1">
        <w:rPr>
          <w:szCs w:val="24"/>
        </w:rPr>
        <w:instrText xml:space="preserve"> ADDIN ZOTERO_ITEM CSL_CITATION {"citationID":"d5U5v0t3","properties":{"formattedCitation":"(Bernhardt et al., 2017)","plainCitation":"(Bernhardt et al., 2017)","noteIndex":0},"citationItems":[{"id":1985,"uris":["http://zotero.org/groups/4573874/items/XE62TGV4"],"itemData":{"id":1985,"type":"article-journal","abstract":"The phrase “hot spots and hot moments” first entered the lexicon in 2003, following the publication of the paper “Biogeochemical hot spots and hot moments at the interface of terrestrial and aquatic ecosystems” by McClain and others (Ecosystems 6:301–312, 2003). This paper described the potential for rare places and rare events to exert a disproportionate influence on the movement of elements at the scale of landscapes and ecosystems. Here, we examine how the cleverly named hot spot and hot moment concept (hereafter HSHM) has influenced biogeochemistry and ecosystem science over the last 13 years. We specifically examined the extent to which the HSHM concept has: (1) motivated research aimed at understanding how and why biogeochemical behavior varies across spatiotemporal scales; (2) improved our ability to detect HSHM phenomena; and (3) influenced our approaches to restoration and ecosystem management practices. We found that the HSHM concept has provided a highly fertile framework for a substantial volume of research on the spatial and temporal dynamics of nutrient cycling, and in doing so, has improved our understanding of when and where biogeochemical rates are maximized. Despite the high usage of the term, we found limited examples of rigorous statistical or modeling approaches that would allow ecosystem scientists to not only identify, but scale the aggregate impact of HSHM on ecosystem processes. We propose that the phrase “hot spots and hot moments” includes two implicit assumptions that may actually be limiting progress in applying the concept. First, by differentiating “hot spots” from “hot moments,” the phrase separates the spatial and temporal components of biogeochemical behavior. Instead, we argue that the temporal dynamics of a putative hot spot are a fundamental trait that should be used in their description. Second, the adjective “hot” implicitly suggests that a place or a time must be dichotomously classified as “hot or not.” We suggest instead that each landscape of interest contains a wide range of biogeochemical process rates that respond to critical drivers, and the gradations of this biogeochemical topography are of greater interest than the maximum peaks. For these reasons, we recommend replacing the HSHM terminology with the more nuanced term ecosystem control points. “Ecosystem control” suggests that the rate must be of sufficient magnitude or ubiquity to affect dynamics of the ecosystem, while “points” allows for descriptions that simultaneously incorporate both spatial and temporal dynamics. We further suggest that there are at least four distinct types of ecosystem control points whose influence arises through distinct hydrologic and biogeochemical mechanisms. Our goal is to provide the tools with which researchers can develop testable hypotheses regarding the spatiotemporal dynamics of biogeochemistry that will stimulate advances in more accurately identifying, modeling and scaling biogeochemical heterogeneity to better understand ecosystem processes.","container-title":"Ecosystems","DOI":"10.1007/s10021-016-0103-y","ISSN":"1435-0629","issue":"4","journalAbbreviation":"Ecosystems","language":"en","page":"665-682","source":"Springer Link","title":"Control Points in Ecosystems: Moving Beyond the Hot Spot Hot Moment Concept","title-short":"Control Points in Ecosystems","volume":"20","author":[{"family":"Bernhardt","given":"Emily S."},{"family":"Blaszczak","given":"Joanna R."},{"family":"Ficken","given":"Cari D."},{"family":"Fork","given":"Megan L."},{"family":"Kaiser","given":"Kendra E."},{"family":"Seybold","given":"Erin C."}],"issued":{"date-parts":[["2017",6,1]]}}}],"schema":"https://github.com/citation-style-language/schema/raw/master/csl-citation.json"} </w:instrText>
      </w:r>
      <w:r>
        <w:rPr>
          <w:szCs w:val="24"/>
        </w:rPr>
        <w:fldChar w:fldCharType="separate"/>
      </w:r>
      <w:r w:rsidRPr="00B87297">
        <w:rPr>
          <w:rFonts w:cs="Times New Roman"/>
        </w:rPr>
        <w:t>(Bernhardt et al., 2017)</w:t>
      </w:r>
      <w:r>
        <w:rPr>
          <w:szCs w:val="24"/>
        </w:rPr>
        <w:fldChar w:fldCharType="end"/>
      </w:r>
      <w:r>
        <w:rPr>
          <w:szCs w:val="24"/>
        </w:rPr>
        <w:t xml:space="preserve">. A handful of statistical methods have been used for this task previously, though no comprehensive comparative analysis has been performed, despite widely different conclusions about the impact and prevalence of hot moments being drawn from different methods </w:t>
      </w:r>
      <w:r>
        <w:rPr>
          <w:szCs w:val="24"/>
        </w:rPr>
        <w:fldChar w:fldCharType="begin"/>
      </w:r>
      <w:r w:rsidR="00D74AD1">
        <w:rPr>
          <w:szCs w:val="24"/>
        </w:rPr>
        <w:instrText xml:space="preserve"> ADDIN ZOTERO_ITEM CSL_CITATION {"citationID":"McuvU5n0","properties":{"formattedCitation":"(Molodovskaya et al., 2012)","plainCitation":"(Molodovskaya et al., 2012)","noteIndex":0},"citationItems":[{"id":692,"uris":["http://zotero.org/groups/4573874/items/97DFR7GJ"],"itemData":{"id":692,"type":"article-journal","abstract":"Nitrous oxide (N2O) emissions were monitored using the micrometeorological eddy covariance technique from manure-fertilized cropland on a large dairy farm in New York State in 2006 to 2009. Nitrous oxide emissions demonstrated episodic behavior with intermittent short-duration peak fluxes up to 39.7 mg N2O-N m−2 d−1, whereas most of background fluxes during the annual agricultural cycle were below 6.5 mg N2O-N m−2 d−1. This paper discusses temporal variability of measured N2O emissions using a “hot moment” approach. To identify and quantify peak events as potential hot moments and to determine whether or not they could be treated statistically as outliers, N2O daily fluxes were analyzed by the box plot method using multiple thresholds. Peak events exceeding outlier thresholds contributed up to 51% of cumulative annual N2O emissions, although they represented &lt;7% of the total observation time. Individual N2O peaks were also categorized by their duration, as single day spikes and multiday events. The highest contributing instances were multiday N2O peaks during summer precipitation and early spring thaw, largely enhanced by manure fertilization. These high-intensity emission events demonstrated repetitive seasonal responses to a combination of environmental factors and were therefore identified as hot moments. Abrupt rises in both temperature and soil moisture appeared to trigger major hot moments, whereas the availability of manure N controlled their magnitude. In the absence of strong correlations between time-series of individual environmental factors and N2O emissions, the hot moment approach can be a promising tool for the integrated analysis of most significant N2O events in cultivated fields receiving manure applications.","container-title":"Soil Science Society of America Journal","DOI":"10.2136/sssaj2012.0039","ISSN":"1435-0661","issue":"5","language":"en","note":"_eprint: https://onlinelibrary.wiley.com/doi/pdf/10.2136/sssaj2012.0039","page":"1728-1740","source":"Wiley Online Library","title":"Temporal Variability of Nitrous Oxide from Fertilized Croplands: Hot Moment Analysis","title-short":"Temporal Variability of Nitrous Oxide from Fertilized Croplands","volume":"76","author":[{"family":"Molodovskaya","given":"Marina"},{"family":"Singurindy","given":"Olga"},{"family":"Richards","given":"Brian K."},{"family":"Warland","given":"Jon"},{"family":"Johnson","given":"Mark S."},{"family":"Steenhuis","given":"Tammo S."}],"issued":{"date-parts":[["2012"]]}}}],"schema":"https://github.com/citation-style-language/schema/raw/master/csl-citation.json"} </w:instrText>
      </w:r>
      <w:r>
        <w:rPr>
          <w:szCs w:val="24"/>
        </w:rPr>
        <w:fldChar w:fldCharType="separate"/>
      </w:r>
      <w:r w:rsidRPr="00390AD6">
        <w:rPr>
          <w:rFonts w:cs="Times New Roman"/>
        </w:rPr>
        <w:t>(Molodovskaya et al., 2012)</w:t>
      </w:r>
      <w:r>
        <w:rPr>
          <w:szCs w:val="24"/>
        </w:rPr>
        <w:fldChar w:fldCharType="end"/>
      </w:r>
      <w:r>
        <w:rPr>
          <w:szCs w:val="24"/>
        </w:rPr>
        <w:t>. Very few large scale synthesis analyses of hot moments exist, and I have identified none that have attempted to model hot moments across multiple sites and experiments. This is likely due to the uncertainty around the use of statistical methods to identify hot moments, and the prohibitive difficulty and time investment of manually identifying them across large datasets. The accurate, consistent identification of hot moments within datasets would open new doors of investigation. For example, the complex and varied environmental conditions which give rise to these events could be more comprehensively distinguished and described. This may in turn, for example, permit the distinct modeling of N</w:t>
      </w:r>
      <w:r>
        <w:rPr>
          <w:szCs w:val="24"/>
          <w:vertAlign w:val="subscript"/>
        </w:rPr>
        <w:t>2</w:t>
      </w:r>
      <w:r>
        <w:rPr>
          <w:szCs w:val="24"/>
        </w:rPr>
        <w:t xml:space="preserve">O emissions under hot moment and background emissions, in recognition </w:t>
      </w:r>
      <w:r>
        <w:rPr>
          <w:szCs w:val="24"/>
        </w:rPr>
        <w:lastRenderedPageBreak/>
        <w:t>of the differential underlying biogeochemical dynamics. If the occurrence of hot moments could be predicted, this could address known shortcomings of existing models underestimating hot moments, and lead to improved quantitative modeling of N</w:t>
      </w:r>
      <w:r>
        <w:rPr>
          <w:szCs w:val="24"/>
          <w:vertAlign w:val="subscript"/>
        </w:rPr>
        <w:t>2</w:t>
      </w:r>
      <w:r>
        <w:rPr>
          <w:szCs w:val="24"/>
        </w:rPr>
        <w:t xml:space="preserve">O emissions. Such advancements would hold significant implications for both models and predictions of agriculture’s climate impact and the implementation of management intervention strategies. </w:t>
      </w:r>
    </w:p>
    <w:p w14:paraId="1F474F6E" w14:textId="77777777" w:rsidR="00032567" w:rsidRPr="00243949" w:rsidRDefault="00032567" w:rsidP="00032567">
      <w:pPr>
        <w:spacing w:line="480" w:lineRule="auto"/>
        <w:rPr>
          <w:szCs w:val="24"/>
        </w:rPr>
      </w:pPr>
      <w:r>
        <w:rPr>
          <w:szCs w:val="24"/>
        </w:rPr>
        <w:t>My work will take up this challenge. I will begin with the investigation of statistical methods for the identification of flux measurements consistent with the hot moment concept, comparing their performances, strengths, and weaknesses in classifying fluxes in accordance with qualitative descriptions of hot moments in surrounding literature. Next, I will exemplify the opportunities to build upon this work by leveraging statistical hot moment identification toward modeling and predicting the occurrences of hot moments from environmental information. I will also further the knowledge of environmental drivers of hot moments by investigating the impact of extreme weather events on N</w:t>
      </w:r>
      <w:r>
        <w:rPr>
          <w:szCs w:val="24"/>
          <w:vertAlign w:val="subscript"/>
        </w:rPr>
        <w:t>2</w:t>
      </w:r>
      <w:r>
        <w:rPr>
          <w:szCs w:val="24"/>
        </w:rPr>
        <w:t>O emissions. Together, the work described in this dissertation will advance the ability to quantify and predict agricultural N</w:t>
      </w:r>
      <w:r>
        <w:rPr>
          <w:szCs w:val="24"/>
          <w:vertAlign w:val="subscript"/>
        </w:rPr>
        <w:t>2</w:t>
      </w:r>
      <w:r>
        <w:rPr>
          <w:szCs w:val="24"/>
        </w:rPr>
        <w:t>O emissions and point toward a path to effective mitigation efforts.</w:t>
      </w:r>
    </w:p>
    <w:p w14:paraId="3425920F" w14:textId="77777777" w:rsidR="00EB4DBB" w:rsidRPr="00994531" w:rsidRDefault="00EB4DBB" w:rsidP="00B04AFB">
      <w:pPr>
        <w:rPr>
          <w:szCs w:val="24"/>
        </w:rPr>
        <w:sectPr w:rsidR="00EB4DBB" w:rsidRPr="00994531" w:rsidSect="00AB7684">
          <w:pgSz w:w="12240" w:h="15840"/>
          <w:pgMar w:top="1440" w:right="1440" w:bottom="1440" w:left="1440" w:header="720" w:footer="720" w:gutter="0"/>
          <w:cols w:space="720"/>
          <w:docGrid w:linePitch="360"/>
        </w:sectPr>
      </w:pPr>
    </w:p>
    <w:p w14:paraId="7EDB2BBF" w14:textId="40D77854" w:rsidR="003650B3" w:rsidRPr="00B65AA5" w:rsidRDefault="003D06DA" w:rsidP="00BA6169">
      <w:pPr>
        <w:pStyle w:val="Heading1"/>
      </w:pPr>
      <w:bookmarkStart w:id="30" w:name="_Toc204282740"/>
      <w:r>
        <w:lastRenderedPageBreak/>
        <w:t xml:space="preserve">CHAPTER </w:t>
      </w:r>
      <w:r w:rsidR="007D35C3">
        <w:t>2:</w:t>
      </w:r>
      <w:r w:rsidR="003B644C" w:rsidRPr="00B65AA5">
        <w:t xml:space="preserve"> </w:t>
      </w:r>
      <w:r w:rsidR="003650B3" w:rsidRPr="00B65AA5">
        <w:t>S</w:t>
      </w:r>
      <w:r w:rsidR="00C35B97">
        <w:t xml:space="preserve">TATISTICAL IDENTIFICATION OF NITROUS </w:t>
      </w:r>
      <w:r>
        <w:t>OXIDE HOT MOMENTS AND THEIR SIGNIFICANCE ACROSS GLOBAL AGROECOSYSTEMS</w:t>
      </w:r>
      <w:bookmarkEnd w:id="30"/>
    </w:p>
    <w:p w14:paraId="03EFCA1F" w14:textId="2129A742" w:rsidR="007350CB" w:rsidRDefault="007350CB">
      <w:r>
        <w:br w:type="page"/>
      </w:r>
    </w:p>
    <w:p w14:paraId="65B2C2D8" w14:textId="74F0AC18" w:rsidR="00C53320" w:rsidRDefault="000707D9" w:rsidP="003A5B1B">
      <w:pPr>
        <w:spacing w:after="0" w:line="480" w:lineRule="auto"/>
      </w:pPr>
      <w:r>
        <w:lastRenderedPageBreak/>
        <w:t>A version of this chapter was previously submitted for publication</w:t>
      </w:r>
      <w:r w:rsidR="00E57570">
        <w:t xml:space="preserve"> to Journal of Geophysical Research: Biogeochemistry. </w:t>
      </w:r>
      <w:r w:rsidR="00C53320" w:rsidRPr="00823BC4">
        <w:rPr>
          <w:rFonts w:eastAsia="Calibri" w:cs="Times New Roman"/>
          <w:kern w:val="0"/>
          <w:szCs w:val="24"/>
          <w14:ligatures w14:val="none"/>
        </w:rPr>
        <w:t>Ryan Ackett</w:t>
      </w:r>
      <w:r w:rsidR="00823BC4">
        <w:rPr>
          <w:rFonts w:eastAsia="Calibri" w:cs="Times New Roman"/>
          <w:kern w:val="0"/>
          <w:szCs w:val="24"/>
          <w14:ligatures w14:val="none"/>
        </w:rPr>
        <w:t xml:space="preserve"> was responsible for </w:t>
      </w:r>
      <w:r w:rsidR="0044589D">
        <w:rPr>
          <w:rFonts w:eastAsia="Calibri" w:cs="Times New Roman"/>
          <w:kern w:val="0"/>
          <w:szCs w:val="24"/>
          <w14:ligatures w14:val="none"/>
        </w:rPr>
        <w:t>c</w:t>
      </w:r>
      <w:r w:rsidR="00C53320" w:rsidRPr="00823BC4">
        <w:rPr>
          <w:rFonts w:eastAsia="Calibri" w:cs="Times New Roman"/>
          <w:kern w:val="0"/>
          <w:szCs w:val="24"/>
          <w14:ligatures w14:val="none"/>
        </w:rPr>
        <w:t xml:space="preserve">onceptualization, </w:t>
      </w:r>
      <w:r w:rsidR="00823BC4">
        <w:rPr>
          <w:rFonts w:eastAsia="Calibri" w:cs="Times New Roman"/>
          <w:kern w:val="0"/>
          <w:szCs w:val="24"/>
          <w14:ligatures w14:val="none"/>
        </w:rPr>
        <w:t>f</w:t>
      </w:r>
      <w:r w:rsidR="00C53320" w:rsidRPr="00823BC4">
        <w:rPr>
          <w:rFonts w:eastAsia="Calibri" w:cs="Times New Roman"/>
          <w:kern w:val="0"/>
          <w:szCs w:val="24"/>
          <w14:ligatures w14:val="none"/>
        </w:rPr>
        <w:t xml:space="preserve">ormal analysis, </w:t>
      </w:r>
      <w:r w:rsidR="00823BC4">
        <w:rPr>
          <w:rFonts w:eastAsia="Calibri" w:cs="Times New Roman"/>
          <w:kern w:val="0"/>
          <w:szCs w:val="24"/>
          <w14:ligatures w14:val="none"/>
        </w:rPr>
        <w:t>i</w:t>
      </w:r>
      <w:r w:rsidR="00C53320" w:rsidRPr="00823BC4">
        <w:rPr>
          <w:rFonts w:eastAsia="Calibri" w:cs="Times New Roman"/>
          <w:kern w:val="0"/>
          <w:szCs w:val="24"/>
          <w14:ligatures w14:val="none"/>
        </w:rPr>
        <w:t xml:space="preserve">nvestigation, </w:t>
      </w:r>
      <w:r w:rsidR="00823BC4">
        <w:rPr>
          <w:rFonts w:eastAsia="Calibri" w:cs="Times New Roman"/>
          <w:kern w:val="0"/>
          <w:szCs w:val="24"/>
          <w14:ligatures w14:val="none"/>
        </w:rPr>
        <w:t>m</w:t>
      </w:r>
      <w:r w:rsidR="00C53320" w:rsidRPr="00823BC4">
        <w:rPr>
          <w:rFonts w:eastAsia="Calibri" w:cs="Times New Roman"/>
          <w:kern w:val="0"/>
          <w:szCs w:val="24"/>
          <w14:ligatures w14:val="none"/>
        </w:rPr>
        <w:t xml:space="preserve">ethodology, </w:t>
      </w:r>
      <w:r w:rsidR="00823BC4">
        <w:rPr>
          <w:rFonts w:eastAsia="Calibri" w:cs="Times New Roman"/>
          <w:kern w:val="0"/>
          <w:szCs w:val="24"/>
          <w14:ligatures w14:val="none"/>
        </w:rPr>
        <w:t>s</w:t>
      </w:r>
      <w:r w:rsidR="00C53320" w:rsidRPr="00823BC4">
        <w:rPr>
          <w:rFonts w:eastAsia="Calibri" w:cs="Times New Roman"/>
          <w:kern w:val="0"/>
          <w:szCs w:val="24"/>
          <w14:ligatures w14:val="none"/>
        </w:rPr>
        <w:t xml:space="preserve">oftware, </w:t>
      </w:r>
      <w:r w:rsidR="00823BC4">
        <w:rPr>
          <w:rFonts w:eastAsia="Calibri" w:cs="Times New Roman"/>
          <w:kern w:val="0"/>
          <w:szCs w:val="24"/>
          <w14:ligatures w14:val="none"/>
        </w:rPr>
        <w:t>and w</w:t>
      </w:r>
      <w:r w:rsidR="00C53320" w:rsidRPr="00823BC4">
        <w:rPr>
          <w:rFonts w:eastAsia="Calibri" w:cs="Times New Roman"/>
          <w:kern w:val="0"/>
          <w:szCs w:val="24"/>
          <w14:ligatures w14:val="none"/>
        </w:rPr>
        <w:t xml:space="preserve">riting. </w:t>
      </w:r>
      <w:r w:rsidR="006000E0">
        <w:rPr>
          <w:rFonts w:eastAsia="Calibri" w:cs="Times New Roman"/>
          <w:kern w:val="0"/>
          <w:szCs w:val="24"/>
          <w14:ligatures w14:val="none"/>
        </w:rPr>
        <w:t>Debasish Saha</w:t>
      </w:r>
      <w:r w:rsidR="0081266A" w:rsidRPr="00823BC4">
        <w:rPr>
          <w:rFonts w:eastAsia="Calibri" w:cs="Times New Roman"/>
          <w:kern w:val="0"/>
          <w:szCs w:val="24"/>
          <w14:ligatures w14:val="none"/>
        </w:rPr>
        <w:t>.</w:t>
      </w:r>
      <w:r w:rsidR="00C53320" w:rsidRPr="00823BC4">
        <w:rPr>
          <w:rFonts w:eastAsia="Times New Roman" w:cs="Times New Roman"/>
          <w:kern w:val="0"/>
          <w:szCs w:val="24"/>
          <w14:ligatures w14:val="none"/>
        </w:rPr>
        <w:t xml:space="preserve"> </w:t>
      </w:r>
      <w:r w:rsidR="0081266A" w:rsidRPr="00823BC4">
        <w:rPr>
          <w:rFonts w:eastAsia="Times New Roman" w:cs="Times New Roman"/>
          <w:kern w:val="0"/>
          <w:szCs w:val="24"/>
          <w14:ligatures w14:val="none"/>
        </w:rPr>
        <w:t>Ilya Gelfand</w:t>
      </w:r>
      <w:r w:rsidR="0081266A">
        <w:rPr>
          <w:rFonts w:eastAsia="Times New Roman" w:cs="Times New Roman"/>
          <w:kern w:val="0"/>
          <w:szCs w:val="24"/>
          <w14:ligatures w14:val="none"/>
        </w:rPr>
        <w:t>, and Haileab Hilafu</w:t>
      </w:r>
      <w:r w:rsidR="00777B60">
        <w:rPr>
          <w:rFonts w:eastAsia="Times New Roman" w:cs="Times New Roman"/>
          <w:kern w:val="0"/>
          <w:szCs w:val="24"/>
          <w14:ligatures w14:val="none"/>
        </w:rPr>
        <w:t xml:space="preserve"> provided</w:t>
      </w:r>
      <w:r w:rsidR="00C53320" w:rsidRPr="00823BC4">
        <w:rPr>
          <w:rFonts w:eastAsia="Calibri" w:cs="Times New Roman"/>
          <w:kern w:val="0"/>
          <w:szCs w:val="24"/>
          <w14:ligatures w14:val="none"/>
        </w:rPr>
        <w:t xml:space="preserve"> </w:t>
      </w:r>
      <w:r w:rsidR="003A5B1B">
        <w:rPr>
          <w:rFonts w:eastAsia="Times New Roman" w:cs="Times New Roman"/>
          <w:kern w:val="0"/>
          <w:szCs w:val="24"/>
          <w14:ligatures w14:val="none"/>
        </w:rPr>
        <w:t xml:space="preserve">input on </w:t>
      </w:r>
      <w:r w:rsidR="003A5B1B">
        <w:rPr>
          <w:rFonts w:eastAsia="Calibri" w:cs="Times New Roman"/>
          <w:kern w:val="0"/>
          <w:szCs w:val="24"/>
          <w14:ligatures w14:val="none"/>
        </w:rPr>
        <w:t>m</w:t>
      </w:r>
      <w:r w:rsidR="003A5B1B" w:rsidRPr="00823BC4">
        <w:rPr>
          <w:rFonts w:eastAsia="Calibri" w:cs="Times New Roman"/>
          <w:kern w:val="0"/>
          <w:szCs w:val="24"/>
          <w14:ligatures w14:val="none"/>
        </w:rPr>
        <w:t>ethodology</w:t>
      </w:r>
      <w:r w:rsidR="003A5B1B">
        <w:rPr>
          <w:rFonts w:eastAsia="Calibri" w:cs="Times New Roman"/>
          <w:kern w:val="0"/>
          <w:szCs w:val="24"/>
          <w14:ligatures w14:val="none"/>
        </w:rPr>
        <w:t>,</w:t>
      </w:r>
      <w:r w:rsidR="00C53320" w:rsidRPr="00823BC4">
        <w:rPr>
          <w:rFonts w:eastAsia="Calibri" w:cs="Times New Roman"/>
          <w:kern w:val="0"/>
          <w:szCs w:val="24"/>
          <w14:ligatures w14:val="none"/>
        </w:rPr>
        <w:t xml:space="preserve"> review &amp; editing.</w:t>
      </w:r>
    </w:p>
    <w:p w14:paraId="776FAB20" w14:textId="7173D547" w:rsidR="001C2E69" w:rsidRPr="00856751" w:rsidRDefault="001C2E69" w:rsidP="001C2E69">
      <w:pPr>
        <w:pStyle w:val="Heading2"/>
      </w:pPr>
      <w:bookmarkStart w:id="31" w:name="_Toc204282741"/>
      <w:r w:rsidRPr="00856751">
        <w:t>Abstract</w:t>
      </w:r>
      <w:bookmarkEnd w:id="31"/>
    </w:p>
    <w:p w14:paraId="146DD48F" w14:textId="3946D04F" w:rsidR="003C0D8B" w:rsidRPr="003A5B1B" w:rsidRDefault="001C2E69" w:rsidP="003A5B1B">
      <w:pPr>
        <w:spacing w:line="480" w:lineRule="auto"/>
        <w:rPr>
          <w:rFonts w:eastAsia="Times New Roman" w:cs="Times New Roman"/>
          <w:kern w:val="0"/>
          <w:szCs w:val="24"/>
          <w14:ligatures w14:val="none"/>
        </w:rPr>
      </w:pPr>
      <w:r w:rsidRPr="00856751">
        <w:rPr>
          <w:rFonts w:eastAsia="Times New Roman" w:cs="Times New Roman"/>
          <w:kern w:val="0"/>
          <w:szCs w:val="24"/>
          <w14:ligatures w14:val="none"/>
        </w:rPr>
        <w:t>Nitrous oxide (N</w:t>
      </w:r>
      <w:r w:rsidRPr="00856751">
        <w:rPr>
          <w:rFonts w:eastAsia="Times New Roman" w:cs="Times New Roman"/>
          <w:kern w:val="0"/>
          <w:szCs w:val="24"/>
          <w:vertAlign w:val="subscript"/>
          <w14:ligatures w14:val="none"/>
        </w:rPr>
        <w:t>2</w:t>
      </w:r>
      <w:r w:rsidRPr="00856751">
        <w:rPr>
          <w:rFonts w:eastAsia="Times New Roman" w:cs="Times New Roman"/>
          <w:kern w:val="0"/>
          <w:szCs w:val="24"/>
          <w14:ligatures w14:val="none"/>
        </w:rPr>
        <w:t xml:space="preserve">O) emissions from agricultural soils contribute ~4% of total anthropogenic greenhouse gasses (GHG) emissions globally. </w:t>
      </w:r>
      <w:r>
        <w:rPr>
          <w:rFonts w:eastAsia="Times New Roman" w:cs="Times New Roman"/>
          <w:kern w:val="0"/>
          <w:szCs w:val="24"/>
          <w14:ligatures w14:val="none"/>
        </w:rPr>
        <w:t>E</w:t>
      </w:r>
      <w:r w:rsidRPr="00856751">
        <w:rPr>
          <w:rFonts w:eastAsia="Times New Roman" w:cs="Times New Roman"/>
          <w:kern w:val="0"/>
          <w:szCs w:val="24"/>
          <w14:ligatures w14:val="none"/>
        </w:rPr>
        <w:t>vents known as ‘hot moments’</w:t>
      </w:r>
      <w:r>
        <w:rPr>
          <w:rFonts w:eastAsia="Times New Roman" w:cs="Times New Roman"/>
          <w:kern w:val="0"/>
          <w:szCs w:val="24"/>
          <w14:ligatures w14:val="none"/>
        </w:rPr>
        <w:t xml:space="preserve"> can occur following environmental changes that favor N</w:t>
      </w:r>
      <w:r>
        <w:rPr>
          <w:rFonts w:eastAsia="Times New Roman" w:cs="Times New Roman"/>
          <w:kern w:val="0"/>
          <w:szCs w:val="24"/>
          <w:vertAlign w:val="subscript"/>
          <w14:ligatures w14:val="none"/>
        </w:rPr>
        <w:t>2</w:t>
      </w:r>
      <w:r>
        <w:rPr>
          <w:rFonts w:eastAsia="Times New Roman" w:cs="Times New Roman"/>
          <w:kern w:val="0"/>
          <w:szCs w:val="24"/>
          <w14:ligatures w14:val="none"/>
        </w:rPr>
        <w:t>O production, which</w:t>
      </w:r>
      <w:r w:rsidRPr="00856751">
        <w:rPr>
          <w:rFonts w:eastAsia="Times New Roman" w:cs="Times New Roman"/>
          <w:kern w:val="0"/>
          <w:szCs w:val="24"/>
          <w14:ligatures w14:val="none"/>
        </w:rPr>
        <w:t xml:space="preserve"> contribute disproportionately to annual cumulative emissions. Despite their significance, hot moments have not been statistically well defined</w:t>
      </w:r>
      <w:r>
        <w:rPr>
          <w:rFonts w:eastAsia="Times New Roman" w:cs="Times New Roman"/>
          <w:kern w:val="0"/>
          <w:szCs w:val="24"/>
          <w14:ligatures w14:val="none"/>
        </w:rPr>
        <w:t>, particularly on a global scale</w:t>
      </w:r>
      <w:r w:rsidRPr="00856751">
        <w:rPr>
          <w:rFonts w:eastAsia="Times New Roman" w:cs="Times New Roman"/>
          <w:kern w:val="0"/>
          <w:szCs w:val="24"/>
          <w14:ligatures w14:val="none"/>
        </w:rPr>
        <w:t xml:space="preserve">. We </w:t>
      </w:r>
      <w:r>
        <w:rPr>
          <w:rFonts w:eastAsia="Times New Roman" w:cs="Times New Roman"/>
          <w:kern w:val="0"/>
          <w:szCs w:val="24"/>
          <w14:ligatures w14:val="none"/>
        </w:rPr>
        <w:t>collected 13,787</w:t>
      </w:r>
      <w:r w:rsidRPr="00856751">
        <w:rPr>
          <w:rFonts w:eastAsia="Times New Roman" w:cs="Times New Roman"/>
          <w:kern w:val="0"/>
          <w:szCs w:val="24"/>
          <w14:ligatures w14:val="none"/>
        </w:rPr>
        <w:t xml:space="preserve"> soil N</w:t>
      </w:r>
      <w:r w:rsidRPr="00856751">
        <w:rPr>
          <w:rFonts w:eastAsia="Times New Roman" w:cs="Times New Roman"/>
          <w:kern w:val="0"/>
          <w:szCs w:val="24"/>
          <w:vertAlign w:val="subscript"/>
          <w14:ligatures w14:val="none"/>
        </w:rPr>
        <w:t>2</w:t>
      </w:r>
      <w:r w:rsidRPr="00856751">
        <w:rPr>
          <w:rFonts w:eastAsia="Times New Roman" w:cs="Times New Roman"/>
          <w:kern w:val="0"/>
          <w:szCs w:val="24"/>
          <w14:ligatures w14:val="none"/>
        </w:rPr>
        <w:t>O flux measurements fro</w:t>
      </w:r>
      <w:r>
        <w:rPr>
          <w:rFonts w:eastAsia="Times New Roman" w:cs="Times New Roman"/>
          <w:kern w:val="0"/>
          <w:szCs w:val="24"/>
          <w14:ligatures w14:val="none"/>
        </w:rPr>
        <w:t>m</w:t>
      </w:r>
      <w:r w:rsidRPr="00856751">
        <w:rPr>
          <w:rFonts w:eastAsia="Times New Roman" w:cs="Times New Roman"/>
          <w:kern w:val="0"/>
          <w:szCs w:val="24"/>
          <w14:ligatures w14:val="none"/>
        </w:rPr>
        <w:t xml:space="preserve"> 42 publications</w:t>
      </w:r>
      <w:r>
        <w:rPr>
          <w:rFonts w:eastAsia="Times New Roman" w:cs="Times New Roman"/>
          <w:kern w:val="0"/>
          <w:szCs w:val="24"/>
          <w14:ligatures w14:val="none"/>
        </w:rPr>
        <w:t xml:space="preserve"> and</w:t>
      </w:r>
      <w:r w:rsidRPr="00856751">
        <w:rPr>
          <w:rFonts w:eastAsia="Times New Roman" w:cs="Times New Roman"/>
          <w:kern w:val="0"/>
          <w:szCs w:val="24"/>
          <w14:ligatures w14:val="none"/>
        </w:rPr>
        <w:t xml:space="preserve"> evaluated 14 methods of </w:t>
      </w:r>
      <w:r>
        <w:rPr>
          <w:rFonts w:eastAsia="Times New Roman" w:cs="Times New Roman"/>
          <w:kern w:val="0"/>
          <w:szCs w:val="24"/>
          <w14:ligatures w14:val="none"/>
        </w:rPr>
        <w:t xml:space="preserve">statistical </w:t>
      </w:r>
      <w:r w:rsidRPr="00856751">
        <w:rPr>
          <w:rFonts w:eastAsia="Times New Roman" w:cs="Times New Roman"/>
          <w:kern w:val="0"/>
          <w:szCs w:val="24"/>
          <w14:ligatures w14:val="none"/>
        </w:rPr>
        <w:t xml:space="preserve">anomaly detection for </w:t>
      </w:r>
      <w:r>
        <w:rPr>
          <w:rFonts w:eastAsia="Times New Roman" w:cs="Times New Roman"/>
          <w:kern w:val="0"/>
          <w:szCs w:val="24"/>
          <w14:ligatures w14:val="none"/>
        </w:rPr>
        <w:t>their ability to identify hot moments within datasets</w:t>
      </w:r>
      <w:r w:rsidRPr="00856751">
        <w:rPr>
          <w:rFonts w:eastAsia="Times New Roman" w:cs="Times New Roman"/>
          <w:kern w:val="0"/>
          <w:szCs w:val="24"/>
          <w14:ligatures w14:val="none"/>
        </w:rPr>
        <w:t xml:space="preserve">. Two methods </w:t>
      </w:r>
      <w:r>
        <w:rPr>
          <w:rFonts w:eastAsia="Times New Roman" w:cs="Times New Roman"/>
          <w:kern w:val="0"/>
          <w:szCs w:val="24"/>
          <w14:ligatures w14:val="none"/>
        </w:rPr>
        <w:t>achieved highest overall performance by Matthews correlation coefficient (MCC)</w:t>
      </w:r>
      <w:r w:rsidRPr="00856751">
        <w:rPr>
          <w:rFonts w:eastAsia="Times New Roman" w:cs="Times New Roman"/>
          <w:kern w:val="0"/>
          <w:szCs w:val="24"/>
          <w14:ligatures w14:val="none"/>
        </w:rPr>
        <w:t>: median absolute deviation (MCC</w:t>
      </w:r>
      <w:r>
        <w:rPr>
          <w:rFonts w:eastAsia="Times New Roman" w:cs="Times New Roman"/>
          <w:kern w:val="0"/>
          <w:szCs w:val="24"/>
          <w14:ligatures w14:val="none"/>
        </w:rPr>
        <w:t>:</w:t>
      </w:r>
      <w:r w:rsidRPr="00856751">
        <w:rPr>
          <w:rFonts w:eastAsia="Times New Roman" w:cs="Times New Roman"/>
          <w:kern w:val="0"/>
          <w:szCs w:val="24"/>
          <w14:ligatures w14:val="none"/>
        </w:rPr>
        <w:t xml:space="preserve"> 0.</w:t>
      </w:r>
      <w:r>
        <w:rPr>
          <w:rFonts w:eastAsia="Times New Roman" w:cs="Times New Roman"/>
          <w:kern w:val="0"/>
          <w:szCs w:val="24"/>
          <w14:ligatures w14:val="none"/>
        </w:rPr>
        <w:t>80</w:t>
      </w:r>
      <w:r w:rsidRPr="00856751">
        <w:rPr>
          <w:rFonts w:eastAsia="Times New Roman" w:cs="Times New Roman"/>
          <w:kern w:val="0"/>
          <w:szCs w:val="24"/>
          <w14:ligatures w14:val="none"/>
        </w:rPr>
        <w:t>) and minimum covariance determinant (MCC</w:t>
      </w:r>
      <w:r>
        <w:rPr>
          <w:rFonts w:eastAsia="Times New Roman" w:cs="Times New Roman"/>
          <w:kern w:val="0"/>
          <w:szCs w:val="24"/>
          <w14:ligatures w14:val="none"/>
        </w:rPr>
        <w:t>:</w:t>
      </w:r>
      <w:r w:rsidRPr="00856751">
        <w:rPr>
          <w:rFonts w:eastAsia="Times New Roman" w:cs="Times New Roman"/>
          <w:kern w:val="0"/>
          <w:szCs w:val="24"/>
          <w14:ligatures w14:val="none"/>
        </w:rPr>
        <w:t xml:space="preserve"> 0.</w:t>
      </w:r>
      <w:r>
        <w:rPr>
          <w:rFonts w:eastAsia="Times New Roman" w:cs="Times New Roman"/>
          <w:kern w:val="0"/>
          <w:szCs w:val="24"/>
          <w14:ligatures w14:val="none"/>
        </w:rPr>
        <w:t>80</w:t>
      </w:r>
      <w:r w:rsidRPr="00856751">
        <w:rPr>
          <w:rFonts w:eastAsia="Times New Roman" w:cs="Times New Roman"/>
          <w:kern w:val="0"/>
          <w:szCs w:val="24"/>
          <w14:ligatures w14:val="none"/>
        </w:rPr>
        <w:t xml:space="preserve">), </w:t>
      </w:r>
      <w:r>
        <w:rPr>
          <w:rFonts w:eastAsia="Times New Roman" w:cs="Times New Roman"/>
          <w:kern w:val="0"/>
          <w:szCs w:val="24"/>
          <w14:ligatures w14:val="none"/>
        </w:rPr>
        <w:t xml:space="preserve">the latter </w:t>
      </w:r>
      <w:r w:rsidRPr="00856751">
        <w:rPr>
          <w:rFonts w:eastAsia="Times New Roman" w:cs="Times New Roman"/>
          <w:kern w:val="0"/>
          <w:szCs w:val="24"/>
          <w14:ligatures w14:val="none"/>
        </w:rPr>
        <w:t>which</w:t>
      </w:r>
      <w:r>
        <w:rPr>
          <w:rFonts w:eastAsia="Times New Roman" w:cs="Times New Roman"/>
          <w:kern w:val="0"/>
          <w:szCs w:val="24"/>
          <w14:ligatures w14:val="none"/>
        </w:rPr>
        <w:t xml:space="preserve"> also</w:t>
      </w:r>
      <w:r w:rsidRPr="00856751">
        <w:rPr>
          <w:rFonts w:eastAsia="Times New Roman" w:cs="Times New Roman"/>
          <w:kern w:val="0"/>
          <w:szCs w:val="24"/>
          <w14:ligatures w14:val="none"/>
        </w:rPr>
        <w:t xml:space="preserve"> performed evenly across highly dissimilar datasets and </w:t>
      </w:r>
      <w:r>
        <w:rPr>
          <w:rFonts w:eastAsia="Times New Roman" w:cs="Times New Roman"/>
          <w:kern w:val="0"/>
          <w:szCs w:val="24"/>
          <w14:ligatures w14:val="none"/>
        </w:rPr>
        <w:t xml:space="preserve">identified more </w:t>
      </w:r>
      <w:r w:rsidRPr="00856751">
        <w:rPr>
          <w:rFonts w:eastAsia="Times New Roman" w:cs="Times New Roman"/>
          <w:kern w:val="0"/>
          <w:szCs w:val="24"/>
          <w14:ligatures w14:val="none"/>
        </w:rPr>
        <w:t xml:space="preserve">difficult-to-detect </w:t>
      </w:r>
      <w:r>
        <w:rPr>
          <w:rFonts w:eastAsia="Times New Roman" w:cs="Times New Roman"/>
          <w:kern w:val="0"/>
          <w:szCs w:val="24"/>
          <w14:ligatures w14:val="none"/>
        </w:rPr>
        <w:t>contextual</w:t>
      </w:r>
      <w:r w:rsidRPr="00856751">
        <w:rPr>
          <w:rFonts w:eastAsia="Times New Roman" w:cs="Times New Roman"/>
          <w:kern w:val="0"/>
          <w:szCs w:val="24"/>
          <w14:ligatures w14:val="none"/>
        </w:rPr>
        <w:t xml:space="preserve"> hot moments</w:t>
      </w:r>
      <w:r>
        <w:rPr>
          <w:rFonts w:eastAsia="Times New Roman" w:cs="Times New Roman"/>
          <w:kern w:val="0"/>
          <w:szCs w:val="24"/>
          <w14:ligatures w14:val="none"/>
        </w:rPr>
        <w:t xml:space="preserve"> than other top overall performers</w:t>
      </w:r>
      <w:r w:rsidRPr="00856751">
        <w:rPr>
          <w:rFonts w:eastAsia="Times New Roman" w:cs="Times New Roman"/>
          <w:kern w:val="0"/>
          <w:szCs w:val="24"/>
          <w14:ligatures w14:val="none"/>
        </w:rPr>
        <w:t xml:space="preserve"> (</w:t>
      </w:r>
      <w:r>
        <w:rPr>
          <w:rFonts w:eastAsia="Times New Roman" w:cs="Times New Roman"/>
          <w:kern w:val="0"/>
          <w:szCs w:val="24"/>
          <w14:ligatures w14:val="none"/>
        </w:rPr>
        <w:t>39</w:t>
      </w:r>
      <w:r w:rsidRPr="00856751">
        <w:rPr>
          <w:rFonts w:eastAsia="Times New Roman" w:cs="Times New Roman"/>
          <w:kern w:val="0"/>
          <w:szCs w:val="24"/>
          <w14:ligatures w14:val="none"/>
        </w:rPr>
        <w:t>%). Interquartile range, which has previously been used and recommended, performed poorly</w:t>
      </w:r>
      <w:r>
        <w:rPr>
          <w:rFonts w:eastAsia="Times New Roman" w:cs="Times New Roman"/>
          <w:kern w:val="0"/>
          <w:szCs w:val="24"/>
          <w14:ligatures w14:val="none"/>
        </w:rPr>
        <w:t xml:space="preserve"> </w:t>
      </w:r>
      <w:r w:rsidRPr="00856751">
        <w:rPr>
          <w:rFonts w:eastAsia="Times New Roman" w:cs="Times New Roman"/>
          <w:kern w:val="0"/>
          <w:szCs w:val="24"/>
          <w14:ligatures w14:val="none"/>
        </w:rPr>
        <w:t xml:space="preserve">when hot moments were </w:t>
      </w:r>
      <w:r>
        <w:rPr>
          <w:rFonts w:eastAsia="Times New Roman" w:cs="Times New Roman"/>
          <w:kern w:val="0"/>
          <w:szCs w:val="24"/>
          <w14:ligatures w14:val="none"/>
        </w:rPr>
        <w:t>either very rare or very</w:t>
      </w:r>
      <w:r w:rsidRPr="00856751">
        <w:rPr>
          <w:rFonts w:eastAsia="Times New Roman" w:cs="Times New Roman"/>
          <w:kern w:val="0"/>
          <w:szCs w:val="24"/>
          <w14:ligatures w14:val="none"/>
        </w:rPr>
        <w:t xml:space="preserve"> common within a dataset</w:t>
      </w:r>
      <w:r>
        <w:rPr>
          <w:rFonts w:eastAsia="Times New Roman" w:cs="Times New Roman"/>
          <w:kern w:val="0"/>
          <w:szCs w:val="24"/>
          <w14:ligatures w14:val="none"/>
        </w:rPr>
        <w:t>, and</w:t>
      </w:r>
      <w:r w:rsidRPr="00856751">
        <w:rPr>
          <w:rFonts w:eastAsia="Times New Roman" w:cs="Times New Roman"/>
          <w:kern w:val="0"/>
          <w:szCs w:val="24"/>
          <w14:ligatures w14:val="none"/>
        </w:rPr>
        <w:t xml:space="preserve"> identif</w:t>
      </w:r>
      <w:r>
        <w:rPr>
          <w:rFonts w:eastAsia="Times New Roman" w:cs="Times New Roman"/>
          <w:kern w:val="0"/>
          <w:szCs w:val="24"/>
          <w14:ligatures w14:val="none"/>
        </w:rPr>
        <w:t>ied few</w:t>
      </w:r>
      <w:r w:rsidRPr="00856751">
        <w:rPr>
          <w:rFonts w:eastAsia="Times New Roman" w:cs="Times New Roman"/>
          <w:kern w:val="0"/>
          <w:szCs w:val="24"/>
          <w14:ligatures w14:val="none"/>
        </w:rPr>
        <w:t xml:space="preserve"> local hot moments (1</w:t>
      </w:r>
      <w:r>
        <w:rPr>
          <w:rFonts w:eastAsia="Times New Roman" w:cs="Times New Roman"/>
          <w:kern w:val="0"/>
          <w:szCs w:val="24"/>
          <w14:ligatures w14:val="none"/>
        </w:rPr>
        <w:t>4</w:t>
      </w:r>
      <w:r w:rsidRPr="00856751">
        <w:rPr>
          <w:rFonts w:eastAsia="Times New Roman" w:cs="Times New Roman"/>
          <w:kern w:val="0"/>
          <w:szCs w:val="24"/>
          <w14:ligatures w14:val="none"/>
        </w:rPr>
        <w:t>%). Overall, hot moments comprised ~19% of measurements while contributing ~75% of cumulative emissions. The median background N</w:t>
      </w:r>
      <w:r w:rsidRPr="00856751">
        <w:rPr>
          <w:rFonts w:eastAsia="Times New Roman" w:cs="Times New Roman"/>
          <w:kern w:val="0"/>
          <w:szCs w:val="24"/>
          <w:vertAlign w:val="subscript"/>
          <w14:ligatures w14:val="none"/>
        </w:rPr>
        <w:t>2</w:t>
      </w:r>
      <w:r w:rsidRPr="00856751">
        <w:rPr>
          <w:rFonts w:eastAsia="Times New Roman" w:cs="Times New Roman"/>
          <w:kern w:val="0"/>
          <w:szCs w:val="24"/>
          <w14:ligatures w14:val="none"/>
        </w:rPr>
        <w:t>O emission reported in all datasets was 2.</w:t>
      </w:r>
      <w:r>
        <w:rPr>
          <w:rFonts w:eastAsia="Times New Roman" w:cs="Times New Roman"/>
          <w:kern w:val="0"/>
          <w:szCs w:val="24"/>
          <w14:ligatures w14:val="none"/>
        </w:rPr>
        <w:t>2</w:t>
      </w:r>
      <w:r w:rsidRPr="00856751">
        <w:rPr>
          <w:rFonts w:eastAsia="Times New Roman" w:cs="Times New Roman"/>
          <w:kern w:val="0"/>
          <w:szCs w:val="24"/>
          <w14:ligatures w14:val="none"/>
        </w:rPr>
        <w:t xml:space="preserve"> g N ha</w:t>
      </w:r>
      <w:r w:rsidRPr="00856751">
        <w:rPr>
          <w:rFonts w:eastAsia="Times New Roman" w:cs="Times New Roman"/>
          <w:kern w:val="0"/>
          <w:szCs w:val="24"/>
          <w:vertAlign w:val="superscript"/>
          <w14:ligatures w14:val="none"/>
        </w:rPr>
        <w:t>-1</w:t>
      </w:r>
      <w:r w:rsidRPr="00856751">
        <w:rPr>
          <w:rFonts w:eastAsia="Times New Roman" w:cs="Times New Roman"/>
          <w:kern w:val="0"/>
          <w:szCs w:val="24"/>
          <w14:ligatures w14:val="none"/>
        </w:rPr>
        <w:t xml:space="preserve"> day</w:t>
      </w:r>
      <w:r w:rsidRPr="00856751">
        <w:rPr>
          <w:rFonts w:eastAsia="Times New Roman" w:cs="Times New Roman"/>
          <w:kern w:val="0"/>
          <w:szCs w:val="24"/>
          <w:vertAlign w:val="superscript"/>
          <w14:ligatures w14:val="none"/>
        </w:rPr>
        <w:t>-1</w:t>
      </w:r>
      <w:r w:rsidRPr="00856751">
        <w:rPr>
          <w:rFonts w:eastAsia="Times New Roman" w:cs="Times New Roman"/>
          <w:kern w:val="0"/>
          <w:szCs w:val="24"/>
          <w14:ligatures w14:val="none"/>
        </w:rPr>
        <w:t xml:space="preserve">, while the </w:t>
      </w:r>
      <w:r>
        <w:rPr>
          <w:rFonts w:eastAsia="Times New Roman" w:cs="Times New Roman"/>
          <w:kern w:val="0"/>
          <w:szCs w:val="24"/>
          <w14:ligatures w14:val="none"/>
        </w:rPr>
        <w:t>median</w:t>
      </w:r>
      <w:r w:rsidRPr="00856751">
        <w:rPr>
          <w:rFonts w:eastAsia="Times New Roman" w:cs="Times New Roman"/>
          <w:kern w:val="0"/>
          <w:szCs w:val="24"/>
          <w14:ligatures w14:val="none"/>
        </w:rPr>
        <w:t xml:space="preserve"> hot moment emi</w:t>
      </w:r>
      <w:r>
        <w:rPr>
          <w:rFonts w:eastAsia="Times New Roman" w:cs="Times New Roman"/>
          <w:kern w:val="0"/>
          <w:szCs w:val="24"/>
          <w14:ligatures w14:val="none"/>
        </w:rPr>
        <w:t>ssion was</w:t>
      </w:r>
      <w:r w:rsidRPr="00856751">
        <w:rPr>
          <w:rFonts w:eastAsia="Times New Roman" w:cs="Times New Roman"/>
          <w:kern w:val="0"/>
          <w:szCs w:val="24"/>
          <w14:ligatures w14:val="none"/>
        </w:rPr>
        <w:t xml:space="preserve"> </w:t>
      </w:r>
      <w:r>
        <w:rPr>
          <w:rFonts w:eastAsia="Times New Roman" w:cs="Times New Roman"/>
          <w:kern w:val="0"/>
          <w:szCs w:val="24"/>
          <w14:ligatures w14:val="none"/>
        </w:rPr>
        <w:t>10x higher</w:t>
      </w:r>
      <w:r w:rsidRPr="00856751">
        <w:rPr>
          <w:rFonts w:eastAsia="Times New Roman" w:cs="Times New Roman"/>
          <w:kern w:val="0"/>
          <w:szCs w:val="24"/>
          <w14:ligatures w14:val="none"/>
        </w:rPr>
        <w:t xml:space="preserve">, </w:t>
      </w:r>
      <w:r>
        <w:rPr>
          <w:rFonts w:eastAsia="Times New Roman" w:cs="Times New Roman"/>
          <w:kern w:val="0"/>
          <w:szCs w:val="24"/>
          <w14:ligatures w14:val="none"/>
        </w:rPr>
        <w:t xml:space="preserve">ranged from </w:t>
      </w:r>
      <w:r w:rsidRPr="00856751">
        <w:rPr>
          <w:rFonts w:eastAsia="Times New Roman" w:cs="Times New Roman"/>
          <w:kern w:val="0"/>
          <w:szCs w:val="24"/>
          <w14:ligatures w14:val="none"/>
        </w:rPr>
        <w:t>23</w:t>
      </w:r>
      <w:r>
        <w:rPr>
          <w:rFonts w:eastAsia="Times New Roman" w:cs="Times New Roman"/>
          <w:kern w:val="0"/>
          <w:szCs w:val="24"/>
          <w14:ligatures w14:val="none"/>
        </w:rPr>
        <w:t xml:space="preserve"> to </w:t>
      </w:r>
      <w:r w:rsidRPr="00856751">
        <w:rPr>
          <w:rFonts w:eastAsia="Times New Roman" w:cs="Times New Roman"/>
          <w:kern w:val="0"/>
          <w:szCs w:val="24"/>
          <w14:ligatures w14:val="none"/>
        </w:rPr>
        <w:t>2</w:t>
      </w:r>
      <w:r>
        <w:rPr>
          <w:rFonts w:eastAsia="Times New Roman" w:cs="Times New Roman"/>
          <w:kern w:val="0"/>
          <w:szCs w:val="24"/>
          <w14:ligatures w14:val="none"/>
        </w:rPr>
        <w:t>5</w:t>
      </w:r>
      <w:r w:rsidRPr="00856751">
        <w:rPr>
          <w:rFonts w:eastAsia="Times New Roman" w:cs="Times New Roman"/>
          <w:kern w:val="0"/>
          <w:szCs w:val="24"/>
          <w14:ligatures w14:val="none"/>
        </w:rPr>
        <w:t xml:space="preserve"> g N ha</w:t>
      </w:r>
      <w:r w:rsidRPr="00856751">
        <w:rPr>
          <w:rFonts w:eastAsia="Times New Roman" w:cs="Times New Roman"/>
          <w:kern w:val="0"/>
          <w:szCs w:val="24"/>
          <w:vertAlign w:val="superscript"/>
          <w14:ligatures w14:val="none"/>
        </w:rPr>
        <w:t>-1</w:t>
      </w:r>
      <w:r w:rsidRPr="00856751">
        <w:rPr>
          <w:rFonts w:eastAsia="Times New Roman" w:cs="Times New Roman"/>
          <w:kern w:val="0"/>
          <w:szCs w:val="24"/>
          <w14:ligatures w14:val="none"/>
        </w:rPr>
        <w:t xml:space="preserve"> day</w:t>
      </w:r>
      <w:r w:rsidRPr="00856751">
        <w:rPr>
          <w:rFonts w:eastAsia="Times New Roman" w:cs="Times New Roman"/>
          <w:kern w:val="0"/>
          <w:szCs w:val="24"/>
          <w:vertAlign w:val="superscript"/>
          <w14:ligatures w14:val="none"/>
        </w:rPr>
        <w:t>-1</w:t>
      </w:r>
      <w:r w:rsidRPr="00856751">
        <w:rPr>
          <w:rFonts w:eastAsia="Times New Roman" w:cs="Times New Roman"/>
          <w:kern w:val="0"/>
          <w:szCs w:val="24"/>
          <w14:ligatures w14:val="none"/>
        </w:rPr>
        <w:t>. These findings advance knowledge of how to accurately define and identify hot moments globally</w:t>
      </w:r>
      <w:r>
        <w:rPr>
          <w:rFonts w:eastAsia="Times New Roman" w:cs="Times New Roman"/>
          <w:kern w:val="0"/>
          <w:szCs w:val="24"/>
          <w14:ligatures w14:val="none"/>
        </w:rPr>
        <w:t xml:space="preserve"> </w:t>
      </w:r>
      <w:r w:rsidRPr="00856751">
        <w:rPr>
          <w:rFonts w:eastAsia="Times New Roman" w:cs="Times New Roman"/>
          <w:kern w:val="0"/>
          <w:szCs w:val="24"/>
          <w14:ligatures w14:val="none"/>
        </w:rPr>
        <w:t xml:space="preserve">- a </w:t>
      </w:r>
      <w:r>
        <w:rPr>
          <w:rFonts w:eastAsia="Times New Roman" w:cs="Times New Roman"/>
          <w:kern w:val="0"/>
          <w:szCs w:val="24"/>
          <w14:ligatures w14:val="none"/>
        </w:rPr>
        <w:t>crucial</w:t>
      </w:r>
      <w:r w:rsidRPr="00856751">
        <w:rPr>
          <w:rFonts w:eastAsia="Times New Roman" w:cs="Times New Roman"/>
          <w:kern w:val="0"/>
          <w:szCs w:val="24"/>
          <w14:ligatures w14:val="none"/>
        </w:rPr>
        <w:t xml:space="preserve"> task to investigat</w:t>
      </w:r>
      <w:r>
        <w:rPr>
          <w:rFonts w:eastAsia="Times New Roman" w:cs="Times New Roman"/>
          <w:kern w:val="0"/>
          <w:szCs w:val="24"/>
          <w14:ligatures w14:val="none"/>
        </w:rPr>
        <w:t>ing and mitigating</w:t>
      </w:r>
      <w:r w:rsidRPr="00856751">
        <w:rPr>
          <w:rFonts w:eastAsia="Times New Roman" w:cs="Times New Roman"/>
          <w:kern w:val="0"/>
          <w:szCs w:val="24"/>
          <w14:ligatures w14:val="none"/>
        </w:rPr>
        <w:t xml:space="preserve"> these critical biogeochemical events.</w:t>
      </w:r>
    </w:p>
    <w:p w14:paraId="19E9EF84" w14:textId="7F29001A" w:rsidR="00EF23D4" w:rsidRPr="00994531" w:rsidRDefault="00EF23D4" w:rsidP="001B567A">
      <w:pPr>
        <w:pStyle w:val="Heading2"/>
      </w:pPr>
      <w:bookmarkStart w:id="32" w:name="_Toc204282742"/>
      <w:r w:rsidRPr="00994531">
        <w:lastRenderedPageBreak/>
        <w:t>Introduction</w:t>
      </w:r>
      <w:bookmarkEnd w:id="32"/>
    </w:p>
    <w:p w14:paraId="3E965732" w14:textId="41643EA1" w:rsidR="00EF23D4" w:rsidRPr="00994531" w:rsidRDefault="00EF23D4" w:rsidP="001B567A">
      <w:pPr>
        <w:spacing w:after="0" w:line="480" w:lineRule="auto"/>
        <w:rPr>
          <w:rFonts w:eastAsia="Times New Roman" w:cs="Times New Roman"/>
          <w:kern w:val="0"/>
          <w:szCs w:val="24"/>
          <w14:ligatures w14:val="none"/>
        </w:rPr>
      </w:pPr>
      <w:r w:rsidRPr="00994531">
        <w:rPr>
          <w:rFonts w:eastAsia="Times New Roman" w:cs="Times New Roman"/>
          <w:kern w:val="0"/>
          <w:szCs w:val="24"/>
          <w14:ligatures w14:val="none"/>
        </w:rPr>
        <w:t>Anthropogenic emissions of nitrous oxide (N</w:t>
      </w:r>
      <w:r w:rsidRPr="00994531">
        <w:rPr>
          <w:rFonts w:eastAsia="Times New Roman" w:cs="Times New Roman"/>
          <w:kern w:val="0"/>
          <w:szCs w:val="24"/>
          <w:vertAlign w:val="subscript"/>
          <w14:ligatures w14:val="none"/>
        </w:rPr>
        <w:t>2</w:t>
      </w:r>
      <w:r w:rsidRPr="00994531">
        <w:rPr>
          <w:rFonts w:eastAsia="Times New Roman" w:cs="Times New Roman"/>
          <w:kern w:val="0"/>
          <w:szCs w:val="24"/>
          <w14:ligatures w14:val="none"/>
        </w:rPr>
        <w:t xml:space="preserve">O) have grown rapidly since the preindustrial period and contributed ~4% of the total greenhouse gas (GHG) emissions in 2019, predominately from fertilized croplands </w:t>
      </w:r>
      <w:r w:rsidRPr="00994531">
        <w:rPr>
          <w:rFonts w:eastAsia="Times New Roman" w:cs="Times New Roman"/>
          <w:kern w:val="0"/>
          <w:szCs w:val="24"/>
          <w14:ligatures w14:val="none"/>
        </w:rPr>
        <w:fldChar w:fldCharType="begin"/>
      </w:r>
      <w:r w:rsidR="00D74AD1">
        <w:rPr>
          <w:rFonts w:eastAsia="Times New Roman" w:cs="Times New Roman"/>
          <w:kern w:val="0"/>
          <w:szCs w:val="24"/>
          <w14:ligatures w14:val="none"/>
        </w:rPr>
        <w:instrText xml:space="preserve"> ADDIN ZOTERO_ITEM CSL_CITATION {"citationID":"0aA50xAl","properties":{"formattedCitation":"(EPA, 2023; H\\uc0\\u233{}nault et al., 2012; IPCC, 2022; Mosier et al., 1998; Thompson et al., 2019; Tian et al., 2019)","plainCitation":"(EPA, 2023; Hénault et al., 2012; IPCC, 2022; Mosier et al., 1998; Thompson et al., 2019; Tian et al., 2019)","noteIndex":0},"citationItems":[{"id":942,"uris":["http://zotero.org/groups/5079735/items/NFGC2NAN"],"itemData":{"id":942,"type":"document","publisher":"U.S. Environmental Protection Agency, EPA 430-R-23-002.","title":"Inventory of U.S. Greenhouse Gas Emissions and Sinks: 1990-2021","URL":"https://www.epa.gov/ghgemissions/inventory-us-greenhouse-gas-emissions-and-sinks-1990-2021.","author":[{"family":"EPA","given":""}],"issued":{"date-parts":[["2023"]]}}},{"id":1471,"uris":["http://zotero.org/groups/4573874/items/5V252IMA"],"itemData":{"id":1471,"type":"article-journal","abstract":"This short review deals with soils as an important source of the greenhouse gas N2O. The production and consumption of N2O in soils mainly involve biotic processes: the anaerobic process of denitrification and the aerobic process of nitrification. The factors that significantly influence agricultural N2O emissions mainly concern the agricultural practices (N application rate, crop type, fertilizer type) and soil conditions (soil moisture, soil organic C content, soil pH and texture). Large variability of N2O fluxes is known to occur both at different spatial and temporal scales. Currently new techniques could help to improve the capture of the spatial variability. Continuous measurement systems with automatic chambers could also help to capture temporal variability and consequently to improve quantification of N2O emissions by soils. Some attempts for mitigating soil N2O emissions, either by modifying agricultural practices or by managing soil microbial functioning taking into account the origin of the soil N2O emission variability, are reviewed.","collection-title":"Special Issue on Bioremediation of Contaminated Soil and Water","container-title":"Pedosphere","DOI":"10.1016/S1002-0160(12)60029-0","ISSN":"1002-0160","issue":"4","journalAbbreviation":"Pedosphere","page":"426-433","source":"ScienceDirect","title":"Nitrous Oxide Emission by Agricultural Soils: A Review of Spatial and Temporal Variability for Mitigation","title-short":"Nitrous Oxide Emission by Agricultural Soils","volume":"22","author":[{"family":"Hénault","given":"C."},{"family":"Grossel","given":"A."},{"family":"Mary","given":"B."},{"family":"Roussel","given":"M."},{"family":"Léonard","given":"J."}],"issued":{"date-parts":[["2012",8,1]]}}},{"id":877,"uris":["http://zotero.org/groups/4573874/items/2BXIA75P"],"itemData":{"id":877,"type":"book","abstract":"The Intergovernmental Panel on Climate Change (IPCC) is the leading international body for assessing the science related to climate change. It provides policymakers with regular assessments of the scientific basis of human-induced climate change, its impacts and future risks, and options for adaptation and mitigation. This IPCC Special Report on Climate Change and Land (SRCCL) is the most comprehensive and up-to-date scientific assessment of the multiple interactions between climate change and land, assessing climate change, desertification, land degradation, sustainable land management, food security, and greenhouse gas fluxes in terrestrial ecosystems. It assesses the options for governance and decision-making across multiple scales. It serves policymakers, decision makers, stakeholders, and all interested parties with unbiased, up-to-date, policy-relevant information. This title is also available as Open Access on Cambridge Core.","edition":"1","ISBN":"978-1-00-915798-8","language":"en","note":"DOI: 10.1017/9781009157988","publisher":"Cambridge University Press","source":"DOI.org (Crossref)","title":"Climate Change and Land: IPCC Special Report on Climate Change, Desertification, Land Degradation, Sustainable Land Management, Food Security, and Greenhouse Gas Fluxes in Terrestrial Ecosystems","title-short":"Climate Change and Land","URL":"https://www.cambridge.org/core/product/identifier/9781009157988/type/book","author":[{"literal":"IPCC"}],"accessed":{"date-parts":[["2023",5,30]]},"issued":{"date-parts":[["2022",12,8]]}}},{"id":1470,"uris":["http://zotero.org/groups/4573874/items/7LN56VYS"],"itemData":{"id":1470,"type":"article-journal","abstract":"Agricultural cropping and animal production systems are important sources of atmospheric nitrous oxide (N2O). The assessment of the importance of N fertilization from synthetic fertilizer, animal wastes used as fertilizers and from N incorporated into the soil through biological N fixation, to global N2O emissions presented in this paper suggests that this source has been underestimated. We estimate that agricultural systems produce about one fourth of global N2O emissions. Methods of mitigating these emissions are presented which, if adopted globally could decrease annual N2O emissions from cropped soils by about 20%.","container-title":"Climatic Change","DOI":"10.1023/A:1005386614431","ISSN":"1573-1480","issue":"1","journalAbbreviation":"Climatic Change","language":"en","page":"7-38","source":"Springer Link","title":"Assessing and Mitigating N2O Emissions from Agricultural Soils","volume":"40","author":[{"family":"Mosier","given":"A.R."},{"family":"Duxbury","given":"J.M."},{"family":"Freney","given":"J.R."},{"family":"Heinemeyer","given":"O."},{"family":"Minami","given":"K."}],"issued":{"date-parts":[["1998",9,1]]}}},{"id":1418,"uris":["http://zotero.org/groups/4573874/items/FGUS5HG3"],"itemData":{"id":1418,"type":"article-journal","abstract":"Nitrous oxide (N2O) is the third most important long-lived GHG and an important stratospheric ozone depleting substance. Agricultural practices and the use of N-fertilizers have greatly enhanced emissions of N2O. Here, we present estimates of N2O emissions determined from three global atmospheric inversion frameworks during the period 1998–2016. We find that global N2O emissions increased substantially from 2009 and at a faster rate than estimated by the IPCC emission factor approach. The regions of East Asia and South America made the largest contributions to the global increase. From the inversion-based emissions, we estimate a global emission factor of 2.3 ± 0.6%, which is significantly larger than the IPCC Tier-1 default for combined direct and indirect emissions of 1.375%. The larger emission factor and accelerating emission increase found from the inversions suggest that N2O emission may have a nonlinear response at global and regional scales with high levels of N-input.","container-title":"Nature Climate Change","DOI":"10.1038/s41558-019-0613-7","ISSN":"1758-6798","issue":"12","journalAbbreviation":"Nat. Clim. Chang.","language":"en","license":"2019 The Author(s), under exclusive licence to Springer Nature Limited","note":"number: 12\npublisher: Nature Publishing Group","page":"993-998","source":"www.nature.com","title":"Acceleration of global N2O emissions seen from two decades of atmospheric inversion","volume":"9","author":[{"family":"Thompson","given":"R. L."},{"family":"Lassaletta","given":"L."},{"family":"Patra","given":"P. K."},{"family":"Wilson","given":"C."},{"family":"Wells","given":"K. C."},{"family":"Gressent","given":"A."},{"family":"Koffi","given":"E. N."},{"family":"Chipperfield","given":"M. P."},{"family":"Winiwarter","given":"W."},{"family":"Davidson","given":"E. A."},{"family":"Tian","given":"H."},{"family":"Canadell","given":"J. G."}],"issued":{"date-parts":[["2019",12]]}}},{"id":1417,"uris":["http://zotero.org/groups/4573874/items/SYK9IFTN"],"itemData":{"id":1417,"type":"article-journal","abstract":"Our understanding and quantification of global soil nitrous oxide (N2O) emissions and the underlying processes remain largely uncertain. Here, we assessed the effects of multiple anthropogenic and natural factors, including nitrogen fertilizer (N) application, atmospheric N deposition, manure N application, land cover change, climate change, and rising atmospheric CO2 concentration, on global soil N2O emissions for the period 1861–2016 using a standard simulation protocol with seven process-based terrestrial biosphere models. Results suggest global soil N2O emissions have increased from 6.3 ± 1.1 Tg N2O-N/year in the preindustrial period (the 1860s) to 10.0 ± 2.0 Tg N2O-N/year in the recent decade (2007–2016). Cropland soil emissions increased from 0.3 Tg N2O-N/year to 3.3 Tg N2O-N/year over the same period, accounting for 82% of the total increase. Regionally, China, South Asia, and Southeast Asia underwent rapid increases in cropland N2O emissions since the 1970s. However, US cropland N2O emissions had been relatively flat in magnitude since the 1980s, and EU cropland N2O emissions appear to have decreased by 14%. Soil N2O emissions from predominantly natural ecosystems accounted for 67% of the global soil emissions in the recent decade but showed only a relatively small increase of 0.7 ± 0.5 Tg N2O-N/year (11%) since the 1860s. In the recent decade, N fertilizer application, N deposition, manure N application, and climate change contributed 54%, 26%, 15%, and 24%, respectively, to the total increase. Rising atmospheric CO2 concentration reduced soil N2O emissions by 10% through the enhanced plant N uptake, while land cover change played a minor role. Our estimation here does not account for indirect emissions from soils and the directed emissions from excreta of grazing livestock. To address uncertainties in estimating regional and global soil N2O emissions, this study recommends several critical strategies for improving the process-based simulations.","container-title":"Global Change Biology","DOI":"10.1111/gcb.14514","ISSN":"1365-2486","issue":"2","language":"en","license":"© 2018 John Wiley &amp; Sons Ltd","note":"_eprint: https://onlinelibrary.wiley.com/doi/pdf/10.1111/gcb.14514","page":"640-659","source":"Wiley Online Library","title":"Global soil nitrous oxide emissions since the preindustrial era estimated by an ensemble of terrestrial biosphere models: Magnitude, attribution, and uncertainty","title-short":"Global soil nitrous oxide emissions since the preindustrial era estimated by an ensemble of terrestrial biosphere models","volume":"25","author":[{"family":"Tian","given":"Hanqin"},{"family":"Yang","given":"Jia"},{"family":"Xu","given":"Rongting"},{"family":"Lu","given":"Chaoqun"},{"family":"Canadell","given":"Josep G."},{"family":"Davidson","given":"Eric A."},{"family":"Jackson","given":"Robert B."},{"family":"Arneth","given":"Almut"},{"family":"Chang","given":"Jinfeng"},{"family":"Ciais","given":"Philippe"},{"family":"Gerber","given":"Stefan"},{"family":"Ito","given":"Akihiko"},{"family":"Joos","given":"Fortunat"},{"family":"Lienert","given":"Sebastian"},{"family":"Messina","given":"Palmira"},{"family":"Olin","given":"Stefan"},{"family":"Pan","given":"Shufen"},{"family":"Peng","given":"Changhui"},{"family":"Saikawa","given":"Eri"},{"family":"Thompson","given":"Rona L."},{"family":"Vuichard","given":"Nicolas"},{"family":"Winiwarter","given":"Wilfried"},{"family":"Zaehle","given":"Sönke"},{"family":"Zhang","given":"Bowen"}],"issued":{"date-parts":[["2019"]]}}}],"schema":"https://github.com/citation-style-language/schema/raw/master/csl-citation.json"} </w:instrText>
      </w:r>
      <w:r w:rsidRPr="00994531">
        <w:rPr>
          <w:rFonts w:eastAsia="Times New Roman" w:cs="Times New Roman"/>
          <w:kern w:val="0"/>
          <w:szCs w:val="24"/>
          <w14:ligatures w14:val="none"/>
        </w:rPr>
        <w:fldChar w:fldCharType="separate"/>
      </w:r>
      <w:r w:rsidR="00D74AD1" w:rsidRPr="00D74AD1">
        <w:rPr>
          <w:rFonts w:cs="Times New Roman"/>
          <w:kern w:val="0"/>
        </w:rPr>
        <w:t>(EPA, 2023; Hénault et al., 2012; IPCC, 2022; Mosier et al., 1998; Thompson et al., 2019; Tian et al., 2019)</w:t>
      </w:r>
      <w:r w:rsidRPr="00994531">
        <w:rPr>
          <w:rFonts w:eastAsia="Times New Roman" w:cs="Times New Roman"/>
          <w:kern w:val="0"/>
          <w:szCs w:val="24"/>
          <w14:ligatures w14:val="none"/>
        </w:rPr>
        <w:fldChar w:fldCharType="end"/>
      </w:r>
      <w:r w:rsidRPr="00994531">
        <w:rPr>
          <w:rFonts w:eastAsia="Times New Roman" w:cs="Times New Roman"/>
          <w:kern w:val="0"/>
          <w:szCs w:val="24"/>
          <w14:ligatures w14:val="none"/>
        </w:rPr>
        <w:t xml:space="preserve">. As climate externalities already threaten global yields and food systems </w:t>
      </w:r>
      <w:r w:rsidRPr="00994531">
        <w:rPr>
          <w:rFonts w:eastAsia="Times New Roman" w:cs="Times New Roman"/>
          <w:kern w:val="0"/>
          <w:szCs w:val="24"/>
          <w14:ligatures w14:val="none"/>
        </w:rPr>
        <w:fldChar w:fldCharType="begin"/>
      </w:r>
      <w:r w:rsidR="00D74AD1">
        <w:rPr>
          <w:rFonts w:eastAsia="Times New Roman" w:cs="Times New Roman"/>
          <w:kern w:val="0"/>
          <w:szCs w:val="24"/>
          <w14:ligatures w14:val="none"/>
        </w:rPr>
        <w:instrText xml:space="preserve"> ADDIN ZOTERO_ITEM CSL_CITATION {"citationID":"zQs6Shye","properties":{"formattedCitation":"(Ray et al., 2019)","plainCitation":"(Ray et al., 2019)","noteIndex":0},"citationItems":[{"id":2992,"uris":["http://zotero.org/groups/4573874/items/EXH86ZJS"],"itemData":{"id":2992,"type":"article-journal","abstract":"Crop yields are projected to decrease under future climate conditions, and recent research suggests that yields have already been impacted. However, current impacts on a diversity of crops subnationally and implications for food security remains unclear. Here, we constructed linear regression relationships using weather and reported crop data to assess the potential impact of observed climate change on the yields of the top ten global crops–barley, cassava, maize, oil palm, rapeseed, rice, sorghum, soybean, sugarcane and wheat at ~20,000 political units. We find that the impact of global climate change on yields of different crops from climate trends ranged from -13.4% (oil palm) to 3.5% (soybean). Our results show that impacts are mostly negative in Europe, Southern Africa and Australia but generally positive in Latin America. Impacts in Asia and Northern and Central America are mixed. This has likely led to ~1% average reduction (-3.5 X 1013 kcal/year) in consumable food calories in these ten crops. In nearly half of food insecure countries, estimated caloric availability decreased. Our results suggest that climate change has already affected global food production.","container-title":"PLOS ONE","DOI":"10.1371/journal.pone.0217148","ISSN":"1932-6203","issue":"5","journalAbbreviation":"PLOS ONE","language":"en","note":"publisher: Public Library of Science","page":"e0217148","source":"PLoS Journals","title":"Climate change has likely already affected global food production","volume":"14","author":[{"family":"Ray","given":"Deepak K."},{"family":"West","given":"Paul C."},{"family":"Clark","given":"Michael"},{"family":"Gerber","given":"James S."},{"family":"Prishchepov","given":"Alexander V."},{"family":"Chatterjee","given":"Snigdhansu"}],"issued":{"date-parts":[["2019",5,31]]}}}],"schema":"https://github.com/citation-style-language/schema/raw/master/csl-citation.json"} </w:instrText>
      </w:r>
      <w:r w:rsidRPr="00994531">
        <w:rPr>
          <w:rFonts w:eastAsia="Times New Roman" w:cs="Times New Roman"/>
          <w:kern w:val="0"/>
          <w:szCs w:val="24"/>
          <w14:ligatures w14:val="none"/>
        </w:rPr>
        <w:fldChar w:fldCharType="separate"/>
      </w:r>
      <w:r w:rsidRPr="00994531">
        <w:rPr>
          <w:rFonts w:eastAsia="Times New Roman" w:cs="Times New Roman"/>
          <w:kern w:val="0"/>
          <w:szCs w:val="24"/>
          <w14:ligatures w14:val="none"/>
        </w:rPr>
        <w:t>(Ray et al., 2019)</w:t>
      </w:r>
      <w:r w:rsidRPr="00994531">
        <w:rPr>
          <w:rFonts w:eastAsia="Times New Roman" w:cs="Times New Roman"/>
          <w:kern w:val="0"/>
          <w:szCs w:val="24"/>
          <w14:ligatures w14:val="none"/>
        </w:rPr>
        <w:fldChar w:fldCharType="end"/>
      </w:r>
      <w:r w:rsidRPr="00994531">
        <w:rPr>
          <w:rFonts w:eastAsia="Times New Roman" w:cs="Times New Roman"/>
          <w:kern w:val="0"/>
          <w:szCs w:val="24"/>
          <w14:ligatures w14:val="none"/>
        </w:rPr>
        <w:t xml:space="preserve">, achieving a sustainable future requires a wide variety of strategies to efficiently manage soil nitrogen in agriculture without sacrificing global food security </w:t>
      </w:r>
      <w:r w:rsidRPr="00994531">
        <w:rPr>
          <w:rFonts w:eastAsia="Times New Roman" w:cs="Times New Roman"/>
          <w:kern w:val="0"/>
          <w:szCs w:val="24"/>
          <w14:ligatures w14:val="none"/>
        </w:rPr>
        <w:fldChar w:fldCharType="begin"/>
      </w:r>
      <w:r w:rsidR="00D74AD1">
        <w:rPr>
          <w:rFonts w:eastAsia="Times New Roman" w:cs="Times New Roman"/>
          <w:kern w:val="0"/>
          <w:szCs w:val="24"/>
          <w14:ligatures w14:val="none"/>
        </w:rPr>
        <w:instrText xml:space="preserve"> ADDIN ZOTERO_ITEM CSL_CITATION {"citationID":"If2Y4LIB","properties":{"formattedCitation":"(Erisman et al., 2008)","plainCitation":"(Erisman et al., 2008)","noteIndex":0},"citationItems":[{"id":805,"uris":["http://zotero.org/groups/4573874/items/TJ2V2D7G"],"itemData":{"id":805,"type":"article-journal","abstract":"On 13 October 1908, Fritz Haber filed his patent on the “synthesis of ammonia from its elements” for which he was later awarded the 1918 Nobel Prize in Chemistry. A hundred years on we live in a world transformed by and highly dependent upon Haber–Bosch nitrogen.","container-title":"Nature Geoscience","DOI":"10.1038/ngeo325","ISSN":"1752-0908","issue":"10","journalAbbreviation":"Nature Geosci","language":"en","license":"2008 Nature Publishing Group","note":"number: 10\npublisher: Nature Publishing Group","page":"636-639","source":"www.nature.com","title":"How a century of ammonia synthesis changed the world","volume":"1","author":[{"family":"Erisman","given":"Jan Willem"},{"family":"Sutton","given":"Mark A."},{"family":"Galloway","given":"James"},{"family":"Klimont","given":"Zbigniew"},{"family":"Winiwarter","given":"Wilfried"}],"issued":{"date-parts":[["2008",10]]}}}],"schema":"https://github.com/citation-style-language/schema/raw/master/csl-citation.json"} </w:instrText>
      </w:r>
      <w:r w:rsidRPr="00994531">
        <w:rPr>
          <w:rFonts w:eastAsia="Times New Roman" w:cs="Times New Roman"/>
          <w:kern w:val="0"/>
          <w:szCs w:val="24"/>
          <w14:ligatures w14:val="none"/>
        </w:rPr>
        <w:fldChar w:fldCharType="separate"/>
      </w:r>
      <w:r w:rsidRPr="00994531">
        <w:rPr>
          <w:rFonts w:eastAsia="Times New Roman" w:cs="Times New Roman"/>
          <w:kern w:val="0"/>
          <w:szCs w:val="24"/>
          <w14:ligatures w14:val="none"/>
        </w:rPr>
        <w:t>(Erisman et al., 2008)</w:t>
      </w:r>
      <w:r w:rsidRPr="00994531">
        <w:rPr>
          <w:rFonts w:eastAsia="Times New Roman" w:cs="Times New Roman"/>
          <w:kern w:val="0"/>
          <w:szCs w:val="24"/>
          <w14:ligatures w14:val="none"/>
        </w:rPr>
        <w:fldChar w:fldCharType="end"/>
      </w:r>
      <w:r w:rsidRPr="00994531">
        <w:rPr>
          <w:rFonts w:eastAsia="Times New Roman" w:cs="Times New Roman"/>
          <w:kern w:val="0"/>
          <w:szCs w:val="24"/>
          <w14:ligatures w14:val="none"/>
        </w:rPr>
        <w:t>.</w:t>
      </w:r>
    </w:p>
    <w:p w14:paraId="289BF481" w14:textId="12E4F42F" w:rsidR="00EF23D4" w:rsidRPr="00994531" w:rsidRDefault="00EF23D4" w:rsidP="001B567A">
      <w:pPr>
        <w:spacing w:after="0" w:line="480" w:lineRule="auto"/>
        <w:rPr>
          <w:rFonts w:eastAsia="Times New Roman" w:cs="Times New Roman"/>
          <w:kern w:val="0"/>
          <w:szCs w:val="24"/>
          <w14:ligatures w14:val="none"/>
        </w:rPr>
      </w:pPr>
      <w:r w:rsidRPr="00994531">
        <w:rPr>
          <w:rFonts w:eastAsia="Times New Roman" w:cs="Times New Roman"/>
          <w:kern w:val="0"/>
          <w:szCs w:val="24"/>
          <w14:ligatures w14:val="none"/>
        </w:rPr>
        <w:t>One key avenue in pursuit of this goal lies in the distinct pattern in which N</w:t>
      </w:r>
      <w:r w:rsidRPr="00994531">
        <w:rPr>
          <w:rFonts w:eastAsia="Times New Roman" w:cs="Times New Roman"/>
          <w:kern w:val="0"/>
          <w:szCs w:val="24"/>
          <w:vertAlign w:val="subscript"/>
          <w14:ligatures w14:val="none"/>
        </w:rPr>
        <w:t>2</w:t>
      </w:r>
      <w:r w:rsidRPr="00994531">
        <w:rPr>
          <w:rFonts w:eastAsia="Times New Roman" w:cs="Times New Roman"/>
          <w:kern w:val="0"/>
          <w:szCs w:val="24"/>
          <w14:ligatures w14:val="none"/>
        </w:rPr>
        <w:t xml:space="preserve">O is emitted over time from agroecosystems </w:t>
      </w:r>
      <w:r w:rsidRPr="00994531">
        <w:rPr>
          <w:rFonts w:eastAsia="Times New Roman" w:cs="Times New Roman"/>
          <w:kern w:val="0"/>
          <w:szCs w:val="24"/>
          <w14:ligatures w14:val="none"/>
        </w:rPr>
        <w:fldChar w:fldCharType="begin"/>
      </w:r>
      <w:r w:rsidR="00D74AD1">
        <w:rPr>
          <w:rFonts w:eastAsia="Times New Roman" w:cs="Times New Roman"/>
          <w:kern w:val="0"/>
          <w:szCs w:val="24"/>
          <w14:ligatures w14:val="none"/>
        </w:rPr>
        <w:instrText xml:space="preserve"> ADDIN ZOTERO_ITEM CSL_CITATION {"citationID":"29q3kujl","properties":{"formattedCitation":"(Wagner-Riddle et al., 2020)","plainCitation":"(Wagner-Riddle et al., 2020)","noteIndex":0},"citationItems":[{"id":738,"uris":["http://zotero.org/groups/4573874/items/ASMIL7DP"],"itemData":{"id":738,"type":"article-journal","abstract":"Across landscape and field scales, nitrogen (N) transformation rates are enhanced in hot spots (HS) and transient hot moments (HM), leading to losses of environmentally reactive N. Nitrous oxide (N2O) emission trends follow these spatial and temporal patterns. Consequently, landscape features can accelerate N2O emissions, and significant fractions of total annual emissions occur in these N2O emissions HS and HM. In agroecosystems, naturally occurring and management-induced HS and HM can be exacerbated or ameliorated through mitigation management practices. Although mitigation practices have been recommended for reduction of N2O emissions, these have not explicitly targeted HS and HM. Here we review, and synthesize, N2O mitigation practices with an emphasis on how they can be aligned to reduce the occurrence of HS and HM of N2O emission.","collection-title":"Climate Change, Reactive Nitrogen, Food Security and Sustainable Agriculture","container-title":"Current Opinion in Environmental Sustainability","DOI":"10.1016/j.cosust.2020.08.002","ISSN":"1877-3435","journalAbbreviation":"Current Opinion in Environmental Sustainability","language":"en","page":"46-53","source":"ScienceDirect","title":"Mitigation of nitrous oxide emissions in the context of nitrogen loss reduction from agroecosystems: managing hot spots and hot moments","title-short":"Mitigation of nitrous oxide emissions in the context of nitrogen loss reduction from agroecosystems","volume":"47","author":[{"family":"Wagner-Riddle","given":"Claudia"},{"family":"Baggs","given":"Elizabeth M"},{"family":"Clough","given":"Tim J"},{"family":"Fuchs","given":"Kathrin"},{"family":"Petersen","given":"Søren O"}],"issued":{"date-parts":[["2020",12,1]]}}}],"schema":"https://github.com/citation-style-language/schema/raw/master/csl-citation.json"} </w:instrText>
      </w:r>
      <w:r w:rsidRPr="00994531">
        <w:rPr>
          <w:rFonts w:eastAsia="Times New Roman" w:cs="Times New Roman"/>
          <w:kern w:val="0"/>
          <w:szCs w:val="24"/>
          <w14:ligatures w14:val="none"/>
        </w:rPr>
        <w:fldChar w:fldCharType="separate"/>
      </w:r>
      <w:r w:rsidRPr="00994531">
        <w:rPr>
          <w:rFonts w:eastAsia="Times New Roman" w:cs="Times New Roman"/>
          <w:kern w:val="0"/>
          <w:szCs w:val="24"/>
          <w14:ligatures w14:val="none"/>
        </w:rPr>
        <w:t>(Wagner-Riddle et al., 2020)</w:t>
      </w:r>
      <w:r w:rsidRPr="00994531">
        <w:rPr>
          <w:rFonts w:eastAsia="Times New Roman" w:cs="Times New Roman"/>
          <w:kern w:val="0"/>
          <w:szCs w:val="24"/>
          <w14:ligatures w14:val="none"/>
        </w:rPr>
        <w:fldChar w:fldCharType="end"/>
      </w:r>
      <w:r w:rsidRPr="00994531">
        <w:rPr>
          <w:rFonts w:eastAsia="Times New Roman" w:cs="Times New Roman"/>
          <w:kern w:val="0"/>
          <w:szCs w:val="24"/>
          <w14:ligatures w14:val="none"/>
        </w:rPr>
        <w:t>. These emissions most often maintain relatively stable and low-level rates which are globally estimated to be about 2-3 g N ha</w:t>
      </w:r>
      <w:r w:rsidRPr="00994531">
        <w:rPr>
          <w:rFonts w:eastAsia="Times New Roman" w:cs="Times New Roman"/>
          <w:kern w:val="0"/>
          <w:szCs w:val="24"/>
          <w:vertAlign w:val="superscript"/>
          <w14:ligatures w14:val="none"/>
        </w:rPr>
        <w:t>-1</w:t>
      </w:r>
      <w:r w:rsidRPr="00994531">
        <w:rPr>
          <w:rFonts w:eastAsia="Times New Roman" w:cs="Times New Roman"/>
          <w:kern w:val="0"/>
          <w:szCs w:val="24"/>
          <w14:ligatures w14:val="none"/>
        </w:rPr>
        <w:t xml:space="preserve"> day</w:t>
      </w:r>
      <w:r w:rsidRPr="00994531">
        <w:rPr>
          <w:rFonts w:eastAsia="Times New Roman" w:cs="Times New Roman"/>
          <w:kern w:val="0"/>
          <w:szCs w:val="24"/>
          <w:vertAlign w:val="superscript"/>
          <w14:ligatures w14:val="none"/>
        </w:rPr>
        <w:t>-1</w:t>
      </w:r>
      <w:r w:rsidRPr="00994531">
        <w:rPr>
          <w:rFonts w:eastAsia="Times New Roman" w:cs="Times New Roman"/>
          <w:kern w:val="0"/>
          <w:szCs w:val="24"/>
          <w14:ligatures w14:val="none"/>
        </w:rPr>
        <w:t xml:space="preserve"> (Yin et al., 2022). However, changes in environmental conditions can create “short periods of time that show disproportionately high reaction rates relative to longer intervening time periods” </w:t>
      </w:r>
      <w:r w:rsidRPr="00994531">
        <w:rPr>
          <w:rFonts w:eastAsia="Times New Roman" w:cs="Times New Roman"/>
          <w:kern w:val="0"/>
          <w:szCs w:val="24"/>
          <w14:ligatures w14:val="none"/>
        </w:rPr>
        <w:fldChar w:fldCharType="begin"/>
      </w:r>
      <w:r w:rsidR="00D74AD1">
        <w:rPr>
          <w:rFonts w:eastAsia="Times New Roman" w:cs="Times New Roman"/>
          <w:kern w:val="0"/>
          <w:szCs w:val="24"/>
          <w14:ligatures w14:val="none"/>
        </w:rPr>
        <w:instrText xml:space="preserve"> ADDIN ZOTERO_ITEM CSL_CITATION {"citationID":"BNHLEC1x","properties":{"formattedCitation":"(McClain et al., 2003)","plainCitation":"(McClain et al., 2003)","noteIndex":0},"citationItems":[{"id":1273,"uris":["http://zotero.org/groups/4573874/items/XVDDXTU7"],"itemData":{"id":1273,"type":"article-journal","container-title":"Ecosystems","DOI":"10.1007/s10021-003-0161-9","ISSN":"1432-9840","issue":"4","journalAbbreviation":"Ecosystems","language":"en","page":"301-312","source":"Springer Link","title":"Biogeochemical Hot Spots and Hot Moments at the Interface of Terrestrial and Aquatic Ecosystems","volume":"6","author":[{"family":"McClain","given":"Michael E."},{"family":"Boyer","given":"Elizabeth W."},{"family":"Dent","given":"C. Lisa"},{"family":"Gergel","given":"Sarah E."},{"family":"Grimm","given":"Nancy B."},{"family":"Groffman","given":"Peter M."},{"family":"Hart","given":"Stephen C."},{"family":"Harvey","given":"Judson W."},{"family":"Johnston","given":"Carol A."},{"family":"Mayorga","given":"Emilio"},{"family":"McDowell","given":"William H."},{"family":"Pinay","given":"Gilles"}],"issued":{"date-parts":[["2003",6,1]]}}}],"schema":"https://github.com/citation-style-language/schema/raw/master/csl-citation.json"} </w:instrText>
      </w:r>
      <w:r w:rsidRPr="00994531">
        <w:rPr>
          <w:rFonts w:eastAsia="Times New Roman" w:cs="Times New Roman"/>
          <w:kern w:val="0"/>
          <w:szCs w:val="24"/>
          <w14:ligatures w14:val="none"/>
        </w:rPr>
        <w:fldChar w:fldCharType="separate"/>
      </w:r>
      <w:r w:rsidRPr="00994531">
        <w:rPr>
          <w:rFonts w:cs="Times New Roman"/>
        </w:rPr>
        <w:t>(McClain et al., 2003)</w:t>
      </w:r>
      <w:r w:rsidRPr="00994531">
        <w:rPr>
          <w:rFonts w:eastAsia="Times New Roman" w:cs="Times New Roman"/>
          <w:kern w:val="0"/>
          <w:szCs w:val="24"/>
          <w14:ligatures w14:val="none"/>
        </w:rPr>
        <w:fldChar w:fldCharType="end"/>
      </w:r>
      <w:r w:rsidRPr="00994531">
        <w:rPr>
          <w:rFonts w:eastAsia="Times New Roman" w:cs="Times New Roman"/>
          <w:kern w:val="0"/>
          <w:szCs w:val="24"/>
          <w14:ligatures w14:val="none"/>
        </w:rPr>
        <w:t xml:space="preserve">, raising emissions by orders of magnitude </w:t>
      </w:r>
      <w:r w:rsidRPr="00994531">
        <w:rPr>
          <w:rFonts w:eastAsia="Times New Roman" w:cs="Times New Roman"/>
          <w:kern w:val="0"/>
          <w:szCs w:val="24"/>
          <w14:ligatures w14:val="none"/>
        </w:rPr>
        <w:fldChar w:fldCharType="begin"/>
      </w:r>
      <w:r w:rsidR="00950694">
        <w:rPr>
          <w:rFonts w:eastAsia="Times New Roman" w:cs="Times New Roman"/>
          <w:kern w:val="0"/>
          <w:szCs w:val="24"/>
          <w14:ligatures w14:val="none"/>
        </w:rPr>
        <w:instrText xml:space="preserve"> ADDIN ZOTERO_ITEM CSL_CITATION {"citationID":"nuk3vrXb","properties":{"formattedCitation":"(Butterbach-Bahl et al., 2013; Clayton et al., 1997; C. Huang, 2020; H. Huang et al., 2014; Johnson, 2021; McClain et al., 2003; Molodovskaya et al., 2012; Sistani, 2020; Wagner-Riddle et al., 2020)","plainCitation":"(Butterbach-Bahl et al., 2013; Clayton et al., 1997; C. Huang, 2020; H. Huang et al., 2014; Johnson, 2021; McClain et al., 2003; Molodovskaya et al., 2012; Sistani, 2020; Wagner-Riddle et al., 2020)","noteIndex":0},"citationItems":[{"id":1313,"uris":["http://zotero.org/groups/4573874/items/5DUZFISM"],"itemData":{"id":1313,"type":"article-journal","abstract":"Although it is well established that soils are the dominating source for atmospheric nitrous oxide (N2O), we are still struggling to fully understand the complexity of the underlying microbial production and consumption processes and the links to biotic (e.g. inter- and intraspecies competition, food webs, plant–microbe interaction) and abiotic (e.g. soil climate, physics and chemistry) factors. Recent work shows that a better understanding of the composition and diversity of the microbial community across a variety of soils in different climates and under different land use, as well as plant–microbe interactions in the rhizosphere, may provide a key to better understand the variability of N2O fluxes at the soil–atmosphere interface. Moreover, recent insights into the regulation of the reduction of N2O to dinitrogen (N2) have increased our understanding of N2O exchange. This improved process understanding, building on the increased use of isotope tracing techniques and metagenomics, needs to go along with improvements in measurement techniques for N2O (and N2) emission in order to obtain robust field and laboratory datasets for different ecosystem types. Advances in both fields are currently used to improve process descriptions in biogeochemical models, which may eventually be used not only to test our current process understanding from the microsite to the field level, but also used as tools for up-scaling emissions to landscapes and regions and to explore feedbacks of soil N2O emissions to changes in environmental conditions, land management and land use.","container-title":"Philosophical Transactions of the Royal Society B: Biological Sciences","DOI":"10.1098/rstb.2013.0122","issue":"1621","note":"publisher: Royal Society","page":"20130122","source":"royalsocietypublishing.org (Atypon)","title":"Nitrous oxide emissions from soils: how well do we understand the processes and their controls?","title-short":"Nitrous oxide emissions from soils","volume":"368","author":[{"family":"Butterbach-Bahl","given":"Klaus"},{"family":"Baggs","given":"Elizabeth M."},{"family":"Dannenmann","given":"Michael"},{"family":"Kiese","given":"Ralf"},{"family":"Zechmeister-Boltenstern","given":"Sophie"}],"issued":{"date-parts":[["2013",7,5]]}}},{"id":753,"uris":["http://zotero.org/groups/4573874/items/KBKMJRDZ"],"itemData":{"id":753,"type":"article-journal","abstract":"The aim was to investigate the effects of different N fertilisers on nitrous oxide (N2O) flux from agricultural grassland, with a view to suggesting fertiliser practices least likely to cause substantial N2O emissions, and to assess the influence of soil and environmental factors on the emissions. Replicate plots on a clay loam grassland were fertilised with ammonium sulphate (AS), urea (U), calcium nitrate (CN), ammonium nitrate (AN), or cattle slurry supplemented with AN on three occasions in each of 2 years. Frequent measurements were made of N2O flux and soil and environmental variables. The loss of N2O-N as a percentage of N fertiliser applied was highest from the supplemented slurry (SS) treatment and U, and lowest from AS. The temporal pattern of losses was different for the different fertilisers and between years. Losses from U were lower than those from AN and CN in the spring, but higher in the summer. The high summer fluxes were associated with high water-filled pore space (WFPS) values. Fluxes also rose steeply with temperature where WFPS or mineral N values were not limiting. Total annual loss was higher in the 2nd year, probably because of the rainfall pattern: the percentage losses were 2.2, 1.4, 1.2, 1.1 and 0.4 from SS, U, AN, CN and AS, respectively. Application of U in the spring and AN twice in the summer in the 2nd year gave an average emission factor of 0.8% – lower than from application of either individual fertiliser. We suggest that similar varied fertilisation practices, modified according to soil and crop type and climatic conditions, might be employed to minimise N2O emissions from agricultural land.","container-title":"Biology and Fertility of Soils","DOI":"10.1007/s003740050311","ISSN":"1432-0789","issue":"3","journalAbbreviation":"Biol Fertil Soils","language":"en","page":"252-260","source":"Springer Link","title":"Nitrous oxide emissions from fertilised grassland:  A 2-year study of the effects of N fertiliser form and environmental conditions","title-short":"Nitrous oxide emissions from fertilised grassland","volume":"25","author":[{"family":"Clayton","given":"H."},{"family":"McTaggart","given":"I. P."},{"family":"Parker","given":"J."},{"family":"Swan","given":"L."},{"family":"Smith","given":"K. A."}],"issued":{"date-parts":[["1997",9,1]]}}},{"id":1419,"uris":["http://zotero.org/groups/4573874/items/SQDZ3TBY"],"itemData":{"id":1419,"type":"dataset","number":"10579353-ec7d-4274-af95-c2e1e4857fcd","publisher":"Ag Data Commons","title":"WQFS Study for Greenhouse gas Reduction through Agricultural Carbon Enhancement network in West Lafayette, Indiana","URL":"https://data.nal.usda.gov/dataset/wqfs-study-greenhouse-gas-reduction-through-agricultural-carbon-enhancement-network-west-lafayette-indiana","author":[{"family":"Huang","given":"Chi-hua"}],"accessed":{"date-parts":[["2023",10,4]]},"issued":{"date-parts":[["2020"]]}}},{"id":691,"uris":["http://zotero.org/groups/4573874/items/LHGE35IJ"],"itemData":{"id":691,"type":"article-journal","abstract":"&lt;p&gt;&lt;strong class=\"journal-contentHeaderColor\"&gt;Abstract.&lt;/strong&gt; Increases in observed atmospheric concentrations of the long-lived greenhouse gas nitrous oxide (N&lt;sub&gt;2&lt;/sub&gt;O) have been well documented. However, information on event-related instantaneous emissions during fertilizer applications is lacking. With the development of fast-response N&lt;sub&gt;2&lt;/sub&gt;O analyzers, the eddy covariance (EC) technique can be used to gather instantaneous measurements of N&lt;sub&gt;2&lt;/sub&gt;O concentrations to quantify the exchange of nitrogen between the soil and atmosphere. The objectives of this study were to evaluate the performance of a new EC system, to measure the N&lt;sub&gt;2&lt;/sub&gt;O flux with the system, and finally to examine relationships of the N&lt;sub&gt;2&lt;/sub&gt;O flux with soil temperature, soil moisture, precipitation, and fertilization events. An EC system was assembled with a sonic anemometer and a fast-response N&lt;sub&gt;2&lt;/sub&gt;O analyzer (quantum cascade laser spectrometer) and applied in a cornfield in Nolensville, Tennessee during the 2012 corn growing season (4 April–8 August). Fertilizer amounts totaling 217 kg N ha&lt;sup&gt;−1&lt;/sup&gt; were applied to the experimental site. Results showed that this N&lt;sub&gt;2&lt;/sub&gt;O EC system provided reliable N&lt;sub&gt;2&lt;/sub&gt;O flux measurements. The cumulative emitted N&lt;sub&gt;2&lt;/sub&gt;O amount for the entire growing season was 6.87 kg N&lt;sub&gt;2&lt;/sub&gt;O-N ha&lt;sup&gt;−1&lt;/sup&gt;. Seasonal fluxes were highly dependent on soil moisture rather than soil temperature. This study was one of the few experiments that continuously measured instantaneous, high-frequency N&lt;sub&gt;2&lt;/sub&gt;O emissions in crop fields over a growing season of more than 100 days.&lt;/p&gt;","container-title":"Atmospheric Chemistry and Physics","DOI":"10.5194/acp-14-12839-2014","ISSN":"1680-7316","issue":"23","language":"English","note":"publisher: Copernicus GmbH","page":"12839-12854","source":"acp.copernicus.org","title":"Nitrous oxide emissions from a commercial cornfield (&lt;i&gt;Zea mays&lt;/i&gt;) measured using the eddy covariance technique","volume":"14","author":[{"family":"Huang","given":"H."},{"family":"Wang","given":"J."},{"family":"Hui","given":"D."},{"family":"Miller","given":"D. R."},{"family":"Bhattarai","given":"S."},{"family":"Dennis","given":"S."},{"family":"Smart","given":"D."},{"family":"Sammis","given":"T."},{"family":"Reddy","given":"K. C."}],"issued":{"date-parts":[["2014",12,8]]}}},{"id":1420,"uris":["http://zotero.org/groups/4573874/items/ILXCKWU2"],"itemData":{"id":1420,"type":"dataset","number":"21d6ff3b-de69-44ff-a2b6-980a9c972a35","publisher":"Ag Data Commons","title":"Carbon Crops Study for Greenhouse gas Reduction through Agricultural Carbon Enhancement network and Resilient Economic Agricultural Practices in Morris, Minnesota","URL":"https://data.nal.usda.gov/dataset/carbon-crops-study-greenhouse-gas-reduction-through-agricultural-carbon-enhancement-network-and-resilient-economic-agricultural-practices-morris-minnesota","author":[{"family":"Johnson","given":"Jane"}],"accessed":{"date-parts":[["2023",10,4]]},"issued":{"date-parts":[["2021"]]}}},{"id":1273,"uris":["http://zotero.org/groups/4573874/items/XVDDXTU7"],"itemData":{"id":1273,"type":"article-journal","container-title":"Ecosystems","DOI":"10.1007/s10021-003-0161-9","ISSN":"1432-9840","issue":"4","journalAbbreviation":"Ecosystems","language":"en","page":"301-312","source":"Springer Link","title":"Biogeochemical Hot Spots and Hot Moments at the Interface of Terrestrial and Aquatic Ecosystems","volume":"6","author":[{"family":"McClain","given":"Michael E."},{"family":"Boyer","given":"Elizabeth W."},{"family":"Dent","given":"C. Lisa"},{"family":"Gergel","given":"Sarah E."},{"family":"Grimm","given":"Nancy B."},{"family":"Groffman","given":"Peter M."},{"family":"Hart","given":"Stephen C."},{"family":"Harvey","given":"Judson W."},{"family":"Johnston","given":"Carol A."},{"family":"Mayorga","given":"Emilio"},{"family":"McDowell","given":"William H."},{"family":"Pinay","given":"Gilles"}],"issued":{"date-parts":[["2003",6,1]]}}},{"id":692,"uris":["http://zotero.org/groups/4573874/items/97DFR7GJ"],"itemData":{"id":692,"type":"article-journal","abstract":"Nitrous oxide (N2O) emissions were monitored using the micrometeorological eddy covariance technique from manure-fertilized cropland on a large dairy farm in New York State in 2006 to 2009. Nitrous oxide emissions demonstrated episodic behavior with intermittent short-duration peak fluxes up to 39.7 mg N2O-N m−2 d−1, whereas most of background fluxes during the annual agricultural cycle were below 6.5 mg N2O-N m−2 d−1. This paper discusses temporal variability of measured N2O emissions using a “hot moment” approach. To identify and quantify peak events as potential hot moments and to determine whether or not they could be treated statistically as outliers, N2O daily fluxes were analyzed by the box plot method using multiple thresholds. Peak events exceeding outlier thresholds contributed up to 51% of cumulative annual N2O emissions, although they represented &lt;7% of the total observation time. Individual N2O peaks were also categorized by their duration, as single day spikes and multiday events. The highest contributing instances were multiday N2O peaks during summer precipitation and early spring thaw, largely enhanced by manure fertilization. These high-intensity emission events demonstrated repetitive seasonal responses to a combination of environmental factors and were therefore identified as hot moments. Abrupt rises in both temperature and soil moisture appeared to trigger major hot moments, whereas the availability of manure N controlled their magnitude. In the absence of strong correlations between time-series of individual environmental factors and N2O emissions, the hot moment approach can be a promising tool for the integrated analysis of most significant N2O events in cultivated fields receiving manure applications.","container-title":"Soil Science Society of America Journal","DOI":"10.2136/sssaj2012.0039","ISSN":"1435-0661","issue":"5","language":"en","note":"_eprint: https://onlinelibrary.wiley.com/doi/pdf/10.2136/sssaj2012.0039","page":"1728-1740","source":"Wiley Online Library","title":"Temporal Variability of Nitrous Oxide from Fertilized Croplands: Hot Moment Analysis","title-short":"Temporal Variability of Nitrous Oxide from Fertilized Croplands","volume":"76","author":[{"family":"Molodovskaya","given":"Marina"},{"family":"Singurindy","given":"Olga"},{"family":"Richards","given":"Brian K."},{"family":"Warland","given":"Jon"},{"family":"Johnson","given":"Mark S."},{"family":"Steenhuis","given":"Tammo S."}],"issued":{"date-parts":[["2012"]]}}},{"id":1421,"uris":["http://zotero.org/groups/4573874/items/896F6DE3"],"itemData":{"id":1421,"type":"dataset","DOI":"10.15482/USDA.ADC/1503968","language":"en","publisher":"Ag Data Commons","source":"DOI.org (Datacite)","title":"Greenhouse Gas Study for Greenhouse gas Reduction through Agricultural Carbon Enhancement network in Bowling Green, Kentucky","URL":"https://data.nal.usda.gov/node/25214","author":[{"family":"Sistani","given":"Karamat"}],"accessed":{"date-parts":[["2023",10,4]]},"issued":{"date-parts":[["2020"]]}}},{"id":738,"uris":["http://zotero.org/groups/4573874/items/ASMIL7DP"],"itemData":{"id":738,"type":"article-journal","abstract":"Across landscape and field scales, nitrogen (N) transformation rates are enhanced in hot spots (HS) and transient hot moments (HM), leading to losses of environmentally reactive N. Nitrous oxide (N2O) emission trends follow these spatial and temporal patterns. Consequently, landscape features can accelerate N2O emissions, and significant fractions of total annual emissions occur in these N2O emissions HS and HM. In agroecosystems, naturally occurring and management-induced HS and HM can be exacerbated or ameliorated through mitigation management practices. Although mitigation practices have been recommended for reduction of N2O emissions, these have not explicitly targeted HS and HM. Here we review, and synthesize, N2O mitigation practices with an emphasis on how they can be aligned to reduce the occurrence of HS and HM of N2O emission.","collection-title":"Climate Change, Reactive Nitrogen, Food Security and Sustainable Agriculture","container-title":"Current Opinion in Environmental Sustainability","DOI":"10.1016/j.cosust.2020.08.002","ISSN":"1877-3435","journalAbbreviation":"Current Opinion in Environmental Sustainability","language":"en","page":"46-53","source":"ScienceDirect","title":"Mitigation of nitrous oxide emissions in the context of nitrogen loss reduction from agroecosystems: managing hot spots and hot moments","title-short":"Mitigation of nitrous oxide emissions in the context of nitrogen loss reduction from agroecosystems","volume":"47","author":[{"family":"Wagner-Riddle","given":"Claudia"},{"family":"Baggs","given":"Elizabeth M"},{"family":"Clough","given":"Tim J"},{"family":"Fuchs","given":"Kathrin"},{"family":"Petersen","given":"Søren O"}],"issued":{"date-parts":[["2020",12,1]]}}}],"schema":"https://github.com/citation-style-language/schema/raw/master/csl-citation.json"} </w:instrText>
      </w:r>
      <w:r w:rsidRPr="00994531">
        <w:rPr>
          <w:rFonts w:eastAsia="Times New Roman" w:cs="Times New Roman"/>
          <w:kern w:val="0"/>
          <w:szCs w:val="24"/>
          <w14:ligatures w14:val="none"/>
        </w:rPr>
        <w:fldChar w:fldCharType="separate"/>
      </w:r>
      <w:r w:rsidR="00950694" w:rsidRPr="00950694">
        <w:rPr>
          <w:rFonts w:cs="Times New Roman"/>
        </w:rPr>
        <w:t>(Butterbach-Bahl et al., 2013; Clayton et al., 1997; C. Huang, 2020; H. Huang et al., 2014; Johnson, 2021; McClain et al., 2003; Molodovskaya et al., 2012; Sistani, 2020; Wagner-Riddle et al., 2020)</w:t>
      </w:r>
      <w:r w:rsidRPr="00994531">
        <w:rPr>
          <w:rFonts w:eastAsia="Times New Roman" w:cs="Times New Roman"/>
          <w:kern w:val="0"/>
          <w:szCs w:val="24"/>
          <w14:ligatures w14:val="none"/>
        </w:rPr>
        <w:fldChar w:fldCharType="end"/>
      </w:r>
      <w:r w:rsidRPr="00994531">
        <w:rPr>
          <w:rFonts w:eastAsia="Times New Roman" w:cs="Times New Roman"/>
          <w:kern w:val="0"/>
          <w:szCs w:val="24"/>
          <w14:ligatures w14:val="none"/>
        </w:rPr>
        <w:t xml:space="preserve">. These distinct periods are termed ‘hot moments,’ and have been shown to have outsized and even preeminent importance on overall emissions </w:t>
      </w:r>
      <w:r w:rsidRPr="00994531">
        <w:rPr>
          <w:rFonts w:eastAsia="Times New Roman" w:cs="Times New Roman"/>
          <w:kern w:val="0"/>
          <w:szCs w:val="24"/>
          <w14:ligatures w14:val="none"/>
        </w:rPr>
        <w:fldChar w:fldCharType="begin"/>
      </w:r>
      <w:r w:rsidR="00D74AD1">
        <w:rPr>
          <w:rFonts w:eastAsia="Times New Roman" w:cs="Times New Roman"/>
          <w:kern w:val="0"/>
          <w:szCs w:val="24"/>
          <w14:ligatures w14:val="none"/>
        </w:rPr>
        <w:instrText xml:space="preserve"> ADDIN ZOTERO_ITEM CSL_CITATION {"citationID":"AYixTnlT","properties":{"formattedCitation":"(Anthony &amp; Silver, 2021; Molodovskaya et al., 2012; Wagner-Riddle et al., 2017; X. Wang et al., 2023)","plainCitation":"(Anthony &amp; Silver, 2021; Molodovskaya et al., 2012; Wagner-Riddle et al., 2017; X. Wang et al., 2023)","noteIndex":0},"citationItems":[{"id":794,"uris":["http://zotero.org/groups/4573874/items/UNBCKZAX"],"itemData":{"id":794,"type":"article-journal","abstract":"Agricultural peatlands are estimated to emit approximately one third of global greenhouse gas (GHG) emissions from croplands, but the temporal dynamics and controls of these emissions are poorly understood, particularly for nitrous oxide (N2O). We used cavity ring-down spectroscopy and automated chambers in a drained agricultural peatland to measure over 70,000 individual N2O, methane (CH4), and carbon dioxide (CO2) fluxes over 3 years. Our results showed that N2O fluxes were high, contributing 26% (annual range: 16%–35%) of annual CO2e emissions. Total N2O fluxes averaged 26 ± 0.5 kg N2O-N ha−1 y−1 and exhibited significant inter- and intra-annual variability with a maximum annual flux of 42 ± 1.8 kg N2O-N ha−1 y−1. Hot moments of N2O and CH4 emissions represented 1.1 ± 0.2 and 1.3 ± 0.2% of measurements, respectively, but contributed to 45 ± 1% of mean annual N2O fluxes and to 140 ± 9% of mean annual CH4 fluxes. Soil moisture, soil temperature, and bulk soil oxygen (O2) concentrations were strongly correlated with soil N2O and CH4 emissions; soil nitrate () concentrations were also significantly correlated with soil N2O emissions. These results suggest that IPCC benchmarks underestimate N2O emissions from these high emitting agricultural peatlands by up to 70%. Scaling to regional agricultural peatlands with similar management suggests these ecosystems could emit up to 1.86 Tg CO2e y−1 (range: 1.58–2.21 Tg CO2e y−1). Data suggest that these agricultural peatlands are large sources of GHGs, and that short-term hot moments of N2O and CH4 are a significant fraction of total greenhouse budgets.","container-title":"Global Change Biology","DOI":"10.1111/gcb.15802","ISSN":"1365-2486","issue":"20","language":"en","note":"_eprint: https://onlinelibrary.wiley.com/doi/pdf/10.1111/gcb.15802","page":"5141-5153","source":"Wiley Online Library","title":"Hot moments drive extreme nitrous oxide and methane emissions from agricultural peatlands","volume":"27","author":[{"family":"Anthony","given":"Tyler L."},{"family":"Silver","given":"Whendee L."}],"issued":{"date-parts":[["2021"]]}}},{"id":692,"uris":["http://zotero.org/groups/4573874/items/97DFR7GJ"],"itemData":{"id":692,"type":"article-journal","abstract":"Nitrous oxide (N2O) emissions were monitored using the micrometeorological eddy covariance technique from manure-fertilized cropland on a large dairy farm in New York State in 2006 to 2009. Nitrous oxide emissions demonstrated episodic behavior with intermittent short-duration peak fluxes up to 39.7 mg N2O-N m−2 d−1, whereas most of background fluxes during the annual agricultural cycle were below 6.5 mg N2O-N m−2 d−1. This paper discusses temporal variability of measured N2O emissions using a “hot moment” approach. To identify and quantify peak events as potential hot moments and to determine whether or not they could be treated statistically as outliers, N2O daily fluxes were analyzed by the box plot method using multiple thresholds. Peak events exceeding outlier thresholds contributed up to 51% of cumulative annual N2O emissions, although they represented &lt;7% of the total observation time. Individual N2O peaks were also categorized by their duration, as single day spikes and multiday events. The highest contributing instances were multiday N2O peaks during summer precipitation and early spring thaw, largely enhanced by manure fertilization. These high-intensity emission events demonstrated repetitive seasonal responses to a combination of environmental factors and were therefore identified as hot moments. Abrupt rises in both temperature and soil moisture appeared to trigger major hot moments, whereas the availability of manure N controlled their magnitude. In the absence of strong correlations between time-series of individual environmental factors and N2O emissions, the hot moment approach can be a promising tool for the integrated analysis of most significant N2O events in cultivated fields receiving manure applications.","container-title":"Soil Science Society of America Journal","DOI":"10.2136/sssaj2012.0039","ISSN":"1435-0661","issue":"5","language":"en","note":"_eprint: https://onlinelibrary.wiley.com/doi/pdf/10.2136/sssaj2012.0039","page":"1728-1740","source":"Wiley Online Library","title":"Temporal Variability of Nitrous Oxide from Fertilized Croplands: Hot Moment Analysis","title-short":"Temporal Variability of Nitrous Oxide from Fertilized Croplands","volume":"76","author":[{"family":"Molodovskaya","given":"Marina"},{"family":"Singurindy","given":"Olga"},{"family":"Richards","given":"Brian K."},{"family":"Warland","given":"Jon"},{"family":"Johnson","given":"Mark S."},{"family":"Steenhuis","given":"Tammo S."}],"issued":{"date-parts":[["2012"]]}}},{"id":3077,"uris":["http://zotero.org/groups/4573874/items/JXJ7U4B8"],"itemData":{"id":3077,"type":"article-journal","abstract":"Seasonal freezing induces large thaw emissions of nitrous oxide, a trace gas that contributes to stratospheric ozone destruction and atmospheric warming. Cropland soils are by far the largest anthropogenic source of nitrous oxide. However, the global contribution of seasonal freezing to nitrous oxide emissions from croplands is poorly quantified, mostly due to the lack of year-round measurements and difficulty in capturing short-lived pulses of nitrous oxide with traditional measurement methods. Here we present measurements collected with half-hourly resolution at two contrasting cropland sites in Ontario and Manitoba, Canada, over 14 and 9 years, respectively. We find that the magnitude of freeze–thaw-induced nitrous oxide emissions is related to the number of days with soil temperatures below 0 °C, and we validate these findings with emissions data from 11 additional sites from cold climates around the globe. Based on an estimate of cropland area experiencing seasonal freezing, reanalysis model estimates of soil temperature, and the relationship between cumulative soil freezing days and emissions that we derived from the cropland sites, we estimate that seasonally frozen cropland contributes 1.07 ± 0.59 Tg of nitrogen as nitrous oxide annually. We conclude that neglecting freeze–thaw emissions would lead to an underestimation of global agricultural nitrous oxide emissions by 17 to 28%.","container-title":"Nature Geoscience","DOI":"10.1038/ngeo2907","ISSN":"1752-0908","issue":"4","journalAbbreviation":"Nature Geosci","language":"en","license":"2017 Springer Nature Limited","note":"publisher: Nature Publishing Group","page":"279-283","source":"www.nature.com","title":"Globally important nitrous oxide emissions from croplands induced by freeze–thaw cycles","volume":"10","author":[{"family":"Wagner-Riddle","given":"Claudia"},{"family":"Congreves","given":"Katelyn A."},{"family":"Abalos","given":"Diego"},{"family":"Berg","given":"Aaron A."},{"family":"Brown","given":"Shannon E."},{"family":"Ambadan","given":"Jaison Thomas"},{"family":"Gao","given":"Xiaopeng"},{"family":"Tenuta","given":"Mario"}],"issued":{"date-parts":[["2017",4]]}}},{"id":3076,"uris":["http://zotero.org/groups/4573874/items/PWVEI7S6"],"itemData":{"id":3076,"type":"article-journal","abstract":"Since the start of the Anthropocene, northern seasonally frozen peatlands have been warming at a rate of 0.6 °C per decade, twice that of the Earth’s average rate, thereby triggering increased nitrogen mineralization with subsequent potentially large losses of nitrous oxide (N2O) to the atmosphere. Here we provide evidence that seasonally frozen peatlands are important N2O emission sources in the Northern Hemisphere and the thawing periods are the hot moment of annual N2O emissions. The flux during the hot moment of thawing in spring was 1.20 ± 0.82 mg N2O m−2 d−1, significantly higher than that during the other periods (freezing, −0.12 ± 0.02 mg N2O m−2 d−1; frozen, 0.04 ± 0.04 mg N2O m−2 d−1; thawed, 0.09 ± 0.01 mg N2O m−2 d−1) or observed for other ecosystems at the same latitude in previous studies. The observed emission flux is even higher than those of tropical forests, the World’s largest natural terrestrial N2O source. Furthermore, based on soil incubation with 15N and 18O isotope tracing and differential inhibitors, heterotrophic bacterial and fungal denitrification was revealed as the main source of N2O in peatland profiles (0–200 cm). Metagenomic, metatranscriptomic, and qPCR assays further revealed that seasonally frozen peatlands have high N2O emission potential, but thawing significantly stimulates expression of genes encoding N2O-producing protein complexes (hydroxylamine dehydrogenase (hao) and nitric oxide reductase (nor)), resulting in high N2O emissions during spring. This hot moment converts seasonally frozen peatlands into an important N2O emission source when it is otherwise a sink. Extrapolation of our data to all northern peatland areas reveals that the hot moment emissions could amount to approximately 0.17 Tg of N2O yr−1. However, these N2O emissions are still not routinely included in Earth system models and global IPCC assessments.","container-title":"The ISME Journal","DOI":"10.1038/s41396-023-01389-x","ISSN":"1751-7362","issue":"6","journalAbbreviation":"The ISME Journal","page":"792-802","source":"Silverchair","title":"Hot moment of N2O emissions in seasonally frozen peatlands","volume":"17","author":[{"family":"Wang","given":"Xiaomin"},{"family":"Wang","given":"Shanyun"},{"family":"Yang","given":"Yuanhe"},{"family":"Tian","given":"Hanqin"},{"family":"Jetten","given":"Mike S M"},{"family":"Song","given":"Changchun"},{"family":"Zhu","given":"Guibing"}],"issued":{"date-parts":[["2023",6,1]]}}}],"schema":"https://github.com/citation-style-language/schema/raw/master/csl-citation.json"} </w:instrText>
      </w:r>
      <w:r w:rsidRPr="00994531">
        <w:rPr>
          <w:rFonts w:eastAsia="Times New Roman" w:cs="Times New Roman"/>
          <w:kern w:val="0"/>
          <w:szCs w:val="24"/>
          <w14:ligatures w14:val="none"/>
        </w:rPr>
        <w:fldChar w:fldCharType="separate"/>
      </w:r>
      <w:r w:rsidR="0056073F" w:rsidRPr="0056073F">
        <w:rPr>
          <w:rFonts w:cs="Times New Roman"/>
        </w:rPr>
        <w:t>(Anthony &amp; Silver, 2021; Molodovskaya et al., 2012; Wagner-Riddle et al., 2017; X. Wang et al., 2023)</w:t>
      </w:r>
      <w:r w:rsidRPr="00994531">
        <w:rPr>
          <w:rFonts w:eastAsia="Times New Roman" w:cs="Times New Roman"/>
          <w:kern w:val="0"/>
          <w:szCs w:val="24"/>
          <w14:ligatures w14:val="none"/>
        </w:rPr>
        <w:fldChar w:fldCharType="end"/>
      </w:r>
      <w:r w:rsidRPr="00994531">
        <w:rPr>
          <w:rFonts w:eastAsia="Times New Roman" w:cs="Times New Roman"/>
          <w:kern w:val="0"/>
          <w:szCs w:val="24"/>
          <w14:ligatures w14:val="none"/>
        </w:rPr>
        <w:t xml:space="preserve">, thus attracting attention for further investigation into their prevalence, significance, drivers, and potential mitigation strategies </w:t>
      </w:r>
      <w:r w:rsidRPr="00994531">
        <w:rPr>
          <w:rFonts w:eastAsia="Times New Roman" w:cs="Times New Roman"/>
          <w:kern w:val="0"/>
          <w:szCs w:val="24"/>
          <w14:ligatures w14:val="none"/>
        </w:rPr>
        <w:fldChar w:fldCharType="begin"/>
      </w:r>
      <w:r w:rsidR="00D74AD1">
        <w:rPr>
          <w:rFonts w:eastAsia="Times New Roman" w:cs="Times New Roman"/>
          <w:kern w:val="0"/>
          <w:szCs w:val="24"/>
          <w14:ligatures w14:val="none"/>
        </w:rPr>
        <w:instrText xml:space="preserve"> ADDIN ZOTERO_ITEM CSL_CITATION {"citationID":"9LwgDgpG","properties":{"formattedCitation":"(Venterea et al., 2012; Wagner-Riddle et al., 2020)","plainCitation":"(Venterea et al., 2012; Wagner-Riddle et al., 2020)","noteIndex":0},"citationItems":[{"id":662,"uris":["http://zotero.org/groups/4573874/items/CIL79WH5"],"itemData":{"id":662,"type":"article-journal","abstract":"Nitrous oxide (N2O) is often the largest single component of the greenhouse-gas budget of individual cropping systems, as well as for the US agricultural sector as a whole. Here, we highlight the factors that make mitigating N2O emissions from fertilized agroecosystems such a difficult challenge, and discuss how these factors limit the effectiveness of existing practices and therefore require new technologies and fresh ideas. Modification of the rate, source, placement, and/or timing of nitrogen fertilizer application has in some cases been an effective way to reduce N2O emissions. However, the efficacy of existing approaches to reducing N2O emissions while maintaining crop yields across locations and growing seasons is uncertain because of the interaction of multiple factors that regulate several different N2O-producing processes in soil. Although these processes have been well studied, our understanding of key aspects and our ability to manage them to mitigate N2O emissions remain limited.","container-title":"Frontiers in Ecology and the Environment","DOI":"10.1890/120062","ISSN":"1540-9309","issue":"10","language":"en","note":"_eprint: https://onlinelibrary.wiley.com/doi/pdf/10.1890/120062","page":"562-570","source":"Wiley Online Library","title":"Challenges and opportunities for mitigating nitrous oxide emissions from fertilized cropping systems","volume":"10","author":[{"family":"Venterea","given":"Rodney T"},{"family":"Halvorson","given":"Ardell D"},{"family":"Kitchen","given":"Newell"},{"family":"Liebig","given":"Mark A"},{"family":"Cavigelli","given":"Michel A"},{"family":"Grosso","given":"Stephen J Del"},{"family":"Motavalli","given":"Peter P"},{"family":"Nelson","given":"Kelly A"},{"family":"Spokas","given":"Kurt A"},{"family":"Singh","given":"Bhupinder Pal"},{"family":"Stewart","given":"Catherine E"},{"family":"Ranaivoson","given":"Andry"},{"family":"Strock","given":"Jeffrey"},{"family":"Collins","given":"Hal"}],"issued":{"date-parts":[["2012"]]}}},{"id":738,"uris":["http://zotero.org/groups/4573874/items/ASMIL7DP"],"itemData":{"id":738,"type":"article-journal","abstract":"Across landscape and field scales, nitrogen (N) transformation rates are enhanced in hot spots (HS) and transient hot moments (HM), leading to losses of environmentally reactive N. Nitrous oxide (N2O) emission trends follow these spatial and temporal patterns. Consequently, landscape features can accelerate N2O emissions, and significant fractions of total annual emissions occur in these N2O emissions HS and HM. In agroecosystems, naturally occurring and management-induced HS and HM can be exacerbated or ameliorated through mitigation management practices. Although mitigation practices have been recommended for reduction of N2O emissions, these have not explicitly targeted HS and HM. Here we review, and synthesize, N2O mitigation practices with an emphasis on how they can be aligned to reduce the occurrence of HS and HM of N2O emission.","collection-title":"Climate Change, Reactive Nitrogen, Food Security and Sustainable Agriculture","container-title":"Current Opinion in Environmental Sustainability","DOI":"10.1016/j.cosust.2020.08.002","ISSN":"1877-3435","journalAbbreviation":"Current Opinion in Environmental Sustainability","language":"en","page":"46-53","source":"ScienceDirect","title":"Mitigation of nitrous oxide emissions in the context of nitrogen loss reduction from agroecosystems: managing hot spots and hot moments","title-short":"Mitigation of nitrous oxide emissions in the context of nitrogen loss reduction from agroecosystems","volume":"47","author":[{"family":"Wagner-Riddle","given":"Claudia"},{"family":"Baggs","given":"Elizabeth M"},{"family":"Clough","given":"Tim J"},{"family":"Fuchs","given":"Kathrin"},{"family":"Petersen","given":"Søren O"}],"issued":{"date-parts":[["2020",12,1]]}}}],"schema":"https://github.com/citation-style-language/schema/raw/master/csl-citation.json"} </w:instrText>
      </w:r>
      <w:r w:rsidRPr="00994531">
        <w:rPr>
          <w:rFonts w:eastAsia="Times New Roman" w:cs="Times New Roman"/>
          <w:kern w:val="0"/>
          <w:szCs w:val="24"/>
          <w14:ligatures w14:val="none"/>
        </w:rPr>
        <w:fldChar w:fldCharType="separate"/>
      </w:r>
      <w:r w:rsidRPr="00994531">
        <w:rPr>
          <w:rFonts w:cs="Times New Roman"/>
        </w:rPr>
        <w:t>(Venterea et al., 2012; Wagner-Riddle et al., 2020)</w:t>
      </w:r>
      <w:r w:rsidRPr="00994531">
        <w:rPr>
          <w:rFonts w:eastAsia="Times New Roman" w:cs="Times New Roman"/>
          <w:kern w:val="0"/>
          <w:szCs w:val="24"/>
          <w14:ligatures w14:val="none"/>
        </w:rPr>
        <w:fldChar w:fldCharType="end"/>
      </w:r>
      <w:r w:rsidRPr="00994531">
        <w:rPr>
          <w:rFonts w:eastAsia="Times New Roman" w:cs="Times New Roman"/>
          <w:kern w:val="0"/>
          <w:szCs w:val="24"/>
          <w14:ligatures w14:val="none"/>
        </w:rPr>
        <w:t>.</w:t>
      </w:r>
    </w:p>
    <w:p w14:paraId="01FFBC74" w14:textId="6BC8DE68" w:rsidR="00EF23D4" w:rsidRPr="00994531" w:rsidRDefault="00EF23D4" w:rsidP="001B567A">
      <w:pPr>
        <w:spacing w:after="0" w:line="480" w:lineRule="auto"/>
        <w:rPr>
          <w:rFonts w:eastAsia="Times New Roman" w:cs="Times New Roman"/>
          <w:kern w:val="0"/>
          <w:szCs w:val="24"/>
          <w14:ligatures w14:val="none"/>
        </w:rPr>
      </w:pPr>
      <w:r w:rsidRPr="00994531">
        <w:rPr>
          <w:rFonts w:eastAsia="Times New Roman" w:cs="Times New Roman"/>
          <w:kern w:val="0"/>
          <w:szCs w:val="24"/>
          <w14:ligatures w14:val="none"/>
        </w:rPr>
        <w:t xml:space="preserve">To precisely answer such questions as “how often do hot moments occur, and how much do they contribute to total emissions?” the qualitative definition given above for hot moments must be </w:t>
      </w:r>
      <w:r w:rsidRPr="00994531">
        <w:rPr>
          <w:rFonts w:eastAsia="Times New Roman" w:cs="Times New Roman"/>
          <w:kern w:val="0"/>
          <w:szCs w:val="24"/>
          <w14:ligatures w14:val="none"/>
        </w:rPr>
        <w:lastRenderedPageBreak/>
        <w:t xml:space="preserve">translated into to a quantitative framework. Considering that hot moments are by definition anomalous events, researchers have attempted to do this using “anomaly detection” </w:t>
      </w:r>
      <w:r w:rsidRPr="00994531">
        <w:rPr>
          <w:rFonts w:eastAsia="Times New Roman" w:cs="Times New Roman"/>
          <w:kern w:val="0"/>
          <w:szCs w:val="24"/>
          <w14:ligatures w14:val="none"/>
        </w:rPr>
        <w:fldChar w:fldCharType="begin"/>
      </w:r>
      <w:r w:rsidR="00D74AD1">
        <w:rPr>
          <w:rFonts w:eastAsia="Times New Roman" w:cs="Times New Roman"/>
          <w:kern w:val="0"/>
          <w:szCs w:val="24"/>
          <w14:ligatures w14:val="none"/>
        </w:rPr>
        <w:instrText xml:space="preserve"> ADDIN ZOTERO_ITEM CSL_CITATION {"citationID":"Q84L95hE","properties":{"formattedCitation":"(Anthony &amp; Silver, 2021; Corre et al., 1996; Molodovskaya et al., 2012; Stuchiner et al., 2025)","plainCitation":"(Anthony &amp; Silver, 2021; Corre et al., 1996; Molodovskaya et al., 2012; Stuchiner et al., 2025)","noteIndex":0},"citationItems":[{"id":794,"uris":["http://zotero.org/groups/4573874/items/UNBCKZAX"],"itemData":{"id":794,"type":"article-journal","abstract":"Agricultural peatlands are estimated to emit approximately one third of global greenhouse gas (GHG) emissions from croplands, but the temporal dynamics and controls of these emissions are poorly understood, particularly for nitrous oxide (N2O). We used cavity ring-down spectroscopy and automated chambers in a drained agricultural peatland to measure over 70,000 individual N2O, methane (CH4), and carbon dioxide (CO2) fluxes over 3 years. Our results showed that N2O fluxes were high, contributing 26% (annual range: 16%–35%) of annual CO2e emissions. Total N2O fluxes averaged 26 ± 0.5 kg N2O-N ha−1 y−1 and exhibited significant inter- and intra-annual variability with a maximum annual flux of 42 ± 1.8 kg N2O-N ha−1 y−1. Hot moments of N2O and CH4 emissions represented 1.1 ± 0.2 and 1.3 ± 0.2% of measurements, respectively, but contributed to 45 ± 1% of mean annual N2O fluxes and to 140 ± 9% of mean annual CH4 fluxes. Soil moisture, soil temperature, and bulk soil oxygen (O2) concentrations were strongly correlated with soil N2O and CH4 emissions; soil nitrate () concentrations were also significantly correlated with soil N2O emissions. These results suggest that IPCC benchmarks underestimate N2O emissions from these high emitting agricultural peatlands by up to 70%. Scaling to regional agricultural peatlands with similar management suggests these ecosystems could emit up to 1.86 Tg CO2e y−1 (range: 1.58–2.21 Tg CO2e y−1). Data suggest that these agricultural peatlands are large sources of GHGs, and that short-term hot moments of N2O and CH4 are a significant fraction of total greenhouse budgets.","container-title":"Global Change Biology","DOI":"10.1111/gcb.15802","ISSN":"1365-2486","issue":"20","language":"en","note":"_eprint: https://onlinelibrary.wiley.com/doi/pdf/10.1111/gcb.15802","page":"5141-5153","source":"Wiley Online Library","title":"Hot moments drive extreme nitrous oxide and methane emissions from agricultural peatlands","volume":"27","author":[{"family":"Anthony","given":"Tyler L."},{"family":"Silver","given":"Whendee L."}],"issued":{"date-parts":[["2021"]]}}},{"id":2998,"uris":["http://zotero.org/groups/4573874/items/YIIDL6JK"],"itemData":{"id":2998,"type":"article-journal","abstract":"As a prerequisite for quantification of annual N2O emissions at a regional scale, this study was conducted to determine the landscape-scale patterns and seasonal fluctuations of N2O emission and to demonstrate the linking relationships between large-scale controllers and proximal factors of N2O emission. An area of the Black soil zone of central Saskatchewan, Canada, was stratified into three main textural areas: clay loam, fine sandy loam, and sandy. Within each textural area, representative sites were selected based on land use: unfertilized and fertilized cropland, fallow, pasture, and forest sites. A consistent landscape-scale pattern of N2O emission was observed; footslope positions had higher N2O fluxes than shoulder positions. The role of topography is attributed to its strong influence on the hydrologic and pedologic processes in the landscape, which, in turn, regulate the soil factors controlling N2O emission at the microscale level. The seasonal fluctuation of N2O emission was influenced by precipitation. Pulses of activity were observed during summer, after rainfall events following N fertilizer application, and during spring thaw. At the regional scale, the sandy area had lower N2O emissions than the fine-textured areas. The general order of N2O evolved among the land uses was forest &lt; pasture &lt; fallow ≈ unfertilized &lt; fertilized cropland. Our results showed the importance of developing spatially based, predictive relationships between N2O emission and its controlling factors. Linking these relationships with large-scale integrative variables, such as soil texture and land use, provides a means for extrapolating N2O fluxes from landscape to regional scale.","container-title":"Soil Science Society of America Journal","DOI":"10.2136/sssaj1996.03615995006000060028x","ISSN":"1435-0661","issue":"6","language":"en","note":"_eprint: https://onlinelibrary.wiley.com/doi/pdf/10.2136/sssaj1996.03615995006000060028x","page":"1806-1815","source":"Wiley Online Library","title":"Landscape and Seasonal Patterns of Nitrous Oxide Emissions in a Semiarid Region","volume":"60","author":[{"family":"Corre","given":"M. D."},{"family":"Kessel","given":"C.","non-dropping-particle":"van"},{"family":"Pennock","given":"D. J."}],"issued":{"date-parts":[["1996"]]}}},{"id":692,"uris":["http://zotero.org/groups/4573874/items/97DFR7GJ"],"itemData":{"id":692,"type":"article-journal","abstract":"Nitrous oxide (N2O) emissions were monitored using the micrometeorological eddy covariance technique from manure-fertilized cropland on a large dairy farm in New York State in 2006 to 2009. Nitrous oxide emissions demonstrated episodic behavior with intermittent short-duration peak fluxes up to 39.7 mg N2O-N m−2 d−1, whereas most of background fluxes during the annual agricultural cycle were below 6.5 mg N2O-N m−2 d−1. This paper discusses temporal variability of measured N2O emissions using a “hot moment” approach. To identify and quantify peak events as potential hot moments and to determine whether or not they could be treated statistically as outliers, N2O daily fluxes were analyzed by the box plot method using multiple thresholds. Peak events exceeding outlier thresholds contributed up to 51% of cumulative annual N2O emissions, although they represented &lt;7% of the total observation time. Individual N2O peaks were also categorized by their duration, as single day spikes and multiday events. The highest contributing instances were multiday N2O peaks during summer precipitation and early spring thaw, largely enhanced by manure fertilization. These high-intensity emission events demonstrated repetitive seasonal responses to a combination of environmental factors and were therefore identified as hot moments. Abrupt rises in both temperature and soil moisture appeared to trigger major hot moments, whereas the availability of manure N controlled their magnitude. In the absence of strong correlations between time-series of individual environmental factors and N2O emissions, the hot moment approach can be a promising tool for the integrated analysis of most significant N2O events in cultivated fields receiving manure applications.","container-title":"Soil Science Society of America Journal","DOI":"10.2136/sssaj2012.0039","ISSN":"1435-0661","issue":"5","language":"en","note":"_eprint: https://onlinelibrary.wiley.com/doi/pdf/10.2136/sssaj2012.0039","page":"1728-1740","source":"Wiley Online Library","title":"Temporal Variability of Nitrous Oxide from Fertilized Croplands: Hot Moment Analysis","title-short":"Temporal Variability of Nitrous Oxide from Fertilized Croplands","volume":"76","author":[{"family":"Molodovskaya","given":"Marina"},{"family":"Singurindy","given":"Olga"},{"family":"Richards","given":"Brian K."},{"family":"Warland","given":"Jon"},{"family":"Johnson","given":"Mark S."},{"family":"Steenhuis","given":"Tammo S."}],"issued":{"date-parts":[["2012"]]}}},{"id":3046,"uris":["http://zotero.org/groups/4573874/items/GYIWTSML"],"itemData":{"id":3046,"type":"article-journal","abstract":"Effectively quantifying hot moments of nitrous oxide (N2O) emissions from agricultural soils is critical for managing this potent greenhouse gas. However, we are challenged by a lack of standard approaches for identifying hot moments, including (a) determining thresholds above which emissions are considered hot moments, and (b) considering seasonal variation in the magnitude and frequency distribution of net N2O fluxes. We used one year of hourly N2O flux measurements from 16 autochambers that varied in flux magnitude and frequency distribution in a conventionally tilled maize field in central Illinois, USA, to compare three approaches to identify hot moment thresholds: standard deviations (SD) above the mean, 1.5x the interquartile range (IQR), and isolation forest (IF) identification of anomalous values. We also compared these approaches on seasonally subdivided data (early, late, and non-growing seasons) versus the whole year. Our analyses revealed that 1.5x IQR method best identified N2O hot moments. In contrast, using 2 or 4 SD both yielded hot moment threshold values too high, and IF yielded threshold values too low, leading to missed N2O hot moments or low net N2O fluxes mischaracterized as hot moments, respectively. Furthermore, seasonally subdividing the data set not only facilitated identification of smaller hot moments in the late- and non-growing seasons when N2O hot moments were generally smaller but it also increased hot moment threshold values in the early growing season when N2O hot moments were larger. Consequently, of the methods evaluated here, we recommend using the 1.5x IQR method on whole year data sets to identify N2O hot moments.","container-title":"Journal of Geophysical Research: Biogeosciences","DOI":"10.1029/2024JG008138","ISSN":"2169-8961","issue":"1","language":"en","license":"© 2024. The Author(s).","note":"_eprint: https://onlinelibrary.wiley.com/doi/pdf/10.1029/2024JG008138","page":"e2024JG008138","source":"Wiley Online Library","title":"Hot or Not? An Evaluation of Methods for Identifying Hot Moments of Nitrous Oxide Emissions From Soils","title-short":"Hot or Not?","volume":"130","author":[{"family":"Stuchiner","given":"Emily R."},{"family":"Xu","given":"Jiacheng"},{"family":"Eddy","given":"William C."},{"family":"DeLucia","given":"Evan H."},{"family":"Yang","given":"Wendy H."}],"issued":{"date-parts":[["2025"]]}}}],"schema":"https://github.com/citation-style-language/schema/raw/master/csl-citation.json"} </w:instrText>
      </w:r>
      <w:r w:rsidRPr="00994531">
        <w:rPr>
          <w:rFonts w:eastAsia="Times New Roman" w:cs="Times New Roman"/>
          <w:kern w:val="0"/>
          <w:szCs w:val="24"/>
          <w14:ligatures w14:val="none"/>
        </w:rPr>
        <w:fldChar w:fldCharType="separate"/>
      </w:r>
      <w:r w:rsidRPr="00994531">
        <w:rPr>
          <w:rFonts w:cs="Times New Roman"/>
        </w:rPr>
        <w:t>(Anthony &amp; Silver, 2021; Corre et al., 1996; Molodovskaya et al., 2012; Stuchiner et al., 2025)</w:t>
      </w:r>
      <w:r w:rsidRPr="00994531">
        <w:rPr>
          <w:rFonts w:eastAsia="Times New Roman" w:cs="Times New Roman"/>
          <w:kern w:val="0"/>
          <w:szCs w:val="24"/>
          <w14:ligatures w14:val="none"/>
        </w:rPr>
        <w:fldChar w:fldCharType="end"/>
      </w:r>
      <w:r w:rsidRPr="00994531">
        <w:rPr>
          <w:rFonts w:eastAsia="Times New Roman" w:cs="Times New Roman"/>
          <w:kern w:val="0"/>
          <w:szCs w:val="24"/>
          <w14:ligatures w14:val="none"/>
        </w:rPr>
        <w:t xml:space="preserve">, which uses statistical methods to classify data as either within expected behavior or anomalous </w:t>
      </w:r>
      <w:r w:rsidRPr="00994531">
        <w:rPr>
          <w:rFonts w:eastAsia="Times New Roman" w:cs="Times New Roman"/>
          <w:kern w:val="0"/>
          <w:szCs w:val="24"/>
          <w14:ligatures w14:val="none"/>
        </w:rPr>
        <w:fldChar w:fldCharType="begin"/>
      </w:r>
      <w:r w:rsidR="00D74AD1">
        <w:rPr>
          <w:rFonts w:eastAsia="Times New Roman" w:cs="Times New Roman"/>
          <w:kern w:val="0"/>
          <w:szCs w:val="24"/>
          <w14:ligatures w14:val="none"/>
        </w:rPr>
        <w:instrText xml:space="preserve"> ADDIN ZOTERO_ITEM CSL_CITATION {"citationID":"Qibt5uUC","properties":{"formattedCitation":"(Pasha &amp; Umesh, 2013)","plainCitation":"(Pasha &amp; Umesh, 2013)","noteIndex":0},"citationItems":[{"id":858,"uris":["http://zotero.org/groups/4573874/items/4F7TTLFT"],"itemData":{"id":858,"type":"article-journal","container-title":"International Journal of Computer Applications","issue":"24","note":"publisher: Citeseer","title":"A comparative study on outlier detection techniques","volume":"66","author":[{"family":"Pasha","given":"Mohammad Zaid"},{"family":"Umesh","given":"Nitin"}],"issued":{"date-parts":[["2013"]]}}}],"schema":"https://github.com/citation-style-language/schema/raw/master/csl-citation.json"} </w:instrText>
      </w:r>
      <w:r w:rsidRPr="00994531">
        <w:rPr>
          <w:rFonts w:eastAsia="Times New Roman" w:cs="Times New Roman"/>
          <w:kern w:val="0"/>
          <w:szCs w:val="24"/>
          <w14:ligatures w14:val="none"/>
        </w:rPr>
        <w:fldChar w:fldCharType="separate"/>
      </w:r>
      <w:r w:rsidRPr="00994531">
        <w:rPr>
          <w:rFonts w:eastAsia="Times New Roman" w:cs="Times New Roman"/>
          <w:kern w:val="0"/>
          <w:szCs w:val="24"/>
          <w14:ligatures w14:val="none"/>
        </w:rPr>
        <w:t>(Pasha &amp; Umesh, 2013)</w:t>
      </w:r>
      <w:r w:rsidRPr="00994531">
        <w:rPr>
          <w:rFonts w:eastAsia="Times New Roman" w:cs="Times New Roman"/>
          <w:kern w:val="0"/>
          <w:szCs w:val="24"/>
          <w14:ligatures w14:val="none"/>
        </w:rPr>
        <w:fldChar w:fldCharType="end"/>
      </w:r>
      <w:r w:rsidRPr="00994531">
        <w:rPr>
          <w:rFonts w:eastAsia="Times New Roman" w:cs="Times New Roman"/>
          <w:kern w:val="0"/>
          <w:szCs w:val="24"/>
          <w14:ligatures w14:val="none"/>
        </w:rPr>
        <w:t xml:space="preserve">. However, there exist a large and growing number of methods of anomaly detection, each with particular capabilities, strengths, weaknesses, and methods of measuring “anomalousness,” and their selection has a large impact on which and what proportion of the data are classified as anomalies, or in this case hot moments </w:t>
      </w:r>
      <w:r w:rsidRPr="00994531">
        <w:rPr>
          <w:rFonts w:eastAsia="Times New Roman" w:cs="Times New Roman"/>
          <w:kern w:val="0"/>
          <w:szCs w:val="24"/>
          <w14:ligatures w14:val="none"/>
        </w:rPr>
        <w:fldChar w:fldCharType="begin"/>
      </w:r>
      <w:r w:rsidR="00D74AD1">
        <w:rPr>
          <w:rFonts w:eastAsia="Times New Roman" w:cs="Times New Roman"/>
          <w:kern w:val="0"/>
          <w:szCs w:val="24"/>
          <w14:ligatures w14:val="none"/>
        </w:rPr>
        <w:instrText xml:space="preserve"> ADDIN ZOTERO_ITEM CSL_CITATION {"citationID":"VYIbkLUL","properties":{"formattedCitation":"(Ben-Gal, 2005; Chandola et al., 2009; Domingues et al., 2018; Molodovskaya et al., 2012)","plainCitation":"(Ben-Gal, 2005; Chandola et al., 2009; Domingues et al., 2018; Molodovskaya et al., 2012)","noteIndex":0},"citationItems":[{"id":917,"uris":["http://zotero.org/groups/4573874/items/FGLDXD8P"],"itemData":{"id":917,"type":"chapter","abstract":"Outlier detection is a primary step in many data-mining applications. We present several methods for outlier detection, while distinguishing between univariate vs. multivariate techniques and parametric vs. nonparametric procedures. In presence of outliers, special attention should be taken to assure the robustness of the used estimators. Outlier detection for Data Mining is often based on distance measures, clustering and spatial methods.","container-title":"Data Mining and Knowledge Discovery Handbook","event-place":"Boston, MA","ISBN":"978-0-387-25465-4","language":"en","note":"DOI: 10.1007/0-387-25465-X_7","page":"131-146","publisher":"Springer US","publisher-place":"Boston, MA","source":"Springer Link","title":"Outlier Detection","URL":"https://doi.org/10.1007/0-387-25465-X_7","author":[{"family":"Ben-Gal","given":"Irad"}],"editor":[{"family":"Maimon","given":"Oded"},{"family":"Rokach","given":"Lior"}],"accessed":{"date-parts":[["2023",7,3]]},"issued":{"date-parts":[["2005"]]}}},{"id":1445,"uris":["http://zotero.org/groups/4573874/items/A8RD8TFP"],"itemData":{"id":1445,"type":"article-journal","abstract":"Anomaly detection is an important problem that has been researched within diverse research areas and application domains. Many anomaly detection techniques have been specifically developed for certain application domains, while others are more generic. This survey tries to provide a structured and comprehensive overview of the research on anomaly detection. We have grouped existing techniques into different categories based on the underlying approach adopted by each technique. For each category we have identified key assumptions, which are used by the techniques to differentiate between normal and anomalous behavior. When applying a given technique to a particular domain, these assumptions can be used as guidelines to assess the effectiveness of the technique in that domain. For each category, we provide a basic anomaly detection technique, and then show how the different existing techniques in that category are variants of the basic technique. This template provides an easier and more succinct understanding of the techniques belonging to each category. Further, for each category, we identify the advantages and disadvantages of the techniques in that category. We also provide a discussion on the computational complexity of the techniques since it is an important issue in real application domains. We hope that this survey will provide a better understanding of the different directions in which research has been done on this topic, and how techniques developed in one area can be applied in domains for which they were not intended to begin with.","container-title":"ACM Computing Surveys","DOI":"10.1145/1541880.1541882","ISSN":"0360-0300","issue":"3","journalAbbreviation":"ACM Comput. Surv.","page":"15:1–15:58","source":"ACM Digital Library","title":"Anomaly detection: A survey","title-short":"Anomaly detection","volume":"41","author":[{"family":"Chandola","given":"Varun"},{"family":"Banerjee","given":"Arindam"},{"family":"Kumar","given":"Vipin"}],"issued":{"date-parts":[["2009",7,30]]}}},{"id":885,"uris":["http://zotero.org/groups/4573874/items/IEDMWJ8L"],"itemData":{"id":885,"type":"article-journal","abstract":"We survey unsupervised machine learning algorithms in the context of outlier detection. This task challenges state-of-the-art methods from a variety of research fields to applications including fraud detection, intrusion detection, medical diagnoses and data cleaning. The selected methods are benchmarked on publicly available datasets and novel industrial datasets. Each method is then submitted to extensive scalability, memory consumption and robustness tests in order to build a full overview of the algorithms’ characteristics.","container-title":"Pattern Recognition","DOI":"10.1016/j.patcog.2017.09.037","ISSN":"0031-3203","journalAbbreviation":"Pattern Recognition","language":"en","page":"406-421","source":"ScienceDirect","title":"A comparative evaluation of outlier detection algorithms: Experiments and analyses","title-short":"A comparative evaluation of outlier detection algorithms","volume":"74","author":[{"family":"Domingues","given":"Rémi"},{"family":"Filippone","given":"Maurizio"},{"family":"Michiardi","given":"Pietro"},{"family":"Zouaoui","given":"Jihane"}],"issued":{"date-parts":[["2018",2,1]]}}},{"id":692,"uris":["http://zotero.org/groups/4573874/items/97DFR7GJ"],"itemData":{"id":692,"type":"article-journal","abstract":"Nitrous oxide (N2O) emissions were monitored using the micrometeorological eddy covariance technique from manure-fertilized cropland on a large dairy farm in New York State in 2006 to 2009. Nitrous oxide emissions demonstrated episodic behavior with intermittent short-duration peak fluxes up to 39.7 mg N2O-N m−2 d−1, whereas most of background fluxes during the annual agricultural cycle were below 6.5 mg N2O-N m−2 d−1. This paper discusses temporal variability of measured N2O emissions using a “hot moment” approach. To identify and quantify peak events as potential hot moments and to determine whether or not they could be treated statistically as outliers, N2O daily fluxes were analyzed by the box plot method using multiple thresholds. Peak events exceeding outlier thresholds contributed up to 51% of cumulative annual N2O emissions, although they represented &lt;7% of the total observation time. Individual N2O peaks were also categorized by their duration, as single day spikes and multiday events. The highest contributing instances were multiday N2O peaks during summer precipitation and early spring thaw, largely enhanced by manure fertilization. These high-intensity emission events demonstrated repetitive seasonal responses to a combination of environmental factors and were therefore identified as hot moments. Abrupt rises in both temperature and soil moisture appeared to trigger major hot moments, whereas the availability of manure N controlled their magnitude. In the absence of strong correlations between time-series of individual environmental factors and N2O emissions, the hot moment approach can be a promising tool for the integrated analysis of most significant N2O events in cultivated fields receiving manure applications.","container-title":"Soil Science Society of America Journal","DOI":"10.2136/sssaj2012.0039","ISSN":"1435-0661","issue":"5","language":"en","note":"_eprint: https://onlinelibrary.wiley.com/doi/pdf/10.2136/sssaj2012.0039","page":"1728-1740","source":"Wiley Online Library","title":"Temporal Variability of Nitrous Oxide from Fertilized Croplands: Hot Moment Analysis","title-short":"Temporal Variability of Nitrous Oxide from Fertilized Croplands","volume":"76","author":[{"family":"Molodovskaya","given":"Marina"},{"family":"Singurindy","given":"Olga"},{"family":"Richards","given":"Brian K."},{"family":"Warland","given":"Jon"},{"family":"Johnson","given":"Mark S."},{"family":"Steenhuis","given":"Tammo S."}],"issued":{"date-parts":[["2012"]]}}}],"schema":"https://github.com/citation-style-language/schema/raw/master/csl-citation.json"} </w:instrText>
      </w:r>
      <w:r w:rsidRPr="00994531">
        <w:rPr>
          <w:rFonts w:eastAsia="Times New Roman" w:cs="Times New Roman"/>
          <w:kern w:val="0"/>
          <w:szCs w:val="24"/>
          <w14:ligatures w14:val="none"/>
        </w:rPr>
        <w:fldChar w:fldCharType="separate"/>
      </w:r>
      <w:r w:rsidRPr="00994531">
        <w:rPr>
          <w:rFonts w:eastAsia="Times New Roman" w:cs="Times New Roman"/>
          <w:kern w:val="0"/>
          <w:szCs w:val="24"/>
          <w:lang w:val="it-IT"/>
          <w14:ligatures w14:val="none"/>
        </w:rPr>
        <w:t>(Ben-Gal, 2005; Chandola et al., 2009; Domingues et al., 2018; Molodovskaya et al., 2012)</w:t>
      </w:r>
      <w:r w:rsidRPr="00994531">
        <w:rPr>
          <w:rFonts w:eastAsia="Times New Roman" w:cs="Times New Roman"/>
          <w:kern w:val="0"/>
          <w:szCs w:val="24"/>
          <w14:ligatures w14:val="none"/>
        </w:rPr>
        <w:fldChar w:fldCharType="end"/>
      </w:r>
      <w:r w:rsidRPr="00994531">
        <w:rPr>
          <w:rFonts w:eastAsia="Times New Roman" w:cs="Times New Roman"/>
          <w:kern w:val="0"/>
          <w:szCs w:val="24"/>
          <w:lang w:val="it-IT"/>
          <w14:ligatures w14:val="none"/>
        </w:rPr>
        <w:t xml:space="preserve">. </w:t>
      </w:r>
      <w:r w:rsidRPr="00994531">
        <w:rPr>
          <w:rFonts w:eastAsia="Times New Roman" w:cs="Times New Roman"/>
          <w:kern w:val="0"/>
          <w:szCs w:val="24"/>
          <w14:ligatures w14:val="none"/>
        </w:rPr>
        <w:t xml:space="preserve">Differences in statistical anomaly detection methods alone have resulted in widely varying estimates of hot moment prevalence, ranging from 2-18% within the same dataset </w:t>
      </w:r>
      <w:r w:rsidRPr="00994531">
        <w:rPr>
          <w:rFonts w:eastAsia="Times New Roman" w:cs="Times New Roman"/>
          <w:kern w:val="0"/>
          <w:szCs w:val="24"/>
          <w14:ligatures w14:val="none"/>
        </w:rPr>
        <w:fldChar w:fldCharType="begin"/>
      </w:r>
      <w:r w:rsidR="00D74AD1">
        <w:rPr>
          <w:rFonts w:eastAsia="Times New Roman" w:cs="Times New Roman"/>
          <w:kern w:val="0"/>
          <w:szCs w:val="24"/>
          <w14:ligatures w14:val="none"/>
        </w:rPr>
        <w:instrText xml:space="preserve"> ADDIN ZOTERO_ITEM CSL_CITATION {"citationID":"VlUIDMAo","properties":{"formattedCitation":"(Molodovskaya et al., 2012)","plainCitation":"(Molodovskaya et al., 2012)","noteIndex":0},"citationItems":[{"id":692,"uris":["http://zotero.org/groups/4573874/items/97DFR7GJ"],"itemData":{"id":692,"type":"article-journal","abstract":"Nitrous oxide (N2O) emissions were monitored using the micrometeorological eddy covariance technique from manure-fertilized cropland on a large dairy farm in New York State in 2006 to 2009. Nitrous oxide emissions demonstrated episodic behavior with intermittent short-duration peak fluxes up to 39.7 mg N2O-N m−2 d−1, whereas most of background fluxes during the annual agricultural cycle were below 6.5 mg N2O-N m−2 d−1. This paper discusses temporal variability of measured N2O emissions using a “hot moment” approach. To identify and quantify peak events as potential hot moments and to determine whether or not they could be treated statistically as outliers, N2O daily fluxes were analyzed by the box plot method using multiple thresholds. Peak events exceeding outlier thresholds contributed up to 51% of cumulative annual N2O emissions, although they represented &lt;7% of the total observation time. Individual N2O peaks were also categorized by their duration, as single day spikes and multiday events. The highest contributing instances were multiday N2O peaks during summer precipitation and early spring thaw, largely enhanced by manure fertilization. These high-intensity emission events demonstrated repetitive seasonal responses to a combination of environmental factors and were therefore identified as hot moments. Abrupt rises in both temperature and soil moisture appeared to trigger major hot moments, whereas the availability of manure N controlled their magnitude. In the absence of strong correlations between time-series of individual environmental factors and N2O emissions, the hot moment approach can be a promising tool for the integrated analysis of most significant N2O events in cultivated fields receiving manure applications.","container-title":"Soil Science Society of America Journal","DOI":"10.2136/sssaj2012.0039","ISSN":"1435-0661","issue":"5","language":"en","note":"_eprint: https://onlinelibrary.wiley.com/doi/pdf/10.2136/sssaj2012.0039","page":"1728-1740","source":"Wiley Online Library","title":"Temporal Variability of Nitrous Oxide from Fertilized Croplands: Hot Moment Analysis","title-short":"Temporal Variability of Nitrous Oxide from Fertilized Croplands","volume":"76","author":[{"family":"Molodovskaya","given":"Marina"},{"family":"Singurindy","given":"Olga"},{"family":"Richards","given":"Brian K."},{"family":"Warland","given":"Jon"},{"family":"Johnson","given":"Mark S."},{"family":"Steenhuis","given":"Tammo S."}],"issued":{"date-parts":[["2012"]]}}}],"schema":"https://github.com/citation-style-language/schema/raw/master/csl-citation.json"} </w:instrText>
      </w:r>
      <w:r w:rsidRPr="00994531">
        <w:rPr>
          <w:rFonts w:eastAsia="Times New Roman" w:cs="Times New Roman"/>
          <w:kern w:val="0"/>
          <w:szCs w:val="24"/>
          <w14:ligatures w14:val="none"/>
        </w:rPr>
        <w:fldChar w:fldCharType="separate"/>
      </w:r>
      <w:r w:rsidRPr="00994531">
        <w:rPr>
          <w:rFonts w:eastAsia="Times New Roman" w:cs="Times New Roman"/>
          <w:kern w:val="0"/>
          <w:szCs w:val="24"/>
          <w14:ligatures w14:val="none"/>
        </w:rPr>
        <w:t>(Molodovskaya et al., 2012)</w:t>
      </w:r>
      <w:r w:rsidRPr="00994531">
        <w:rPr>
          <w:rFonts w:eastAsia="Times New Roman" w:cs="Times New Roman"/>
          <w:kern w:val="0"/>
          <w:szCs w:val="24"/>
          <w14:ligatures w14:val="none"/>
        </w:rPr>
        <w:fldChar w:fldCharType="end"/>
      </w:r>
      <w:r w:rsidRPr="00994531">
        <w:rPr>
          <w:rFonts w:eastAsia="Times New Roman" w:cs="Times New Roman"/>
          <w:kern w:val="0"/>
          <w:szCs w:val="24"/>
          <w14:ligatures w14:val="none"/>
        </w:rPr>
        <w:t>. This variation raises a critical question: which method best aligns with our understanding of N</w:t>
      </w:r>
      <w:r w:rsidRPr="00994531">
        <w:rPr>
          <w:rFonts w:eastAsia="Times New Roman" w:cs="Times New Roman"/>
          <w:kern w:val="0"/>
          <w:szCs w:val="24"/>
          <w:vertAlign w:val="subscript"/>
          <w14:ligatures w14:val="none"/>
        </w:rPr>
        <w:t>2</w:t>
      </w:r>
      <w:r w:rsidRPr="00994531">
        <w:rPr>
          <w:rFonts w:eastAsia="Times New Roman" w:cs="Times New Roman"/>
          <w:kern w:val="0"/>
          <w:szCs w:val="24"/>
          <w14:ligatures w14:val="none"/>
        </w:rPr>
        <w:t xml:space="preserve">O hot moments within a given context? </w:t>
      </w:r>
    </w:p>
    <w:p w14:paraId="4AED5B79" w14:textId="5AB3C6E3" w:rsidR="00EF23D4" w:rsidRPr="00994531" w:rsidRDefault="00EF23D4" w:rsidP="001B567A">
      <w:pPr>
        <w:spacing w:after="0" w:line="480" w:lineRule="auto"/>
        <w:rPr>
          <w:rFonts w:eastAsia="Times New Roman" w:cs="Times New Roman"/>
          <w:kern w:val="0"/>
          <w:szCs w:val="24"/>
          <w14:ligatures w14:val="none"/>
        </w:rPr>
      </w:pPr>
      <w:r w:rsidRPr="00994531">
        <w:rPr>
          <w:rFonts w:eastAsia="Times New Roman" w:cs="Times New Roman"/>
          <w:kern w:val="0"/>
          <w:szCs w:val="24"/>
          <w14:ligatures w14:val="none"/>
        </w:rPr>
        <w:t xml:space="preserve">This uncertainty has led to a lack of scientific progress stemming from hesitance to apply numerical methods, and some to therefore question the very usefulness of the concept </w:t>
      </w:r>
      <w:r w:rsidRPr="00994531">
        <w:rPr>
          <w:rFonts w:eastAsia="Times New Roman" w:cs="Times New Roman"/>
          <w:kern w:val="0"/>
          <w:szCs w:val="24"/>
          <w14:ligatures w14:val="none"/>
        </w:rPr>
        <w:fldChar w:fldCharType="begin"/>
      </w:r>
      <w:r w:rsidR="00D74AD1">
        <w:rPr>
          <w:rFonts w:eastAsia="Times New Roman" w:cs="Times New Roman"/>
          <w:kern w:val="0"/>
          <w:szCs w:val="24"/>
          <w14:ligatures w14:val="none"/>
        </w:rPr>
        <w:instrText xml:space="preserve"> ADDIN ZOTERO_ITEM CSL_CITATION {"citationID":"zuCo38zp","properties":{"formattedCitation":"(Bernhardt et al., 2017)","plainCitation":"(Bernhardt et al., 2017)","noteIndex":0},"citationItems":[{"id":1985,"uris":["http://zotero.org/groups/4573874/items/XE62TGV4"],"itemData":{"id":1985,"type":"article-journal","abstract":"The phrase “hot spots and hot moments” first entered the lexicon in 2003, following the publication of the paper “Biogeochemical hot spots and hot moments at the interface of terrestrial and aquatic ecosystems” by McClain and others (Ecosystems 6:301–312, 2003). This paper described the potential for rare places and rare events to exert a disproportionate influence on the movement of elements at the scale of landscapes and ecosystems. Here, we examine how the cleverly named hot spot and hot moment concept (hereafter HSHM) has influenced biogeochemistry and ecosystem science over the last 13 years. We specifically examined the extent to which the HSHM concept has: (1) motivated research aimed at understanding how and why biogeochemical behavior varies across spatiotemporal scales; (2) improved our ability to detect HSHM phenomena; and (3) influenced our approaches to restoration and ecosystem management practices. We found that the HSHM concept has provided a highly fertile framework for a substantial volume of research on the spatial and temporal dynamics of nutrient cycling, and in doing so, has improved our understanding of when and where biogeochemical rates are maximized. Despite the high usage of the term, we found limited examples of rigorous statistical or modeling approaches that would allow ecosystem scientists to not only identify, but scale the aggregate impact of HSHM on ecosystem processes. We propose that the phrase “hot spots and hot moments” includes two implicit assumptions that may actually be limiting progress in applying the concept. First, by differentiating “hot spots” from “hot moments,” the phrase separates the spatial and temporal components of biogeochemical behavior. Instead, we argue that the temporal dynamics of a putative hot spot are a fundamental trait that should be used in their description. Second, the adjective “hot” implicitly suggests that a place or a time must be dichotomously classified as “hot or not.” We suggest instead that each landscape of interest contains a wide range of biogeochemical process rates that respond to critical drivers, and the gradations of this biogeochemical topography are of greater interest than the maximum peaks. For these reasons, we recommend replacing the HSHM terminology with the more nuanced term ecosystem control points. “Ecosystem control” suggests that the rate must be of sufficient magnitude or ubiquity to affect dynamics of the ecosystem, while “points” allows for descriptions that simultaneously incorporate both spatial and temporal dynamics. We further suggest that there are at least four distinct types of ecosystem control points whose influence arises through distinct hydrologic and biogeochemical mechanisms. Our goal is to provide the tools with which researchers can develop testable hypotheses regarding the spatiotemporal dynamics of biogeochemistry that will stimulate advances in more accurately identifying, modeling and scaling biogeochemical heterogeneity to better understand ecosystem processes.","container-title":"Ecosystems","DOI":"10.1007/s10021-016-0103-y","ISSN":"1435-0629","issue":"4","journalAbbreviation":"Ecosystems","language":"en","page":"665-682","source":"Springer Link","title":"Control Points in Ecosystems: Moving Beyond the Hot Spot Hot Moment Concept","title-short":"Control Points in Ecosystems","volume":"20","author":[{"family":"Bernhardt","given":"Emily S."},{"family":"Blaszczak","given":"Joanna R."},{"family":"Ficken","given":"Cari D."},{"family":"Fork","given":"Megan L."},{"family":"Kaiser","given":"Kendra E."},{"family":"Seybold","given":"Erin C."}],"issued":{"date-parts":[["2017",6,1]]}}}],"schema":"https://github.com/citation-style-language/schema/raw/master/csl-citation.json"} </w:instrText>
      </w:r>
      <w:r w:rsidRPr="00994531">
        <w:rPr>
          <w:rFonts w:eastAsia="Times New Roman" w:cs="Times New Roman"/>
          <w:kern w:val="0"/>
          <w:szCs w:val="24"/>
          <w14:ligatures w14:val="none"/>
        </w:rPr>
        <w:fldChar w:fldCharType="separate"/>
      </w:r>
      <w:r w:rsidRPr="00994531">
        <w:rPr>
          <w:rFonts w:eastAsia="Times New Roman" w:cs="Times New Roman"/>
          <w:kern w:val="0"/>
          <w:szCs w:val="24"/>
          <w14:ligatures w14:val="none"/>
        </w:rPr>
        <w:t>(Bernhardt et al., 2017)</w:t>
      </w:r>
      <w:r w:rsidRPr="00994531">
        <w:rPr>
          <w:rFonts w:eastAsia="Times New Roman" w:cs="Times New Roman"/>
          <w:kern w:val="0"/>
          <w:szCs w:val="24"/>
          <w14:ligatures w14:val="none"/>
        </w:rPr>
        <w:fldChar w:fldCharType="end"/>
      </w:r>
      <w:r w:rsidRPr="00994531">
        <w:rPr>
          <w:rFonts w:eastAsia="Times New Roman" w:cs="Times New Roman"/>
          <w:kern w:val="0"/>
          <w:szCs w:val="24"/>
          <w14:ligatures w14:val="none"/>
        </w:rPr>
        <w:t xml:space="preserve">. Bernhardt et al. (2017) point out that discussions of hot moments have been predominately qualitative, always suggesting the importance of these phenomena yet rarely quantifying it or suggesting a clear path to applying this concept toward solutions. Yet statistical anomaly detection is commonly and effectively applied across a wide range of fields to identify key events, with the caveat that the method selected should be evaluated for its appropriateness within a specific context </w:t>
      </w:r>
      <w:r w:rsidRPr="00994531">
        <w:rPr>
          <w:rFonts w:eastAsia="Times New Roman" w:cs="Times New Roman"/>
          <w:kern w:val="0"/>
          <w:szCs w:val="24"/>
          <w14:ligatures w14:val="none"/>
        </w:rPr>
        <w:fldChar w:fldCharType="begin"/>
      </w:r>
      <w:r w:rsidR="00D74AD1">
        <w:rPr>
          <w:rFonts w:eastAsia="Times New Roman" w:cs="Times New Roman"/>
          <w:kern w:val="0"/>
          <w:szCs w:val="24"/>
          <w14:ligatures w14:val="none"/>
        </w:rPr>
        <w:instrText xml:space="preserve"> ADDIN ZOTERO_ITEM CSL_CITATION {"citationID":"8ojpa3Dx","properties":{"formattedCitation":"(Ayadi et al., 2017; Dastjerdy et al., 2023; Robinson et al., 2005; Russo et al., 2021; Singh &amp; Upadhyaya, 2012)","plainCitation":"(Ayadi et al., 2017; Dastjerdy et al., 2023; Robinson et al., 2005; Russo et al., 2021; Singh &amp; Upadhyaya, 2012)","noteIndex":0},"citationItems":[{"id":3025,"uris":["http://zotero.org/groups/4573874/items/AJT4JEVH"],"itemData":{"id":3025,"type":"article-journal","abstract":"Over the past few years, wireless sensor networks have gained significant attention. They have been distributed in the real world in order to collect valuable raw sensed data. Due to high density, WSNs (Wireless Sensors Networks) are exposed to faults and nasty attacks. Likewise, the sensors readings are inaccurate and unreliable, which make Wireless Sensor Networks vulnerable to outliers. Abnormal data, outliers or anomalies are usually considered to be those sensor readings that have deviated significantly from normal behavior. However, the challenge is to ensure data quality, secure monitoring and reliable detection of interesting and critical events. In this survey, we describe a comprehensive overview of existing outlier detection techniques specifically used for the wireless sensor networks. Moreover, we present a comparative table used as a guideline to select which technique is adequate for the application in terms of characteristics such as detection mode, architectural structure and correlation extraction.","container-title":"Computer Networks","DOI":"10.1016/j.comnet.2017.10.007","ISSN":"1389-1286","journalAbbreviation":"Computer Networks","page":"319-333","source":"ScienceDirect","title":"Outlier detection approaches for wireless sensor networks: A survey","title-short":"Outlier detection approaches for wireless sensor networks","volume":"129","author":[{"family":"Ayadi","given":"Aya"},{"family":"Ghorbel","given":"Oussama"},{"family":"Obeid","given":"Abdulfattah M."},{"family":"Abid","given":"Mohamed"}],"issued":{"date-parts":[["2017",12,24]]}}},{"id":3027,"uris":["http://zotero.org/groups/4573874/items/94QIGFJU"],"itemData":{"id":3027,"type":"article-journal","abstract":"The reliability of geomechanical models and engineering designs depend heavily on high-quality data. In geomechanical projects, collecting and analyzing laboratory data is crucial in characterizing the mechanical properties of soils and rocks. However, insufficient lab data or underestimating data treatment can lead to unreliable data being used in the design stage, causing safety hazards, delays, or failures. Hence, detecting outliers or extreme values is significant for ensuring accurate geomechanical analysis. This study reviews and categorizes applicable outlier detection methods for geomechanical data into fence labeling methods and statistical tests. Using real geomechanical data, the applicability of these methods was examined based on four elements: data distribution, sensitivity to extreme values, sample size, and data skewness. The results indicated that statistical tests were less effective than fence labeling methods in detecting outliers in geomechanical data due to limitations in handling skewed data and small sample sizes. Thus, the best outlier detection method should consider this matter. Fence labeling methods, specifically, the medcouple boxplot and semi-interquartile range rule, were identified as the most accurate outlier detection methods for geomechanical data but may necessitate more advanced statistical techniques. Moreover, Tukey’s boxplot was found unsuitable for geomechanical data due to negative confidence intervals that conflicted with geomechanical principles.","container-title":"Geotechnics","DOI":"10.3390/geotechnics3020022","ISSN":"2673-7094","issue":"2","language":"en","license":"http://creativecommons.org/licenses/by/3.0/","note":"number: 2\npublisher: Multidisciplinary Digital Publishing Institute","page":"375-396","source":"www.mdpi.com","title":"Review of Applicable Outlier Detection Methods to Treat Geomechanical Data","volume":"3","author":[{"family":"Dastjerdy","given":"Behzad"},{"family":"Saeidi","given":"Ali"},{"family":"Heidarzadeh","given":"Shahriyar"}],"issued":{"date-parts":[["2023",6]]}}},{"id":3029,"uris":["http://zotero.org/groups/4573874/items/J9QW3JPH"],"itemData":{"id":3029,"type":"article-journal","abstract":"Evaluating water quality data for outliers is a good quality control/quality assessment\nprocedure whether the data are used for monitoring or for modeling. Often water quality\ndata are correlated, e.g., carbonaceous biochemical oxygen demand (CBOD) has ...","container-title":"Journal of Environmental Engineering","DOI":"10.1061/(ASCE)0733-9372(2005)131:4(651)","ISSN":"0733-9372","issue":"4","language":"EN","note":"publisher: American Society of Civil Engineers","page":"651-657","source":"ASCE","title":"Identifying Outliers in Correlated Water Quality Data","volume":"131","author":[{"family":"Robinson","given":"R. B."},{"family":"Cox","given":"Chris D."},{"family":"Odom","given":"K."}],"issued":{"date-parts":[["2005",4,1]]}}},{"id":1999,"uris":["http://zotero.org/groups/4573874/items/WI6S3YKM"],"itemData":{"id":1999,"type":"article-journal","abstract":"Anomaly detection is the process of identifying unexpected data samples in datasets. Automated anomaly detection is either performed using supervised machine learning models, which require a labelled dataset for their calibration, or unsupervised models, which do not require labels. While academic research has produced a vast array of tools and machine learning models for automated anomaly detection, the research community focused on environmental systems still lacks a comparative analysis that is simultaneously comprehensive, objective, and systematic. This knowledge gap is addressed for the first time in this study, where 15 different supervised and unsupervised anomaly detection models are evaluated on 5 different environmental datasets from engineered and natural aquatic systems. To this end, anomaly detection performance, labelling efforts, as well as the impact of model and algorithm tuning are taken into account. As a result, our analysis reveals the relative strengths and weaknesses of the different approaches in an objective manner without bias for any particular paradigm in machine learning. Most importantly, our results show that expert-based data annotation is extremely valuable for anomaly detection based on machine learning.","container-title":"Water Research","DOI":"10.1016/j.watres.2021.117695","ISSN":"0043-1354","journalAbbreviation":"Water Research","page":"117695","source":"ScienceDirect","title":"The value of human data annotation for machine learning based anomaly detection in environmental systems","volume":"206","author":[{"family":"Russo","given":"Stefania"},{"family":"Besmer","given":"Michael D."},{"family":"Blumensaat","given":"Frank"},{"family":"Bouffard","given":"Damien"},{"family":"Disch","given":"Andy"},{"family":"Hammes","given":"Frederik"},{"family":"Hess","given":"Angelika"},{"family":"Lürig","given":"Moritz"},{"family":"Matthews","given":"Blake"},{"family":"Minaudo","given":"Camille"},{"family":"Morgenroth","given":"Eberhard"},{"family":"Tran-Khac","given":"Viet"},{"family":"Villez","given":"Kris"}],"issued":{"date-parts":[["2021",11,1]]}}},{"id":854,"uris":["http://zotero.org/groups/4573874/items/I3YR7UL9"],"itemData":{"id":854,"type":"article-journal","abstract":"Outliers once upon a time regarded as noisy data in statistics, has turned out to be an important problem which is being researched in diverse fields of research and application domains. Many outlier detection techniques have been developed specific to certain application domains, while some techniques are more generic. Some application domains are being researched in strict confidentiality such as research on crime and terrorist activities. The techniques and results of such techniques are not readily forthcoming. A number of surveys, research and review articles and books cover outlier detection techniques in machine learning and statistical domains individually in great details. In this paper we make an attempt to bring together various outlier detection techniques, in a structured and generic description. With this exercise, we hope to attain a better understanding of the different directions of research on outlier analysis for ourselves as well as for beginners in this research field who could then pick up the links to different areas of applications in details.","issue":"1","language":"en","source":"Zotero","title":"Outlier Detection: Applications And Techniques","volume":"9","author":[{"family":"Singh","given":"Karanjit"},{"family":"Upadhyaya","given":"Dr Shuchita"}],"issued":{"date-parts":[["2012"]]}}}],"schema":"https://github.com/citation-style-language/schema/raw/master/csl-citation.json"} </w:instrText>
      </w:r>
      <w:r w:rsidRPr="00994531">
        <w:rPr>
          <w:rFonts w:eastAsia="Times New Roman" w:cs="Times New Roman"/>
          <w:kern w:val="0"/>
          <w:szCs w:val="24"/>
          <w14:ligatures w14:val="none"/>
        </w:rPr>
        <w:fldChar w:fldCharType="separate"/>
      </w:r>
      <w:r w:rsidRPr="00994531">
        <w:rPr>
          <w:rFonts w:eastAsia="Times New Roman" w:cs="Times New Roman"/>
          <w:kern w:val="0"/>
          <w:szCs w:val="24"/>
          <w:lang w:val="it-IT"/>
          <w14:ligatures w14:val="none"/>
        </w:rPr>
        <w:t>(Ayadi et al., 2017; Dastjerdy et al., 2023; Robinson et al., 2005; Russo et al., 2021; Singh &amp; Upadhyaya, 2012)</w:t>
      </w:r>
      <w:r w:rsidRPr="00994531">
        <w:rPr>
          <w:rFonts w:eastAsia="Times New Roman" w:cs="Times New Roman"/>
          <w:kern w:val="0"/>
          <w:szCs w:val="24"/>
          <w14:ligatures w14:val="none"/>
        </w:rPr>
        <w:fldChar w:fldCharType="end"/>
      </w:r>
      <w:r w:rsidRPr="00994531">
        <w:rPr>
          <w:rFonts w:eastAsia="Times New Roman" w:cs="Times New Roman"/>
          <w:kern w:val="0"/>
          <w:szCs w:val="24"/>
          <w:lang w:val="it-IT"/>
          <w14:ligatures w14:val="none"/>
        </w:rPr>
        <w:t xml:space="preserve">. </w:t>
      </w:r>
      <w:r w:rsidRPr="00994531">
        <w:rPr>
          <w:rFonts w:eastAsia="Times New Roman" w:cs="Times New Roman"/>
          <w:kern w:val="0"/>
          <w:szCs w:val="24"/>
          <w14:ligatures w14:val="none"/>
        </w:rPr>
        <w:t xml:space="preserve">What has been holding back advancements in quantitative research around biogeochemical hot moments is not a flaw in the concept, rather a </w:t>
      </w:r>
      <w:r w:rsidRPr="00994531">
        <w:rPr>
          <w:rFonts w:eastAsia="Times New Roman" w:cs="Times New Roman"/>
          <w:kern w:val="0"/>
          <w:szCs w:val="24"/>
          <w14:ligatures w14:val="none"/>
        </w:rPr>
        <w:lastRenderedPageBreak/>
        <w:t>lack of systematic evaluation of potential statistical methods of hot moment identification for their suitability, taking into account the specific nature of the data.</w:t>
      </w:r>
    </w:p>
    <w:p w14:paraId="0EDB06AE" w14:textId="32491603" w:rsidR="00EF23D4" w:rsidRPr="00994531" w:rsidRDefault="00EF23D4" w:rsidP="001B567A">
      <w:pPr>
        <w:spacing w:after="0" w:line="480" w:lineRule="auto"/>
        <w:rPr>
          <w:rFonts w:eastAsia="Times New Roman" w:cs="Times New Roman"/>
          <w:kern w:val="0"/>
          <w:szCs w:val="24"/>
          <w14:ligatures w14:val="none"/>
        </w:rPr>
      </w:pPr>
      <w:r w:rsidRPr="00994531">
        <w:rPr>
          <w:rFonts w:eastAsia="Times New Roman" w:cs="Times New Roman"/>
          <w:kern w:val="0"/>
          <w:szCs w:val="24"/>
          <w14:ligatures w14:val="none"/>
        </w:rPr>
        <w:t xml:space="preserve">To date, the quantitative methods used and evaluated have prioritized familiarity over suitability, gravitating toward methods like standard deviation and interquartile range (IQR; e.g., 1.5 IQR) which, while simple to compute, have key weaknesses in the context of hot moment identification. For example, anomalies can be considered ‘global,’ or anomalous within the entire dataset, or ‘local,’ or anomalous only within the context of neighboring data (see Text S2) </w:t>
      </w:r>
      <w:r w:rsidRPr="00994531">
        <w:rPr>
          <w:rFonts w:eastAsia="Times New Roman" w:cs="Times New Roman"/>
          <w:kern w:val="0"/>
          <w:szCs w:val="24"/>
          <w14:ligatures w14:val="none"/>
        </w:rPr>
        <w:fldChar w:fldCharType="begin"/>
      </w:r>
      <w:r w:rsidR="00D74AD1">
        <w:rPr>
          <w:rFonts w:eastAsia="Times New Roman" w:cs="Times New Roman"/>
          <w:kern w:val="0"/>
          <w:szCs w:val="24"/>
          <w14:ligatures w14:val="none"/>
        </w:rPr>
        <w:instrText xml:space="preserve"> ADDIN ZOTERO_ITEM CSL_CITATION {"citationID":"MmGCPTUa","properties":{"formattedCitation":"(Ben-Gal, 2005; Chandola et al., 2009)","plainCitation":"(Ben-Gal, 2005; Chandola et al., 2009)","noteIndex":0},"citationItems":[{"id":917,"uris":["http://zotero.org/groups/4573874/items/FGLDXD8P"],"itemData":{"id":917,"type":"chapter","abstract":"Outlier detection is a primary step in many data-mining applications. We present several methods for outlier detection, while distinguishing between univariate vs. multivariate techniques and parametric vs. nonparametric procedures. In presence of outliers, special attention should be taken to assure the robustness of the used estimators. Outlier detection for Data Mining is often based on distance measures, clustering and spatial methods.","container-title":"Data Mining and Knowledge Discovery Handbook","event-place":"Boston, MA","ISBN":"978-0-387-25465-4","language":"en","note":"DOI: 10.1007/0-387-25465-X_7","page":"131-146","publisher":"Springer US","publisher-place":"Boston, MA","source":"Springer Link","title":"Outlier Detection","URL":"https://doi.org/10.1007/0-387-25465-X_7","author":[{"family":"Ben-Gal","given":"Irad"}],"editor":[{"family":"Maimon","given":"Oded"},{"family":"Rokach","given":"Lior"}],"accessed":{"date-parts":[["2023",7,3]]},"issued":{"date-parts":[["2005"]]}}},{"id":1445,"uris":["http://zotero.org/groups/4573874/items/A8RD8TFP"],"itemData":{"id":1445,"type":"article-journal","abstract":"Anomaly detection is an important problem that has been researched within diverse research areas and application domains. Many anomaly detection techniques have been specifically developed for certain application domains, while others are more generic. This survey tries to provide a structured and comprehensive overview of the research on anomaly detection. We have grouped existing techniques into different categories based on the underlying approach adopted by each technique. For each category we have identified key assumptions, which are used by the techniques to differentiate between normal and anomalous behavior. When applying a given technique to a particular domain, these assumptions can be used as guidelines to assess the effectiveness of the technique in that domain. For each category, we provide a basic anomaly detection technique, and then show how the different existing techniques in that category are variants of the basic technique. This template provides an easier and more succinct understanding of the techniques belonging to each category. Further, for each category, we identify the advantages and disadvantages of the techniques in that category. We also provide a discussion on the computational complexity of the techniques since it is an important issue in real application domains. We hope that this survey will provide a better understanding of the different directions in which research has been done on this topic, and how techniques developed in one area can be applied in domains for which they were not intended to begin with.","container-title":"ACM Computing Surveys","DOI":"10.1145/1541880.1541882","ISSN":"0360-0300","issue":"3","journalAbbreviation":"ACM Comput. Surv.","page":"15:1–15:58","source":"ACM Digital Library","title":"Anomaly detection: A survey","title-short":"Anomaly detection","volume":"41","author":[{"family":"Chandola","given":"Varun"},{"family":"Banerjee","given":"Arindam"},{"family":"Kumar","given":"Vipin"}],"issued":{"date-parts":[["2009",7,30]]}}}],"schema":"https://github.com/citation-style-language/schema/raw/master/csl-citation.json"} </w:instrText>
      </w:r>
      <w:r w:rsidRPr="00994531">
        <w:rPr>
          <w:rFonts w:eastAsia="Times New Roman" w:cs="Times New Roman"/>
          <w:kern w:val="0"/>
          <w:szCs w:val="24"/>
          <w14:ligatures w14:val="none"/>
        </w:rPr>
        <w:fldChar w:fldCharType="separate"/>
      </w:r>
      <w:r w:rsidRPr="00994531">
        <w:rPr>
          <w:rFonts w:cs="Times New Roman"/>
        </w:rPr>
        <w:t>(Ben-Gal, 2005; Chandola et al., 2009)</w:t>
      </w:r>
      <w:r w:rsidRPr="00994531">
        <w:rPr>
          <w:rFonts w:eastAsia="Times New Roman" w:cs="Times New Roman"/>
          <w:kern w:val="0"/>
          <w:szCs w:val="24"/>
          <w14:ligatures w14:val="none"/>
        </w:rPr>
        <w:fldChar w:fldCharType="end"/>
      </w:r>
      <w:r w:rsidRPr="00994531">
        <w:rPr>
          <w:rFonts w:eastAsia="Times New Roman" w:cs="Times New Roman"/>
          <w:kern w:val="0"/>
          <w:szCs w:val="24"/>
          <w14:ligatures w14:val="none"/>
        </w:rPr>
        <w:t>. All prior analyses have used univariate methods which were only capable of identifying global anomalies, while we argue that because hot moments are contextual in nature, methods with the capacity to identify both global and temporally local anomalousness may have significant advantages in their ability to accurately identify off-season hot moments of smaller magnitudes.</w:t>
      </w:r>
    </w:p>
    <w:p w14:paraId="039C03E7" w14:textId="28FF510D" w:rsidR="00EF23D4" w:rsidRPr="00994531" w:rsidRDefault="00EF23D4" w:rsidP="001B567A">
      <w:pPr>
        <w:spacing w:after="0" w:line="480" w:lineRule="auto"/>
        <w:rPr>
          <w:rFonts w:eastAsia="Times New Roman" w:cs="Times New Roman"/>
          <w:kern w:val="0"/>
          <w:szCs w:val="24"/>
          <w14:ligatures w14:val="none"/>
        </w:rPr>
      </w:pPr>
      <w:r w:rsidRPr="00994531">
        <w:rPr>
          <w:rFonts w:eastAsia="Times New Roman" w:cs="Times New Roman"/>
          <w:kern w:val="0"/>
          <w:szCs w:val="24"/>
          <w14:ligatures w14:val="none"/>
        </w:rPr>
        <w:t xml:space="preserve">Moreover, the magnitude and frequency of hot moments also varies significantly with climate, management, season, and other factors </w:t>
      </w:r>
      <w:r w:rsidRPr="00994531">
        <w:rPr>
          <w:rFonts w:eastAsia="Times New Roman" w:cs="Times New Roman"/>
          <w:kern w:val="0"/>
          <w:szCs w:val="24"/>
          <w14:ligatures w14:val="none"/>
        </w:rPr>
        <w:fldChar w:fldCharType="begin"/>
      </w:r>
      <w:r w:rsidR="00D74AD1">
        <w:rPr>
          <w:rFonts w:eastAsia="Times New Roman" w:cs="Times New Roman"/>
          <w:kern w:val="0"/>
          <w:szCs w:val="24"/>
          <w14:ligatures w14:val="none"/>
        </w:rPr>
        <w:instrText xml:space="preserve"> ADDIN ZOTERO_ITEM CSL_CITATION {"citationID":"5MPZgge1","properties":{"formattedCitation":"(P. Groffman et al., 1988; P. M. Groffman et al., 2009)","plainCitation":"(P. Groffman et al., 1988; P. M. Groffman et al., 2009)","dontUpdate":true,"noteIndex":0},"citationItems":[{"id":1509,"uris":["http://zotero.org/groups/4573874/items/3VKZZKBD"],"itemData":{"id":1509,"type":"article-journal","container-title":"Advances in nitrogen cycling in agricultural ecosystems","journalAbbreviation":"Advances in nitrogen cycling in agricultural ecosystems","note":"publisher: CAB International Wallingford, UK","page":"174-192","title":"Denitrification at different temporal and geographical scales: proximal and distal controls","author":[{"family":"Groffman","given":"Peter"},{"family":"Tiedje","given":"JM"},{"family":"Robertson","given":"GP"},{"family":"Christensen","given":"S"}],"issued":{"date-parts":[["1988"]]}}},{"id":2455,"uris":["http://zotero.org/groups/5631027/items/FGCT8UMY"],"itemData":{"id":2455,"type":"article-journal","abstract":"Denitrification, the anaerobic reduction of nitrogen oxides to nitrogenous gases, is an extremely challenging process to measure and model. Much of this challenge arises from the fact that small areas (hotspots) and brief periods (hot moments) frequently account for a high percentage of the denitrification activity that occurs in both terrestrial and aquatic ecosystems. In this paper, we describe the prospects for incorporating hotspot and hot moment phenomena into denitrification models in terrestrial soils, the interface between terrestrial and aquatic ecosystems, and in aquatic ecosystems. Our analysis suggests that while our data needs are strongest for hot moments, the greatest modeling challenges are for hotspots. Given the increasing availability of high temporal frequency climate data, models are promising tools for evaluating the importance of hot moments such as freeze-thaw cycles and drying/rewetting events. Spatial hotspots are less tractable due to our inability to get high resolution spatial approximations of denitrification drivers such as carbon substrate. Investigators need to consider the types of hotspots and hot moments that might be occurring at small, medium, and large spatial scales in the particular ecosystem type they are working in before starting a study or developing a new model. New experimental design and heterogeneity quantification tools can then be applied from the outset and will result in better quantification and more robust and widely applicable denitrification models.","container-title":"Biogeochemistry","DOI":"10.1007/s10533-008-9277-5","ISSN":"1573-515X","issue":"1","journalAbbreviation":"Biogeochemistry","language":"en","page":"49-77","source":"Springer Link","title":"Challenges to incorporating spatially and temporally explicit phenomena (hotspots and hot moments) in denitrification models","volume":"93","author":[{"family":"Groffman","given":"Peter M."},{"family":"Butterbach-Bahl","given":"Klaus"},{"family":"Fulweiler","given":"Robinson W."},{"family":"Gold","given":"Arthur J."},{"family":"Morse","given":"Jennifer L."},{"family":"Stander","given":"Emilie K."},{"family":"Tague","given":"Christina"},{"family":"Tonitto","given":"Christina"},{"family":"Vidon","given":"Philippe"}],"issued":{"date-parts":[["2009",3,1]]}}}],"schema":"https://github.com/citation-style-language/schema/raw/master/csl-citation.json"} </w:instrText>
      </w:r>
      <w:r w:rsidRPr="00994531">
        <w:rPr>
          <w:rFonts w:eastAsia="Times New Roman" w:cs="Times New Roman"/>
          <w:kern w:val="0"/>
          <w:szCs w:val="24"/>
          <w14:ligatures w14:val="none"/>
        </w:rPr>
        <w:fldChar w:fldCharType="separate"/>
      </w:r>
      <w:r w:rsidRPr="00994531">
        <w:rPr>
          <w:rFonts w:cs="Times New Roman"/>
        </w:rPr>
        <w:t>(Groffman et al., 1988; Groffman et al., 2009)</w:t>
      </w:r>
      <w:r w:rsidRPr="00994531">
        <w:rPr>
          <w:rFonts w:eastAsia="Times New Roman" w:cs="Times New Roman"/>
          <w:kern w:val="0"/>
          <w:szCs w:val="24"/>
          <w14:ligatures w14:val="none"/>
        </w:rPr>
        <w:fldChar w:fldCharType="end"/>
      </w:r>
      <w:r w:rsidRPr="00994531">
        <w:rPr>
          <w:rFonts w:eastAsia="Times New Roman" w:cs="Times New Roman"/>
          <w:kern w:val="0"/>
          <w:szCs w:val="24"/>
          <w14:ligatures w14:val="none"/>
        </w:rPr>
        <w:t xml:space="preserve">. Both high magnitude and frequency of anomalies can distort the data characteristics used by many anomaly detection methods to measure anomalousness (such as the mean, standard deviation, and quartiles) and can lead to ‘masking’ of smaller anomalies or a statistical ‘breakdown point’ (see Text S3), resulting in false negatives </w:t>
      </w:r>
      <w:r w:rsidRPr="00994531">
        <w:rPr>
          <w:rFonts w:eastAsia="Times New Roman" w:cs="Times New Roman"/>
          <w:kern w:val="0"/>
          <w:szCs w:val="24"/>
          <w14:ligatures w14:val="none"/>
        </w:rPr>
        <w:fldChar w:fldCharType="begin"/>
      </w:r>
      <w:r w:rsidR="00D74AD1">
        <w:rPr>
          <w:rFonts w:eastAsia="Times New Roman" w:cs="Times New Roman"/>
          <w:kern w:val="0"/>
          <w:szCs w:val="24"/>
          <w14:ligatures w14:val="none"/>
        </w:rPr>
        <w:instrText xml:space="preserve"> ADDIN ZOTERO_ITEM CSL_CITATION {"citationID":"zcHRWPF7","properties":{"formattedCitation":"(Hampel, 1971; Rousseeuw &amp; Hubert, 2011)","plainCitation":"(Hampel, 1971; Rousseeuw &amp; Hubert, 2011)","noteIndex":0},"citationItems":[{"id":3045,"uris":["http://zotero.org/groups/4573874/items/KLQULHXN"],"itemData":{"id":3045,"type":"article-journal","abstract":"Two very closely related definitions of robustness of a sequence of estimators are given which take into account the types of deviations from parametric models that occur in practice. These definitions utilize the properties of the Prokhorov distance between probability distributions. It is proved that weak $^\\ast$-continuous functionals on the space of probability distributions define robust sequences of estimators (in either sense). The concept of the \"breakdown point\" of a sequence of estimators is defined, and some examples are given.","container-title":"The Annals of Mathematical Statistics","DOI":"10.1214/aoms/1177693054","ISSN":"0003-4851, 2168-8990","issue":"6","note":"publisher: Institute of Mathematical Statistics","page":"1887-1896","source":"Project Euclid","title":"A General Qualitative Definition of Robustness","volume":"42","author":[{"family":"Hampel","given":"Frank R."}],"issued":{"date-parts":[["1971",12]]}}},{"id":1374,"uris":["http://zotero.org/groups/4573874/items/XKRFWIGU"],"itemData":{"id":1374,"type":"article-journal","abstract":"When analyzing data, outlying observations cause problems because they may strongly influence the result. Robust statistics aims at detecting the outliers by searching for the model fitted by the majority of the data. We present an overview of several robust methods and outlier detection tools. We discuss robust procedures for univariate, low-dimensional, and high-dimensional data such as estimation of location and scatter, linear regression, principal component analysis, and classification. © 2011 John Wiley &amp; Sons, Inc. WIREs Data Mining Knowl Discov 2011 1 73-79 DOI: 10.1002/widm.2 This article is categorized under: Algorithmic Development &gt; Biological Data Mining Algorithmic Development &gt; Spatial and Temporal Data Mining Application Areas &gt; Health Care Technologies &gt; Structure Discovery and Clustering","container-title":"WIREs Data Mining and Knowledge Discovery","DOI":"10.1002/widm.2","ISSN":"1942-4795","issue":"1","language":"en","note":"_eprint: https://onlinelibrary.wiley.com/doi/pdf/10.1002/widm.2","page":"73-79","source":"Wiley Online Library","title":"Robust statistics for outlier detection","volume":"1","author":[{"family":"Rousseeuw","given":"Peter J."},{"family":"Hubert","given":"Mia"}],"issued":{"date-parts":[["2011"]]}}}],"schema":"https://github.com/citation-style-language/schema/raw/master/csl-citation.json"} </w:instrText>
      </w:r>
      <w:r w:rsidRPr="00994531">
        <w:rPr>
          <w:rFonts w:eastAsia="Times New Roman" w:cs="Times New Roman"/>
          <w:kern w:val="0"/>
          <w:szCs w:val="24"/>
          <w14:ligatures w14:val="none"/>
        </w:rPr>
        <w:fldChar w:fldCharType="separate"/>
      </w:r>
      <w:r w:rsidRPr="00994531">
        <w:rPr>
          <w:rFonts w:eastAsia="Times New Roman" w:cs="Times New Roman"/>
          <w:kern w:val="0"/>
          <w:szCs w:val="24"/>
          <w14:ligatures w14:val="none"/>
        </w:rPr>
        <w:t>(Hampel, 1971; Rousseeuw &amp; Hubert, 2011)</w:t>
      </w:r>
      <w:r w:rsidRPr="00994531">
        <w:rPr>
          <w:rFonts w:eastAsia="Times New Roman" w:cs="Times New Roman"/>
          <w:kern w:val="0"/>
          <w:szCs w:val="24"/>
          <w14:ligatures w14:val="none"/>
        </w:rPr>
        <w:fldChar w:fldCharType="end"/>
      </w:r>
      <w:r w:rsidRPr="00994531">
        <w:rPr>
          <w:rFonts w:eastAsia="Times New Roman" w:cs="Times New Roman"/>
          <w:kern w:val="0"/>
          <w:szCs w:val="24"/>
          <w14:ligatures w14:val="none"/>
        </w:rPr>
        <w:t xml:space="preserve">. Methods that use these susceptible characteristics, like IQR and standard deviation, have been shown to have a poor ability to identify small and moderate hot moments within datasets where hot moments are relatively more common or significant, such as those which sample during early Spring </w:t>
      </w:r>
      <w:r w:rsidRPr="00994531">
        <w:rPr>
          <w:rFonts w:eastAsia="Times New Roman" w:cs="Times New Roman"/>
          <w:kern w:val="0"/>
          <w:szCs w:val="24"/>
          <w14:ligatures w14:val="none"/>
        </w:rPr>
        <w:fldChar w:fldCharType="begin"/>
      </w:r>
      <w:r w:rsidR="00D74AD1">
        <w:rPr>
          <w:rFonts w:eastAsia="Times New Roman" w:cs="Times New Roman"/>
          <w:kern w:val="0"/>
          <w:szCs w:val="24"/>
          <w14:ligatures w14:val="none"/>
        </w:rPr>
        <w:instrText xml:space="preserve"> ADDIN ZOTERO_ITEM CSL_CITATION {"citationID":"7L9uQcZ5","properties":{"formattedCitation":"(Stuchiner et al., 2025)","plainCitation":"(Stuchiner et al., 2025)","noteIndex":0},"citationItems":[{"id":3046,"uris":["http://zotero.org/groups/4573874/items/GYIWTSML"],"itemData":{"id":3046,"type":"article-journal","abstract":"Effectively quantifying hot moments of nitrous oxide (N2O) emissions from agricultural soils is critical for managing this potent greenhouse gas. However, we are challenged by a lack of standard approaches for identifying hot moments, including (a) determining thresholds above which emissions are considered hot moments, and (b) considering seasonal variation in the magnitude and frequency distribution of net N2O fluxes. We used one year of hourly N2O flux measurements from 16 autochambers that varied in flux magnitude and frequency distribution in a conventionally tilled maize field in central Illinois, USA, to compare three approaches to identify hot moment thresholds: standard deviations (SD) above the mean, 1.5x the interquartile range (IQR), and isolation forest (IF) identification of anomalous values. We also compared these approaches on seasonally subdivided data (early, late, and non-growing seasons) versus the whole year. Our analyses revealed that 1.5x IQR method best identified N2O hot moments. In contrast, using 2 or 4 SD both yielded hot moment threshold values too high, and IF yielded threshold values too low, leading to missed N2O hot moments or low net N2O fluxes mischaracterized as hot moments, respectively. Furthermore, seasonally subdividing the data set not only facilitated identification of smaller hot moments in the late- and non-growing seasons when N2O hot moments were generally smaller but it also increased hot moment threshold values in the early growing season when N2O hot moments were larger. Consequently, of the methods evaluated here, we recommend using the 1.5x IQR method on whole year data sets to identify N2O hot moments.","container-title":"Journal of Geophysical Research: Biogeosciences","DOI":"10.1029/2024JG008138","ISSN":"2169-8961","issue":"1","language":"en","license":"© 2024. The Author(s).","note":"_eprint: https://onlinelibrary.wiley.com/doi/pdf/10.1029/2024JG008138","page":"e2024JG008138","source":"Wiley Online Library","title":"Hot or Not? An Evaluation of Methods for Identifying Hot Moments of Nitrous Oxide Emissions From Soils","title-short":"Hot or Not?","volume":"130","author":[{"family":"Stuchiner","given":"Emily R."},{"family":"Xu","given":"Jiacheng"},{"family":"Eddy","given":"William C."},{"family":"DeLucia","given":"Evan H."},{"family":"Yang","given":"Wendy H."}],"issued":{"date-parts":[["2025"]]}}}],"schema":"https://github.com/citation-style-language/schema/raw/master/csl-citation.json"} </w:instrText>
      </w:r>
      <w:r w:rsidRPr="00994531">
        <w:rPr>
          <w:rFonts w:eastAsia="Times New Roman" w:cs="Times New Roman"/>
          <w:kern w:val="0"/>
          <w:szCs w:val="24"/>
          <w14:ligatures w14:val="none"/>
        </w:rPr>
        <w:fldChar w:fldCharType="separate"/>
      </w:r>
      <w:r w:rsidRPr="00994531">
        <w:rPr>
          <w:rFonts w:eastAsia="Times New Roman" w:cs="Times New Roman"/>
          <w:kern w:val="0"/>
          <w:szCs w:val="24"/>
          <w14:ligatures w14:val="none"/>
        </w:rPr>
        <w:t>(Stuchiner et al., 2025)</w:t>
      </w:r>
      <w:r w:rsidRPr="00994531">
        <w:rPr>
          <w:rFonts w:eastAsia="Times New Roman" w:cs="Times New Roman"/>
          <w:kern w:val="0"/>
          <w:szCs w:val="24"/>
          <w14:ligatures w14:val="none"/>
        </w:rPr>
        <w:fldChar w:fldCharType="end"/>
      </w:r>
      <w:r w:rsidRPr="00994531">
        <w:rPr>
          <w:rFonts w:eastAsia="Times New Roman" w:cs="Times New Roman"/>
          <w:kern w:val="0"/>
          <w:szCs w:val="24"/>
          <w14:ligatures w14:val="none"/>
        </w:rPr>
        <w:t xml:space="preserve">. To date, limited studies have systematically evaluated how the performance of statistical hot moment identification may be affected by variations in hot moment </w:t>
      </w:r>
      <w:r w:rsidRPr="00994531">
        <w:rPr>
          <w:rFonts w:eastAsia="Times New Roman" w:cs="Times New Roman"/>
          <w:kern w:val="0"/>
          <w:szCs w:val="24"/>
          <w14:ligatures w14:val="none"/>
        </w:rPr>
        <w:lastRenderedPageBreak/>
        <w:t xml:space="preserve">magnitude and frequency, nor have they thoroughly assessed methods that are robust against such variations </w:t>
      </w:r>
      <w:r w:rsidRPr="00994531">
        <w:rPr>
          <w:rFonts w:eastAsia="Times New Roman" w:cs="Times New Roman"/>
          <w:kern w:val="0"/>
          <w:szCs w:val="24"/>
          <w14:ligatures w14:val="none"/>
        </w:rPr>
        <w:fldChar w:fldCharType="begin"/>
      </w:r>
      <w:r w:rsidR="00D74AD1">
        <w:rPr>
          <w:rFonts w:eastAsia="Times New Roman" w:cs="Times New Roman"/>
          <w:kern w:val="0"/>
          <w:szCs w:val="24"/>
          <w14:ligatures w14:val="none"/>
        </w:rPr>
        <w:instrText xml:space="preserve"> ADDIN ZOTERO_ITEM CSL_CITATION {"citationID":"elHSfkFP","properties":{"formattedCitation":"(Hubert et al., 2018; Leys et al., 2013; Rousseeuw &amp; Hubert, 2011)","plainCitation":"(Hubert et al., 2018; Leys et al., 2013; Rousseeuw &amp; Hubert, 2011)","noteIndex":0},"citationItems":[{"id":2909,"uris":["http://zotero.org/groups/4573874/items/TCR7LMHI"],"itemData":{"id":2909,"type":"article-journal","abstract":"The minimum covariance determinant (MCD) method is a highly robust estimator of multivariate location and scatter, for which a fast algorithm is available. Since estimating the covariance matrix is the cornerstone of many multivariate statistical methods, the MCD is an important building block when developing robust multivariate techniques. It also serves as a convenient and efficient tool for outlier detection. The MCD estimator is reviewed, along with its main properties such as affine equivariance, breakdown value, and influence function. We discuss its computation, and list applications and extensions of the MCD in applied and methodological multivariate statistics. Two recent extensions of the MCD are described. The first one is a fast deterministic algorithm which inherits the robustness of the MCD while being almost affine equivariant. The second is tailored to high-dimensional data, possibly with more dimensions than cases, and incorporates regularization to prevent singular matrices. This article is categorized under: Statistical and Graphical Methods of Data Analysis &gt; Multivariate Analysis Statistical and Graphical Methods of Data Analysis &gt; Robust Methods Statistical Learning and Exploratory Methods of the Data Sciences &gt; Knowledge Discovery","container-title":"WIREs Computational Statistics","DOI":"10.1002/wics.1421","ISSN":"1939-0068","issue":"3","language":"en","license":"© 2017 The Authors. WIREs Computational Statistics published by Wiley Periodicals, Inc.","note":"_eprint: https://onlinelibrary.wiley.com/doi/pdf/10.1002/wics.1421","page":"e1421","source":"Wiley Online Library","title":"Minimum covariance determinant and extensions","volume":"10","author":[{"family":"Hubert","given":"Mia"},{"family":"Debruyne","given":"Michiel"},{"family":"Rousseeuw","given":"Peter J."}],"issued":{"date-parts":[["2018"]]}}},{"id":3036,"uris":["http://zotero.org/groups/4573874/items/EWS974CH"],"itemData":{"id":3036,"type":"article-journal","abstract":"A survey revealed that researchers still seem to encounter difficulties to cope with outliers. Detecting outliers by determining an interval spanning over the mean plus/minus three standard deviations remains a common practice. However, since both the mean and the standard deviation are particularly sensitive to outliers, this method is problematic. We highlight the disadvantages of this method and present the median absolute deviation, an alternative and more robust measure of dispersion that is easy to implement. We also explain the procedures for calculating this indicator in SPSS and R software.","container-title":"Journal of Experimental Social Psychology","DOI":"10.1016/j.jesp.2013.03.013","ISSN":"0022-1031","issue":"4","journalAbbreviation":"Journal of Experimental Social Psychology","page":"764-766","source":"ScienceDirect","title":"Detecting outliers: Do not use standard deviation around the mean, use absolute deviation around the median","title-short":"Detecting outliers","volume":"49","author":[{"family":"Leys","given":"Christophe"},{"family":"Ley","given":"Christophe"},{"family":"Klein","given":"Olivier"},{"family":"Bernard","given":"Philippe"},{"family":"Licata","given":"Laurent"}],"issued":{"date-parts":[["2013",7,1]]}}},{"id":1374,"uris":["http://zotero.org/groups/4573874/items/XKRFWIGU"],"itemData":{"id":1374,"type":"article-journal","abstract":"When analyzing data, outlying observations cause problems because they may strongly influence the result. Robust statistics aims at detecting the outliers by searching for the model fitted by the majority of the data. We present an overview of several robust methods and outlier detection tools. We discuss robust procedures for univariate, low-dimensional, and high-dimensional data such as estimation of location and scatter, linear regression, principal component analysis, and classification. © 2011 John Wiley &amp; Sons, Inc. WIREs Data Mining Knowl Discov 2011 1 73-79 DOI: 10.1002/widm.2 This article is categorized under: Algorithmic Development &gt; Biological Data Mining Algorithmic Development &gt; Spatial and Temporal Data Mining Application Areas &gt; Health Care Technologies &gt; Structure Discovery and Clustering","container-title":"WIREs Data Mining and Knowledge Discovery","DOI":"10.1002/widm.2","ISSN":"1942-4795","issue":"1","language":"en","note":"_eprint: https://onlinelibrary.wiley.com/doi/pdf/10.1002/widm.2","page":"73-79","source":"Wiley Online Library","title":"Robust statistics for outlier detection","volume":"1","author":[{"family":"Rousseeuw","given":"Peter J."},{"family":"Hubert","given":"Mia"}],"issued":{"date-parts":[["2011"]]}}}],"schema":"https://github.com/citation-style-language/schema/raw/master/csl-citation.json"} </w:instrText>
      </w:r>
      <w:r w:rsidRPr="00994531">
        <w:rPr>
          <w:rFonts w:eastAsia="Times New Roman" w:cs="Times New Roman"/>
          <w:kern w:val="0"/>
          <w:szCs w:val="24"/>
          <w14:ligatures w14:val="none"/>
        </w:rPr>
        <w:fldChar w:fldCharType="separate"/>
      </w:r>
      <w:r w:rsidRPr="00994531">
        <w:rPr>
          <w:rFonts w:eastAsia="Times New Roman" w:cs="Times New Roman"/>
          <w:kern w:val="0"/>
          <w:szCs w:val="24"/>
          <w14:ligatures w14:val="none"/>
        </w:rPr>
        <w:t>(Hubert et al., 2018; Leys et al., 2013; Rousseeuw &amp; Hubert, 2011)</w:t>
      </w:r>
      <w:r w:rsidRPr="00994531">
        <w:rPr>
          <w:rFonts w:eastAsia="Times New Roman" w:cs="Times New Roman"/>
          <w:kern w:val="0"/>
          <w:szCs w:val="24"/>
          <w14:ligatures w14:val="none"/>
        </w:rPr>
        <w:fldChar w:fldCharType="end"/>
      </w:r>
      <w:r w:rsidRPr="00994531">
        <w:rPr>
          <w:rFonts w:eastAsia="Times New Roman" w:cs="Times New Roman"/>
          <w:kern w:val="0"/>
          <w:szCs w:val="24"/>
          <w14:ligatures w14:val="none"/>
        </w:rPr>
        <w:t xml:space="preserve">. </w:t>
      </w:r>
    </w:p>
    <w:p w14:paraId="401392DE" w14:textId="46DE3E4B" w:rsidR="00EF23D4" w:rsidRPr="00994531" w:rsidRDefault="00EF23D4" w:rsidP="001B567A">
      <w:pPr>
        <w:spacing w:after="0" w:line="480" w:lineRule="auto"/>
        <w:rPr>
          <w:rFonts w:eastAsia="Times New Roman" w:cs="Times New Roman"/>
          <w:kern w:val="0"/>
          <w:szCs w:val="24"/>
          <w14:ligatures w14:val="none"/>
        </w:rPr>
      </w:pPr>
      <w:r w:rsidRPr="00994531">
        <w:rPr>
          <w:rFonts w:eastAsia="Times New Roman" w:cs="Times New Roman"/>
          <w:kern w:val="0"/>
          <w:szCs w:val="24"/>
          <w14:ligatures w14:val="none"/>
        </w:rPr>
        <w:t>This study moves beyond previous research in three key aspects: first, we evaluate novel methods of statistical hot moment identification, including those which are highly robust to distortion by anomalies and which are capable of considering the temporal context of measurements. Second, we make use of a highly diverse and global database, ensuring that results are not overfit to particular data characteristics. Third, we expand our evaluation approach to independently measure the ability of each method to detect local anomalies. Furthermore, we evaluated how variations in hot moment prevalence and measurement frequency impacts hot moment detection performance of each method. By demonstrating which methods are most suitable and broadly applicable for hot moment identification, we hope to provide confidence in the advancement of quantitative research on soil N</w:t>
      </w:r>
      <w:r w:rsidRPr="00994531">
        <w:rPr>
          <w:rFonts w:eastAsia="Times New Roman" w:cs="Times New Roman"/>
          <w:kern w:val="0"/>
          <w:szCs w:val="24"/>
          <w:vertAlign w:val="subscript"/>
          <w14:ligatures w14:val="none"/>
        </w:rPr>
        <w:t>2</w:t>
      </w:r>
      <w:r w:rsidRPr="00994531">
        <w:rPr>
          <w:rFonts w:eastAsia="Times New Roman" w:cs="Times New Roman"/>
          <w:kern w:val="0"/>
          <w:szCs w:val="24"/>
          <w14:ligatures w14:val="none"/>
        </w:rPr>
        <w:t>O biogeochemical hot moments to facilitate implementing effective mitigation strategies.</w:t>
      </w:r>
    </w:p>
    <w:p w14:paraId="49F61C33" w14:textId="2F247789" w:rsidR="00EF23D4" w:rsidRPr="00994531" w:rsidRDefault="00EF23D4" w:rsidP="001B567A">
      <w:pPr>
        <w:pStyle w:val="Heading2"/>
      </w:pPr>
      <w:bookmarkStart w:id="33" w:name="_Toc204282743"/>
      <w:r w:rsidRPr="00994531">
        <w:t>Materials and Methods</w:t>
      </w:r>
      <w:bookmarkEnd w:id="33"/>
      <w:r w:rsidRPr="00994531">
        <w:t xml:space="preserve"> </w:t>
      </w:r>
    </w:p>
    <w:p w14:paraId="01A4AA4C" w14:textId="1CE7DE96" w:rsidR="00EF23D4" w:rsidRPr="00994531" w:rsidRDefault="00EF23D4" w:rsidP="001B567A">
      <w:pPr>
        <w:pStyle w:val="Heading3"/>
      </w:pPr>
      <w:bookmarkStart w:id="34" w:name="_Toc204282744"/>
      <w:r w:rsidRPr="00994531">
        <w:t xml:space="preserve">Data </w:t>
      </w:r>
      <w:r w:rsidR="0055280E">
        <w:t>c</w:t>
      </w:r>
      <w:r w:rsidRPr="00994531">
        <w:t xml:space="preserve">ollection and </w:t>
      </w:r>
      <w:r w:rsidR="0055280E">
        <w:t>d</w:t>
      </w:r>
      <w:r w:rsidRPr="00994531">
        <w:t>iversity of N</w:t>
      </w:r>
      <w:r w:rsidRPr="00994531">
        <w:rPr>
          <w:vertAlign w:val="subscript"/>
        </w:rPr>
        <w:t>2</w:t>
      </w:r>
      <w:r w:rsidRPr="00994531">
        <w:t xml:space="preserve">O </w:t>
      </w:r>
      <w:r w:rsidR="0055280E">
        <w:t>f</w:t>
      </w:r>
      <w:r w:rsidRPr="00994531">
        <w:t xml:space="preserve">lux </w:t>
      </w:r>
      <w:r w:rsidR="0055280E">
        <w:t>d</w:t>
      </w:r>
      <w:r w:rsidRPr="00994531">
        <w:t>istribution</w:t>
      </w:r>
      <w:bookmarkEnd w:id="34"/>
      <w:r w:rsidRPr="00994531">
        <w:t xml:space="preserve"> </w:t>
      </w:r>
    </w:p>
    <w:p w14:paraId="457F0E41" w14:textId="743D0969" w:rsidR="00DB1DC0" w:rsidRPr="00DB1DC0" w:rsidRDefault="00EF23D4" w:rsidP="001B567A">
      <w:pPr>
        <w:spacing w:after="0" w:line="480" w:lineRule="auto"/>
        <w:rPr>
          <w:rFonts w:eastAsia="Times New Roman" w:cs="Times New Roman"/>
          <w:kern w:val="0"/>
          <w:szCs w:val="24"/>
          <w14:ligatures w14:val="none"/>
        </w:rPr>
      </w:pPr>
      <w:r w:rsidRPr="00994531">
        <w:t>A global database was compiled from a collection of 44 peer reviewed publications, Greenhouse gas Reduction through Agricultural Carbon Enhancement network (GRACEnet) experiments, and Ag Data Commons datasets published between 1997 and 2024. For inclusion, experiments must have measured N</w:t>
      </w:r>
      <w:r w:rsidRPr="00994531">
        <w:rPr>
          <w:vertAlign w:val="subscript"/>
        </w:rPr>
        <w:t>2</w:t>
      </w:r>
      <w:r w:rsidRPr="00994531">
        <w:t>O flux for at least 90 days and to have reported no fewer than ten measurements. Data preprocessing was performed to extract data from publications and transform it into a universal structure (</w:t>
      </w:r>
      <w:r w:rsidRPr="00DB1DC0">
        <w:rPr>
          <w:b/>
          <w:bCs/>
        </w:rPr>
        <w:t xml:space="preserve">Figure </w:t>
      </w:r>
      <w:r w:rsidR="00DB1DC0" w:rsidRPr="00DB1DC0">
        <w:rPr>
          <w:b/>
          <w:bCs/>
        </w:rPr>
        <w:t>2.</w:t>
      </w:r>
      <w:r w:rsidRPr="00DB1DC0">
        <w:rPr>
          <w:b/>
          <w:bCs/>
        </w:rPr>
        <w:t>1</w:t>
      </w:r>
      <w:r w:rsidRPr="00994531">
        <w:t xml:space="preserve">). When complete tabular data was not openly </w:t>
      </w:r>
      <w:r w:rsidR="002917E3" w:rsidRPr="00994531">
        <w:t>accessible, N</w:t>
      </w:r>
      <w:r w:rsidR="002917E3" w:rsidRPr="00994531">
        <w:rPr>
          <w:vertAlign w:val="subscript"/>
        </w:rPr>
        <w:t>2</w:t>
      </w:r>
      <w:r w:rsidR="002917E3" w:rsidRPr="00994531">
        <w:t xml:space="preserve">O flux and relevant environmental measurements were extracted from the text and from graphical figures using WebPlotDigitizer </w:t>
      </w:r>
      <w:r w:rsidR="002917E3" w:rsidRPr="00994531">
        <w:fldChar w:fldCharType="begin"/>
      </w:r>
      <w:r w:rsidR="00D74AD1">
        <w:instrText xml:space="preserve"> ADDIN ZOTERO_ITEM CSL_CITATION {"citationID":"JC1SpuyQ","properties":{"formattedCitation":"(Rohatgi, 2022)","plainCitation":"(Rohatgi, 2022)","noteIndex":0},"citationItems":[{"id":1449,"uris":["http://zotero.org/groups/4573874/items/X9ZYH2FR"],"itemData":{"id":1449,"type":"document","title":"Webplotdigitizer: Version 4.6","URL":"https://automeris.io/WebPlotDigitizer","author":[{"family":"Rohatgi","given":"Ankit"}],"issued":{"date-parts":[["2022"]]}}}],"schema":"https://github.com/citation-style-language/schema/raw/master/csl-citation.json"} </w:instrText>
      </w:r>
      <w:r w:rsidR="002917E3" w:rsidRPr="00994531">
        <w:fldChar w:fldCharType="separate"/>
      </w:r>
      <w:r w:rsidR="002917E3" w:rsidRPr="00994531">
        <w:t>(Rohatgi, 2022)</w:t>
      </w:r>
      <w:r w:rsidR="002917E3" w:rsidRPr="00994531">
        <w:fldChar w:fldCharType="end"/>
      </w:r>
      <w:r w:rsidR="002917E3" w:rsidRPr="00994531">
        <w:t xml:space="preserve">. Because most published </w:t>
      </w:r>
      <w:r w:rsidR="00DB1DC0">
        <w:br w:type="page"/>
      </w:r>
    </w:p>
    <w:p w14:paraId="7CC8D5B1" w14:textId="3AAE22EF" w:rsidR="001F1EE5" w:rsidRDefault="00EF23D4" w:rsidP="001F1EE5">
      <w:pPr>
        <w:keepNext/>
        <w:spacing w:line="480" w:lineRule="auto"/>
        <w:jc w:val="center"/>
      </w:pPr>
      <w:r w:rsidRPr="00994531">
        <w:rPr>
          <w:noProof/>
        </w:rPr>
        <w:lastRenderedPageBreak/>
        <w:drawing>
          <wp:inline distT="0" distB="0" distL="0" distR="0" wp14:anchorId="5A2AE791" wp14:editId="79D0F495">
            <wp:extent cx="7108224" cy="3996617"/>
            <wp:effectExtent l="0" t="0" r="0" b="0"/>
            <wp:docPr id="868220168" name="Picture 2" descr="A diagram of a diagra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8220168" name="Picture 2" descr="A diagram of a diagram&#10;&#10;AI-generated content may be incorrect."/>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rot="5400000">
                      <a:off x="0" y="0"/>
                      <a:ext cx="7145326" cy="4017478"/>
                    </a:xfrm>
                    <a:prstGeom prst="rect">
                      <a:avLst/>
                    </a:prstGeom>
                    <a:noFill/>
                    <a:ln>
                      <a:noFill/>
                    </a:ln>
                  </pic:spPr>
                </pic:pic>
              </a:graphicData>
            </a:graphic>
          </wp:inline>
        </w:drawing>
      </w:r>
    </w:p>
    <w:p w14:paraId="35C14CCA" w14:textId="4199520E" w:rsidR="004628C8" w:rsidRDefault="001F1EE5" w:rsidP="00C7549C">
      <w:pPr>
        <w:pStyle w:val="Caption"/>
        <w:rPr>
          <w:i w:val="0"/>
          <w:iCs w:val="0"/>
          <w:color w:val="auto"/>
          <w:sz w:val="24"/>
          <w:szCs w:val="24"/>
        </w:rPr>
      </w:pPr>
      <w:bookmarkStart w:id="35" w:name="_Toc204263352"/>
      <w:r w:rsidRPr="00C7549C">
        <w:rPr>
          <w:b/>
          <w:bCs/>
          <w:i w:val="0"/>
          <w:iCs w:val="0"/>
          <w:color w:val="auto"/>
          <w:sz w:val="24"/>
          <w:szCs w:val="24"/>
        </w:rPr>
        <w:t>Figure 2</w:t>
      </w:r>
      <w:r w:rsidR="00D24801">
        <w:rPr>
          <w:b/>
          <w:bCs/>
          <w:i w:val="0"/>
          <w:iCs w:val="0"/>
          <w:color w:val="auto"/>
          <w:sz w:val="24"/>
          <w:szCs w:val="24"/>
        </w:rPr>
        <w:t>.</w:t>
      </w:r>
      <w:r w:rsidR="00D24801">
        <w:rPr>
          <w:b/>
          <w:bCs/>
          <w:i w:val="0"/>
          <w:iCs w:val="0"/>
          <w:color w:val="auto"/>
          <w:sz w:val="24"/>
          <w:szCs w:val="24"/>
        </w:rPr>
        <w:fldChar w:fldCharType="begin"/>
      </w:r>
      <w:r w:rsidR="00D24801">
        <w:rPr>
          <w:b/>
          <w:bCs/>
          <w:i w:val="0"/>
          <w:iCs w:val="0"/>
          <w:color w:val="auto"/>
          <w:sz w:val="24"/>
          <w:szCs w:val="24"/>
        </w:rPr>
        <w:instrText xml:space="preserve"> SEQ Figure \* ARABIC \s 1 </w:instrText>
      </w:r>
      <w:r w:rsidR="00D24801">
        <w:rPr>
          <w:b/>
          <w:bCs/>
          <w:i w:val="0"/>
          <w:iCs w:val="0"/>
          <w:color w:val="auto"/>
          <w:sz w:val="24"/>
          <w:szCs w:val="24"/>
        </w:rPr>
        <w:fldChar w:fldCharType="separate"/>
      </w:r>
      <w:r w:rsidR="00D24801">
        <w:rPr>
          <w:b/>
          <w:bCs/>
          <w:i w:val="0"/>
          <w:iCs w:val="0"/>
          <w:noProof/>
          <w:color w:val="auto"/>
          <w:sz w:val="24"/>
          <w:szCs w:val="24"/>
        </w:rPr>
        <w:t>1</w:t>
      </w:r>
      <w:r w:rsidR="00D24801">
        <w:rPr>
          <w:b/>
          <w:bCs/>
          <w:i w:val="0"/>
          <w:iCs w:val="0"/>
          <w:color w:val="auto"/>
          <w:sz w:val="24"/>
          <w:szCs w:val="24"/>
        </w:rPr>
        <w:fldChar w:fldCharType="end"/>
      </w:r>
      <w:r w:rsidRPr="00C7549C">
        <w:rPr>
          <w:i w:val="0"/>
          <w:iCs w:val="0"/>
          <w:color w:val="auto"/>
          <w:sz w:val="24"/>
          <w:szCs w:val="24"/>
        </w:rPr>
        <w:t>: Schematic diagram of data collection process from published work and preprocessing steps.</w:t>
      </w:r>
      <w:bookmarkEnd w:id="35"/>
    </w:p>
    <w:p w14:paraId="1D0BAA5C" w14:textId="229332B8" w:rsidR="00DB1DC0" w:rsidRDefault="00DB1DC0" w:rsidP="00DB1DC0">
      <w:r>
        <w:br w:type="page"/>
      </w:r>
    </w:p>
    <w:p w14:paraId="000FE3AC" w14:textId="19911E79" w:rsidR="00281307" w:rsidRDefault="00DB1DC0" w:rsidP="001B567A">
      <w:pPr>
        <w:spacing w:after="0" w:line="480" w:lineRule="auto"/>
      </w:pPr>
      <w:r w:rsidRPr="00994531">
        <w:lastRenderedPageBreak/>
        <w:t>experiments reported N</w:t>
      </w:r>
      <w:r w:rsidRPr="00994531">
        <w:rPr>
          <w:vertAlign w:val="subscript"/>
        </w:rPr>
        <w:t>2</w:t>
      </w:r>
      <w:r w:rsidRPr="00994531">
        <w:t xml:space="preserve">O flux as the daily average, we used this temporal resolution as the basis for this analysis. When greater temporal resolution was provided, measurements were scaled to average daily flux values. Additional data from each experiment were gathered when reported, including site location, crop species, </w:t>
      </w:r>
      <w:r w:rsidR="005B1DE7" w:rsidRPr="00994531">
        <w:t>soil texture,</w:t>
      </w:r>
      <w:r w:rsidRPr="00994531">
        <w:t xml:space="preserve"> and fertilization information. When not reported by the authors, the soil texture information was gathered from the Web Soil Survey based on geographical coordinates of the study </w:t>
      </w:r>
      <w:r w:rsidRPr="00994531">
        <w:fldChar w:fldCharType="begin"/>
      </w:r>
      <w:r w:rsidR="00D74AD1">
        <w:instrText xml:space="preserve"> ADDIN ZOTERO_ITEM CSL_CITATION {"citationID":"3LAjqS9Y","properties":{"formattedCitation":"(Soil Survey Staff, Natural Resources Conservation Service, United States Department of Agriculture, 2019)","plainCitation":"(Soil Survey Staff, Natural Resources Conservation Service, United States Department of Agriculture, 2019)","dontUpdate":true,"noteIndex":0},"citationItems":[{"id":3074,"uris":["http://zotero.org/groups/5079735/items/VGW7747G"],"itemData":{"id":3074,"type":"webpage","container-title":"Web Soil Survey","language":"en","title":"Web Soil Survey","URL":"https://websoilsurvey.nrcs.usda.gov/app/","author":[{"family":"Soil Survey Staff, Natural Resources Conservation Service, United States Department of Agriculture","given":""}],"accessed":{"date-parts":[["2024",7,8]]},"issued":{"date-parts":[["2019",7,31]]}}}],"schema":"https://github.com/citation-style-language/schema/raw/master/csl-citation.json"} </w:instrText>
      </w:r>
      <w:r w:rsidRPr="00994531">
        <w:fldChar w:fldCharType="separate"/>
      </w:r>
      <w:r w:rsidRPr="00994531">
        <w:rPr>
          <w:rFonts w:cs="Times New Roman"/>
        </w:rPr>
        <w:t>(Soil Survey Staff, NRCS, 2019)</w:t>
      </w:r>
      <w:r w:rsidRPr="00994531">
        <w:fldChar w:fldCharType="end"/>
      </w:r>
      <w:r>
        <w:t>.</w:t>
      </w:r>
      <w:r w:rsidR="00E85A9C">
        <w:t xml:space="preserve"> </w:t>
      </w:r>
    </w:p>
    <w:p w14:paraId="039A7089" w14:textId="25583DF2" w:rsidR="00CF5346" w:rsidRPr="00281307" w:rsidRDefault="00E85A9C" w:rsidP="001B567A">
      <w:pPr>
        <w:spacing w:after="0" w:line="480" w:lineRule="auto"/>
      </w:pPr>
      <w:r>
        <w:t xml:space="preserve">In total, </w:t>
      </w:r>
      <w:r w:rsidR="00281307">
        <w:t>34 unique agricultural sites around the globe were represented (</w:t>
      </w:r>
      <w:r w:rsidR="00281307" w:rsidRPr="00281307">
        <w:rPr>
          <w:b/>
          <w:bCs/>
        </w:rPr>
        <w:t>Figure 2.2</w:t>
      </w:r>
      <w:r w:rsidR="00281307">
        <w:t xml:space="preserve">). </w:t>
      </w:r>
      <w:r w:rsidR="00DB1DC0" w:rsidRPr="00994531">
        <w:t>Field sites represented eight out of 12 USDA soil texture classes (</w:t>
      </w:r>
      <w:r w:rsidR="00DB1DC0" w:rsidRPr="00A9508B">
        <w:rPr>
          <w:b/>
          <w:bCs/>
        </w:rPr>
        <w:t xml:space="preserve">Figure </w:t>
      </w:r>
      <w:r w:rsidR="00A9508B">
        <w:rPr>
          <w:b/>
          <w:bCs/>
        </w:rPr>
        <w:t>2.</w:t>
      </w:r>
      <w:r w:rsidR="00DB1DC0" w:rsidRPr="00A9508B">
        <w:rPr>
          <w:b/>
          <w:bCs/>
        </w:rPr>
        <w:t>3a</w:t>
      </w:r>
      <w:r w:rsidR="00DB1DC0" w:rsidRPr="00994531">
        <w:t>), most commonly loams, silt loams, and clay loams. Nitrogen fertilizer application rate predominately ranged from near 0 to 200 kg N ha</w:t>
      </w:r>
      <w:r w:rsidR="00DB1DC0" w:rsidRPr="00994531">
        <w:rPr>
          <w:vertAlign w:val="superscript"/>
        </w:rPr>
        <w:t>-1</w:t>
      </w:r>
      <w:r w:rsidR="00DB1DC0" w:rsidRPr="00994531">
        <w:t xml:space="preserve"> (with </w:t>
      </w:r>
      <w:r w:rsidR="00281307">
        <w:t>an additional</w:t>
      </w:r>
      <w:r w:rsidR="00DB1DC0" w:rsidRPr="00994531">
        <w:t xml:space="preserve"> six extreme applications ranging from 300 to 430 kg N ha</w:t>
      </w:r>
      <w:r w:rsidR="00DB1DC0" w:rsidRPr="00994531">
        <w:rPr>
          <w:vertAlign w:val="superscript"/>
        </w:rPr>
        <w:t>-1</w:t>
      </w:r>
      <w:r w:rsidR="00DB1DC0" w:rsidRPr="00994531">
        <w:t>) from diverse forms including organic, inorganic, and environmentally enhanced nitrogen (EEN) fertilizer, which includes slow-release, urease and nitrification inhibitor technologies (</w:t>
      </w:r>
      <w:r w:rsidR="00DB1DC0" w:rsidRPr="00281307">
        <w:rPr>
          <w:b/>
        </w:rPr>
        <w:t xml:space="preserve">Figure </w:t>
      </w:r>
      <w:r w:rsidR="00953130">
        <w:rPr>
          <w:b/>
          <w:bCs/>
        </w:rPr>
        <w:t>2.</w:t>
      </w:r>
      <w:r w:rsidR="00DB1DC0" w:rsidRPr="00281307">
        <w:rPr>
          <w:b/>
        </w:rPr>
        <w:t>3b</w:t>
      </w:r>
      <w:r w:rsidR="00DB1DC0" w:rsidRPr="00994531">
        <w:t>).</w:t>
      </w:r>
      <w:r w:rsidR="00DB1DC0">
        <w:t xml:space="preserve"> </w:t>
      </w:r>
      <w:r w:rsidR="00DB1DC0" w:rsidRPr="00994531">
        <w:rPr>
          <w:rFonts w:eastAsia="Times New Roman" w:cs="Times New Roman"/>
          <w:kern w:val="0"/>
          <w:szCs w:val="24"/>
          <w14:ligatures w14:val="none"/>
        </w:rPr>
        <w:t>Finally, the diverse representation of experimental methods, crops, soils, and global locations resulted in corresponding diversity in daily flux measurements, reaching up to ~1500 g N ha</w:t>
      </w:r>
      <w:r w:rsidR="00DB1DC0" w:rsidRPr="00994531">
        <w:rPr>
          <w:rFonts w:eastAsia="Times New Roman" w:cs="Times New Roman"/>
          <w:kern w:val="0"/>
          <w:szCs w:val="24"/>
          <w:vertAlign w:val="superscript"/>
          <w14:ligatures w14:val="none"/>
        </w:rPr>
        <w:t>-1</w:t>
      </w:r>
      <w:r w:rsidR="00DB1DC0" w:rsidRPr="00994531">
        <w:rPr>
          <w:rFonts w:eastAsia="Times New Roman" w:cs="Times New Roman"/>
          <w:kern w:val="0"/>
          <w:szCs w:val="24"/>
          <w14:ligatures w14:val="none"/>
        </w:rPr>
        <w:t xml:space="preserve"> d</w:t>
      </w:r>
      <w:r w:rsidR="00DB1DC0" w:rsidRPr="00994531">
        <w:rPr>
          <w:rFonts w:eastAsia="Times New Roman" w:cs="Times New Roman"/>
          <w:kern w:val="0"/>
          <w:szCs w:val="24"/>
          <w:vertAlign w:val="superscript"/>
          <w14:ligatures w14:val="none"/>
        </w:rPr>
        <w:t xml:space="preserve">-1 </w:t>
      </w:r>
      <w:r w:rsidR="00DB1DC0" w:rsidRPr="00994531">
        <w:rPr>
          <w:rFonts w:eastAsia="Times New Roman" w:cs="Times New Roman"/>
          <w:kern w:val="0"/>
          <w:szCs w:val="24"/>
          <w14:ligatures w14:val="none"/>
        </w:rPr>
        <w:t>(</w:t>
      </w:r>
      <w:r w:rsidR="00DB1DC0" w:rsidRPr="00A9508B">
        <w:rPr>
          <w:rFonts w:eastAsia="Times New Roman" w:cs="Times New Roman"/>
          <w:b/>
          <w:bCs/>
          <w:kern w:val="0"/>
          <w:szCs w:val="24"/>
          <w14:ligatures w14:val="none"/>
        </w:rPr>
        <w:t xml:space="preserve">Figure </w:t>
      </w:r>
      <w:r w:rsidR="00A9508B" w:rsidRPr="00A9508B">
        <w:rPr>
          <w:rFonts w:eastAsia="Times New Roman" w:cs="Times New Roman"/>
          <w:b/>
          <w:bCs/>
          <w:kern w:val="0"/>
          <w:szCs w:val="24"/>
          <w14:ligatures w14:val="none"/>
        </w:rPr>
        <w:t>2.</w:t>
      </w:r>
      <w:r w:rsidR="00DB1DC0" w:rsidRPr="00A9508B">
        <w:rPr>
          <w:rFonts w:eastAsia="Times New Roman" w:cs="Times New Roman"/>
          <w:b/>
          <w:bCs/>
          <w:kern w:val="0"/>
          <w:szCs w:val="24"/>
          <w14:ligatures w14:val="none"/>
        </w:rPr>
        <w:t>4</w:t>
      </w:r>
      <w:r w:rsidR="00DB1DC0" w:rsidRPr="00994531">
        <w:rPr>
          <w:rFonts w:eastAsia="Times New Roman" w:cs="Times New Roman"/>
          <w:kern w:val="0"/>
          <w:szCs w:val="24"/>
          <w14:ligatures w14:val="none"/>
        </w:rPr>
        <w:t>). In agreement with prior analyses, N</w:t>
      </w:r>
      <w:r w:rsidR="00DB1DC0" w:rsidRPr="00994531">
        <w:rPr>
          <w:rFonts w:eastAsia="Times New Roman" w:cs="Times New Roman"/>
          <w:kern w:val="0"/>
          <w:szCs w:val="24"/>
          <w:vertAlign w:val="subscript"/>
          <w14:ligatures w14:val="none"/>
        </w:rPr>
        <w:t>2</w:t>
      </w:r>
      <w:r w:rsidR="00DB1DC0" w:rsidRPr="00994531">
        <w:rPr>
          <w:rFonts w:eastAsia="Times New Roman" w:cs="Times New Roman"/>
          <w:kern w:val="0"/>
          <w:szCs w:val="24"/>
          <w14:ligatures w14:val="none"/>
        </w:rPr>
        <w:t>O fluxes followed a heavy-tailed distribution</w:t>
      </w:r>
      <w:r w:rsidR="00CF5346">
        <w:rPr>
          <w:rFonts w:eastAsia="Times New Roman" w:cs="Times New Roman"/>
          <w:kern w:val="0"/>
          <w:szCs w:val="24"/>
          <w14:ligatures w14:val="none"/>
        </w:rPr>
        <w:t xml:space="preserve"> </w:t>
      </w:r>
      <w:r w:rsidR="00CF5346" w:rsidRPr="00994531">
        <w:rPr>
          <w:rFonts w:eastAsia="Times New Roman" w:cs="Times New Roman"/>
          <w:kern w:val="0"/>
          <w:szCs w:val="24"/>
          <w14:ligatures w14:val="none"/>
        </w:rPr>
        <w:fldChar w:fldCharType="begin"/>
      </w:r>
      <w:r w:rsidR="00D74AD1">
        <w:rPr>
          <w:rFonts w:eastAsia="Times New Roman" w:cs="Times New Roman"/>
          <w:kern w:val="0"/>
          <w:szCs w:val="24"/>
          <w14:ligatures w14:val="none"/>
        </w:rPr>
        <w:instrText xml:space="preserve"> ADDIN ZOTERO_ITEM CSL_CITATION {"citationID":"yNPSnI3k","properties":{"formattedCitation":"(Yates et al., 2006)","plainCitation":"(Yates et al., 2006)","noteIndex":0},"citationItems":[{"id":2539,"uris":["http://zotero.org/groups/4573874/items/74JF4Z2W"],"itemData":{"id":2539,"type":"article-journal","abstract":"Climate controls soil N2O emissions via its effects on soil properties such as water-filled pore space. Changes in climate should produce changes in the probability distribution and spatial dependency of soil N2O data. Knowing the extent of the changes in the distribution of this data is important for validating model predictions. The objectives of this study were to describe the probability distributions and estimate the spatial dependency of soil N2O emission data. On a hummocky, agricultural landscape in Saskatchewan, N2O emission data and related soil variables were taken from a 128-point transect 15 times over 2 yr. Probability distributions were compared using a Chi-square test. The range in spatial correlation was determined using the indicator semivariogram with a nested model fit approach. The mean N2O flux ranged from 25.3 to −0.2 ng N2O–N m−2 s−1 Probability distributions ranged in shape from reverse J-shape through log normal to symmetrical. The majority of distributions were statistically different from each other, showing a lack of temporal stability. Mean N2O flux and distribution shape followed an event-based/background emission pattern. High flux events had statistically similar, reverse J-shaped distributions. As mean N2O flux decreased to a background level distribution, shape changed to log normal and symmetrical forms. A high nugget/sill ratio characterized the majority of sampling dates, although spatial dependency was generally moderate. Flux values in the fourth quartile tended to have a spatial dependency of 15 m, probably reflecting a topographic control at a landform element scale.","container-title":"Soil Science Society of America Journal","DOI":"10.2136/sssaj2005.0214","ISSN":"1435-0661","issue":"3","language":"en","license":"Soil Science Society of America","note":"_eprint: https://onlinelibrary.wiley.com/doi/pdf/10.2136/sssaj2005.0214","page":"753-762","source":"Wiley Online Library","title":"Probability Distribution and Spatial Dependence of Nitrous Oxide Emission","volume":"70","author":[{"family":"Yates","given":"T. T."},{"family":"Si","given":"B. C."},{"family":"Farrell","given":"R. E."},{"family":"Pennock","given":"D. J."}],"issued":{"date-parts":[["2006"]]}}}],"schema":"https://github.com/citation-style-language/schema/raw/master/csl-citation.json"} </w:instrText>
      </w:r>
      <w:r w:rsidR="00CF5346" w:rsidRPr="00994531">
        <w:rPr>
          <w:rFonts w:eastAsia="Times New Roman" w:cs="Times New Roman"/>
          <w:kern w:val="0"/>
          <w:szCs w:val="24"/>
          <w14:ligatures w14:val="none"/>
        </w:rPr>
        <w:fldChar w:fldCharType="separate"/>
      </w:r>
      <w:r w:rsidR="00CF5346" w:rsidRPr="00994531">
        <w:rPr>
          <w:rFonts w:cs="Times New Roman"/>
        </w:rPr>
        <w:t>(Yates et al., 2006)</w:t>
      </w:r>
      <w:r w:rsidR="00CF5346" w:rsidRPr="00994531">
        <w:rPr>
          <w:rFonts w:eastAsia="Times New Roman" w:cs="Times New Roman"/>
          <w:kern w:val="0"/>
          <w:szCs w:val="24"/>
          <w14:ligatures w14:val="none"/>
        </w:rPr>
        <w:fldChar w:fldCharType="end"/>
      </w:r>
      <w:r w:rsidR="00CF5346" w:rsidRPr="00994531">
        <w:rPr>
          <w:rFonts w:eastAsia="Times New Roman" w:cs="Times New Roman"/>
          <w:kern w:val="0"/>
          <w:szCs w:val="24"/>
          <w14:ligatures w14:val="none"/>
        </w:rPr>
        <w:t>, and had a mean daily average flux of 13.5 g N ha</w:t>
      </w:r>
      <w:r w:rsidR="00CF5346" w:rsidRPr="00994531">
        <w:rPr>
          <w:rFonts w:eastAsia="Times New Roman" w:cs="Times New Roman"/>
          <w:kern w:val="0"/>
          <w:szCs w:val="24"/>
          <w:vertAlign w:val="superscript"/>
          <w14:ligatures w14:val="none"/>
        </w:rPr>
        <w:t>-1</w:t>
      </w:r>
      <w:r w:rsidR="00CF5346" w:rsidRPr="00994531">
        <w:rPr>
          <w:rFonts w:eastAsia="Times New Roman" w:cs="Times New Roman"/>
          <w:kern w:val="0"/>
          <w:szCs w:val="24"/>
          <w14:ligatures w14:val="none"/>
        </w:rPr>
        <w:t xml:space="preserve"> d</w:t>
      </w:r>
      <w:r w:rsidR="00CF5346" w:rsidRPr="00994531">
        <w:rPr>
          <w:rFonts w:eastAsia="Times New Roman" w:cs="Times New Roman"/>
          <w:kern w:val="0"/>
          <w:szCs w:val="24"/>
          <w:vertAlign w:val="superscript"/>
          <w14:ligatures w14:val="none"/>
        </w:rPr>
        <w:t xml:space="preserve">-1 </w:t>
      </w:r>
      <w:r w:rsidR="00CF5346" w:rsidRPr="00994531">
        <w:rPr>
          <w:rFonts w:eastAsia="Times New Roman" w:cs="Times New Roman"/>
          <w:kern w:val="0"/>
          <w:szCs w:val="24"/>
          <w14:ligatures w14:val="none"/>
        </w:rPr>
        <w:t>and a median of 3.3 g N ha</w:t>
      </w:r>
      <w:r w:rsidR="00CF5346" w:rsidRPr="00994531">
        <w:rPr>
          <w:rFonts w:eastAsia="Times New Roman" w:cs="Times New Roman"/>
          <w:kern w:val="0"/>
          <w:szCs w:val="24"/>
          <w:vertAlign w:val="superscript"/>
          <w14:ligatures w14:val="none"/>
        </w:rPr>
        <w:t>-1</w:t>
      </w:r>
      <w:r w:rsidR="00CF5346" w:rsidRPr="00994531">
        <w:rPr>
          <w:rFonts w:eastAsia="Times New Roman" w:cs="Times New Roman"/>
          <w:kern w:val="0"/>
          <w:szCs w:val="24"/>
          <w14:ligatures w14:val="none"/>
        </w:rPr>
        <w:t xml:space="preserve"> d</w:t>
      </w:r>
      <w:r w:rsidR="00CF5346" w:rsidRPr="00994531">
        <w:rPr>
          <w:rFonts w:eastAsia="Times New Roman" w:cs="Times New Roman"/>
          <w:kern w:val="0"/>
          <w:szCs w:val="24"/>
          <w:vertAlign w:val="superscript"/>
          <w14:ligatures w14:val="none"/>
        </w:rPr>
        <w:t xml:space="preserve">-1 </w:t>
      </w:r>
      <w:r w:rsidR="00CF5346" w:rsidRPr="00994531">
        <w:rPr>
          <w:rFonts w:eastAsia="Times New Roman" w:cs="Times New Roman"/>
          <w:kern w:val="0"/>
          <w:szCs w:val="24"/>
          <w14:ligatures w14:val="none"/>
        </w:rPr>
        <w:t>.</w:t>
      </w:r>
    </w:p>
    <w:p w14:paraId="72A8FBFD" w14:textId="70438238" w:rsidR="00CF5346" w:rsidRPr="00994531" w:rsidRDefault="00CF5346" w:rsidP="001B567A">
      <w:pPr>
        <w:pStyle w:val="Heading3"/>
      </w:pPr>
      <w:bookmarkStart w:id="36" w:name="_Toc204282745"/>
      <w:r w:rsidRPr="00994531">
        <w:t xml:space="preserve">Supervised and </w:t>
      </w:r>
      <w:r w:rsidR="0055280E">
        <w:t>c</w:t>
      </w:r>
      <w:r w:rsidRPr="00994531">
        <w:t xml:space="preserve">ontextualized </w:t>
      </w:r>
      <w:r w:rsidR="0055280E">
        <w:t>i</w:t>
      </w:r>
      <w:r w:rsidRPr="00994531">
        <w:t xml:space="preserve">dentification of </w:t>
      </w:r>
      <w:r w:rsidR="0055280E">
        <w:t>h</w:t>
      </w:r>
      <w:r w:rsidRPr="00994531">
        <w:t xml:space="preserve">ot </w:t>
      </w:r>
      <w:r w:rsidR="0055280E">
        <w:t>m</w:t>
      </w:r>
      <w:r w:rsidRPr="00994531">
        <w:t>oments</w:t>
      </w:r>
      <w:bookmarkEnd w:id="36"/>
    </w:p>
    <w:p w14:paraId="108B8D63" w14:textId="5AD664F3" w:rsidR="0040689A" w:rsidRPr="00A9508B" w:rsidRDefault="00CF5346" w:rsidP="001B567A">
      <w:pPr>
        <w:spacing w:after="0" w:line="480" w:lineRule="auto"/>
        <w:rPr>
          <w:rFonts w:eastAsia="Times New Roman" w:cs="Times New Roman"/>
          <w:kern w:val="0"/>
          <w:szCs w:val="24"/>
          <w14:ligatures w14:val="none"/>
        </w:rPr>
      </w:pPr>
      <w:r w:rsidRPr="00994531">
        <w:rPr>
          <w:rFonts w:eastAsia="Times New Roman" w:cs="Times New Roman"/>
          <w:kern w:val="0"/>
          <w:szCs w:val="24"/>
          <w14:ligatures w14:val="none"/>
        </w:rPr>
        <w:t xml:space="preserve">There are three methods for evaluating the performance of anomaly detection methods for a specific task: unsupervised, semi-supervised, and supervised, which differ in how and if they use </w:t>
      </w:r>
      <w:r w:rsidR="002917E3" w:rsidRPr="00994531">
        <w:rPr>
          <w:rFonts w:eastAsia="Times New Roman" w:cs="Times New Roman"/>
          <w:kern w:val="0"/>
          <w:szCs w:val="24"/>
          <w14:ligatures w14:val="none"/>
        </w:rPr>
        <w:t>“ground truth” data labels. Supervised and semi-supervised methods calibrate their statistical classifications against “true” data labels determined by leveraging additional contextual</w:t>
      </w:r>
      <w:r w:rsidR="0040689A">
        <w:rPr>
          <w:rFonts w:eastAsia="Times New Roman" w:cs="Times New Roman"/>
          <w:kern w:val="0"/>
          <w:szCs w:val="24"/>
          <w14:ligatures w14:val="none"/>
        </w:rPr>
        <w:t xml:space="preserve"> </w:t>
      </w:r>
      <w:r w:rsidR="0040689A" w:rsidRPr="00994531">
        <w:rPr>
          <w:rFonts w:eastAsia="Times New Roman" w:cs="Times New Roman"/>
          <w:kern w:val="0"/>
          <w:szCs w:val="24"/>
          <w14:ligatures w14:val="none"/>
        </w:rPr>
        <w:t>information and domain knowledge of experts to individually classify each datum as</w:t>
      </w:r>
    </w:p>
    <w:p w14:paraId="7C5969FE" w14:textId="77777777" w:rsidR="001A2446" w:rsidRPr="00994531" w:rsidRDefault="00EF23D4" w:rsidP="001A2446">
      <w:pPr>
        <w:keepNext/>
      </w:pPr>
      <w:r w:rsidRPr="00994531">
        <w:rPr>
          <w:noProof/>
        </w:rPr>
        <w:lastRenderedPageBreak/>
        <w:drawing>
          <wp:inline distT="0" distB="0" distL="0" distR="0" wp14:anchorId="69D73D24" wp14:editId="6FF6931C">
            <wp:extent cx="5322498" cy="2567423"/>
            <wp:effectExtent l="0" t="0" r="0" b="4445"/>
            <wp:docPr id="1255228067"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5228067" name=""/>
                    <pic:cNvPicPr/>
                  </pic:nvPicPr>
                  <pic:blipFill rotWithShape="1">
                    <a:blip r:embed="rId13">
                      <a:extLst>
                        <a:ext uri="{96DAC541-7B7A-43D3-8B79-37D633B846F1}">
                          <asvg:svgBlip xmlns:asvg="http://schemas.microsoft.com/office/drawing/2016/SVG/main" r:embed="rId14"/>
                        </a:ext>
                      </a:extLst>
                    </a:blip>
                    <a:srcRect t="13462" b="14183"/>
                    <a:stretch/>
                  </pic:blipFill>
                  <pic:spPr bwMode="auto">
                    <a:xfrm>
                      <a:off x="0" y="0"/>
                      <a:ext cx="5330951" cy="2571500"/>
                    </a:xfrm>
                    <a:prstGeom prst="rect">
                      <a:avLst/>
                    </a:prstGeom>
                    <a:ln>
                      <a:noFill/>
                    </a:ln>
                    <a:extLst>
                      <a:ext uri="{53640926-AAD7-44D8-BBD7-CCE9431645EC}">
                        <a14:shadowObscured xmlns:a14="http://schemas.microsoft.com/office/drawing/2010/main"/>
                      </a:ext>
                    </a:extLst>
                  </pic:spPr>
                </pic:pic>
              </a:graphicData>
            </a:graphic>
          </wp:inline>
        </w:drawing>
      </w:r>
    </w:p>
    <w:p w14:paraId="5EA7842F" w14:textId="64644C52" w:rsidR="006D0D3F" w:rsidRPr="00CF5346" w:rsidRDefault="001A2446" w:rsidP="00CF5346">
      <w:pPr>
        <w:pStyle w:val="Caption"/>
        <w:rPr>
          <w:i w:val="0"/>
          <w:iCs w:val="0"/>
          <w:color w:val="auto"/>
          <w:sz w:val="24"/>
          <w:szCs w:val="24"/>
        </w:rPr>
      </w:pPr>
      <w:bookmarkStart w:id="37" w:name="_Toc204263353"/>
      <w:r w:rsidRPr="001F1EE5">
        <w:rPr>
          <w:b/>
          <w:bCs/>
          <w:i w:val="0"/>
          <w:iCs w:val="0"/>
          <w:color w:val="auto"/>
          <w:sz w:val="24"/>
          <w:szCs w:val="24"/>
        </w:rPr>
        <w:t xml:space="preserve">Figure </w:t>
      </w:r>
      <w:r w:rsidR="00AA0109" w:rsidRPr="001F1EE5">
        <w:rPr>
          <w:b/>
          <w:bCs/>
          <w:i w:val="0"/>
          <w:iCs w:val="0"/>
          <w:color w:val="auto"/>
          <w:sz w:val="24"/>
          <w:szCs w:val="24"/>
        </w:rPr>
        <w:t>2</w:t>
      </w:r>
      <w:r w:rsidR="00D24801">
        <w:rPr>
          <w:b/>
          <w:bCs/>
          <w:i w:val="0"/>
          <w:iCs w:val="0"/>
          <w:color w:val="auto"/>
          <w:sz w:val="24"/>
          <w:szCs w:val="24"/>
        </w:rPr>
        <w:t>.</w:t>
      </w:r>
      <w:r w:rsidR="00D24801">
        <w:rPr>
          <w:b/>
          <w:bCs/>
          <w:i w:val="0"/>
          <w:iCs w:val="0"/>
          <w:color w:val="auto"/>
          <w:sz w:val="24"/>
          <w:szCs w:val="24"/>
        </w:rPr>
        <w:fldChar w:fldCharType="begin"/>
      </w:r>
      <w:r w:rsidR="00D24801">
        <w:rPr>
          <w:b/>
          <w:bCs/>
          <w:i w:val="0"/>
          <w:iCs w:val="0"/>
          <w:color w:val="auto"/>
          <w:sz w:val="24"/>
          <w:szCs w:val="24"/>
        </w:rPr>
        <w:instrText xml:space="preserve"> SEQ Figure \* ARABIC \s 1 </w:instrText>
      </w:r>
      <w:r w:rsidR="00D24801">
        <w:rPr>
          <w:b/>
          <w:bCs/>
          <w:i w:val="0"/>
          <w:iCs w:val="0"/>
          <w:color w:val="auto"/>
          <w:sz w:val="24"/>
          <w:szCs w:val="24"/>
        </w:rPr>
        <w:fldChar w:fldCharType="separate"/>
      </w:r>
      <w:r w:rsidR="00D24801">
        <w:rPr>
          <w:b/>
          <w:bCs/>
          <w:i w:val="0"/>
          <w:iCs w:val="0"/>
          <w:noProof/>
          <w:color w:val="auto"/>
          <w:sz w:val="24"/>
          <w:szCs w:val="24"/>
        </w:rPr>
        <w:t>2</w:t>
      </w:r>
      <w:r w:rsidR="00D24801">
        <w:rPr>
          <w:b/>
          <w:bCs/>
          <w:i w:val="0"/>
          <w:iCs w:val="0"/>
          <w:color w:val="auto"/>
          <w:sz w:val="24"/>
          <w:szCs w:val="24"/>
        </w:rPr>
        <w:fldChar w:fldCharType="end"/>
      </w:r>
      <w:r w:rsidR="00AA0109" w:rsidRPr="00994531">
        <w:rPr>
          <w:i w:val="0"/>
          <w:iCs w:val="0"/>
          <w:color w:val="auto"/>
          <w:sz w:val="24"/>
          <w:szCs w:val="24"/>
        </w:rPr>
        <w:t xml:space="preserve">: Distribution of experimental sites and the primary crops grown at each site across the globe. Many sites performed multiple treatments or experiments using multiple crops. The numbers of time series data for each primary crop includes: 89 </w:t>
      </w:r>
      <w:r w:rsidR="00AA0109" w:rsidRPr="00E74134">
        <w:rPr>
          <w:color w:val="auto"/>
          <w:sz w:val="24"/>
          <w:szCs w:val="24"/>
        </w:rPr>
        <w:t>Zea mays</w:t>
      </w:r>
      <w:r w:rsidR="00AA0109" w:rsidRPr="00994531">
        <w:rPr>
          <w:i w:val="0"/>
          <w:iCs w:val="0"/>
          <w:color w:val="auto"/>
          <w:sz w:val="24"/>
          <w:szCs w:val="24"/>
        </w:rPr>
        <w:t xml:space="preserve">, 18 </w:t>
      </w:r>
      <w:r w:rsidR="00AA0109" w:rsidRPr="00E74134">
        <w:rPr>
          <w:color w:val="auto"/>
          <w:sz w:val="24"/>
          <w:szCs w:val="24"/>
        </w:rPr>
        <w:t>Glycine max</w:t>
      </w:r>
      <w:r w:rsidR="00AA0109" w:rsidRPr="00994531">
        <w:rPr>
          <w:i w:val="0"/>
          <w:iCs w:val="0"/>
          <w:color w:val="auto"/>
          <w:sz w:val="24"/>
          <w:szCs w:val="24"/>
        </w:rPr>
        <w:t xml:space="preserve">, 14 grassland, 9 </w:t>
      </w:r>
      <w:r w:rsidR="00AA0109" w:rsidRPr="00E74134">
        <w:rPr>
          <w:color w:val="auto"/>
          <w:sz w:val="24"/>
          <w:szCs w:val="24"/>
        </w:rPr>
        <w:t>Lolium perenne</w:t>
      </w:r>
      <w:r w:rsidR="00AA0109" w:rsidRPr="00994531">
        <w:rPr>
          <w:i w:val="0"/>
          <w:iCs w:val="0"/>
          <w:color w:val="auto"/>
          <w:sz w:val="24"/>
          <w:szCs w:val="24"/>
        </w:rPr>
        <w:t xml:space="preserve">, 8 </w:t>
      </w:r>
      <w:r w:rsidR="00AA0109" w:rsidRPr="00E74134">
        <w:rPr>
          <w:color w:val="auto"/>
          <w:sz w:val="24"/>
          <w:szCs w:val="24"/>
        </w:rPr>
        <w:t>Hordeum vulgare</w:t>
      </w:r>
      <w:r w:rsidR="00AA0109" w:rsidRPr="00994531">
        <w:rPr>
          <w:i w:val="0"/>
          <w:iCs w:val="0"/>
          <w:color w:val="auto"/>
          <w:sz w:val="24"/>
          <w:szCs w:val="24"/>
        </w:rPr>
        <w:t xml:space="preserve">, 4 </w:t>
      </w:r>
      <w:r w:rsidR="00AA0109" w:rsidRPr="00E74134">
        <w:rPr>
          <w:color w:val="auto"/>
          <w:sz w:val="24"/>
          <w:szCs w:val="24"/>
        </w:rPr>
        <w:t>Medicago sativa</w:t>
      </w:r>
      <w:r w:rsidR="00AA0109" w:rsidRPr="00994531">
        <w:rPr>
          <w:i w:val="0"/>
          <w:iCs w:val="0"/>
          <w:color w:val="auto"/>
          <w:sz w:val="24"/>
          <w:szCs w:val="24"/>
        </w:rPr>
        <w:t xml:space="preserve">, 4 </w:t>
      </w:r>
      <w:r w:rsidR="00AA0109" w:rsidRPr="00E74134">
        <w:rPr>
          <w:color w:val="auto"/>
          <w:sz w:val="24"/>
          <w:szCs w:val="24"/>
        </w:rPr>
        <w:t>Panicum virgatum</w:t>
      </w:r>
      <w:r w:rsidR="00AA0109" w:rsidRPr="00994531">
        <w:rPr>
          <w:i w:val="0"/>
          <w:iCs w:val="0"/>
          <w:color w:val="auto"/>
          <w:sz w:val="24"/>
          <w:szCs w:val="24"/>
        </w:rPr>
        <w:t>, 4 fallow, and 20 other various upland crops.</w:t>
      </w:r>
      <w:bookmarkEnd w:id="37"/>
    </w:p>
    <w:p w14:paraId="2A4E2B69" w14:textId="77777777" w:rsidR="00F65E3D" w:rsidRPr="00994531" w:rsidRDefault="00EF23D4" w:rsidP="00F65E3D">
      <w:pPr>
        <w:keepNext/>
        <w:spacing w:line="480" w:lineRule="auto"/>
      </w:pPr>
      <w:r w:rsidRPr="00994531">
        <w:rPr>
          <w:noProof/>
        </w:rPr>
        <w:drawing>
          <wp:inline distT="0" distB="0" distL="0" distR="0" wp14:anchorId="2D73985E" wp14:editId="46A927FD">
            <wp:extent cx="3067050" cy="2695575"/>
            <wp:effectExtent l="0" t="0" r="0" b="0"/>
            <wp:docPr id="930079052"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0079052" name=""/>
                    <pic:cNvPicPr/>
                  </pic:nvPicPr>
                  <pic:blipFill>
                    <a:blip r:embed="rId15">
                      <a:extLst>
                        <a:ext uri="{96DAC541-7B7A-43D3-8B79-37D633B846F1}">
                          <asvg:svgBlip xmlns:asvg="http://schemas.microsoft.com/office/drawing/2016/SVG/main" r:embed="rId16"/>
                        </a:ext>
                      </a:extLst>
                    </a:blip>
                    <a:stretch>
                      <a:fillRect/>
                    </a:stretch>
                  </pic:blipFill>
                  <pic:spPr>
                    <a:xfrm>
                      <a:off x="0" y="0"/>
                      <a:ext cx="3067050" cy="2695575"/>
                    </a:xfrm>
                    <a:prstGeom prst="rect">
                      <a:avLst/>
                    </a:prstGeom>
                  </pic:spPr>
                </pic:pic>
              </a:graphicData>
            </a:graphic>
          </wp:inline>
        </w:drawing>
      </w:r>
      <w:r w:rsidRPr="00994531">
        <w:rPr>
          <w:noProof/>
        </w:rPr>
        <w:t xml:space="preserve"> </w:t>
      </w:r>
      <w:r w:rsidRPr="00994531">
        <w:rPr>
          <w:noProof/>
        </w:rPr>
        <w:drawing>
          <wp:inline distT="0" distB="0" distL="0" distR="0" wp14:anchorId="626FF215" wp14:editId="7BA6F7A0">
            <wp:extent cx="2743200" cy="2752725"/>
            <wp:effectExtent l="0" t="0" r="0" b="9525"/>
            <wp:docPr id="814801322"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4801322" name=""/>
                    <pic:cNvPicPr/>
                  </pic:nvPicPr>
                  <pic:blipFill>
                    <a:blip r:embed="rId17">
                      <a:extLst>
                        <a:ext uri="{96DAC541-7B7A-43D3-8B79-37D633B846F1}">
                          <asvg:svgBlip xmlns:asvg="http://schemas.microsoft.com/office/drawing/2016/SVG/main" r:embed="rId18"/>
                        </a:ext>
                      </a:extLst>
                    </a:blip>
                    <a:stretch>
                      <a:fillRect/>
                    </a:stretch>
                  </pic:blipFill>
                  <pic:spPr>
                    <a:xfrm>
                      <a:off x="0" y="0"/>
                      <a:ext cx="2743200" cy="2752725"/>
                    </a:xfrm>
                    <a:prstGeom prst="rect">
                      <a:avLst/>
                    </a:prstGeom>
                  </pic:spPr>
                </pic:pic>
              </a:graphicData>
            </a:graphic>
          </wp:inline>
        </w:drawing>
      </w:r>
    </w:p>
    <w:p w14:paraId="04B8A8E7" w14:textId="039E7E8F" w:rsidR="00EF23D4" w:rsidRPr="00994531" w:rsidRDefault="00F65E3D" w:rsidP="00240FB6">
      <w:pPr>
        <w:pStyle w:val="Caption"/>
        <w:rPr>
          <w:rFonts w:eastAsia="Times New Roman" w:cs="Times New Roman"/>
          <w:i w:val="0"/>
          <w:iCs w:val="0"/>
          <w:color w:val="auto"/>
          <w:kern w:val="0"/>
          <w:sz w:val="24"/>
          <w:szCs w:val="24"/>
          <w14:ligatures w14:val="none"/>
        </w:rPr>
      </w:pPr>
      <w:bookmarkStart w:id="38" w:name="_Toc204263354"/>
      <w:r w:rsidRPr="001F1EE5">
        <w:rPr>
          <w:b/>
          <w:bCs/>
          <w:i w:val="0"/>
          <w:iCs w:val="0"/>
          <w:color w:val="auto"/>
          <w:sz w:val="24"/>
          <w:szCs w:val="24"/>
        </w:rPr>
        <w:t>Figure 2</w:t>
      </w:r>
      <w:r w:rsidR="00C008B9">
        <w:rPr>
          <w:b/>
          <w:bCs/>
          <w:i w:val="0"/>
          <w:iCs w:val="0"/>
          <w:color w:val="auto"/>
          <w:sz w:val="24"/>
          <w:szCs w:val="24"/>
        </w:rPr>
        <w:t>.</w:t>
      </w:r>
      <w:r w:rsidR="00D24801">
        <w:rPr>
          <w:b/>
          <w:bCs/>
          <w:i w:val="0"/>
          <w:iCs w:val="0"/>
          <w:color w:val="auto"/>
          <w:sz w:val="24"/>
          <w:szCs w:val="24"/>
        </w:rPr>
        <w:fldChar w:fldCharType="begin"/>
      </w:r>
      <w:r w:rsidR="00D24801">
        <w:rPr>
          <w:b/>
          <w:bCs/>
          <w:i w:val="0"/>
          <w:iCs w:val="0"/>
          <w:color w:val="auto"/>
          <w:sz w:val="24"/>
          <w:szCs w:val="24"/>
        </w:rPr>
        <w:instrText xml:space="preserve"> SEQ Figure \* ARABIC \s 1 </w:instrText>
      </w:r>
      <w:r w:rsidR="00D24801">
        <w:rPr>
          <w:b/>
          <w:bCs/>
          <w:i w:val="0"/>
          <w:iCs w:val="0"/>
          <w:color w:val="auto"/>
          <w:sz w:val="24"/>
          <w:szCs w:val="24"/>
        </w:rPr>
        <w:fldChar w:fldCharType="separate"/>
      </w:r>
      <w:r w:rsidR="00D24801">
        <w:rPr>
          <w:b/>
          <w:bCs/>
          <w:i w:val="0"/>
          <w:iCs w:val="0"/>
          <w:noProof/>
          <w:color w:val="auto"/>
          <w:sz w:val="24"/>
          <w:szCs w:val="24"/>
        </w:rPr>
        <w:t>3</w:t>
      </w:r>
      <w:r w:rsidR="00D24801">
        <w:rPr>
          <w:b/>
          <w:bCs/>
          <w:i w:val="0"/>
          <w:iCs w:val="0"/>
          <w:color w:val="auto"/>
          <w:sz w:val="24"/>
          <w:szCs w:val="24"/>
        </w:rPr>
        <w:fldChar w:fldCharType="end"/>
      </w:r>
      <w:r w:rsidR="002200AC" w:rsidRPr="00994531">
        <w:rPr>
          <w:i w:val="0"/>
          <w:iCs w:val="0"/>
          <w:color w:val="auto"/>
          <w:sz w:val="24"/>
          <w:szCs w:val="24"/>
        </w:rPr>
        <w:t>:</w:t>
      </w:r>
      <w:r w:rsidR="00EF23D4" w:rsidRPr="00994531">
        <w:rPr>
          <w:rFonts w:eastAsia="Times New Roman" w:cs="Times New Roman"/>
          <w:i w:val="0"/>
          <w:iCs w:val="0"/>
          <w:color w:val="auto"/>
          <w:kern w:val="0"/>
          <w:sz w:val="24"/>
          <w:szCs w:val="24"/>
          <w14:ligatures w14:val="none"/>
        </w:rPr>
        <w:t xml:space="preserve"> (a) Soil texture observed across the experimental sites, with frequent representation of loam, silt loam, clay loam, and silty clay loam soils (left panel). (b) Rate and nitrogen form used in fertilization events which occurred following experiment commencement (right panel). Diversity of fertilizer types is represented, including urea, urea ammonium nitrate (UAN), environmentally enhanced nitrogen (EEN), ammonium sulfate (AS), ammonium nitrate (AN), ammonium phosphate (AP), anhydrous ammonia (AA), livestock urine, manure, and other unreported fertilizer forms.</w:t>
      </w:r>
      <w:bookmarkEnd w:id="38"/>
    </w:p>
    <w:p w14:paraId="09589647" w14:textId="77777777" w:rsidR="00240FB6" w:rsidRPr="00994531" w:rsidRDefault="00EF23D4" w:rsidP="00550433">
      <w:pPr>
        <w:keepNext/>
        <w:spacing w:after="0" w:line="240" w:lineRule="auto"/>
        <w:jc w:val="center"/>
      </w:pPr>
      <w:r w:rsidRPr="00994531">
        <w:rPr>
          <w:rFonts w:eastAsia="Times New Roman" w:cs="Times New Roman"/>
          <w:noProof/>
          <w:kern w:val="0"/>
          <w:szCs w:val="24"/>
          <w14:ligatures w14:val="none"/>
        </w:rPr>
        <w:lastRenderedPageBreak/>
        <w:drawing>
          <wp:inline distT="0" distB="0" distL="0" distR="0" wp14:anchorId="4F76B9D3" wp14:editId="410A9EF0">
            <wp:extent cx="1833992" cy="1816011"/>
            <wp:effectExtent l="0" t="0" r="0" b="0"/>
            <wp:docPr id="605677595"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5677595" name=""/>
                    <pic:cNvPicPr/>
                  </pic:nvPicPr>
                  <pic:blipFill>
                    <a:blip r:embed="rId19">
                      <a:extLst>
                        <a:ext uri="{96DAC541-7B7A-43D3-8B79-37D633B846F1}">
                          <asvg:svgBlip xmlns:asvg="http://schemas.microsoft.com/office/drawing/2016/SVG/main" r:embed="rId20"/>
                        </a:ext>
                      </a:extLst>
                    </a:blip>
                    <a:stretch>
                      <a:fillRect/>
                    </a:stretch>
                  </pic:blipFill>
                  <pic:spPr>
                    <a:xfrm>
                      <a:off x="0" y="0"/>
                      <a:ext cx="1847544" cy="1829430"/>
                    </a:xfrm>
                    <a:prstGeom prst="rect">
                      <a:avLst/>
                    </a:prstGeom>
                  </pic:spPr>
                </pic:pic>
              </a:graphicData>
            </a:graphic>
          </wp:inline>
        </w:drawing>
      </w:r>
    </w:p>
    <w:p w14:paraId="13820A51" w14:textId="4CDD730C" w:rsidR="00EF23D4" w:rsidRPr="00994531" w:rsidRDefault="00240FB6" w:rsidP="00550433">
      <w:pPr>
        <w:pStyle w:val="Caption"/>
        <w:rPr>
          <w:rFonts w:eastAsia="Times New Roman" w:cs="Times New Roman"/>
          <w:i w:val="0"/>
          <w:iCs w:val="0"/>
          <w:color w:val="auto"/>
          <w:kern w:val="0"/>
          <w:sz w:val="24"/>
          <w:szCs w:val="24"/>
          <w14:ligatures w14:val="none"/>
        </w:rPr>
      </w:pPr>
      <w:bookmarkStart w:id="39" w:name="_Toc204263355"/>
      <w:r w:rsidRPr="001F1EE5">
        <w:rPr>
          <w:b/>
          <w:bCs/>
          <w:i w:val="0"/>
          <w:iCs w:val="0"/>
          <w:color w:val="auto"/>
          <w:sz w:val="24"/>
          <w:szCs w:val="24"/>
        </w:rPr>
        <w:t>Figure 2</w:t>
      </w:r>
      <w:r w:rsidR="00C008B9">
        <w:rPr>
          <w:b/>
          <w:bCs/>
          <w:i w:val="0"/>
          <w:iCs w:val="0"/>
          <w:color w:val="auto"/>
          <w:sz w:val="24"/>
          <w:szCs w:val="24"/>
        </w:rPr>
        <w:t>.</w:t>
      </w:r>
      <w:r w:rsidR="00D24801">
        <w:rPr>
          <w:b/>
          <w:bCs/>
          <w:i w:val="0"/>
          <w:iCs w:val="0"/>
          <w:color w:val="auto"/>
          <w:sz w:val="24"/>
          <w:szCs w:val="24"/>
        </w:rPr>
        <w:fldChar w:fldCharType="begin"/>
      </w:r>
      <w:r w:rsidR="00D24801">
        <w:rPr>
          <w:b/>
          <w:bCs/>
          <w:i w:val="0"/>
          <w:iCs w:val="0"/>
          <w:color w:val="auto"/>
          <w:sz w:val="24"/>
          <w:szCs w:val="24"/>
        </w:rPr>
        <w:instrText xml:space="preserve"> SEQ Figure \* ARABIC \s 1 </w:instrText>
      </w:r>
      <w:r w:rsidR="00D24801">
        <w:rPr>
          <w:b/>
          <w:bCs/>
          <w:i w:val="0"/>
          <w:iCs w:val="0"/>
          <w:color w:val="auto"/>
          <w:sz w:val="24"/>
          <w:szCs w:val="24"/>
        </w:rPr>
        <w:fldChar w:fldCharType="separate"/>
      </w:r>
      <w:r w:rsidR="00D24801">
        <w:rPr>
          <w:b/>
          <w:bCs/>
          <w:i w:val="0"/>
          <w:iCs w:val="0"/>
          <w:noProof/>
          <w:color w:val="auto"/>
          <w:sz w:val="24"/>
          <w:szCs w:val="24"/>
        </w:rPr>
        <w:t>4</w:t>
      </w:r>
      <w:r w:rsidR="00D24801">
        <w:rPr>
          <w:b/>
          <w:bCs/>
          <w:i w:val="0"/>
          <w:iCs w:val="0"/>
          <w:color w:val="auto"/>
          <w:sz w:val="24"/>
          <w:szCs w:val="24"/>
        </w:rPr>
        <w:fldChar w:fldCharType="end"/>
      </w:r>
      <w:r w:rsidRPr="00994531">
        <w:rPr>
          <w:i w:val="0"/>
          <w:iCs w:val="0"/>
          <w:color w:val="auto"/>
          <w:sz w:val="24"/>
          <w:szCs w:val="24"/>
        </w:rPr>
        <w:t xml:space="preserve">: </w:t>
      </w:r>
      <w:r w:rsidR="00EF23D4" w:rsidRPr="00994531">
        <w:rPr>
          <w:rFonts w:eastAsia="Times New Roman" w:cs="Times New Roman"/>
          <w:i w:val="0"/>
          <w:iCs w:val="0"/>
          <w:color w:val="auto"/>
          <w:kern w:val="0"/>
          <w:sz w:val="24"/>
          <w:szCs w:val="24"/>
          <w14:ligatures w14:val="none"/>
        </w:rPr>
        <w:t>Distribution of daily average N</w:t>
      </w:r>
      <w:r w:rsidR="00EF23D4" w:rsidRPr="00994531">
        <w:rPr>
          <w:rFonts w:eastAsia="Times New Roman" w:cs="Times New Roman"/>
          <w:i w:val="0"/>
          <w:iCs w:val="0"/>
          <w:color w:val="auto"/>
          <w:kern w:val="0"/>
          <w:sz w:val="24"/>
          <w:szCs w:val="24"/>
          <w:vertAlign w:val="subscript"/>
          <w14:ligatures w14:val="none"/>
        </w:rPr>
        <w:t>2</w:t>
      </w:r>
      <w:r w:rsidR="00EF23D4" w:rsidRPr="00994531">
        <w:rPr>
          <w:rFonts w:eastAsia="Times New Roman" w:cs="Times New Roman"/>
          <w:i w:val="0"/>
          <w:iCs w:val="0"/>
          <w:color w:val="auto"/>
          <w:kern w:val="0"/>
          <w:sz w:val="24"/>
          <w:szCs w:val="24"/>
          <w14:ligatures w14:val="none"/>
        </w:rPr>
        <w:t>O flux magnitudes across the entire dataset. Bin width is 100 g N ha</w:t>
      </w:r>
      <w:r w:rsidR="00EF23D4" w:rsidRPr="00994531">
        <w:rPr>
          <w:rFonts w:eastAsia="Times New Roman" w:cs="Times New Roman"/>
          <w:i w:val="0"/>
          <w:iCs w:val="0"/>
          <w:color w:val="auto"/>
          <w:kern w:val="0"/>
          <w:sz w:val="24"/>
          <w:szCs w:val="24"/>
          <w:vertAlign w:val="superscript"/>
          <w14:ligatures w14:val="none"/>
        </w:rPr>
        <w:t>-1</w:t>
      </w:r>
      <w:r w:rsidR="00EF23D4" w:rsidRPr="00994531">
        <w:rPr>
          <w:rFonts w:eastAsia="Times New Roman" w:cs="Times New Roman"/>
          <w:i w:val="0"/>
          <w:iCs w:val="0"/>
          <w:color w:val="auto"/>
          <w:kern w:val="0"/>
          <w:sz w:val="24"/>
          <w:szCs w:val="24"/>
          <w14:ligatures w14:val="none"/>
        </w:rPr>
        <w:t xml:space="preserve"> d</w:t>
      </w:r>
      <w:r w:rsidR="00EF23D4" w:rsidRPr="00994531">
        <w:rPr>
          <w:rFonts w:eastAsia="Times New Roman" w:cs="Times New Roman"/>
          <w:i w:val="0"/>
          <w:iCs w:val="0"/>
          <w:color w:val="auto"/>
          <w:kern w:val="0"/>
          <w:sz w:val="24"/>
          <w:szCs w:val="24"/>
          <w:vertAlign w:val="superscript"/>
          <w14:ligatures w14:val="none"/>
        </w:rPr>
        <w:t>-1</w:t>
      </w:r>
      <w:r w:rsidR="00EF23D4" w:rsidRPr="00994531">
        <w:rPr>
          <w:rFonts w:eastAsia="Times New Roman" w:cs="Times New Roman"/>
          <w:i w:val="0"/>
          <w:iCs w:val="0"/>
          <w:color w:val="auto"/>
          <w:kern w:val="0"/>
          <w:sz w:val="24"/>
          <w:szCs w:val="24"/>
          <w14:ligatures w14:val="none"/>
        </w:rPr>
        <w:t>. Flux values near zero were orders of magnitude more common than higher flux values, and flux values become rarer with increasing magnitude up to 1500 g N ha</w:t>
      </w:r>
      <w:r w:rsidR="00EF23D4" w:rsidRPr="00994531">
        <w:rPr>
          <w:rFonts w:eastAsia="Times New Roman" w:cs="Times New Roman"/>
          <w:i w:val="0"/>
          <w:iCs w:val="0"/>
          <w:color w:val="auto"/>
          <w:kern w:val="0"/>
          <w:sz w:val="24"/>
          <w:szCs w:val="24"/>
          <w:vertAlign w:val="superscript"/>
          <w14:ligatures w14:val="none"/>
        </w:rPr>
        <w:t>-1</w:t>
      </w:r>
      <w:r w:rsidR="00EF23D4" w:rsidRPr="00994531">
        <w:rPr>
          <w:rFonts w:eastAsia="Times New Roman" w:cs="Times New Roman"/>
          <w:i w:val="0"/>
          <w:iCs w:val="0"/>
          <w:color w:val="auto"/>
          <w:kern w:val="0"/>
          <w:sz w:val="24"/>
          <w:szCs w:val="24"/>
          <w14:ligatures w14:val="none"/>
        </w:rPr>
        <w:t xml:space="preserve"> d</w:t>
      </w:r>
      <w:r w:rsidR="00EF23D4" w:rsidRPr="00994531">
        <w:rPr>
          <w:rFonts w:eastAsia="Times New Roman" w:cs="Times New Roman"/>
          <w:i w:val="0"/>
          <w:iCs w:val="0"/>
          <w:color w:val="auto"/>
          <w:kern w:val="0"/>
          <w:sz w:val="24"/>
          <w:szCs w:val="24"/>
          <w:vertAlign w:val="superscript"/>
          <w14:ligatures w14:val="none"/>
        </w:rPr>
        <w:t>-1</w:t>
      </w:r>
      <w:r w:rsidR="00EF23D4" w:rsidRPr="00994531">
        <w:rPr>
          <w:rFonts w:eastAsia="Times New Roman" w:cs="Times New Roman"/>
          <w:i w:val="0"/>
          <w:iCs w:val="0"/>
          <w:color w:val="auto"/>
          <w:kern w:val="0"/>
          <w:sz w:val="24"/>
          <w:szCs w:val="24"/>
          <w14:ligatures w14:val="none"/>
        </w:rPr>
        <w:t>.</w:t>
      </w:r>
      <w:bookmarkEnd w:id="39"/>
      <w:r w:rsidR="00EF23D4" w:rsidRPr="00994531">
        <w:rPr>
          <w:rFonts w:eastAsia="Times New Roman" w:cs="Times New Roman"/>
          <w:i w:val="0"/>
          <w:iCs w:val="0"/>
          <w:color w:val="auto"/>
          <w:kern w:val="0"/>
          <w:sz w:val="24"/>
          <w:szCs w:val="24"/>
          <w14:ligatures w14:val="none"/>
        </w:rPr>
        <w:t xml:space="preserve"> </w:t>
      </w:r>
    </w:p>
    <w:p w14:paraId="6ACB6F38" w14:textId="47229E8D" w:rsidR="00EF23D4" w:rsidRPr="00994531" w:rsidRDefault="00550433" w:rsidP="001B567A">
      <w:pPr>
        <w:spacing w:after="0" w:line="480" w:lineRule="auto"/>
        <w:rPr>
          <w:rFonts w:eastAsia="Times New Roman" w:cs="Times New Roman"/>
          <w:kern w:val="0"/>
          <w:szCs w:val="24"/>
          <w14:ligatures w14:val="none"/>
        </w:rPr>
      </w:pPr>
      <w:r w:rsidRPr="00994531">
        <w:rPr>
          <w:rFonts w:eastAsia="Times New Roman" w:cs="Times New Roman"/>
          <w:kern w:val="0"/>
          <w:szCs w:val="24"/>
          <w14:ligatures w14:val="none"/>
        </w:rPr>
        <w:t>characteristic of an inlier or anomalous. The unsupervised method foregoes calibration with data</w:t>
      </w:r>
      <w:r>
        <w:rPr>
          <w:rFonts w:eastAsia="Times New Roman" w:cs="Times New Roman"/>
          <w:kern w:val="0"/>
          <w:szCs w:val="24"/>
          <w14:ligatures w14:val="none"/>
        </w:rPr>
        <w:t xml:space="preserve"> </w:t>
      </w:r>
      <w:r w:rsidR="00EF23D4" w:rsidRPr="00994531">
        <w:rPr>
          <w:rFonts w:eastAsia="Times New Roman" w:cs="Times New Roman"/>
          <w:kern w:val="0"/>
          <w:szCs w:val="24"/>
          <w14:ligatures w14:val="none"/>
        </w:rPr>
        <w:t xml:space="preserve">labels and instead assumes that anomalies are always very rare </w:t>
      </w:r>
      <w:r w:rsidR="00EF23D4" w:rsidRPr="00994531">
        <w:rPr>
          <w:rFonts w:eastAsia="Times New Roman" w:cs="Times New Roman"/>
          <w:kern w:val="0"/>
          <w:szCs w:val="24"/>
          <w14:ligatures w14:val="none"/>
        </w:rPr>
        <w:fldChar w:fldCharType="begin"/>
      </w:r>
      <w:r w:rsidR="00D74AD1">
        <w:rPr>
          <w:rFonts w:eastAsia="Times New Roman" w:cs="Times New Roman"/>
          <w:kern w:val="0"/>
          <w:szCs w:val="24"/>
          <w14:ligatures w14:val="none"/>
        </w:rPr>
        <w:instrText xml:space="preserve"> ADDIN ZOTERO_ITEM CSL_CITATION {"citationID":"asUwGpod","properties":{"formattedCitation":"(Chandola et al., 2009; Paulheim &amp; Meusel, 2015)","plainCitation":"(Chandola et al., 2009; Paulheim &amp; Meusel, 2015)","noteIndex":0},"citationItems":[{"id":1445,"uris":["http://zotero.org/groups/4573874/items/A8RD8TFP"],"itemData":{"id":1445,"type":"article-journal","abstract":"Anomaly detection is an important problem that has been researched within diverse research areas and application domains. Many anomaly detection techniques have been specifically developed for certain application domains, while others are more generic. This survey tries to provide a structured and comprehensive overview of the research on anomaly detection. We have grouped existing techniques into different categories based on the underlying approach adopted by each technique. For each category we have identified key assumptions, which are used by the techniques to differentiate between normal and anomalous behavior. When applying a given technique to a particular domain, these assumptions can be used as guidelines to assess the effectiveness of the technique in that domain. For each category, we provide a basic anomaly detection technique, and then show how the different existing techniques in that category are variants of the basic technique. This template provides an easier and more succinct understanding of the techniques belonging to each category. Further, for each category, we identify the advantages and disadvantages of the techniques in that category. We also provide a discussion on the computational complexity of the techniques since it is an important issue in real application domains. We hope that this survey will provide a better understanding of the different directions in which research has been done on this topic, and how techniques developed in one area can be applied in domains for which they were not intended to begin with.","container-title":"ACM Computing Surveys","DOI":"10.1145/1541880.1541882","ISSN":"0360-0300","issue":"3","journalAbbreviation":"ACM Comput. Surv.","page":"15:1–15:58","source":"ACM Digital Library","title":"Anomaly detection: A survey","title-short":"Anomaly detection","volume":"41","author":[{"family":"Chandola","given":"Varun"},{"family":"Banerjee","given":"Arindam"},{"family":"Kumar","given":"Vipin"}],"issued":{"date-parts":[["2009",7,30]]}}},{"id":1444,"uris":["http://zotero.org/groups/4573874/items/BHXVK9UH"],"itemData":{"id":1444,"type":"article-journal","abstract":"Outlier detection methods automatically identify instances that deviate from the majority of the data. In this paper, we propose a novel approach for unsupervised outlier detection, which re-formulates the outlier detection problem in numerical data as a set of supervised regression learning problems. For each attribute, we learn a predictive model which predicts the values of that attribute from the values of all other attributes, and compute the deviations between the predictions and the actual values. From those deviations, we derive both a weight for each attribute, and a final outlier score using those weights. The weights help separating the relevant attributes from the irrelevant ones, and thus make the approach well suitable for discovering outliers otherwise masked in high-dimensional data. An empirical evaluation shows that our approach outperforms existing algorithms, and is particularly robust in datasets with many irrelevant attributes. Furthermore, we show that if a symbolic machine learning method is used to solve the individual learning problems, the approach is also capable of generating concise explanations for the detected outliers.","container-title":"Machine Learning","DOI":"10.1007/s10994-015-5507-y","ISSN":"1573-0565","issue":"2","journalAbbreviation":"Mach Learn","language":"en","page":"509-531","source":"Springer Link","title":"A decomposition of the outlier detection problem into a set of supervised learning problems","volume":"100","author":[{"family":"Paulheim","given":"Heiko"},{"family":"Meusel","given":"Robert"}],"issued":{"date-parts":[["2015",9,1]]}}}],"schema":"https://github.com/citation-style-language/schema/raw/master/csl-citation.json"} </w:instrText>
      </w:r>
      <w:r w:rsidR="00EF23D4" w:rsidRPr="00994531">
        <w:rPr>
          <w:rFonts w:eastAsia="Times New Roman" w:cs="Times New Roman"/>
          <w:kern w:val="0"/>
          <w:szCs w:val="24"/>
          <w14:ligatures w14:val="none"/>
        </w:rPr>
        <w:fldChar w:fldCharType="separate"/>
      </w:r>
      <w:r w:rsidR="00EF23D4" w:rsidRPr="00994531">
        <w:rPr>
          <w:rFonts w:cs="Times New Roman"/>
        </w:rPr>
        <w:t>(Chandola et al., 2009; Paulheim &amp; Meusel, 2015)</w:t>
      </w:r>
      <w:r w:rsidR="00EF23D4" w:rsidRPr="00994531">
        <w:rPr>
          <w:rFonts w:eastAsia="Times New Roman" w:cs="Times New Roman"/>
          <w:kern w:val="0"/>
          <w:szCs w:val="24"/>
          <w14:ligatures w14:val="none"/>
        </w:rPr>
        <w:fldChar w:fldCharType="end"/>
      </w:r>
      <w:r w:rsidR="00EF23D4" w:rsidRPr="00994531">
        <w:rPr>
          <w:rFonts w:eastAsia="Times New Roman" w:cs="Times New Roman"/>
          <w:kern w:val="0"/>
          <w:szCs w:val="24"/>
          <w14:ligatures w14:val="none"/>
        </w:rPr>
        <w:t xml:space="preserve">. The use of trusted data labels in supervised methods has been shown to improve the accuracy of anomaly detection compared to unsupervised methods when applied to the same environmental datasets. This improvement is often attributed to the complex nature of anomalies varying over time, non-normal data distribution, and context dependent drivers of anomalies in such datasets </w:t>
      </w:r>
      <w:r w:rsidR="00EF23D4" w:rsidRPr="00994531">
        <w:rPr>
          <w:rFonts w:eastAsia="Times New Roman" w:cs="Times New Roman"/>
          <w:kern w:val="0"/>
          <w:szCs w:val="24"/>
          <w14:ligatures w14:val="none"/>
        </w:rPr>
        <w:fldChar w:fldCharType="begin"/>
      </w:r>
      <w:r w:rsidR="00D74AD1">
        <w:rPr>
          <w:rFonts w:eastAsia="Times New Roman" w:cs="Times New Roman"/>
          <w:kern w:val="0"/>
          <w:szCs w:val="24"/>
          <w14:ligatures w14:val="none"/>
        </w:rPr>
        <w:instrText xml:space="preserve"> ADDIN ZOTERO_ITEM CSL_CITATION {"citationID":"1BIG34ck","properties":{"formattedCitation":"(Russo et al., 2021)","plainCitation":"(Russo et al., 2021)","noteIndex":0},"citationItems":[{"id":1999,"uris":["http://zotero.org/groups/4573874/items/WI6S3YKM"],"itemData":{"id":1999,"type":"article-journal","abstract":"Anomaly detection is the process of identifying unexpected data samples in datasets. Automated anomaly detection is either performed using supervised machine learning models, which require a labelled dataset for their calibration, or unsupervised models, which do not require labels. While academic research has produced a vast array of tools and machine learning models for automated anomaly detection, the research community focused on environmental systems still lacks a comparative analysis that is simultaneously comprehensive, objective, and systematic. This knowledge gap is addressed for the first time in this study, where 15 different supervised and unsupervised anomaly detection models are evaluated on 5 different environmental datasets from engineered and natural aquatic systems. To this end, anomaly detection performance, labelling efforts, as well as the impact of model and algorithm tuning are taken into account. As a result, our analysis reveals the relative strengths and weaknesses of the different approaches in an objective manner without bias for any particular paradigm in machine learning. Most importantly, our results show that expert-based data annotation is extremely valuable for anomaly detection based on machine learning.","container-title":"Water Research","DOI":"10.1016/j.watres.2021.117695","ISSN":"0043-1354","journalAbbreviation":"Water Research","page":"117695","source":"ScienceDirect","title":"The value of human data annotation for machine learning based anomaly detection in environmental systems","volume":"206","author":[{"family":"Russo","given":"Stefania"},{"family":"Besmer","given":"Michael D."},{"family":"Blumensaat","given":"Frank"},{"family":"Bouffard","given":"Damien"},{"family":"Disch","given":"Andy"},{"family":"Hammes","given":"Frederik"},{"family":"Hess","given":"Angelika"},{"family":"Lürig","given":"Moritz"},{"family":"Matthews","given":"Blake"},{"family":"Minaudo","given":"Camille"},{"family":"Morgenroth","given":"Eberhard"},{"family":"Tran-Khac","given":"Viet"},{"family":"Villez","given":"Kris"}],"issued":{"date-parts":[["2021",11,1]]}}}],"schema":"https://github.com/citation-style-language/schema/raw/master/csl-citation.json"} </w:instrText>
      </w:r>
      <w:r w:rsidR="00EF23D4" w:rsidRPr="00994531">
        <w:rPr>
          <w:rFonts w:eastAsia="Times New Roman" w:cs="Times New Roman"/>
          <w:kern w:val="0"/>
          <w:szCs w:val="24"/>
          <w14:ligatures w14:val="none"/>
        </w:rPr>
        <w:fldChar w:fldCharType="separate"/>
      </w:r>
      <w:r w:rsidR="00EF23D4" w:rsidRPr="00994531">
        <w:rPr>
          <w:rFonts w:eastAsia="Times New Roman" w:cs="Times New Roman"/>
          <w:kern w:val="0"/>
          <w:szCs w:val="24"/>
          <w14:ligatures w14:val="none"/>
        </w:rPr>
        <w:t>(Russo et al., 2021)</w:t>
      </w:r>
      <w:r w:rsidR="00EF23D4" w:rsidRPr="00994531">
        <w:rPr>
          <w:rFonts w:eastAsia="Times New Roman" w:cs="Times New Roman"/>
          <w:kern w:val="0"/>
          <w:szCs w:val="24"/>
          <w14:ligatures w14:val="none"/>
        </w:rPr>
        <w:fldChar w:fldCharType="end"/>
      </w:r>
      <w:r w:rsidR="00EF23D4" w:rsidRPr="00994531">
        <w:rPr>
          <w:rFonts w:eastAsia="Times New Roman" w:cs="Times New Roman"/>
          <w:kern w:val="0"/>
          <w:szCs w:val="24"/>
          <w14:ligatures w14:val="none"/>
        </w:rPr>
        <w:t>. Given that temporal N</w:t>
      </w:r>
      <w:r w:rsidR="00EF23D4" w:rsidRPr="00994531">
        <w:rPr>
          <w:rFonts w:eastAsia="Times New Roman" w:cs="Times New Roman"/>
          <w:kern w:val="0"/>
          <w:szCs w:val="24"/>
          <w:vertAlign w:val="subscript"/>
          <w14:ligatures w14:val="none"/>
        </w:rPr>
        <w:t>2</w:t>
      </w:r>
      <w:r w:rsidR="00EF23D4" w:rsidRPr="00994531">
        <w:rPr>
          <w:rFonts w:eastAsia="Times New Roman" w:cs="Times New Roman"/>
          <w:kern w:val="0"/>
          <w:szCs w:val="24"/>
          <w14:ligatures w14:val="none"/>
        </w:rPr>
        <w:t xml:space="preserve">O fluxes and hot moments are a perfect example of this description, we chose to generate data labels to enable the use of a supervised approach for this analysis. </w:t>
      </w:r>
    </w:p>
    <w:p w14:paraId="19769DC6" w14:textId="7271EA3B" w:rsidR="00EF23D4" w:rsidRPr="00994531" w:rsidRDefault="00EF23D4" w:rsidP="001B567A">
      <w:pPr>
        <w:pBdr>
          <w:top w:val="nil"/>
          <w:left w:val="nil"/>
          <w:bottom w:val="nil"/>
          <w:right w:val="nil"/>
          <w:between w:val="nil"/>
        </w:pBdr>
        <w:spacing w:after="0" w:line="480" w:lineRule="auto"/>
        <w:rPr>
          <w:rFonts w:eastAsia="Times New Roman" w:cs="Times New Roman"/>
          <w:kern w:val="0"/>
          <w:szCs w:val="24"/>
          <w14:ligatures w14:val="none"/>
        </w:rPr>
      </w:pPr>
      <w:r w:rsidRPr="00994531">
        <w:rPr>
          <w:rFonts w:eastAsia="Times New Roman" w:cs="Times New Roman"/>
          <w:kern w:val="0"/>
          <w:szCs w:val="24"/>
          <w14:ligatures w14:val="none"/>
        </w:rPr>
        <w:t xml:space="preserve">We convened to deliberate upon the labeling of each datapoint as either characteristic of a “hot moment” or “background emission” as defined by McClain et al. (2003). Each time series was considered individually as hot moments are contextual and background emissions levels may vary across regions, crops, or other experimental factors </w:t>
      </w:r>
      <w:r w:rsidRPr="00994531">
        <w:rPr>
          <w:rFonts w:eastAsia="Times New Roman" w:cs="Times New Roman"/>
          <w:kern w:val="0"/>
          <w:szCs w:val="24"/>
          <w14:ligatures w14:val="none"/>
        </w:rPr>
        <w:fldChar w:fldCharType="begin"/>
      </w:r>
      <w:r w:rsidR="00D74AD1">
        <w:rPr>
          <w:rFonts w:eastAsia="Times New Roman" w:cs="Times New Roman"/>
          <w:kern w:val="0"/>
          <w:szCs w:val="24"/>
          <w14:ligatures w14:val="none"/>
        </w:rPr>
        <w:instrText xml:space="preserve"> ADDIN ZOTERO_ITEM CSL_CITATION {"citationID":"wUcsnpbQ","properties":{"formattedCitation":"(Yin et al., 2022)","plainCitation":"(Yin et al., 2022)","noteIndex":0},"citationItems":[{"id":607,"uris":["http://zotero.org/groups/4573874/items/UFAM7YSK"],"itemData":{"id":607,"type":"article-journal","abstract":"Robust global simulation of soil background N2O emissions (BNEs) is a challenge due to the lack of a comprehensive system for quantification of the variations in their magnitude and location. We mapped global BNEs based on 1353 field observations from globally distributed sites and high-resolution climate and soil data. We then calculated global and national total BNE budgets and compared them to the IPCC-estimated values. The average BNE was 1.10, 0.92, and 0.84 kg N ha−1 year−1 with variations from 0.18 to 3.47 (5th–95th percentile, hereafter), 0.20 to 3.44, and −1.16 to 3.70 kg N ha−1 year−1 for cropland, forestland, and grassland, respectively. Soil pH, soil N mineralization, atmospheric N deposition, soil volumetric water content, and soil temperature were the principle significant drivers of BNEs. The total BNEs of three land use types was lower than IPCC-estimated total BNEs by 0.83 Tg (1012 g) N year−1, ranging from −47% to 94% across countries. The estimated BNE with cropland values were slightly higher than the IPCC estimates by 0.11 Tg N year−1, and forestland and grassland lower than the IPCC estimates by 0.4 and 0.54 Tg N year−1, respectively. Our study underlined the necessity for detailed estimation of the spatial distribution of BNEs to improve the estimates of global N2O emissions and enable the establishment of more realistic and effective mitigation measures.","container-title":"Global Change Biology","DOI":"10.1111/gcb.15860","ISSN":"1365-2486","issue":"2","language":"en","note":"_eprint: https://onlinelibrary.wiley.com/doi/pdf/10.1111/gcb.15860","page":"480-492","source":"Wiley Online Library","title":"Evaluation of variation in background nitrous oxide emissions: A new global synthesis integrating the impacts of climate, soil, and management conditions","title-short":"Evaluation of variation in background nitrous oxide emissions","volume":"28","author":[{"family":"Yin","given":"Yulong"},{"family":"Wang","given":"Zihan"},{"family":"Tian","given":"Xingshuai"},{"family":"Wang","given":"Yingcheng"},{"family":"Cong","given":"Jiahui"},{"family":"Cui","given":"Zhenling"}],"issued":{"date-parts":[["2022"]]}}}],"schema":"https://github.com/citation-style-language/schema/raw/master/csl-citation.json"} </w:instrText>
      </w:r>
      <w:r w:rsidRPr="00994531">
        <w:rPr>
          <w:rFonts w:eastAsia="Times New Roman" w:cs="Times New Roman"/>
          <w:kern w:val="0"/>
          <w:szCs w:val="24"/>
          <w14:ligatures w14:val="none"/>
        </w:rPr>
        <w:fldChar w:fldCharType="separate"/>
      </w:r>
      <w:r w:rsidRPr="00994531">
        <w:rPr>
          <w:rFonts w:eastAsia="Times New Roman" w:cs="Times New Roman"/>
          <w:kern w:val="0"/>
          <w:szCs w:val="24"/>
          <w14:ligatures w14:val="none"/>
        </w:rPr>
        <w:t>(Yin et al., 2022)</w:t>
      </w:r>
      <w:r w:rsidRPr="00994531">
        <w:rPr>
          <w:rFonts w:eastAsia="Times New Roman" w:cs="Times New Roman"/>
          <w:kern w:val="0"/>
          <w:szCs w:val="24"/>
          <w14:ligatures w14:val="none"/>
        </w:rPr>
        <w:fldChar w:fldCharType="end"/>
      </w:r>
      <w:r w:rsidRPr="00994531">
        <w:rPr>
          <w:rFonts w:eastAsia="Times New Roman" w:cs="Times New Roman"/>
          <w:kern w:val="0"/>
          <w:szCs w:val="24"/>
          <w14:ligatures w14:val="none"/>
        </w:rPr>
        <w:t xml:space="preserve">. Decisions were made in the context of environmental and site information which provided insight into the biogeochemical conditions from which emissions resulted, including air and soil temperature, soil moisture, precipitation, crop species, time of year, and nitrogen fertilizer applications. Hot </w:t>
      </w:r>
      <w:r w:rsidRPr="00994531">
        <w:rPr>
          <w:rFonts w:eastAsia="Times New Roman" w:cs="Times New Roman"/>
          <w:kern w:val="0"/>
          <w:szCs w:val="24"/>
          <w14:ligatures w14:val="none"/>
        </w:rPr>
        <w:lastRenderedPageBreak/>
        <w:t xml:space="preserve">moments are driven by changes to the environment which affects rates of biogeochemical reactions </w:t>
      </w:r>
      <w:r w:rsidRPr="00994531">
        <w:rPr>
          <w:rFonts w:eastAsia="Times New Roman" w:cs="Times New Roman"/>
          <w:kern w:val="0"/>
          <w:szCs w:val="24"/>
          <w14:ligatures w14:val="none"/>
        </w:rPr>
        <w:fldChar w:fldCharType="begin"/>
      </w:r>
      <w:r w:rsidR="00D74AD1">
        <w:rPr>
          <w:rFonts w:eastAsia="Times New Roman" w:cs="Times New Roman"/>
          <w:kern w:val="0"/>
          <w:szCs w:val="24"/>
          <w14:ligatures w14:val="none"/>
        </w:rPr>
        <w:instrText xml:space="preserve"> ADDIN ZOTERO_ITEM CSL_CITATION {"citationID":"wzvKYZgq","properties":{"formattedCitation":"(McClain et al., 2003)","plainCitation":"(McClain et al., 2003)","noteIndex":0},"citationItems":[{"id":1273,"uris":["http://zotero.org/groups/4573874/items/XVDDXTU7"],"itemData":{"id":1273,"type":"article-journal","container-title":"Ecosystems","DOI":"10.1007/s10021-003-0161-9","ISSN":"1432-9840","issue":"4","journalAbbreviation":"Ecosystems","language":"en","page":"301-312","source":"Springer Link","title":"Biogeochemical Hot Spots and Hot Moments at the Interface of Terrestrial and Aquatic Ecosystems","volume":"6","author":[{"family":"McClain","given":"Michael E."},{"family":"Boyer","given":"Elizabeth W."},{"family":"Dent","given":"C. Lisa"},{"family":"Gergel","given":"Sarah E."},{"family":"Grimm","given":"Nancy B."},{"family":"Groffman","given":"Peter M."},{"family":"Hart","given":"Stephen C."},{"family":"Harvey","given":"Judson W."},{"family":"Johnston","given":"Carol A."},{"family":"Mayorga","given":"Emilio"},{"family":"McDowell","given":"William H."},{"family":"Pinay","given":"Gilles"}],"issued":{"date-parts":[["2003",6,1]]}}}],"schema":"https://github.com/citation-style-language/schema/raw/master/csl-citation.json"} </w:instrText>
      </w:r>
      <w:r w:rsidRPr="00994531">
        <w:rPr>
          <w:rFonts w:eastAsia="Times New Roman" w:cs="Times New Roman"/>
          <w:kern w:val="0"/>
          <w:szCs w:val="24"/>
          <w14:ligatures w14:val="none"/>
        </w:rPr>
        <w:fldChar w:fldCharType="separate"/>
      </w:r>
      <w:r w:rsidRPr="00994531">
        <w:rPr>
          <w:rFonts w:eastAsia="Times New Roman" w:cs="Times New Roman"/>
          <w:kern w:val="0"/>
          <w:szCs w:val="24"/>
          <w14:ligatures w14:val="none"/>
        </w:rPr>
        <w:t>(McClain et al., 2003)</w:t>
      </w:r>
      <w:r w:rsidRPr="00994531">
        <w:rPr>
          <w:rFonts w:eastAsia="Times New Roman" w:cs="Times New Roman"/>
          <w:kern w:val="0"/>
          <w:szCs w:val="24"/>
          <w14:ligatures w14:val="none"/>
        </w:rPr>
        <w:fldChar w:fldCharType="end"/>
      </w:r>
      <w:r w:rsidRPr="00994531">
        <w:rPr>
          <w:rFonts w:eastAsia="Times New Roman" w:cs="Times New Roman"/>
          <w:kern w:val="0"/>
          <w:szCs w:val="24"/>
          <w14:ligatures w14:val="none"/>
        </w:rPr>
        <w:t>, and thus we looked for evidence of such events in our data labeling process. We also wished to distinguish between elevations in flux attributable to random noise and decisive increases in N</w:t>
      </w:r>
      <w:r w:rsidRPr="00994531">
        <w:rPr>
          <w:rFonts w:eastAsia="Times New Roman" w:cs="Times New Roman"/>
          <w:kern w:val="0"/>
          <w:szCs w:val="24"/>
          <w:vertAlign w:val="subscript"/>
          <w14:ligatures w14:val="none"/>
        </w:rPr>
        <w:t>2</w:t>
      </w:r>
      <w:r w:rsidRPr="00994531">
        <w:rPr>
          <w:rFonts w:eastAsia="Times New Roman" w:cs="Times New Roman"/>
          <w:kern w:val="0"/>
          <w:szCs w:val="24"/>
          <w14:ligatures w14:val="none"/>
        </w:rPr>
        <w:t>O production rates. Thus, when available (about half of all datasets), the standard error (SE) of each daily average N</w:t>
      </w:r>
      <w:r w:rsidRPr="00994531">
        <w:rPr>
          <w:rFonts w:eastAsia="Times New Roman" w:cs="Times New Roman"/>
          <w:kern w:val="0"/>
          <w:szCs w:val="24"/>
          <w:vertAlign w:val="subscript"/>
          <w14:ligatures w14:val="none"/>
        </w:rPr>
        <w:t>2</w:t>
      </w:r>
      <w:r w:rsidRPr="00994531">
        <w:rPr>
          <w:rFonts w:eastAsia="Times New Roman" w:cs="Times New Roman"/>
          <w:kern w:val="0"/>
          <w:szCs w:val="24"/>
          <w14:ligatures w14:val="none"/>
        </w:rPr>
        <w:t>O flux measurement was also considered in decision making.</w:t>
      </w:r>
    </w:p>
    <w:p w14:paraId="4E79772B" w14:textId="7A9A83DE" w:rsidR="00054BA3" w:rsidRPr="00292820" w:rsidRDefault="00EF23D4" w:rsidP="001B567A">
      <w:pPr>
        <w:spacing w:after="0" w:line="480" w:lineRule="auto"/>
      </w:pPr>
      <w:r w:rsidRPr="00994531">
        <w:rPr>
          <w:rFonts w:eastAsia="Times New Roman" w:cs="Times New Roman"/>
          <w:kern w:val="0"/>
          <w:szCs w:val="24"/>
          <w14:ligatures w14:val="none"/>
        </w:rPr>
        <w:t>This information was incorporated into a separate time series figure of each experimental treatment dataset with the average daily flux (g N ha</w:t>
      </w:r>
      <w:r w:rsidRPr="00994531">
        <w:rPr>
          <w:rFonts w:eastAsia="Times New Roman" w:cs="Times New Roman"/>
          <w:kern w:val="0"/>
          <w:szCs w:val="24"/>
          <w:vertAlign w:val="superscript"/>
          <w14:ligatures w14:val="none"/>
        </w:rPr>
        <w:t>-1</w:t>
      </w:r>
      <w:r w:rsidRPr="00994531">
        <w:rPr>
          <w:rFonts w:eastAsia="Times New Roman" w:cs="Times New Roman"/>
          <w:kern w:val="0"/>
          <w:szCs w:val="24"/>
          <w14:ligatures w14:val="none"/>
        </w:rPr>
        <w:t xml:space="preserve"> d</w:t>
      </w:r>
      <w:r w:rsidRPr="00994531">
        <w:rPr>
          <w:rFonts w:eastAsia="Times New Roman" w:cs="Times New Roman"/>
          <w:kern w:val="0"/>
          <w:szCs w:val="24"/>
          <w:vertAlign w:val="superscript"/>
          <w14:ligatures w14:val="none"/>
        </w:rPr>
        <w:t>-1</w:t>
      </w:r>
      <w:r w:rsidRPr="00994531">
        <w:rPr>
          <w:rFonts w:eastAsia="Times New Roman" w:cs="Times New Roman"/>
          <w:kern w:val="0"/>
          <w:szCs w:val="24"/>
          <w14:ligatures w14:val="none"/>
        </w:rPr>
        <w:t>) and SE portrayed on one graph and soil temperature, air temperature, soil volumetric water content, and soil water filled pore space were graphed whenever available and temporally scaled to the flux data (</w:t>
      </w:r>
      <w:r w:rsidRPr="00953130">
        <w:rPr>
          <w:rFonts w:eastAsia="Times New Roman" w:cs="Times New Roman"/>
          <w:b/>
          <w:kern w:val="0"/>
          <w:szCs w:val="24"/>
          <w14:ligatures w14:val="none"/>
        </w:rPr>
        <w:t xml:space="preserve">Figure </w:t>
      </w:r>
      <w:r w:rsidR="00953130">
        <w:rPr>
          <w:rFonts w:eastAsia="Times New Roman" w:cs="Times New Roman"/>
          <w:b/>
          <w:bCs/>
          <w:kern w:val="0"/>
          <w:szCs w:val="24"/>
          <w14:ligatures w14:val="none"/>
        </w:rPr>
        <w:t>2.</w:t>
      </w:r>
      <w:r w:rsidRPr="00953130">
        <w:rPr>
          <w:rFonts w:eastAsia="Times New Roman" w:cs="Times New Roman"/>
          <w:b/>
          <w:kern w:val="0"/>
          <w:szCs w:val="24"/>
          <w14:ligatures w14:val="none"/>
        </w:rPr>
        <w:t>5</w:t>
      </w:r>
      <w:r w:rsidRPr="00994531">
        <w:rPr>
          <w:rFonts w:eastAsia="Times New Roman" w:cs="Times New Roman"/>
          <w:kern w:val="0"/>
          <w:szCs w:val="24"/>
          <w14:ligatures w14:val="none"/>
        </w:rPr>
        <w:t xml:space="preserve">). The authors analyzed each data point across 170 constructed graphs, contextualized it within neighboring flux and environmental trends, and labeled it as either a “true” hot moment or background emission (hereafter referred to as data labels). The Labeling process was objectively reviewed </w:t>
      </w:r>
      <w:r w:rsidR="00054BA3" w:rsidRPr="00994531">
        <w:rPr>
          <w:rFonts w:eastAsia="Times New Roman" w:cs="Times New Roman"/>
          <w:kern w:val="0"/>
          <w:szCs w:val="24"/>
          <w14:ligatures w14:val="none"/>
        </w:rPr>
        <w:t xml:space="preserve">three times before finalization to minimize subjectivity. </w:t>
      </w:r>
    </w:p>
    <w:p w14:paraId="24DD95E6" w14:textId="3231800D" w:rsidR="00054BA3" w:rsidRPr="00994531" w:rsidRDefault="00054BA3" w:rsidP="001B567A">
      <w:pPr>
        <w:pStyle w:val="Heading3"/>
      </w:pPr>
      <w:bookmarkStart w:id="40" w:name="_Toc204282746"/>
      <w:r w:rsidRPr="00994531">
        <w:t xml:space="preserve">Anomaly </w:t>
      </w:r>
      <w:r w:rsidR="0055280E">
        <w:t>d</w:t>
      </w:r>
      <w:r w:rsidRPr="00994531">
        <w:t xml:space="preserve">etection </w:t>
      </w:r>
      <w:r w:rsidR="0055280E">
        <w:t>m</w:t>
      </w:r>
      <w:r w:rsidRPr="00994531">
        <w:t>ethods</w:t>
      </w:r>
      <w:bookmarkEnd w:id="40"/>
    </w:p>
    <w:p w14:paraId="15E354F5" w14:textId="00AF4951" w:rsidR="00003A4E" w:rsidRPr="00994531" w:rsidRDefault="00054BA3" w:rsidP="001B567A">
      <w:pPr>
        <w:spacing w:after="0" w:line="480" w:lineRule="auto"/>
        <w:rPr>
          <w:rFonts w:eastAsia="Times New Roman" w:cs="Times New Roman"/>
          <w:kern w:val="0"/>
          <w:szCs w:val="24"/>
          <w14:ligatures w14:val="none"/>
        </w:rPr>
      </w:pPr>
      <w:r w:rsidRPr="00994531">
        <w:rPr>
          <w:rFonts w:eastAsia="Times New Roman" w:cs="Times New Roman"/>
          <w:kern w:val="0"/>
          <w:szCs w:val="24"/>
          <w14:ligatures w14:val="none"/>
        </w:rPr>
        <w:t>We evaluated 14 anomaly detection methods, including the previously proposed 1.5 IQR, 3 IQR,</w:t>
      </w:r>
      <w:r>
        <w:rPr>
          <w:rFonts w:eastAsia="Times New Roman" w:cs="Times New Roman"/>
          <w:kern w:val="0"/>
          <w:szCs w:val="24"/>
          <w14:ligatures w14:val="none"/>
        </w:rPr>
        <w:t xml:space="preserve"> </w:t>
      </w:r>
      <w:r w:rsidRPr="00994531">
        <w:rPr>
          <w:rFonts w:eastAsia="Times New Roman" w:cs="Times New Roman"/>
          <w:kern w:val="0"/>
          <w:szCs w:val="24"/>
          <w14:ligatures w14:val="none"/>
        </w:rPr>
        <w:t>75</w:t>
      </w:r>
      <w:r w:rsidRPr="00994531">
        <w:rPr>
          <w:rFonts w:eastAsia="Times New Roman" w:cs="Times New Roman"/>
          <w:kern w:val="0"/>
          <w:szCs w:val="24"/>
          <w:vertAlign w:val="superscript"/>
          <w14:ligatures w14:val="none"/>
        </w:rPr>
        <w:t>th</w:t>
      </w:r>
      <w:r w:rsidRPr="00994531">
        <w:rPr>
          <w:rFonts w:eastAsia="Times New Roman" w:cs="Times New Roman"/>
          <w:kern w:val="0"/>
          <w:szCs w:val="24"/>
          <w14:ligatures w14:val="none"/>
        </w:rPr>
        <w:t xml:space="preserve"> percentile methods, Isolation Forest, and four standard deviations above the mean, along</w:t>
      </w:r>
      <w:r w:rsidR="00003A4E">
        <w:rPr>
          <w:rFonts w:eastAsia="Times New Roman" w:cs="Times New Roman"/>
          <w:kern w:val="0"/>
          <w:szCs w:val="24"/>
          <w14:ligatures w14:val="none"/>
        </w:rPr>
        <w:t xml:space="preserve"> </w:t>
      </w:r>
      <w:r w:rsidR="00003A4E" w:rsidRPr="00994531">
        <w:rPr>
          <w:rFonts w:eastAsia="Times New Roman" w:cs="Times New Roman"/>
          <w:kern w:val="0"/>
          <w:szCs w:val="24"/>
          <w14:ligatures w14:val="none"/>
        </w:rPr>
        <w:t>with nine methods that have not yet been explored in biogeochemical hot moment detection</w:t>
      </w:r>
      <w:r w:rsidR="00915439">
        <w:rPr>
          <w:rFonts w:eastAsia="Times New Roman" w:cs="Times New Roman"/>
          <w:kern w:val="0"/>
          <w:szCs w:val="24"/>
          <w14:ligatures w14:val="none"/>
        </w:rPr>
        <w:t xml:space="preserve"> </w:t>
      </w:r>
      <w:r w:rsidR="0040689A">
        <w:rPr>
          <w:rFonts w:eastAsia="Times New Roman" w:cs="Times New Roman"/>
          <w:kern w:val="0"/>
          <w:szCs w:val="24"/>
          <w14:ligatures w14:val="none"/>
        </w:rPr>
        <w:t>(</w:t>
      </w:r>
      <w:r w:rsidR="0040689A" w:rsidRPr="00915439">
        <w:rPr>
          <w:rFonts w:eastAsia="Times New Roman" w:cs="Times New Roman"/>
          <w:b/>
          <w:bCs/>
          <w:kern w:val="0"/>
          <w:szCs w:val="24"/>
          <w14:ligatures w14:val="none"/>
        </w:rPr>
        <w:t>Table 2.1</w:t>
      </w:r>
      <w:r w:rsidR="0040689A">
        <w:rPr>
          <w:rFonts w:eastAsia="Times New Roman" w:cs="Times New Roman"/>
          <w:kern w:val="0"/>
          <w:szCs w:val="24"/>
          <w14:ligatures w14:val="none"/>
        </w:rPr>
        <w:t>)</w:t>
      </w:r>
      <w:r w:rsidR="0040689A" w:rsidRPr="00994531">
        <w:rPr>
          <w:rFonts w:eastAsia="Times New Roman" w:cs="Times New Roman"/>
          <w:kern w:val="0"/>
          <w:szCs w:val="24"/>
          <w14:ligatures w14:val="none"/>
        </w:rPr>
        <w:t>. Methods represented a diverse array of categories defined by the underlying</w:t>
      </w:r>
      <w:r w:rsidR="0040689A">
        <w:rPr>
          <w:rFonts w:eastAsia="Times New Roman" w:cs="Times New Roman"/>
          <w:kern w:val="0"/>
          <w:szCs w:val="24"/>
          <w14:ligatures w14:val="none"/>
        </w:rPr>
        <w:t xml:space="preserve"> </w:t>
      </w:r>
      <w:r w:rsidR="0040689A" w:rsidRPr="00994531">
        <w:rPr>
          <w:rFonts w:eastAsia="Times New Roman" w:cs="Times New Roman"/>
          <w:kern w:val="0"/>
          <w:szCs w:val="24"/>
          <w14:ligatures w14:val="none"/>
        </w:rPr>
        <w:t>strategies</w:t>
      </w:r>
      <w:r w:rsidR="0040689A">
        <w:rPr>
          <w:rFonts w:eastAsia="Times New Roman" w:cs="Times New Roman"/>
          <w:kern w:val="0"/>
          <w:szCs w:val="24"/>
          <w14:ligatures w14:val="none"/>
        </w:rPr>
        <w:t xml:space="preserve"> used to</w:t>
      </w:r>
      <w:r w:rsidR="0040689A" w:rsidRPr="00994531">
        <w:rPr>
          <w:rFonts w:eastAsia="Times New Roman" w:cs="Times New Roman"/>
          <w:kern w:val="0"/>
          <w:szCs w:val="24"/>
          <w14:ligatures w14:val="none"/>
        </w:rPr>
        <w:t xml:space="preserve"> define “anomalousness,” such as density, distance, probability distribution, and time series analysis.</w:t>
      </w:r>
      <w:r w:rsidR="0040689A">
        <w:rPr>
          <w:rFonts w:eastAsia="Times New Roman" w:cs="Times New Roman"/>
          <w:kern w:val="0"/>
          <w:szCs w:val="24"/>
          <w14:ligatures w14:val="none"/>
        </w:rPr>
        <w:t xml:space="preserve"> </w:t>
      </w:r>
      <w:r w:rsidR="0040689A" w:rsidRPr="00994531">
        <w:rPr>
          <w:rFonts w:eastAsia="Times New Roman" w:cs="Times New Roman"/>
          <w:kern w:val="0"/>
          <w:szCs w:val="24"/>
          <w14:ligatures w14:val="none"/>
        </w:rPr>
        <w:t xml:space="preserve">The PyOD </w:t>
      </w:r>
      <w:r w:rsidR="0040689A" w:rsidRPr="00994531">
        <w:rPr>
          <w:rFonts w:eastAsia="Times New Roman" w:cs="Times New Roman"/>
          <w:kern w:val="0"/>
          <w:szCs w:val="24"/>
          <w14:ligatures w14:val="none"/>
        </w:rPr>
        <w:fldChar w:fldCharType="begin"/>
      </w:r>
      <w:r w:rsidR="00D74AD1">
        <w:rPr>
          <w:rFonts w:eastAsia="Times New Roman" w:cs="Times New Roman"/>
          <w:kern w:val="0"/>
          <w:szCs w:val="24"/>
          <w14:ligatures w14:val="none"/>
        </w:rPr>
        <w:instrText xml:space="preserve"> ADDIN ZOTERO_ITEM CSL_CITATION {"citationID":"TRpLKWSs","properties":{"formattedCitation":"(Zhao et al., 2019)","plainCitation":"(Zhao et al., 2019)","noteIndex":0},"citationItems":[{"id":859,"uris":["http://zotero.org/groups/4573874/items/BFFD96PL"],"itemData":{"id":859,"type":"article-journal","container-title":"Journal of Machine Learning Research","issue":"96","page":"1-7","title":"PyOD: A Python Toolbox for Scalable Outlier Detection","volume":"20","author":[{"family":"Zhao","given":"Yue"},{"family":"Nasrullah","given":"Zain"},{"family":"Li","given":"Zheng"}],"issued":{"date-parts":[["2019"]]}}}],"schema":"https://github.com/citation-style-language/schema/raw/master/csl-citation.json"} </w:instrText>
      </w:r>
      <w:r w:rsidR="0040689A" w:rsidRPr="00994531">
        <w:rPr>
          <w:rFonts w:eastAsia="Times New Roman" w:cs="Times New Roman"/>
          <w:kern w:val="0"/>
          <w:szCs w:val="24"/>
          <w14:ligatures w14:val="none"/>
        </w:rPr>
        <w:fldChar w:fldCharType="separate"/>
      </w:r>
      <w:r w:rsidR="0040689A" w:rsidRPr="00994531">
        <w:rPr>
          <w:rFonts w:cs="Times New Roman"/>
        </w:rPr>
        <w:t>(Zhao et al., 2019)</w:t>
      </w:r>
      <w:r w:rsidR="0040689A" w:rsidRPr="00994531">
        <w:rPr>
          <w:rFonts w:eastAsia="Times New Roman" w:cs="Times New Roman"/>
          <w:kern w:val="0"/>
          <w:szCs w:val="24"/>
          <w14:ligatures w14:val="none"/>
        </w:rPr>
        <w:fldChar w:fldCharType="end"/>
      </w:r>
      <w:r w:rsidR="0040689A" w:rsidRPr="00994531">
        <w:rPr>
          <w:rFonts w:eastAsia="Times New Roman" w:cs="Times New Roman"/>
          <w:kern w:val="0"/>
          <w:szCs w:val="24"/>
          <w14:ligatures w14:val="none"/>
        </w:rPr>
        <w:t xml:space="preserve"> python package was used to perform anomaly detection</w:t>
      </w:r>
      <w:r w:rsidR="0040689A" w:rsidRPr="00994531">
        <w:rPr>
          <w:rStyle w:val="CommentReference"/>
          <w:rFonts w:eastAsia="Times New Roman" w:cs="Times New Roman"/>
          <w:kern w:val="0"/>
          <w14:ligatures w14:val="none"/>
        </w:rPr>
        <w:t xml:space="preserve"> </w:t>
      </w:r>
      <w:r w:rsidR="0040689A" w:rsidRPr="00994531">
        <w:rPr>
          <w:rStyle w:val="CommentReference"/>
          <w:rFonts w:eastAsia="Times New Roman" w:cs="Times New Roman"/>
          <w:kern w:val="0"/>
          <w:szCs w:val="24"/>
          <w14:ligatures w14:val="none"/>
        </w:rPr>
        <w:t>us</w:t>
      </w:r>
      <w:r w:rsidR="0040689A" w:rsidRPr="00994531">
        <w:rPr>
          <w:rFonts w:eastAsia="Times New Roman" w:cs="Times New Roman"/>
          <w:kern w:val="0"/>
          <w:szCs w:val="24"/>
          <w14:ligatures w14:val="none"/>
        </w:rPr>
        <w:t>ing each of the methods except Arima and Moving Average, which were computed</w:t>
      </w:r>
    </w:p>
    <w:p w14:paraId="78659B46" w14:textId="77777777" w:rsidR="00240FB6" w:rsidRPr="00994531" w:rsidRDefault="00EF23D4" w:rsidP="00240FB6">
      <w:pPr>
        <w:keepNext/>
        <w:spacing w:line="480" w:lineRule="auto"/>
        <w:jc w:val="center"/>
      </w:pPr>
      <w:r w:rsidRPr="00994531">
        <w:rPr>
          <w:noProof/>
        </w:rPr>
        <w:lastRenderedPageBreak/>
        <w:drawing>
          <wp:inline distT="0" distB="0" distL="0" distR="0" wp14:anchorId="2417A124" wp14:editId="39EEC18E">
            <wp:extent cx="5815192" cy="5141102"/>
            <wp:effectExtent l="0" t="0" r="0" b="2540"/>
            <wp:docPr id="1627038575" name="Picture 1" descr="A graph of different types of soi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7038575" name="Picture 1" descr="A graph of different types of soil&#10;&#10;AI-generated content may be incorrect."/>
                    <pic:cNvPicPr/>
                  </pic:nvPicPr>
                  <pic:blipFill>
                    <a:blip r:embed="rId21"/>
                    <a:stretch>
                      <a:fillRect/>
                    </a:stretch>
                  </pic:blipFill>
                  <pic:spPr>
                    <a:xfrm>
                      <a:off x="0" y="0"/>
                      <a:ext cx="5855532" cy="5176766"/>
                    </a:xfrm>
                    <a:prstGeom prst="rect">
                      <a:avLst/>
                    </a:prstGeom>
                  </pic:spPr>
                </pic:pic>
              </a:graphicData>
            </a:graphic>
          </wp:inline>
        </w:drawing>
      </w:r>
    </w:p>
    <w:p w14:paraId="20CA2515" w14:textId="370F1FE8" w:rsidR="00EF23D4" w:rsidRDefault="00240FB6" w:rsidP="00240FB6">
      <w:pPr>
        <w:pStyle w:val="Caption"/>
        <w:rPr>
          <w:rFonts w:eastAsia="Times New Roman" w:cs="Times New Roman"/>
          <w:i w:val="0"/>
          <w:iCs w:val="0"/>
          <w:color w:val="auto"/>
          <w:kern w:val="0"/>
          <w:sz w:val="24"/>
          <w:szCs w:val="24"/>
          <w14:ligatures w14:val="none"/>
        </w:rPr>
      </w:pPr>
      <w:bookmarkStart w:id="41" w:name="_Toc204263356"/>
      <w:r w:rsidRPr="001F1EE5">
        <w:rPr>
          <w:b/>
          <w:bCs/>
          <w:i w:val="0"/>
          <w:iCs w:val="0"/>
          <w:color w:val="auto"/>
          <w:sz w:val="24"/>
          <w:szCs w:val="24"/>
        </w:rPr>
        <w:t>Figure 2</w:t>
      </w:r>
      <w:r w:rsidR="00C008B9">
        <w:rPr>
          <w:b/>
          <w:bCs/>
          <w:i w:val="0"/>
          <w:iCs w:val="0"/>
          <w:color w:val="auto"/>
          <w:sz w:val="24"/>
          <w:szCs w:val="24"/>
        </w:rPr>
        <w:t>.</w:t>
      </w:r>
      <w:r w:rsidR="00D24801">
        <w:rPr>
          <w:b/>
          <w:bCs/>
          <w:i w:val="0"/>
          <w:iCs w:val="0"/>
          <w:color w:val="auto"/>
          <w:sz w:val="24"/>
          <w:szCs w:val="24"/>
        </w:rPr>
        <w:fldChar w:fldCharType="begin"/>
      </w:r>
      <w:r w:rsidR="00D24801">
        <w:rPr>
          <w:b/>
          <w:bCs/>
          <w:i w:val="0"/>
          <w:iCs w:val="0"/>
          <w:color w:val="auto"/>
          <w:sz w:val="24"/>
          <w:szCs w:val="24"/>
        </w:rPr>
        <w:instrText xml:space="preserve"> SEQ Figure \* ARABIC \s 1 </w:instrText>
      </w:r>
      <w:r w:rsidR="00D24801">
        <w:rPr>
          <w:b/>
          <w:bCs/>
          <w:i w:val="0"/>
          <w:iCs w:val="0"/>
          <w:color w:val="auto"/>
          <w:sz w:val="24"/>
          <w:szCs w:val="24"/>
        </w:rPr>
        <w:fldChar w:fldCharType="separate"/>
      </w:r>
      <w:r w:rsidR="00D24801">
        <w:rPr>
          <w:b/>
          <w:bCs/>
          <w:i w:val="0"/>
          <w:iCs w:val="0"/>
          <w:noProof/>
          <w:color w:val="auto"/>
          <w:sz w:val="24"/>
          <w:szCs w:val="24"/>
        </w:rPr>
        <w:t>5</w:t>
      </w:r>
      <w:r w:rsidR="00D24801">
        <w:rPr>
          <w:b/>
          <w:bCs/>
          <w:i w:val="0"/>
          <w:iCs w:val="0"/>
          <w:color w:val="auto"/>
          <w:sz w:val="24"/>
          <w:szCs w:val="24"/>
        </w:rPr>
        <w:fldChar w:fldCharType="end"/>
      </w:r>
      <w:r w:rsidRPr="00994531">
        <w:rPr>
          <w:rFonts w:eastAsia="Times New Roman" w:cs="Times New Roman"/>
          <w:b/>
          <w:bCs/>
          <w:i w:val="0"/>
          <w:iCs w:val="0"/>
          <w:color w:val="auto"/>
          <w:kern w:val="0"/>
          <w:sz w:val="24"/>
          <w:szCs w:val="24"/>
          <w14:ligatures w14:val="none"/>
        </w:rPr>
        <w:t>:</w:t>
      </w:r>
      <w:r w:rsidR="00EF23D4" w:rsidRPr="00994531">
        <w:rPr>
          <w:rFonts w:eastAsia="Times New Roman" w:cs="Times New Roman"/>
          <w:i w:val="0"/>
          <w:iCs w:val="0"/>
          <w:color w:val="auto"/>
          <w:kern w:val="0"/>
          <w:sz w:val="24"/>
          <w:szCs w:val="24"/>
          <w14:ligatures w14:val="none"/>
        </w:rPr>
        <w:t xml:space="preserve"> An example of data visualization for the hot moment labeling process. In this graph, N</w:t>
      </w:r>
      <w:r w:rsidR="00EF23D4" w:rsidRPr="00994531">
        <w:rPr>
          <w:rFonts w:eastAsia="Times New Roman" w:cs="Times New Roman"/>
          <w:i w:val="0"/>
          <w:iCs w:val="0"/>
          <w:color w:val="auto"/>
          <w:kern w:val="0"/>
          <w:sz w:val="24"/>
          <w:szCs w:val="24"/>
          <w:vertAlign w:val="subscript"/>
          <w14:ligatures w14:val="none"/>
        </w:rPr>
        <w:t>2</w:t>
      </w:r>
      <w:r w:rsidR="00EF23D4" w:rsidRPr="00994531">
        <w:rPr>
          <w:rFonts w:eastAsia="Times New Roman" w:cs="Times New Roman"/>
          <w:i w:val="0"/>
          <w:iCs w:val="0"/>
          <w:color w:val="auto"/>
          <w:kern w:val="0"/>
          <w:sz w:val="24"/>
          <w:szCs w:val="24"/>
          <w14:ligatures w14:val="none"/>
        </w:rPr>
        <w:t>O emissions (orange dots, top panel) remain at a consistent background level until approximately June 4. After this date, the combination of high and frequent precipitation (bottom panel) raising the soil moisture (middle panel, blue dots) and a recent fertilizer application (green line, top panel) in the early summer led to a significant rise in emissions consistent with a hot moment. Emissions fluctuate for one month until about July 4, corresponding to fluctuations in soil moisture driven primarily by three large precipitation events above 20 mm per day. After July 4, the soil moisture remained comparatively low, and emissions gradually stabilized at a consistent background level.</w:t>
      </w:r>
      <w:bookmarkEnd w:id="41"/>
      <w:r w:rsidR="00EF23D4" w:rsidRPr="00994531">
        <w:rPr>
          <w:rFonts w:eastAsia="Times New Roman" w:cs="Times New Roman"/>
          <w:i w:val="0"/>
          <w:iCs w:val="0"/>
          <w:color w:val="auto"/>
          <w:kern w:val="0"/>
          <w:sz w:val="24"/>
          <w:szCs w:val="24"/>
          <w14:ligatures w14:val="none"/>
        </w:rPr>
        <w:t xml:space="preserve"> </w:t>
      </w:r>
      <w:r w:rsidR="00E74134">
        <w:rPr>
          <w:rFonts w:eastAsia="Times New Roman" w:cs="Times New Roman"/>
          <w:i w:val="0"/>
          <w:iCs w:val="0"/>
          <w:color w:val="auto"/>
          <w:kern w:val="0"/>
          <w:sz w:val="24"/>
          <w:szCs w:val="24"/>
          <w14:ligatures w14:val="none"/>
        </w:rPr>
        <w:br w:type="page"/>
      </w:r>
    </w:p>
    <w:p w14:paraId="4DCE9C3E" w14:textId="0883F03B" w:rsidR="0079130D" w:rsidRDefault="0079130D" w:rsidP="0079130D">
      <w:pPr>
        <w:pStyle w:val="Caption"/>
        <w:keepNext/>
        <w:rPr>
          <w:rFonts w:eastAsia="Times New Roman" w:cs="Times New Roman"/>
          <w:i w:val="0"/>
          <w:iCs w:val="0"/>
          <w:color w:val="auto"/>
          <w:kern w:val="0"/>
          <w:sz w:val="24"/>
          <w:szCs w:val="24"/>
          <w14:ligatures w14:val="none"/>
        </w:rPr>
      </w:pPr>
      <w:bookmarkStart w:id="42" w:name="_Toc204261960"/>
      <w:r w:rsidRPr="001F1EE5">
        <w:rPr>
          <w:b/>
          <w:bCs/>
          <w:i w:val="0"/>
          <w:iCs w:val="0"/>
          <w:color w:val="auto"/>
          <w:sz w:val="24"/>
          <w:szCs w:val="24"/>
        </w:rPr>
        <w:lastRenderedPageBreak/>
        <w:t>Table 2</w:t>
      </w:r>
      <w:r w:rsidR="000F473A" w:rsidRPr="000F473A">
        <w:rPr>
          <w:b/>
          <w:bCs/>
          <w:i w:val="0"/>
          <w:iCs w:val="0"/>
          <w:color w:val="auto"/>
          <w:sz w:val="24"/>
          <w:szCs w:val="24"/>
        </w:rPr>
        <w:t>.</w:t>
      </w:r>
      <w:r w:rsidR="00827B75">
        <w:rPr>
          <w:b/>
          <w:bCs/>
          <w:i w:val="0"/>
          <w:iCs w:val="0"/>
          <w:color w:val="auto"/>
          <w:sz w:val="24"/>
          <w:szCs w:val="24"/>
        </w:rPr>
        <w:fldChar w:fldCharType="begin"/>
      </w:r>
      <w:r w:rsidR="00827B75">
        <w:rPr>
          <w:b/>
          <w:bCs/>
          <w:i w:val="0"/>
          <w:iCs w:val="0"/>
          <w:color w:val="auto"/>
          <w:sz w:val="24"/>
          <w:szCs w:val="24"/>
        </w:rPr>
        <w:instrText xml:space="preserve"> SEQ Table \* ARABIC \s 1 </w:instrText>
      </w:r>
      <w:r w:rsidR="00827B75">
        <w:rPr>
          <w:b/>
          <w:bCs/>
          <w:i w:val="0"/>
          <w:iCs w:val="0"/>
          <w:color w:val="auto"/>
          <w:sz w:val="24"/>
          <w:szCs w:val="24"/>
        </w:rPr>
        <w:fldChar w:fldCharType="separate"/>
      </w:r>
      <w:r w:rsidR="00827B75">
        <w:rPr>
          <w:b/>
          <w:bCs/>
          <w:i w:val="0"/>
          <w:iCs w:val="0"/>
          <w:noProof/>
          <w:color w:val="auto"/>
          <w:sz w:val="24"/>
          <w:szCs w:val="24"/>
        </w:rPr>
        <w:t>1</w:t>
      </w:r>
      <w:r w:rsidR="00827B75">
        <w:rPr>
          <w:b/>
          <w:bCs/>
          <w:i w:val="0"/>
          <w:iCs w:val="0"/>
          <w:color w:val="auto"/>
          <w:sz w:val="24"/>
          <w:szCs w:val="24"/>
        </w:rPr>
        <w:fldChar w:fldCharType="end"/>
      </w:r>
      <w:r w:rsidRPr="00994531">
        <w:rPr>
          <w:i w:val="0"/>
          <w:iCs w:val="0"/>
          <w:color w:val="auto"/>
          <w:sz w:val="24"/>
          <w:szCs w:val="24"/>
        </w:rPr>
        <w:t xml:space="preserve">: </w:t>
      </w:r>
      <w:r w:rsidRPr="00994531">
        <w:rPr>
          <w:rFonts w:eastAsia="Times New Roman" w:cs="Times New Roman"/>
          <w:i w:val="0"/>
          <w:iCs w:val="0"/>
          <w:color w:val="auto"/>
          <w:kern w:val="0"/>
          <w:sz w:val="24"/>
          <w:szCs w:val="24"/>
          <w14:ligatures w14:val="none"/>
        </w:rPr>
        <w:t>Novel anomaly detection methods evaluated for hot moment identification categorized by the method used to quantify the “anomalousness” of points.</w:t>
      </w:r>
      <w:bookmarkEnd w:id="42"/>
    </w:p>
    <w:p w14:paraId="6DB30A07" w14:textId="29118B04" w:rsidR="000F473A" w:rsidRPr="0051651C" w:rsidRDefault="000F473A" w:rsidP="000F473A">
      <w:pPr>
        <w:pStyle w:val="Caption"/>
        <w:keepNext/>
        <w:rPr>
          <w:color w:val="auto"/>
        </w:rPr>
      </w:pPr>
    </w:p>
    <w:tbl>
      <w:tblPr>
        <w:tblpPr w:leftFromText="187" w:rightFromText="187" w:vertAnchor="page" w:horzAnchor="margin" w:tblpY="2338"/>
        <w:tblW w:w="9360" w:type="dxa"/>
        <w:tblBorders>
          <w:top w:val="single" w:sz="4" w:space="0" w:color="000000"/>
          <w:bottom w:val="single" w:sz="4" w:space="0" w:color="000000"/>
        </w:tblBorders>
        <w:tblLayout w:type="fixed"/>
        <w:tblCellMar>
          <w:left w:w="0" w:type="dxa"/>
          <w:right w:w="0" w:type="dxa"/>
        </w:tblCellMar>
        <w:tblLook w:val="0400" w:firstRow="0" w:lastRow="0" w:firstColumn="0" w:lastColumn="0" w:noHBand="0" w:noVBand="1"/>
      </w:tblPr>
      <w:tblGrid>
        <w:gridCol w:w="1800"/>
        <w:gridCol w:w="1620"/>
        <w:gridCol w:w="5940"/>
      </w:tblGrid>
      <w:tr w:rsidR="00D6525A" w:rsidRPr="00994531" w14:paraId="335F42E6" w14:textId="77777777" w:rsidTr="007E75FA">
        <w:trPr>
          <w:trHeight w:val="440"/>
        </w:trPr>
        <w:tc>
          <w:tcPr>
            <w:tcW w:w="1800" w:type="dxa"/>
            <w:tcBorders>
              <w:top w:val="single" w:sz="4" w:space="0" w:color="000000"/>
              <w:bottom w:val="single" w:sz="12" w:space="0" w:color="auto"/>
            </w:tcBorders>
            <w:vAlign w:val="center"/>
          </w:tcPr>
          <w:p w14:paraId="26595E0F" w14:textId="77777777" w:rsidR="00D6525A" w:rsidRPr="00994531" w:rsidRDefault="00D6525A">
            <w:pPr>
              <w:spacing w:after="0" w:line="360" w:lineRule="auto"/>
              <w:jc w:val="center"/>
              <w:rPr>
                <w:rFonts w:eastAsia="Times New Roman" w:cs="Times New Roman"/>
                <w:kern w:val="0"/>
                <w:szCs w:val="24"/>
                <w14:ligatures w14:val="none"/>
              </w:rPr>
            </w:pPr>
            <w:r w:rsidRPr="00994531">
              <w:rPr>
                <w:rFonts w:eastAsia="Times New Roman" w:cs="Times New Roman"/>
                <w:kern w:val="0"/>
                <w:szCs w:val="24"/>
                <w14:ligatures w14:val="none"/>
              </w:rPr>
              <w:t>Method</w:t>
            </w:r>
          </w:p>
        </w:tc>
        <w:tc>
          <w:tcPr>
            <w:tcW w:w="1620" w:type="dxa"/>
            <w:tcBorders>
              <w:top w:val="single" w:sz="4" w:space="0" w:color="000000"/>
              <w:bottom w:val="single" w:sz="12" w:space="0" w:color="auto"/>
            </w:tcBorders>
            <w:vAlign w:val="center"/>
          </w:tcPr>
          <w:p w14:paraId="4D7A3BEA" w14:textId="77777777" w:rsidR="00D6525A" w:rsidRPr="00994531" w:rsidRDefault="00D6525A">
            <w:pPr>
              <w:spacing w:after="0" w:line="360" w:lineRule="auto"/>
              <w:jc w:val="center"/>
              <w:rPr>
                <w:rFonts w:eastAsia="Times New Roman" w:cs="Times New Roman"/>
                <w:kern w:val="0"/>
                <w:szCs w:val="24"/>
                <w14:ligatures w14:val="none"/>
              </w:rPr>
            </w:pPr>
            <w:r w:rsidRPr="00994531">
              <w:rPr>
                <w:rFonts w:eastAsia="Times New Roman" w:cs="Times New Roman"/>
                <w:kern w:val="0"/>
                <w:szCs w:val="24"/>
                <w14:ligatures w14:val="none"/>
              </w:rPr>
              <w:t>Category</w:t>
            </w:r>
          </w:p>
        </w:tc>
        <w:tc>
          <w:tcPr>
            <w:tcW w:w="5940" w:type="dxa"/>
            <w:tcBorders>
              <w:top w:val="single" w:sz="4" w:space="0" w:color="000000"/>
              <w:bottom w:val="single" w:sz="12" w:space="0" w:color="auto"/>
            </w:tcBorders>
            <w:vAlign w:val="center"/>
          </w:tcPr>
          <w:p w14:paraId="6559715F" w14:textId="77777777" w:rsidR="00D6525A" w:rsidRPr="00994531" w:rsidRDefault="00D6525A">
            <w:pPr>
              <w:spacing w:after="0" w:line="360" w:lineRule="auto"/>
              <w:jc w:val="center"/>
              <w:rPr>
                <w:rFonts w:eastAsia="Times New Roman" w:cs="Times New Roman"/>
                <w:kern w:val="0"/>
                <w:szCs w:val="24"/>
                <w14:ligatures w14:val="none"/>
              </w:rPr>
            </w:pPr>
            <w:r w:rsidRPr="00994531">
              <w:rPr>
                <w:rFonts w:eastAsia="Times New Roman" w:cs="Times New Roman"/>
                <w:kern w:val="0"/>
                <w:szCs w:val="24"/>
                <w14:ligatures w14:val="none"/>
              </w:rPr>
              <w:t>Brief Description</w:t>
            </w:r>
          </w:p>
        </w:tc>
      </w:tr>
      <w:tr w:rsidR="00D6525A" w:rsidRPr="00994531" w14:paraId="3BBDCEF0" w14:textId="77777777" w:rsidTr="007E75FA">
        <w:trPr>
          <w:trHeight w:val="1309"/>
        </w:trPr>
        <w:tc>
          <w:tcPr>
            <w:tcW w:w="1800" w:type="dxa"/>
            <w:tcBorders>
              <w:top w:val="single" w:sz="12" w:space="0" w:color="auto"/>
            </w:tcBorders>
            <w:vAlign w:val="center"/>
          </w:tcPr>
          <w:p w14:paraId="68962EEB" w14:textId="77777777" w:rsidR="00D6525A" w:rsidRPr="00994531" w:rsidRDefault="00D6525A">
            <w:pPr>
              <w:spacing w:after="0" w:line="240" w:lineRule="auto"/>
              <w:jc w:val="center"/>
              <w:rPr>
                <w:rFonts w:eastAsia="Times New Roman" w:cs="Times New Roman"/>
                <w:kern w:val="0"/>
                <w:szCs w:val="24"/>
                <w14:ligatures w14:val="none"/>
              </w:rPr>
            </w:pPr>
            <w:r w:rsidRPr="00994531">
              <w:rPr>
                <w:rFonts w:eastAsia="Times New Roman" w:cs="Times New Roman"/>
                <w:kern w:val="0"/>
                <w:szCs w:val="24"/>
                <w14:ligatures w14:val="none"/>
              </w:rPr>
              <w:t>Angle Based Outlier Detection</w:t>
            </w:r>
          </w:p>
          <w:p w14:paraId="6492E481" w14:textId="77777777" w:rsidR="00D6525A" w:rsidRPr="00994531" w:rsidRDefault="00D6525A">
            <w:pPr>
              <w:spacing w:after="0" w:line="240" w:lineRule="auto"/>
              <w:jc w:val="center"/>
              <w:rPr>
                <w:rFonts w:eastAsia="Times New Roman" w:cs="Times New Roman"/>
                <w:kern w:val="0"/>
                <w:szCs w:val="24"/>
                <w14:ligatures w14:val="none"/>
              </w:rPr>
            </w:pPr>
            <w:r w:rsidRPr="00994531">
              <w:rPr>
                <w:rFonts w:eastAsia="Times New Roman" w:cs="Times New Roman"/>
                <w:kern w:val="0"/>
                <w:szCs w:val="24"/>
                <w14:ligatures w14:val="none"/>
              </w:rPr>
              <w:t>(ABOD)</w:t>
            </w:r>
          </w:p>
        </w:tc>
        <w:tc>
          <w:tcPr>
            <w:tcW w:w="1620" w:type="dxa"/>
            <w:tcBorders>
              <w:top w:val="single" w:sz="12" w:space="0" w:color="auto"/>
            </w:tcBorders>
            <w:vAlign w:val="center"/>
          </w:tcPr>
          <w:p w14:paraId="725521B8" w14:textId="77777777" w:rsidR="00D6525A" w:rsidRPr="00994531" w:rsidRDefault="00D6525A">
            <w:pPr>
              <w:spacing w:after="0" w:line="240" w:lineRule="auto"/>
              <w:jc w:val="center"/>
              <w:rPr>
                <w:rFonts w:eastAsia="Times New Roman" w:cs="Times New Roman"/>
                <w:kern w:val="0"/>
                <w:szCs w:val="24"/>
                <w14:ligatures w14:val="none"/>
              </w:rPr>
            </w:pPr>
            <w:r w:rsidRPr="00994531">
              <w:rPr>
                <w:rFonts w:eastAsia="Times New Roman" w:cs="Times New Roman"/>
                <w:kern w:val="0"/>
                <w:szCs w:val="24"/>
                <w14:ligatures w14:val="none"/>
              </w:rPr>
              <w:t>Density</w:t>
            </w:r>
          </w:p>
        </w:tc>
        <w:tc>
          <w:tcPr>
            <w:tcW w:w="5940" w:type="dxa"/>
            <w:tcBorders>
              <w:top w:val="single" w:sz="12" w:space="0" w:color="auto"/>
            </w:tcBorders>
            <w:vAlign w:val="center"/>
          </w:tcPr>
          <w:p w14:paraId="46FB8F85" w14:textId="77777777" w:rsidR="00D6525A" w:rsidRPr="00994531" w:rsidRDefault="00D6525A">
            <w:pPr>
              <w:spacing w:after="0" w:line="240" w:lineRule="auto"/>
              <w:jc w:val="center"/>
              <w:rPr>
                <w:rFonts w:eastAsia="Times New Roman" w:cs="Times New Roman"/>
                <w:kern w:val="0"/>
                <w:szCs w:val="24"/>
                <w14:ligatures w14:val="none"/>
              </w:rPr>
            </w:pPr>
            <w:r w:rsidRPr="00994531">
              <w:rPr>
                <w:rFonts w:eastAsia="Times New Roman" w:cs="Times New Roman"/>
                <w:kern w:val="0"/>
                <w:szCs w:val="24"/>
                <w14:ligatures w14:val="none"/>
              </w:rPr>
              <w:t>Determines the variance of the angles between vectors from each point to other points, where narrower angles relate to a greater likelihood of being an anomaly.</w:t>
            </w:r>
          </w:p>
        </w:tc>
      </w:tr>
      <w:tr w:rsidR="00D6525A" w:rsidRPr="00994531" w14:paraId="4B682BB7" w14:textId="77777777" w:rsidTr="007E75FA">
        <w:trPr>
          <w:trHeight w:val="1322"/>
        </w:trPr>
        <w:tc>
          <w:tcPr>
            <w:tcW w:w="1800" w:type="dxa"/>
            <w:vAlign w:val="center"/>
          </w:tcPr>
          <w:p w14:paraId="7BB89D0F" w14:textId="77777777" w:rsidR="00D6525A" w:rsidRPr="00994531" w:rsidRDefault="00D6525A">
            <w:pPr>
              <w:spacing w:after="0" w:line="240" w:lineRule="auto"/>
              <w:jc w:val="center"/>
              <w:rPr>
                <w:rFonts w:eastAsia="Times New Roman" w:cs="Times New Roman"/>
                <w:kern w:val="0"/>
                <w:szCs w:val="24"/>
                <w14:ligatures w14:val="none"/>
              </w:rPr>
            </w:pPr>
            <w:r w:rsidRPr="00994531">
              <w:rPr>
                <w:rFonts w:eastAsia="Times New Roman" w:cs="Times New Roman"/>
                <w:kern w:val="0"/>
                <w:szCs w:val="24"/>
                <w14:ligatures w14:val="none"/>
              </w:rPr>
              <w:t>ARIMA</w:t>
            </w:r>
          </w:p>
        </w:tc>
        <w:tc>
          <w:tcPr>
            <w:tcW w:w="1620" w:type="dxa"/>
            <w:vAlign w:val="center"/>
          </w:tcPr>
          <w:p w14:paraId="746E3A6A" w14:textId="77777777" w:rsidR="00D6525A" w:rsidRPr="00994531" w:rsidRDefault="00D6525A">
            <w:pPr>
              <w:spacing w:after="0" w:line="240" w:lineRule="auto"/>
              <w:jc w:val="center"/>
              <w:rPr>
                <w:rFonts w:eastAsia="Times New Roman" w:cs="Times New Roman"/>
                <w:kern w:val="0"/>
                <w:szCs w:val="24"/>
                <w14:ligatures w14:val="none"/>
              </w:rPr>
            </w:pPr>
            <w:r w:rsidRPr="00994531">
              <w:rPr>
                <w:rFonts w:eastAsia="Times New Roman" w:cs="Times New Roman"/>
                <w:kern w:val="0"/>
                <w:szCs w:val="24"/>
                <w14:ligatures w14:val="none"/>
              </w:rPr>
              <w:t>Time Series</w:t>
            </w:r>
          </w:p>
        </w:tc>
        <w:tc>
          <w:tcPr>
            <w:tcW w:w="5940" w:type="dxa"/>
            <w:vAlign w:val="center"/>
          </w:tcPr>
          <w:p w14:paraId="43C3D8FD" w14:textId="77777777" w:rsidR="00D6525A" w:rsidRPr="00994531" w:rsidRDefault="00D6525A">
            <w:pPr>
              <w:spacing w:after="0" w:line="240" w:lineRule="auto"/>
              <w:jc w:val="center"/>
              <w:rPr>
                <w:rFonts w:eastAsia="Times New Roman" w:cs="Times New Roman"/>
                <w:kern w:val="0"/>
                <w:szCs w:val="24"/>
                <w14:ligatures w14:val="none"/>
              </w:rPr>
            </w:pPr>
            <w:r w:rsidRPr="00994531">
              <w:rPr>
                <w:rFonts w:eastAsia="Times New Roman" w:cs="Times New Roman"/>
                <w:kern w:val="0"/>
                <w:szCs w:val="24"/>
                <w14:ligatures w14:val="none"/>
              </w:rPr>
              <w:t>Decomposes a time series to identify patterns, forecasts based on past trends, and calculates anomalousness based on the residual of predicted and actual values.</w:t>
            </w:r>
          </w:p>
        </w:tc>
      </w:tr>
      <w:tr w:rsidR="00D6525A" w:rsidRPr="00994531" w14:paraId="6E062D5A" w14:textId="77777777" w:rsidTr="007E75FA">
        <w:trPr>
          <w:trHeight w:val="1751"/>
        </w:trPr>
        <w:tc>
          <w:tcPr>
            <w:tcW w:w="1800" w:type="dxa"/>
            <w:vAlign w:val="center"/>
          </w:tcPr>
          <w:p w14:paraId="7661E218" w14:textId="77777777" w:rsidR="00D6525A" w:rsidRPr="00994531" w:rsidRDefault="00D6525A">
            <w:pPr>
              <w:spacing w:after="0" w:line="240" w:lineRule="auto"/>
              <w:jc w:val="center"/>
              <w:rPr>
                <w:rFonts w:eastAsia="Times New Roman" w:cs="Times New Roman"/>
                <w:kern w:val="0"/>
                <w:szCs w:val="24"/>
                <w14:ligatures w14:val="none"/>
              </w:rPr>
            </w:pPr>
            <w:r w:rsidRPr="00994531">
              <w:rPr>
                <w:rFonts w:eastAsia="Times New Roman" w:cs="Times New Roman"/>
                <w:kern w:val="0"/>
                <w:szCs w:val="24"/>
                <w14:ligatures w14:val="none"/>
              </w:rPr>
              <w:t>Copula Based Outlier Detection (COPOD)</w:t>
            </w:r>
          </w:p>
        </w:tc>
        <w:tc>
          <w:tcPr>
            <w:tcW w:w="1620" w:type="dxa"/>
            <w:vAlign w:val="center"/>
          </w:tcPr>
          <w:p w14:paraId="242BB206" w14:textId="77777777" w:rsidR="00D6525A" w:rsidRPr="00994531" w:rsidRDefault="00D6525A">
            <w:pPr>
              <w:spacing w:after="0" w:line="240" w:lineRule="auto"/>
              <w:jc w:val="center"/>
              <w:rPr>
                <w:rFonts w:eastAsia="Times New Roman" w:cs="Times New Roman"/>
                <w:kern w:val="0"/>
                <w:szCs w:val="24"/>
                <w14:ligatures w14:val="none"/>
              </w:rPr>
            </w:pPr>
            <w:r w:rsidRPr="00994531">
              <w:rPr>
                <w:rFonts w:eastAsia="Times New Roman" w:cs="Times New Roman"/>
                <w:kern w:val="0"/>
                <w:szCs w:val="24"/>
                <w14:ligatures w14:val="none"/>
              </w:rPr>
              <w:t>Probabilistic</w:t>
            </w:r>
          </w:p>
        </w:tc>
        <w:tc>
          <w:tcPr>
            <w:tcW w:w="5940" w:type="dxa"/>
            <w:vAlign w:val="center"/>
          </w:tcPr>
          <w:p w14:paraId="3B595B09" w14:textId="77777777" w:rsidR="00D6525A" w:rsidRPr="00994531" w:rsidRDefault="00D6525A">
            <w:pPr>
              <w:spacing w:after="0" w:line="240" w:lineRule="auto"/>
              <w:jc w:val="center"/>
              <w:rPr>
                <w:rFonts w:eastAsia="Times New Roman" w:cs="Times New Roman"/>
                <w:kern w:val="0"/>
                <w:szCs w:val="24"/>
                <w14:ligatures w14:val="none"/>
              </w:rPr>
            </w:pPr>
            <w:r w:rsidRPr="00994531">
              <w:rPr>
                <w:rFonts w:eastAsia="Times New Roman" w:cs="Times New Roman"/>
                <w:kern w:val="0"/>
                <w:szCs w:val="24"/>
                <w14:ligatures w14:val="none"/>
              </w:rPr>
              <w:t>Uses copulas, or a multivariate cumulative distribution function with a uniform marginal distribution across dimensions, to predict tail probabilities and assign anomaly likelihood to each point in a dataset.</w:t>
            </w:r>
          </w:p>
        </w:tc>
      </w:tr>
      <w:tr w:rsidR="00D6525A" w:rsidRPr="00994531" w14:paraId="2BC9CC1C" w14:textId="77777777" w:rsidTr="007E75FA">
        <w:trPr>
          <w:trHeight w:val="1322"/>
        </w:trPr>
        <w:tc>
          <w:tcPr>
            <w:tcW w:w="1800" w:type="dxa"/>
            <w:vAlign w:val="center"/>
          </w:tcPr>
          <w:p w14:paraId="7E06C1AA" w14:textId="77777777" w:rsidR="00D6525A" w:rsidRPr="00994531" w:rsidRDefault="00D6525A">
            <w:pPr>
              <w:spacing w:after="0" w:line="240" w:lineRule="auto"/>
              <w:jc w:val="center"/>
              <w:rPr>
                <w:rFonts w:eastAsia="Times New Roman" w:cs="Times New Roman"/>
                <w:kern w:val="0"/>
                <w:szCs w:val="24"/>
                <w14:ligatures w14:val="none"/>
              </w:rPr>
            </w:pPr>
            <w:r w:rsidRPr="00994531">
              <w:rPr>
                <w:rFonts w:eastAsia="Times New Roman" w:cs="Times New Roman"/>
                <w:kern w:val="0"/>
                <w:szCs w:val="24"/>
                <w14:ligatures w14:val="none"/>
              </w:rPr>
              <w:t>Histogram Based Outlier Score (HBOS)</w:t>
            </w:r>
          </w:p>
        </w:tc>
        <w:tc>
          <w:tcPr>
            <w:tcW w:w="1620" w:type="dxa"/>
            <w:vAlign w:val="center"/>
          </w:tcPr>
          <w:p w14:paraId="64408D38" w14:textId="77777777" w:rsidR="00D6525A" w:rsidRPr="00994531" w:rsidRDefault="00D6525A">
            <w:pPr>
              <w:spacing w:after="0" w:line="240" w:lineRule="auto"/>
              <w:jc w:val="center"/>
              <w:rPr>
                <w:rFonts w:eastAsia="Times New Roman" w:cs="Times New Roman"/>
                <w:kern w:val="0"/>
                <w:szCs w:val="24"/>
                <w14:ligatures w14:val="none"/>
              </w:rPr>
            </w:pPr>
            <w:r w:rsidRPr="00994531">
              <w:rPr>
                <w:rFonts w:eastAsia="Times New Roman" w:cs="Times New Roman"/>
                <w:kern w:val="0"/>
                <w:szCs w:val="24"/>
                <w14:ligatures w14:val="none"/>
              </w:rPr>
              <w:t>Other (Histogram)</w:t>
            </w:r>
          </w:p>
        </w:tc>
        <w:tc>
          <w:tcPr>
            <w:tcW w:w="5940" w:type="dxa"/>
            <w:vAlign w:val="center"/>
          </w:tcPr>
          <w:p w14:paraId="1B767DEE" w14:textId="77777777" w:rsidR="00D6525A" w:rsidRPr="00994531" w:rsidRDefault="00D6525A">
            <w:pPr>
              <w:spacing w:after="0" w:line="240" w:lineRule="auto"/>
              <w:jc w:val="center"/>
              <w:rPr>
                <w:rFonts w:eastAsia="Times New Roman" w:cs="Times New Roman"/>
                <w:kern w:val="0"/>
                <w:szCs w:val="24"/>
                <w14:ligatures w14:val="none"/>
              </w:rPr>
            </w:pPr>
            <w:r w:rsidRPr="00994531">
              <w:rPr>
                <w:rFonts w:eastAsia="Times New Roman" w:cs="Times New Roman"/>
                <w:kern w:val="0"/>
                <w:szCs w:val="24"/>
                <w14:ligatures w14:val="none"/>
              </w:rPr>
              <w:t>A histogram is constructed for all dimensions of a dataset, where a low frequency of a bin indicates a higher likelihood that observations within that bin are anomalies.</w:t>
            </w:r>
          </w:p>
        </w:tc>
      </w:tr>
      <w:tr w:rsidR="00D6525A" w:rsidRPr="00994531" w14:paraId="2E7A14D7" w14:textId="77777777" w:rsidTr="007E75FA">
        <w:trPr>
          <w:trHeight w:val="66"/>
        </w:trPr>
        <w:tc>
          <w:tcPr>
            <w:tcW w:w="1800" w:type="dxa"/>
            <w:vAlign w:val="center"/>
          </w:tcPr>
          <w:p w14:paraId="77A80DEF" w14:textId="77777777" w:rsidR="00D6525A" w:rsidRPr="00994531" w:rsidRDefault="00D6525A">
            <w:pPr>
              <w:spacing w:after="0" w:line="240" w:lineRule="auto"/>
              <w:jc w:val="center"/>
              <w:rPr>
                <w:rFonts w:eastAsia="Times New Roman" w:cs="Times New Roman"/>
                <w:kern w:val="0"/>
                <w:szCs w:val="24"/>
                <w14:ligatures w14:val="none"/>
              </w:rPr>
            </w:pPr>
            <w:r w:rsidRPr="00994531">
              <w:rPr>
                <w:rFonts w:eastAsia="Times New Roman" w:cs="Times New Roman"/>
                <w:kern w:val="0"/>
                <w:szCs w:val="24"/>
                <w14:ligatures w14:val="none"/>
              </w:rPr>
              <w:t>k-Nearest Neighbors (KNN)</w:t>
            </w:r>
          </w:p>
        </w:tc>
        <w:tc>
          <w:tcPr>
            <w:tcW w:w="1620" w:type="dxa"/>
            <w:vAlign w:val="center"/>
          </w:tcPr>
          <w:p w14:paraId="052B79C5" w14:textId="77777777" w:rsidR="00D6525A" w:rsidRPr="00994531" w:rsidRDefault="00D6525A">
            <w:pPr>
              <w:spacing w:after="0" w:line="240" w:lineRule="auto"/>
              <w:jc w:val="center"/>
              <w:rPr>
                <w:rFonts w:eastAsia="Times New Roman" w:cs="Times New Roman"/>
                <w:kern w:val="0"/>
                <w:szCs w:val="24"/>
                <w14:ligatures w14:val="none"/>
              </w:rPr>
            </w:pPr>
            <w:r w:rsidRPr="00994531">
              <w:rPr>
                <w:rFonts w:eastAsia="Times New Roman" w:cs="Times New Roman"/>
                <w:kern w:val="0"/>
                <w:szCs w:val="24"/>
                <w14:ligatures w14:val="none"/>
              </w:rPr>
              <w:t>Density</w:t>
            </w:r>
          </w:p>
        </w:tc>
        <w:tc>
          <w:tcPr>
            <w:tcW w:w="5940" w:type="dxa"/>
            <w:vAlign w:val="center"/>
          </w:tcPr>
          <w:p w14:paraId="6FEB3C6D" w14:textId="77777777" w:rsidR="00D6525A" w:rsidRPr="00994531" w:rsidRDefault="00D6525A">
            <w:pPr>
              <w:spacing w:after="0" w:line="240" w:lineRule="auto"/>
              <w:jc w:val="center"/>
              <w:rPr>
                <w:rFonts w:eastAsia="Times New Roman" w:cs="Times New Roman"/>
                <w:kern w:val="0"/>
                <w:szCs w:val="24"/>
                <w14:ligatures w14:val="none"/>
              </w:rPr>
            </w:pPr>
            <w:r w:rsidRPr="00994531">
              <w:rPr>
                <w:rFonts w:eastAsia="Times New Roman" w:cs="Times New Roman"/>
                <w:kern w:val="0"/>
                <w:szCs w:val="24"/>
                <w14:ligatures w14:val="none"/>
              </w:rPr>
              <w:t>Measures the distance to k nearest points, where a higher sum  relates to a greater likelihood of being an anomaly.</w:t>
            </w:r>
          </w:p>
        </w:tc>
      </w:tr>
      <w:tr w:rsidR="00D6525A" w:rsidRPr="00994531" w14:paraId="19AA77A2" w14:textId="77777777" w:rsidTr="007E75FA">
        <w:trPr>
          <w:trHeight w:val="866"/>
        </w:trPr>
        <w:tc>
          <w:tcPr>
            <w:tcW w:w="1800" w:type="dxa"/>
            <w:vAlign w:val="center"/>
          </w:tcPr>
          <w:p w14:paraId="1C7E3DAC" w14:textId="77777777" w:rsidR="00D6525A" w:rsidRPr="00994531" w:rsidRDefault="00D6525A">
            <w:pPr>
              <w:spacing w:after="0" w:line="240" w:lineRule="auto"/>
              <w:jc w:val="center"/>
              <w:rPr>
                <w:rFonts w:eastAsia="Times New Roman" w:cs="Times New Roman"/>
                <w:kern w:val="0"/>
                <w:szCs w:val="24"/>
                <w14:ligatures w14:val="none"/>
              </w:rPr>
            </w:pPr>
            <w:r w:rsidRPr="00994531">
              <w:rPr>
                <w:rFonts w:eastAsia="Times New Roman" w:cs="Times New Roman"/>
                <w:kern w:val="0"/>
                <w:szCs w:val="24"/>
                <w14:ligatures w14:val="none"/>
              </w:rPr>
              <w:t>Local Outlier Factor (LOF)</w:t>
            </w:r>
          </w:p>
        </w:tc>
        <w:tc>
          <w:tcPr>
            <w:tcW w:w="1620" w:type="dxa"/>
            <w:vAlign w:val="center"/>
          </w:tcPr>
          <w:p w14:paraId="3210A07D" w14:textId="77777777" w:rsidR="00D6525A" w:rsidRPr="00994531" w:rsidRDefault="00D6525A">
            <w:pPr>
              <w:spacing w:after="0" w:line="240" w:lineRule="auto"/>
              <w:jc w:val="center"/>
              <w:rPr>
                <w:rFonts w:eastAsia="Times New Roman" w:cs="Times New Roman"/>
                <w:kern w:val="0"/>
                <w:szCs w:val="24"/>
                <w14:ligatures w14:val="none"/>
              </w:rPr>
            </w:pPr>
            <w:r w:rsidRPr="00994531">
              <w:rPr>
                <w:rFonts w:eastAsia="Times New Roman" w:cs="Times New Roman"/>
                <w:kern w:val="0"/>
                <w:szCs w:val="24"/>
                <w14:ligatures w14:val="none"/>
              </w:rPr>
              <w:t>Density</w:t>
            </w:r>
          </w:p>
        </w:tc>
        <w:tc>
          <w:tcPr>
            <w:tcW w:w="5940" w:type="dxa"/>
            <w:vAlign w:val="center"/>
          </w:tcPr>
          <w:p w14:paraId="42E9AD4F" w14:textId="77777777" w:rsidR="00D6525A" w:rsidRPr="00994531" w:rsidRDefault="00D6525A">
            <w:pPr>
              <w:spacing w:after="0" w:line="240" w:lineRule="auto"/>
              <w:jc w:val="center"/>
              <w:rPr>
                <w:rFonts w:eastAsia="Times New Roman" w:cs="Times New Roman"/>
                <w:kern w:val="0"/>
                <w:szCs w:val="24"/>
                <w14:ligatures w14:val="none"/>
              </w:rPr>
            </w:pPr>
            <w:r w:rsidRPr="00994531">
              <w:rPr>
                <w:rFonts w:eastAsia="Times New Roman" w:cs="Times New Roman"/>
                <w:kern w:val="0"/>
                <w:szCs w:val="24"/>
                <w14:ligatures w14:val="none"/>
              </w:rPr>
              <w:t>Calculates the density of each point by averaging the density of each of k neighbors.</w:t>
            </w:r>
          </w:p>
        </w:tc>
      </w:tr>
      <w:tr w:rsidR="00D6525A" w:rsidRPr="00994531" w14:paraId="67FC0D2B" w14:textId="77777777" w:rsidTr="007E75FA">
        <w:trPr>
          <w:trHeight w:val="1322"/>
        </w:trPr>
        <w:tc>
          <w:tcPr>
            <w:tcW w:w="1800" w:type="dxa"/>
            <w:vAlign w:val="center"/>
          </w:tcPr>
          <w:p w14:paraId="3BBC43B7" w14:textId="77777777" w:rsidR="00D6525A" w:rsidRPr="00994531" w:rsidRDefault="00D6525A">
            <w:pPr>
              <w:spacing w:after="0" w:line="240" w:lineRule="auto"/>
              <w:jc w:val="center"/>
              <w:rPr>
                <w:rFonts w:eastAsia="Times New Roman" w:cs="Times New Roman"/>
                <w:kern w:val="0"/>
                <w:szCs w:val="24"/>
                <w14:ligatures w14:val="none"/>
              </w:rPr>
            </w:pPr>
            <w:r w:rsidRPr="00994531">
              <w:rPr>
                <w:rFonts w:eastAsia="Times New Roman" w:cs="Times New Roman"/>
                <w:kern w:val="0"/>
                <w:szCs w:val="24"/>
                <w14:ligatures w14:val="none"/>
              </w:rPr>
              <w:t>Median Absolute Deviation (MAD)</w:t>
            </w:r>
          </w:p>
        </w:tc>
        <w:tc>
          <w:tcPr>
            <w:tcW w:w="1620" w:type="dxa"/>
            <w:vAlign w:val="center"/>
          </w:tcPr>
          <w:p w14:paraId="407E905B" w14:textId="77777777" w:rsidR="00D6525A" w:rsidRPr="00994531" w:rsidRDefault="00D6525A">
            <w:pPr>
              <w:spacing w:after="0" w:line="240" w:lineRule="auto"/>
              <w:jc w:val="center"/>
              <w:rPr>
                <w:rFonts w:eastAsia="Times New Roman" w:cs="Times New Roman"/>
                <w:kern w:val="0"/>
                <w:szCs w:val="24"/>
                <w14:ligatures w14:val="none"/>
              </w:rPr>
            </w:pPr>
            <w:r w:rsidRPr="00994531">
              <w:rPr>
                <w:rFonts w:eastAsia="Times New Roman" w:cs="Times New Roman"/>
                <w:kern w:val="0"/>
                <w:szCs w:val="24"/>
                <w14:ligatures w14:val="none"/>
              </w:rPr>
              <w:t>Distance</w:t>
            </w:r>
          </w:p>
        </w:tc>
        <w:tc>
          <w:tcPr>
            <w:tcW w:w="5940" w:type="dxa"/>
            <w:vAlign w:val="center"/>
          </w:tcPr>
          <w:p w14:paraId="5274DAD5" w14:textId="77777777" w:rsidR="00D6525A" w:rsidRPr="00994531" w:rsidRDefault="00D6525A">
            <w:pPr>
              <w:spacing w:after="0" w:line="240" w:lineRule="auto"/>
              <w:jc w:val="center"/>
              <w:rPr>
                <w:rFonts w:eastAsia="Times New Roman" w:cs="Times New Roman"/>
                <w:kern w:val="0"/>
                <w:szCs w:val="24"/>
                <w14:ligatures w14:val="none"/>
              </w:rPr>
            </w:pPr>
            <w:r w:rsidRPr="00994531">
              <w:rPr>
                <w:rFonts w:eastAsia="Times New Roman" w:cs="Times New Roman"/>
                <w:kern w:val="0"/>
                <w:szCs w:val="24"/>
                <w14:ligatures w14:val="none"/>
              </w:rPr>
              <w:t>MAD calculates the median residual within the dataset, and a threshold is set using a Z-score based on this value above which data points are classified as anomalies.</w:t>
            </w:r>
          </w:p>
        </w:tc>
      </w:tr>
      <w:tr w:rsidR="00D6525A" w:rsidRPr="00994531" w14:paraId="3E972A88" w14:textId="77777777" w:rsidTr="007E75FA">
        <w:trPr>
          <w:trHeight w:val="1764"/>
        </w:trPr>
        <w:tc>
          <w:tcPr>
            <w:tcW w:w="1800" w:type="dxa"/>
            <w:vAlign w:val="center"/>
          </w:tcPr>
          <w:p w14:paraId="4B922B1F" w14:textId="77777777" w:rsidR="00D6525A" w:rsidRPr="00994531" w:rsidRDefault="00D6525A">
            <w:pPr>
              <w:spacing w:after="0" w:line="240" w:lineRule="auto"/>
              <w:jc w:val="center"/>
              <w:rPr>
                <w:rFonts w:eastAsia="Times New Roman" w:cs="Times New Roman"/>
                <w:kern w:val="0"/>
                <w:szCs w:val="24"/>
                <w14:ligatures w14:val="none"/>
              </w:rPr>
            </w:pPr>
            <w:r w:rsidRPr="00994531">
              <w:rPr>
                <w:rFonts w:eastAsia="Times New Roman" w:cs="Times New Roman"/>
                <w:kern w:val="0"/>
                <w:szCs w:val="24"/>
                <w14:ligatures w14:val="none"/>
              </w:rPr>
              <w:t>Minimum Covariance Distance (MCD)</w:t>
            </w:r>
          </w:p>
        </w:tc>
        <w:tc>
          <w:tcPr>
            <w:tcW w:w="1620" w:type="dxa"/>
            <w:vAlign w:val="center"/>
          </w:tcPr>
          <w:p w14:paraId="418D31CF" w14:textId="77777777" w:rsidR="00D6525A" w:rsidRPr="00994531" w:rsidRDefault="00D6525A">
            <w:pPr>
              <w:spacing w:after="0" w:line="240" w:lineRule="auto"/>
              <w:jc w:val="center"/>
              <w:rPr>
                <w:rFonts w:eastAsia="Times New Roman" w:cs="Times New Roman"/>
                <w:kern w:val="0"/>
                <w:szCs w:val="24"/>
                <w14:ligatures w14:val="none"/>
              </w:rPr>
            </w:pPr>
            <w:r w:rsidRPr="00994531">
              <w:rPr>
                <w:rFonts w:eastAsia="Times New Roman" w:cs="Times New Roman"/>
                <w:kern w:val="0"/>
                <w:szCs w:val="24"/>
                <w14:ligatures w14:val="none"/>
              </w:rPr>
              <w:t>Distance</w:t>
            </w:r>
          </w:p>
        </w:tc>
        <w:tc>
          <w:tcPr>
            <w:tcW w:w="5940" w:type="dxa"/>
            <w:vAlign w:val="center"/>
          </w:tcPr>
          <w:p w14:paraId="60BC9B1A" w14:textId="77777777" w:rsidR="00D6525A" w:rsidRPr="00994531" w:rsidRDefault="00D6525A">
            <w:pPr>
              <w:spacing w:after="0" w:line="240" w:lineRule="auto"/>
              <w:jc w:val="center"/>
              <w:rPr>
                <w:rFonts w:eastAsia="Times New Roman" w:cs="Times New Roman"/>
                <w:kern w:val="0"/>
                <w:szCs w:val="24"/>
                <w14:ligatures w14:val="none"/>
              </w:rPr>
            </w:pPr>
            <w:r w:rsidRPr="00994531">
              <w:rPr>
                <w:rFonts w:eastAsia="Times New Roman" w:cs="Times New Roman"/>
                <w:kern w:val="0"/>
                <w:szCs w:val="24"/>
                <w14:ligatures w14:val="none"/>
              </w:rPr>
              <w:t>Identifies the data subset with the smallest covariance determinant, then determines the Mahalanobis distance of each point from the subset mean where a higher distance is related to a greater likelihood of being an anomaly.</w:t>
            </w:r>
          </w:p>
        </w:tc>
      </w:tr>
      <w:tr w:rsidR="00D6525A" w:rsidRPr="00994531" w14:paraId="08E3817C" w14:textId="77777777" w:rsidTr="007E75FA">
        <w:trPr>
          <w:trHeight w:val="66"/>
        </w:trPr>
        <w:tc>
          <w:tcPr>
            <w:tcW w:w="1800" w:type="dxa"/>
            <w:vAlign w:val="center"/>
          </w:tcPr>
          <w:p w14:paraId="4847876F" w14:textId="77777777" w:rsidR="00D6525A" w:rsidRPr="00994531" w:rsidRDefault="00D6525A">
            <w:pPr>
              <w:spacing w:after="0" w:line="240" w:lineRule="auto"/>
              <w:jc w:val="center"/>
              <w:rPr>
                <w:rFonts w:eastAsia="Times New Roman" w:cs="Times New Roman"/>
                <w:kern w:val="0"/>
                <w:szCs w:val="24"/>
                <w14:ligatures w14:val="none"/>
              </w:rPr>
            </w:pPr>
            <w:r w:rsidRPr="00994531">
              <w:rPr>
                <w:rFonts w:eastAsia="Times New Roman" w:cs="Times New Roman"/>
                <w:kern w:val="0"/>
                <w:szCs w:val="24"/>
                <w14:ligatures w14:val="none"/>
              </w:rPr>
              <w:t>Moving Average</w:t>
            </w:r>
          </w:p>
        </w:tc>
        <w:tc>
          <w:tcPr>
            <w:tcW w:w="1620" w:type="dxa"/>
            <w:vAlign w:val="center"/>
          </w:tcPr>
          <w:p w14:paraId="7B2399F8" w14:textId="77777777" w:rsidR="00D6525A" w:rsidRPr="00994531" w:rsidRDefault="00D6525A">
            <w:pPr>
              <w:spacing w:after="0" w:line="240" w:lineRule="auto"/>
              <w:jc w:val="center"/>
              <w:rPr>
                <w:rFonts w:eastAsia="Times New Roman" w:cs="Times New Roman"/>
                <w:kern w:val="0"/>
                <w:szCs w:val="24"/>
                <w14:ligatures w14:val="none"/>
              </w:rPr>
            </w:pPr>
            <w:r w:rsidRPr="00994531">
              <w:rPr>
                <w:rFonts w:eastAsia="Times New Roman" w:cs="Times New Roman"/>
                <w:kern w:val="0"/>
                <w:szCs w:val="24"/>
                <w14:ligatures w14:val="none"/>
              </w:rPr>
              <w:t>Time Series</w:t>
            </w:r>
          </w:p>
        </w:tc>
        <w:tc>
          <w:tcPr>
            <w:tcW w:w="5940" w:type="dxa"/>
            <w:vAlign w:val="center"/>
          </w:tcPr>
          <w:p w14:paraId="1FD6A779" w14:textId="77777777" w:rsidR="00D6525A" w:rsidRPr="00994531" w:rsidRDefault="00D6525A">
            <w:pPr>
              <w:spacing w:after="0" w:line="240" w:lineRule="auto"/>
              <w:jc w:val="center"/>
              <w:rPr>
                <w:rFonts w:eastAsia="Times New Roman" w:cs="Times New Roman"/>
                <w:kern w:val="0"/>
                <w:szCs w:val="24"/>
                <w14:ligatures w14:val="none"/>
              </w:rPr>
            </w:pPr>
            <w:r w:rsidRPr="00994531">
              <w:rPr>
                <w:rFonts w:eastAsia="Times New Roman" w:cs="Times New Roman"/>
                <w:kern w:val="0"/>
                <w:szCs w:val="24"/>
                <w14:ligatures w14:val="none"/>
              </w:rPr>
              <w:t xml:space="preserve">Euclidian distance from the moving average of the previous </w:t>
            </w:r>
            <w:r w:rsidRPr="00994531">
              <w:rPr>
                <w:rFonts w:eastAsia="Times New Roman" w:cs="Times New Roman"/>
                <w:i/>
                <w:iCs/>
                <w:kern w:val="0"/>
                <w:szCs w:val="24"/>
                <w14:ligatures w14:val="none"/>
              </w:rPr>
              <w:t>n</w:t>
            </w:r>
            <w:r w:rsidRPr="00994531">
              <w:rPr>
                <w:rFonts w:eastAsia="Times New Roman" w:cs="Times New Roman"/>
                <w:kern w:val="0"/>
                <w:szCs w:val="24"/>
                <w14:ligatures w14:val="none"/>
              </w:rPr>
              <w:t xml:space="preserve"> data points.</w:t>
            </w:r>
          </w:p>
        </w:tc>
      </w:tr>
    </w:tbl>
    <w:p w14:paraId="185D5F82" w14:textId="77777777" w:rsidR="0079130D" w:rsidRPr="0079130D" w:rsidRDefault="0079130D" w:rsidP="0079130D"/>
    <w:p w14:paraId="6A8C5C47" w14:textId="00EED97F" w:rsidR="0040689A" w:rsidRPr="00994531" w:rsidRDefault="0040689A" w:rsidP="001B567A">
      <w:pPr>
        <w:spacing w:after="0" w:line="480" w:lineRule="auto"/>
        <w:rPr>
          <w:rFonts w:eastAsia="Times New Roman" w:cs="Times New Roman"/>
          <w:kern w:val="0"/>
          <w:szCs w:val="24"/>
          <w14:ligatures w14:val="none"/>
        </w:rPr>
      </w:pPr>
      <w:r w:rsidRPr="00994531">
        <w:rPr>
          <w:rFonts w:eastAsia="Times New Roman" w:cs="Times New Roman"/>
          <w:kern w:val="0"/>
          <w:szCs w:val="24"/>
          <w14:ligatures w14:val="none"/>
        </w:rPr>
        <w:lastRenderedPageBreak/>
        <w:t xml:space="preserve">using pyOATS </w:t>
      </w:r>
      <w:r w:rsidRPr="00994531">
        <w:rPr>
          <w:rFonts w:eastAsia="Times New Roman" w:cs="Times New Roman"/>
          <w:kern w:val="0"/>
          <w:szCs w:val="24"/>
          <w14:ligatures w14:val="none"/>
        </w:rPr>
        <w:fldChar w:fldCharType="begin"/>
      </w:r>
      <w:r w:rsidR="00D74AD1">
        <w:rPr>
          <w:rFonts w:eastAsia="Times New Roman" w:cs="Times New Roman"/>
          <w:kern w:val="0"/>
          <w:szCs w:val="24"/>
          <w14:ligatures w14:val="none"/>
        </w:rPr>
        <w:instrText xml:space="preserve"> ADDIN ZOTERO_ITEM CSL_CITATION {"citationID":"uYaMZ506","properties":{"formattedCitation":"(Ye, 2024)","plainCitation":"(Ye, 2024)","noteIndex":0},"citationItems":[{"id":3082,"uris":["http://zotero.org/groups/4573874/items/5TWZNXNZ"],"itemData":{"id":3082,"type":"software","genre":"Python","title":"pyOATS","URL":"https://github.com/georgian-io/pyoats","version":"0.1.3","author":[{"family":"Ye","given":"Benjamin"}],"issued":{"date-parts":[["2024",3,8]]}}}],"schema":"https://github.com/citation-style-language/schema/raw/master/csl-citation.json"} </w:instrText>
      </w:r>
      <w:r w:rsidRPr="00994531">
        <w:rPr>
          <w:rFonts w:eastAsia="Times New Roman" w:cs="Times New Roman"/>
          <w:kern w:val="0"/>
          <w:szCs w:val="24"/>
          <w14:ligatures w14:val="none"/>
        </w:rPr>
        <w:fldChar w:fldCharType="separate"/>
      </w:r>
      <w:r w:rsidRPr="00994531">
        <w:rPr>
          <w:rFonts w:cs="Times New Roman"/>
        </w:rPr>
        <w:t>(Ye, 2024)</w:t>
      </w:r>
      <w:r w:rsidRPr="00994531">
        <w:rPr>
          <w:rFonts w:eastAsia="Times New Roman" w:cs="Times New Roman"/>
          <w:kern w:val="0"/>
          <w:szCs w:val="24"/>
          <w14:ligatures w14:val="none"/>
        </w:rPr>
        <w:fldChar w:fldCharType="end"/>
      </w:r>
      <w:r w:rsidRPr="00994531">
        <w:rPr>
          <w:rFonts w:eastAsia="Times New Roman" w:cs="Times New Roman"/>
          <w:kern w:val="0"/>
          <w:szCs w:val="24"/>
          <w14:ligatures w14:val="none"/>
        </w:rPr>
        <w:t>, and IQR, standard deviation, and 75</w:t>
      </w:r>
      <w:r w:rsidRPr="00994531">
        <w:rPr>
          <w:rFonts w:eastAsia="Times New Roman" w:cs="Times New Roman"/>
          <w:kern w:val="0"/>
          <w:szCs w:val="24"/>
          <w:vertAlign w:val="superscript"/>
          <w14:ligatures w14:val="none"/>
        </w:rPr>
        <w:t>th</w:t>
      </w:r>
      <w:r w:rsidRPr="00994531">
        <w:rPr>
          <w:rFonts w:eastAsia="Times New Roman" w:cs="Times New Roman"/>
          <w:kern w:val="0"/>
          <w:szCs w:val="24"/>
          <w14:ligatures w14:val="none"/>
        </w:rPr>
        <w:t xml:space="preserve"> percentile, which were computed using NumPy </w:t>
      </w:r>
      <w:r w:rsidRPr="00994531">
        <w:rPr>
          <w:rFonts w:eastAsia="Times New Roman" w:cs="Times New Roman"/>
          <w:kern w:val="0"/>
          <w:szCs w:val="24"/>
          <w14:ligatures w14:val="none"/>
        </w:rPr>
        <w:fldChar w:fldCharType="begin"/>
      </w:r>
      <w:r w:rsidR="00D74AD1">
        <w:rPr>
          <w:rFonts w:eastAsia="Times New Roman" w:cs="Times New Roman"/>
          <w:kern w:val="0"/>
          <w:szCs w:val="24"/>
          <w14:ligatures w14:val="none"/>
        </w:rPr>
        <w:instrText xml:space="preserve"> ADDIN ZOTERO_ITEM CSL_CITATION {"citationID":"CBP9XOjo","properties":{"formattedCitation":"(Harris et al., 2020)","plainCitation":"(Harris et al., 2020)","noteIndex":0},"citationItems":[{"id":3081,"uris":["http://zotero.org/groups/4573874/items/35FD9G3D"],"itemData":{"id":3081,"type":"article-journal","container-title":"Nature","DOI":"10.1038/s41586-020-2649-2","issue":"7825","note":"publisher: Springer Science and Business Media LLC","page":"357–362","title":"Array programming with NumPy","volume":"585","author":[{"family":"Harris","given":"Charles R."},{"family":"Millman","given":"K. Jarrod"},{"family":"Walt","given":"Stéfan J.","dropping-particle":"van der"},{"family":"Gommers","given":"Ralf"},{"family":"Virtanen","given":"Pauli"},{"family":"Cournapeau","given":"David"},{"family":"Wieser","given":"Eric"},{"family":"Taylor","given":"Julian"},{"family":"Berg","given":"Sebastian"},{"family":"Smith","given":"Nathaniel J."},{"family":"Kern","given":"Robert"},{"family":"Picus","given":"Matti"},{"family":"Hoyer","given":"Stephan"},{"family":"Kerkwijk","given":"Marten H.","dropping-particle":"van"},{"family":"Brett","given":"Matthew"},{"family":"Haldane","given":"Allan"},{"family":"Río","given":"Jaime Fernández","dropping-particle":"del"},{"family":"Wiebe","given":"Mark"},{"family":"Peterson","given":"Pearu"},{"family":"Gérard-Marchant","given":"Pierre"},{"family":"Sheppard","given":"Kevin"},{"family":"Reddy","given":"Tyler"},{"family":"Weckesser","given":"Warren"},{"family":"Abbasi","given":"Hameer"},{"family":"Gohlke","given":"Christoph"},{"family":"Oliphant","given":"Travis E."}],"issued":{"date-parts":[["2020",9]]}}}],"schema":"https://github.com/citation-style-language/schema/raw/master/csl-citation.json"} </w:instrText>
      </w:r>
      <w:r w:rsidRPr="00994531">
        <w:rPr>
          <w:rFonts w:eastAsia="Times New Roman" w:cs="Times New Roman"/>
          <w:kern w:val="0"/>
          <w:szCs w:val="24"/>
          <w14:ligatures w14:val="none"/>
        </w:rPr>
        <w:fldChar w:fldCharType="separate"/>
      </w:r>
      <w:r w:rsidRPr="00994531">
        <w:rPr>
          <w:rFonts w:cs="Times New Roman"/>
        </w:rPr>
        <w:t>(Harris et al., 2020)</w:t>
      </w:r>
      <w:r w:rsidRPr="00994531">
        <w:rPr>
          <w:rFonts w:eastAsia="Times New Roman" w:cs="Times New Roman"/>
          <w:kern w:val="0"/>
          <w:szCs w:val="24"/>
          <w14:ligatures w14:val="none"/>
        </w:rPr>
        <w:fldChar w:fldCharType="end"/>
      </w:r>
      <w:r w:rsidRPr="00994531">
        <w:rPr>
          <w:rFonts w:eastAsia="Times New Roman" w:cs="Times New Roman"/>
          <w:kern w:val="0"/>
          <w:szCs w:val="24"/>
          <w14:ligatures w14:val="none"/>
        </w:rPr>
        <w:t>. For univariate methods, such as IQR and MAD, only a list of daily average N</w:t>
      </w:r>
      <w:r w:rsidRPr="00994531">
        <w:rPr>
          <w:rFonts w:eastAsia="Times New Roman" w:cs="Times New Roman"/>
          <w:kern w:val="0"/>
          <w:szCs w:val="24"/>
          <w:vertAlign w:val="subscript"/>
          <w14:ligatures w14:val="none"/>
        </w:rPr>
        <w:t>2</w:t>
      </w:r>
      <w:r w:rsidRPr="00994531">
        <w:rPr>
          <w:rFonts w:eastAsia="Times New Roman" w:cs="Times New Roman"/>
          <w:kern w:val="0"/>
          <w:szCs w:val="24"/>
          <w14:ligatures w14:val="none"/>
        </w:rPr>
        <w:t>O flux values were provided to each algorithm. Multivariate methods, such as KNN and MCD, received two-dimensional datasets including the average daily N</w:t>
      </w:r>
      <w:r w:rsidRPr="00994531">
        <w:rPr>
          <w:rFonts w:eastAsia="Times New Roman" w:cs="Times New Roman"/>
          <w:kern w:val="0"/>
          <w:szCs w:val="24"/>
          <w:vertAlign w:val="subscript"/>
          <w14:ligatures w14:val="none"/>
        </w:rPr>
        <w:t>2</w:t>
      </w:r>
      <w:r w:rsidRPr="00994531">
        <w:rPr>
          <w:rFonts w:eastAsia="Times New Roman" w:cs="Times New Roman"/>
          <w:kern w:val="0"/>
          <w:szCs w:val="24"/>
          <w14:ligatures w14:val="none"/>
        </w:rPr>
        <w:t xml:space="preserve">O flux and the number of days since experiment commencement, which added some chronological information helpful in identifying local anomalies without receiving any additional information related to environmental contexts. </w:t>
      </w:r>
    </w:p>
    <w:p w14:paraId="25BD1218" w14:textId="026A9AF2" w:rsidR="0040689A" w:rsidRPr="00994531" w:rsidRDefault="0040689A" w:rsidP="001B567A">
      <w:pPr>
        <w:pStyle w:val="Heading3"/>
      </w:pPr>
      <w:bookmarkStart w:id="43" w:name="_Toc204282747"/>
      <w:r w:rsidRPr="00994531">
        <w:t xml:space="preserve">Data </w:t>
      </w:r>
      <w:r w:rsidR="0055280E">
        <w:t>h</w:t>
      </w:r>
      <w:r w:rsidRPr="00994531">
        <w:t xml:space="preserve">andling for </w:t>
      </w:r>
      <w:r w:rsidR="0055280E">
        <w:t>t</w:t>
      </w:r>
      <w:r w:rsidRPr="00994531">
        <w:t xml:space="preserve">raining and </w:t>
      </w:r>
      <w:r w:rsidR="0055280E">
        <w:t>t</w:t>
      </w:r>
      <w:r w:rsidRPr="00994531">
        <w:t>esting</w:t>
      </w:r>
      <w:bookmarkEnd w:id="43"/>
    </w:p>
    <w:p w14:paraId="616BF7B0" w14:textId="77777777" w:rsidR="0040689A" w:rsidRPr="00994531" w:rsidRDefault="0040689A" w:rsidP="001B567A">
      <w:pPr>
        <w:spacing w:after="0" w:line="480" w:lineRule="auto"/>
        <w:rPr>
          <w:rFonts w:eastAsia="Times New Roman" w:cs="Times New Roman"/>
          <w:kern w:val="0"/>
          <w:szCs w:val="24"/>
          <w14:ligatures w14:val="none"/>
        </w:rPr>
      </w:pPr>
      <w:r w:rsidRPr="00994531">
        <w:rPr>
          <w:rFonts w:eastAsia="Times New Roman" w:cs="Times New Roman"/>
          <w:kern w:val="0"/>
          <w:szCs w:val="24"/>
          <w14:ligatures w14:val="none"/>
        </w:rPr>
        <w:t>To prevent overfitting and data leakage from the optimization process, data was split into training and testing subsets. Since hot moments are relative and contextual, the 170 time series datasets were randomly and evenly divided as complete time series into training and testing subsets. Then, anomaly detection was performed on each time series individually, totaling 85 iterations, such that the spatial and temporal context was left intact when classifying hot moments. Model optimization, including hyperparameter tuning and threshold tuning (discussed below), was performed using the training dataset. Final model performance metrics were then evaluated and reported using the testing dataset.</w:t>
      </w:r>
    </w:p>
    <w:p w14:paraId="0609F408" w14:textId="6A9AEDEC" w:rsidR="0040689A" w:rsidRPr="00994531" w:rsidRDefault="0040689A" w:rsidP="001B567A">
      <w:pPr>
        <w:pStyle w:val="Heading3"/>
      </w:pPr>
      <w:bookmarkStart w:id="44" w:name="_Toc204282748"/>
      <w:r w:rsidRPr="00994531">
        <w:t xml:space="preserve">Method </w:t>
      </w:r>
      <w:r w:rsidR="0055280E">
        <w:t>t</w:t>
      </w:r>
      <w:r w:rsidRPr="00994531">
        <w:t>uning</w:t>
      </w:r>
      <w:bookmarkEnd w:id="44"/>
    </w:p>
    <w:p w14:paraId="46E38942" w14:textId="77777777" w:rsidR="0040689A" w:rsidRDefault="0040689A" w:rsidP="001B567A">
      <w:pPr>
        <w:spacing w:after="0" w:line="480" w:lineRule="auto"/>
        <w:rPr>
          <w:rFonts w:eastAsia="Times New Roman" w:cs="Times New Roman"/>
          <w:kern w:val="0"/>
          <w:szCs w:val="24"/>
          <w14:ligatures w14:val="none"/>
        </w:rPr>
      </w:pPr>
      <w:r w:rsidRPr="00994531">
        <w:rPr>
          <w:rFonts w:eastAsia="Times New Roman" w:cs="Times New Roman"/>
          <w:kern w:val="0"/>
          <w:szCs w:val="24"/>
          <w14:ligatures w14:val="none"/>
        </w:rPr>
        <w:t>Anomaly detection methods are comprised of two parts, each of which can be tuned to achieve</w:t>
      </w:r>
      <w:r>
        <w:rPr>
          <w:rFonts w:eastAsia="Times New Roman" w:cs="Times New Roman"/>
          <w:kern w:val="0"/>
          <w:szCs w:val="24"/>
          <w14:ligatures w14:val="none"/>
        </w:rPr>
        <w:t xml:space="preserve"> </w:t>
      </w:r>
      <w:r w:rsidRPr="00994531">
        <w:rPr>
          <w:rFonts w:eastAsia="Times New Roman" w:cs="Times New Roman"/>
          <w:kern w:val="0"/>
          <w:szCs w:val="24"/>
          <w14:ligatures w14:val="none"/>
        </w:rPr>
        <w:t xml:space="preserve">optimal performance: a method of quantifying the degree of “anomalousness” of each data point </w:t>
      </w:r>
    </w:p>
    <w:p w14:paraId="1C9AC046" w14:textId="2EA45976" w:rsidR="00054BA3" w:rsidRDefault="0040689A" w:rsidP="001B567A">
      <w:pPr>
        <w:spacing w:after="0" w:line="480" w:lineRule="auto"/>
        <w:rPr>
          <w:rFonts w:eastAsia="Times New Roman" w:cs="Times New Roman"/>
          <w:kern w:val="0"/>
          <w:szCs w:val="24"/>
          <w14:ligatures w14:val="none"/>
        </w:rPr>
      </w:pPr>
      <w:r>
        <w:rPr>
          <w:rFonts w:eastAsia="Times New Roman" w:cs="Times New Roman"/>
          <w:kern w:val="0"/>
          <w:szCs w:val="24"/>
          <w14:ligatures w14:val="none"/>
        </w:rPr>
        <w:t xml:space="preserve"> </w:t>
      </w:r>
      <w:r w:rsidR="00054BA3" w:rsidRPr="00994531">
        <w:rPr>
          <w:rFonts w:eastAsia="Times New Roman" w:cs="Times New Roman"/>
          <w:kern w:val="0"/>
          <w:szCs w:val="24"/>
          <w14:ligatures w14:val="none"/>
        </w:rPr>
        <w:t>(which may involve the use of hyperparameters), and a decision threshold below which data are classified as inliers and above which data are classified as anomalies (</w:t>
      </w:r>
      <w:r w:rsidR="00054BA3" w:rsidRPr="006A7008">
        <w:rPr>
          <w:rFonts w:eastAsia="Times New Roman" w:cs="Times New Roman"/>
          <w:b/>
          <w:kern w:val="0"/>
          <w:szCs w:val="24"/>
          <w14:ligatures w14:val="none"/>
        </w:rPr>
        <w:t xml:space="preserve">Table </w:t>
      </w:r>
      <w:r w:rsidR="006A7008" w:rsidRPr="006A7008">
        <w:rPr>
          <w:rFonts w:eastAsia="Times New Roman" w:cs="Times New Roman"/>
          <w:b/>
          <w:bCs/>
          <w:kern w:val="0"/>
          <w:szCs w:val="24"/>
          <w14:ligatures w14:val="none"/>
        </w:rPr>
        <w:t>2.2</w:t>
      </w:r>
      <w:r w:rsidR="00054BA3" w:rsidRPr="00994531">
        <w:rPr>
          <w:rFonts w:eastAsia="Times New Roman" w:cs="Times New Roman"/>
          <w:kern w:val="0"/>
          <w:szCs w:val="24"/>
          <w14:ligatures w14:val="none"/>
        </w:rPr>
        <w:t xml:space="preserve">). </w:t>
      </w:r>
    </w:p>
    <w:p w14:paraId="32443732" w14:textId="77777777" w:rsidR="003E10D6" w:rsidRDefault="00054BA3" w:rsidP="001B567A">
      <w:pPr>
        <w:spacing w:after="0" w:line="480" w:lineRule="auto"/>
        <w:rPr>
          <w:rFonts w:eastAsia="Times New Roman" w:cs="Times New Roman"/>
          <w:kern w:val="0"/>
          <w:szCs w:val="24"/>
          <w14:ligatures w14:val="none"/>
        </w:rPr>
      </w:pPr>
      <w:r w:rsidRPr="00994531">
        <w:rPr>
          <w:rFonts w:eastAsia="Times New Roman" w:cs="Times New Roman"/>
          <w:kern w:val="0"/>
          <w:szCs w:val="24"/>
          <w14:ligatures w14:val="none"/>
        </w:rPr>
        <w:t>We first used a grid search to identify the optimal hyperparameter combination, determined by highest average precision (Equation 1). Average precision is the area under the precision-recall</w:t>
      </w:r>
      <w:r w:rsidR="006A7008">
        <w:rPr>
          <w:rFonts w:eastAsia="Times New Roman" w:cs="Times New Roman"/>
          <w:kern w:val="0"/>
          <w:szCs w:val="24"/>
          <w14:ligatures w14:val="none"/>
        </w:rPr>
        <w:t xml:space="preserve"> </w:t>
      </w:r>
    </w:p>
    <w:p w14:paraId="7E064E5B" w14:textId="77777777" w:rsidR="003E10D6" w:rsidRDefault="003E10D6" w:rsidP="003E10D6">
      <w:pPr>
        <w:spacing w:line="240" w:lineRule="auto"/>
      </w:pPr>
      <w:bookmarkStart w:id="45" w:name="_Toc204261961"/>
      <w:r w:rsidRPr="000F473A">
        <w:rPr>
          <w:b/>
          <w:bCs/>
        </w:rPr>
        <w:lastRenderedPageBreak/>
        <w:t xml:space="preserve">Table </w:t>
      </w:r>
      <w:r>
        <w:rPr>
          <w:b/>
          <w:bCs/>
        </w:rPr>
        <w:t>2.</w:t>
      </w:r>
      <w:r>
        <w:rPr>
          <w:b/>
          <w:bCs/>
        </w:rPr>
        <w:fldChar w:fldCharType="begin"/>
      </w:r>
      <w:r>
        <w:rPr>
          <w:b/>
          <w:bCs/>
        </w:rPr>
        <w:instrText xml:space="preserve"> SEQ Table \* ARABIC \s 1 </w:instrText>
      </w:r>
      <w:r>
        <w:rPr>
          <w:b/>
          <w:bCs/>
        </w:rPr>
        <w:fldChar w:fldCharType="separate"/>
      </w:r>
      <w:r>
        <w:rPr>
          <w:b/>
          <w:bCs/>
          <w:noProof/>
        </w:rPr>
        <w:t>2</w:t>
      </w:r>
      <w:r>
        <w:rPr>
          <w:b/>
          <w:bCs/>
        </w:rPr>
        <w:fldChar w:fldCharType="end"/>
      </w:r>
      <w:r>
        <w:rPr>
          <w:b/>
          <w:bCs/>
        </w:rPr>
        <w:t xml:space="preserve">: </w:t>
      </w:r>
      <w:r>
        <w:t xml:space="preserve">Parameters for the implementation of anomaly detection methods optimized for performance across a diverse range of datasets. All parameters used by methods which are not shown here were set to their default values in their respective pyOD </w:t>
      </w:r>
      <w:r>
        <w:fldChar w:fldCharType="begin"/>
      </w:r>
      <w:r>
        <w:instrText xml:space="preserve"> ADDIN ZOTERO_ITEM CSL_CITATION {"citationID":"lckCpAEj","properties":{"formattedCitation":"(Zhao et al., 2019)","plainCitation":"(Zhao et al., 2019)","noteIndex":0},"citationItems":[{"id":859,"uris":["http://zotero.org/groups/4573874/items/BFFD96PL"],"itemData":{"id":859,"type":"article-journal","container-title":"Journal of Machine Learning Research","issue":"96","page":"1-7","title":"PyOD: A Python Toolbox for Scalable Outlier Detection","volume":"20","author":[{"family":"Zhao","given":"Yue"},{"family":"Nasrullah","given":"Zain"},{"family":"Li","given":"Zheng"}],"issued":{"date-parts":[["2019"]]}}}],"schema":"https://github.com/citation-style-language/schema/raw/master/csl-citation.json"} </w:instrText>
      </w:r>
      <w:r>
        <w:fldChar w:fldCharType="separate"/>
      </w:r>
      <w:r w:rsidRPr="00E31DD6">
        <w:rPr>
          <w:rFonts w:cs="Times New Roman"/>
        </w:rPr>
        <w:t>(Zhao et al., 2019)</w:t>
      </w:r>
      <w:r>
        <w:fldChar w:fldCharType="end"/>
      </w:r>
      <w:r>
        <w:t xml:space="preserve"> and pyOATS </w:t>
      </w:r>
      <w:r>
        <w:fldChar w:fldCharType="begin"/>
      </w:r>
      <w:r>
        <w:instrText xml:space="preserve"> ADDIN ZOTERO_ITEM CSL_CITATION {"citationID":"hQOOqLOz","properties":{"formattedCitation":"(Ye, 2024)","plainCitation":"(Ye, 2024)","noteIndex":0},"citationItems":[{"id":3082,"uris":["http://zotero.org/groups/4573874/items/5TWZNXNZ"],"itemData":{"id":3082,"type":"software","genre":"Python","title":"pyOATS","URL":"https://github.com/georgian-io/pyoats","version":"0.1.3","author":[{"family":"Ye","given":"Benjamin"}],"issued":{"date-parts":[["2024",3,8]]}}}],"schema":"https://github.com/citation-style-language/schema/raw/master/csl-citation.json"} </w:instrText>
      </w:r>
      <w:r>
        <w:fldChar w:fldCharType="separate"/>
      </w:r>
      <w:r w:rsidRPr="00B14472">
        <w:rPr>
          <w:rFonts w:cs="Times New Roman"/>
        </w:rPr>
        <w:t>(Ye, 2024)</w:t>
      </w:r>
      <w:r>
        <w:fldChar w:fldCharType="end"/>
      </w:r>
      <w:r>
        <w:t xml:space="preserve"> implementations.</w:t>
      </w:r>
      <w:bookmarkEnd w:id="45"/>
    </w:p>
    <w:tbl>
      <w:tblPr>
        <w:tblStyle w:val="TableGrid"/>
        <w:tblW w:w="96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2"/>
        <w:gridCol w:w="2402"/>
        <w:gridCol w:w="2403"/>
        <w:gridCol w:w="2403"/>
      </w:tblGrid>
      <w:tr w:rsidR="003E10D6" w14:paraId="511554BB" w14:textId="77777777">
        <w:trPr>
          <w:trHeight w:val="505"/>
        </w:trPr>
        <w:tc>
          <w:tcPr>
            <w:tcW w:w="2402" w:type="dxa"/>
            <w:tcBorders>
              <w:top w:val="single" w:sz="4" w:space="0" w:color="auto"/>
              <w:bottom w:val="single" w:sz="4" w:space="0" w:color="auto"/>
            </w:tcBorders>
            <w:vAlign w:val="center"/>
          </w:tcPr>
          <w:p w14:paraId="52F8E70D" w14:textId="77777777" w:rsidR="003E10D6" w:rsidRDefault="003E10D6">
            <w:pPr>
              <w:jc w:val="center"/>
              <w:rPr>
                <w:b/>
                <w:bCs/>
              </w:rPr>
            </w:pPr>
            <w:r>
              <w:rPr>
                <w:b/>
                <w:bCs/>
              </w:rPr>
              <w:t>Method</w:t>
            </w:r>
          </w:p>
        </w:tc>
        <w:tc>
          <w:tcPr>
            <w:tcW w:w="2402" w:type="dxa"/>
            <w:tcBorders>
              <w:top w:val="single" w:sz="4" w:space="0" w:color="auto"/>
              <w:bottom w:val="single" w:sz="4" w:space="0" w:color="auto"/>
            </w:tcBorders>
            <w:vAlign w:val="center"/>
          </w:tcPr>
          <w:p w14:paraId="31C4D070" w14:textId="77777777" w:rsidR="003E10D6" w:rsidRDefault="003E10D6">
            <w:pPr>
              <w:jc w:val="center"/>
              <w:rPr>
                <w:b/>
                <w:bCs/>
              </w:rPr>
            </w:pPr>
            <w:r>
              <w:rPr>
                <w:b/>
                <w:bCs/>
              </w:rPr>
              <w:t>Package</w:t>
            </w:r>
          </w:p>
        </w:tc>
        <w:tc>
          <w:tcPr>
            <w:tcW w:w="2403" w:type="dxa"/>
            <w:tcBorders>
              <w:top w:val="single" w:sz="4" w:space="0" w:color="auto"/>
              <w:bottom w:val="single" w:sz="4" w:space="0" w:color="auto"/>
            </w:tcBorders>
            <w:vAlign w:val="center"/>
          </w:tcPr>
          <w:p w14:paraId="667D360C" w14:textId="77777777" w:rsidR="003E10D6" w:rsidRDefault="003E10D6">
            <w:pPr>
              <w:jc w:val="center"/>
              <w:rPr>
                <w:b/>
                <w:bCs/>
              </w:rPr>
            </w:pPr>
            <w:r>
              <w:rPr>
                <w:b/>
                <w:bCs/>
              </w:rPr>
              <w:t>Hyperparameters</w:t>
            </w:r>
          </w:p>
        </w:tc>
        <w:tc>
          <w:tcPr>
            <w:tcW w:w="2403" w:type="dxa"/>
            <w:tcBorders>
              <w:top w:val="single" w:sz="4" w:space="0" w:color="auto"/>
              <w:bottom w:val="single" w:sz="4" w:space="0" w:color="auto"/>
            </w:tcBorders>
            <w:vAlign w:val="center"/>
          </w:tcPr>
          <w:p w14:paraId="6C8F50A2" w14:textId="77777777" w:rsidR="003E10D6" w:rsidRDefault="003E10D6">
            <w:pPr>
              <w:jc w:val="center"/>
              <w:rPr>
                <w:b/>
                <w:bCs/>
              </w:rPr>
            </w:pPr>
            <w:r>
              <w:rPr>
                <w:b/>
                <w:bCs/>
              </w:rPr>
              <w:t>Decision Threshold</w:t>
            </w:r>
          </w:p>
        </w:tc>
      </w:tr>
      <w:tr w:rsidR="003E10D6" w14:paraId="6866A3D3" w14:textId="77777777">
        <w:trPr>
          <w:trHeight w:val="1008"/>
        </w:trPr>
        <w:tc>
          <w:tcPr>
            <w:tcW w:w="2402" w:type="dxa"/>
            <w:tcBorders>
              <w:top w:val="single" w:sz="4" w:space="0" w:color="auto"/>
            </w:tcBorders>
            <w:vAlign w:val="center"/>
          </w:tcPr>
          <w:p w14:paraId="3A6069C4" w14:textId="77777777" w:rsidR="003E10D6" w:rsidRPr="00802F82" w:rsidRDefault="003E10D6">
            <w:pPr>
              <w:jc w:val="center"/>
            </w:pPr>
            <w:r w:rsidRPr="00802F82">
              <w:t>Angle Based Outlier Detection</w:t>
            </w:r>
            <w:r>
              <w:t xml:space="preserve"> (ABOD)</w:t>
            </w:r>
          </w:p>
        </w:tc>
        <w:tc>
          <w:tcPr>
            <w:tcW w:w="2402" w:type="dxa"/>
            <w:tcBorders>
              <w:top w:val="single" w:sz="4" w:space="0" w:color="auto"/>
            </w:tcBorders>
            <w:vAlign w:val="center"/>
          </w:tcPr>
          <w:p w14:paraId="1FC66A42" w14:textId="77777777" w:rsidR="003E10D6" w:rsidRPr="00F97C6E" w:rsidRDefault="003E10D6">
            <w:pPr>
              <w:jc w:val="center"/>
              <w:rPr>
                <w:vertAlign w:val="superscript"/>
              </w:rPr>
            </w:pPr>
            <w:r>
              <w:t>pyOD</w:t>
            </w:r>
          </w:p>
        </w:tc>
        <w:tc>
          <w:tcPr>
            <w:tcW w:w="2403" w:type="dxa"/>
            <w:tcBorders>
              <w:top w:val="single" w:sz="4" w:space="0" w:color="auto"/>
            </w:tcBorders>
            <w:vAlign w:val="center"/>
          </w:tcPr>
          <w:p w14:paraId="19E72897" w14:textId="77777777" w:rsidR="003E10D6" w:rsidRDefault="003E10D6">
            <w:pPr>
              <w:jc w:val="center"/>
            </w:pPr>
            <w:r>
              <w:t>method: ‘fast’</w:t>
            </w:r>
          </w:p>
          <w:p w14:paraId="540CEEB0" w14:textId="77777777" w:rsidR="003E10D6" w:rsidRPr="00802F82" w:rsidRDefault="003E10D6">
            <w:pPr>
              <w:jc w:val="center"/>
            </w:pPr>
            <w:r>
              <w:t>n_neighbors: 75</w:t>
            </w:r>
          </w:p>
        </w:tc>
        <w:tc>
          <w:tcPr>
            <w:tcW w:w="2403" w:type="dxa"/>
            <w:tcBorders>
              <w:top w:val="single" w:sz="4" w:space="0" w:color="auto"/>
            </w:tcBorders>
            <w:vAlign w:val="center"/>
          </w:tcPr>
          <w:p w14:paraId="0F2DBADF" w14:textId="77777777" w:rsidR="003E10D6" w:rsidRPr="00802F82" w:rsidRDefault="003E10D6">
            <w:pPr>
              <w:jc w:val="center"/>
            </w:pPr>
            <w:r>
              <w:t>-0.00003453</w:t>
            </w:r>
          </w:p>
        </w:tc>
      </w:tr>
      <w:tr w:rsidR="003E10D6" w14:paraId="544662DB" w14:textId="77777777">
        <w:trPr>
          <w:trHeight w:val="505"/>
        </w:trPr>
        <w:tc>
          <w:tcPr>
            <w:tcW w:w="2402" w:type="dxa"/>
            <w:vAlign w:val="center"/>
          </w:tcPr>
          <w:p w14:paraId="44A7B2F0" w14:textId="77777777" w:rsidR="003E10D6" w:rsidRPr="00802F82" w:rsidRDefault="003E10D6">
            <w:pPr>
              <w:jc w:val="center"/>
            </w:pPr>
            <w:r w:rsidRPr="00856751">
              <w:rPr>
                <w:rFonts w:eastAsia="Times New Roman" w:cs="Times New Roman"/>
                <w:kern w:val="0"/>
                <w:szCs w:val="24"/>
                <w14:ligatures w14:val="none"/>
              </w:rPr>
              <w:t>ARIMA</w:t>
            </w:r>
          </w:p>
        </w:tc>
        <w:tc>
          <w:tcPr>
            <w:tcW w:w="2402" w:type="dxa"/>
            <w:vAlign w:val="center"/>
          </w:tcPr>
          <w:p w14:paraId="7088807E" w14:textId="77777777" w:rsidR="003E10D6" w:rsidRPr="00802F82" w:rsidRDefault="003E10D6">
            <w:pPr>
              <w:jc w:val="center"/>
            </w:pPr>
            <w:r>
              <w:t>pyOATS</w:t>
            </w:r>
          </w:p>
        </w:tc>
        <w:tc>
          <w:tcPr>
            <w:tcW w:w="2403" w:type="dxa"/>
            <w:vAlign w:val="center"/>
          </w:tcPr>
          <w:p w14:paraId="3FB663C6" w14:textId="77777777" w:rsidR="003E10D6" w:rsidRDefault="003E10D6">
            <w:pPr>
              <w:jc w:val="center"/>
            </w:pPr>
            <w:r>
              <w:t>p: 1</w:t>
            </w:r>
          </w:p>
          <w:p w14:paraId="531E8276" w14:textId="77777777" w:rsidR="003E10D6" w:rsidRDefault="003E10D6">
            <w:pPr>
              <w:jc w:val="center"/>
            </w:pPr>
            <w:r>
              <w:t>d: 1</w:t>
            </w:r>
          </w:p>
          <w:p w14:paraId="547FD969" w14:textId="77777777" w:rsidR="003E10D6" w:rsidRPr="00802F82" w:rsidRDefault="003E10D6">
            <w:pPr>
              <w:jc w:val="center"/>
            </w:pPr>
            <w:r>
              <w:t>q: 0</w:t>
            </w:r>
          </w:p>
        </w:tc>
        <w:tc>
          <w:tcPr>
            <w:tcW w:w="2403" w:type="dxa"/>
            <w:vAlign w:val="center"/>
          </w:tcPr>
          <w:p w14:paraId="47C4643D" w14:textId="77777777" w:rsidR="003E10D6" w:rsidRPr="00802F82" w:rsidRDefault="003E10D6">
            <w:pPr>
              <w:jc w:val="center"/>
            </w:pPr>
            <w:r>
              <w:t>4.2181</w:t>
            </w:r>
          </w:p>
        </w:tc>
      </w:tr>
      <w:tr w:rsidR="003E10D6" w14:paraId="648EACF4" w14:textId="77777777">
        <w:trPr>
          <w:trHeight w:val="505"/>
        </w:trPr>
        <w:tc>
          <w:tcPr>
            <w:tcW w:w="2402" w:type="dxa"/>
            <w:vAlign w:val="center"/>
          </w:tcPr>
          <w:p w14:paraId="2B4B5E93" w14:textId="77777777" w:rsidR="003E10D6" w:rsidRPr="00802F82" w:rsidRDefault="003E10D6">
            <w:pPr>
              <w:jc w:val="center"/>
            </w:pPr>
            <w:r w:rsidRPr="00856751">
              <w:rPr>
                <w:rFonts w:eastAsia="Times New Roman" w:cs="Times New Roman"/>
                <w:kern w:val="0"/>
                <w:szCs w:val="24"/>
                <w14:ligatures w14:val="none"/>
              </w:rPr>
              <w:t>Copula Based Outlier Detection (COPOD)</w:t>
            </w:r>
          </w:p>
        </w:tc>
        <w:tc>
          <w:tcPr>
            <w:tcW w:w="2402" w:type="dxa"/>
            <w:vAlign w:val="center"/>
          </w:tcPr>
          <w:p w14:paraId="05780047" w14:textId="77777777" w:rsidR="003E10D6" w:rsidRPr="00802F82" w:rsidRDefault="003E10D6">
            <w:pPr>
              <w:jc w:val="center"/>
            </w:pPr>
            <w:r>
              <w:t>pyOD</w:t>
            </w:r>
          </w:p>
        </w:tc>
        <w:tc>
          <w:tcPr>
            <w:tcW w:w="2403" w:type="dxa"/>
            <w:vAlign w:val="center"/>
          </w:tcPr>
          <w:p w14:paraId="67AF5338" w14:textId="77777777" w:rsidR="003E10D6" w:rsidRPr="00802F82" w:rsidRDefault="003E10D6">
            <w:pPr>
              <w:jc w:val="center"/>
            </w:pPr>
          </w:p>
        </w:tc>
        <w:tc>
          <w:tcPr>
            <w:tcW w:w="2403" w:type="dxa"/>
            <w:vAlign w:val="center"/>
          </w:tcPr>
          <w:p w14:paraId="4C188AB9" w14:textId="77777777" w:rsidR="003E10D6" w:rsidRPr="00802F82" w:rsidRDefault="003E10D6">
            <w:pPr>
              <w:jc w:val="center"/>
            </w:pPr>
            <w:r>
              <w:t>3.2736</w:t>
            </w:r>
          </w:p>
        </w:tc>
      </w:tr>
      <w:tr w:rsidR="003E10D6" w14:paraId="6AE6C7B1" w14:textId="77777777">
        <w:trPr>
          <w:trHeight w:val="505"/>
        </w:trPr>
        <w:tc>
          <w:tcPr>
            <w:tcW w:w="2402" w:type="dxa"/>
            <w:vAlign w:val="center"/>
          </w:tcPr>
          <w:p w14:paraId="508DECFF" w14:textId="77777777" w:rsidR="003E10D6" w:rsidRPr="00802F82" w:rsidRDefault="003E10D6">
            <w:pPr>
              <w:jc w:val="center"/>
            </w:pPr>
            <w:r w:rsidRPr="00856751">
              <w:rPr>
                <w:rFonts w:eastAsia="Times New Roman" w:cs="Times New Roman"/>
                <w:kern w:val="0"/>
                <w:szCs w:val="24"/>
                <w14:ligatures w14:val="none"/>
              </w:rPr>
              <w:t>Histogram Based Outlier Score (HBOS)</w:t>
            </w:r>
          </w:p>
        </w:tc>
        <w:tc>
          <w:tcPr>
            <w:tcW w:w="2402" w:type="dxa"/>
            <w:vAlign w:val="center"/>
          </w:tcPr>
          <w:p w14:paraId="6FC9E31A" w14:textId="77777777" w:rsidR="003E10D6" w:rsidRPr="00802F82" w:rsidRDefault="003E10D6">
            <w:pPr>
              <w:jc w:val="center"/>
            </w:pPr>
            <w:r>
              <w:t>pyOD</w:t>
            </w:r>
          </w:p>
        </w:tc>
        <w:tc>
          <w:tcPr>
            <w:tcW w:w="2403" w:type="dxa"/>
            <w:vAlign w:val="center"/>
          </w:tcPr>
          <w:p w14:paraId="2F1A4EF0" w14:textId="77777777" w:rsidR="003E10D6" w:rsidRDefault="003E10D6">
            <w:pPr>
              <w:jc w:val="center"/>
            </w:pPr>
            <w:r>
              <w:t>n_bins: 40</w:t>
            </w:r>
          </w:p>
          <w:p w14:paraId="1F5315A5" w14:textId="77777777" w:rsidR="003E10D6" w:rsidRDefault="003E10D6">
            <w:pPr>
              <w:jc w:val="center"/>
            </w:pPr>
            <w:r>
              <w:t>alpha: 0.9</w:t>
            </w:r>
          </w:p>
          <w:p w14:paraId="51722738" w14:textId="77777777" w:rsidR="003E10D6" w:rsidRPr="00802F82" w:rsidRDefault="003E10D6">
            <w:pPr>
              <w:jc w:val="center"/>
            </w:pPr>
            <w:r>
              <w:t>tol: 0.5</w:t>
            </w:r>
          </w:p>
        </w:tc>
        <w:tc>
          <w:tcPr>
            <w:tcW w:w="2403" w:type="dxa"/>
            <w:vAlign w:val="center"/>
          </w:tcPr>
          <w:p w14:paraId="235765BD" w14:textId="77777777" w:rsidR="003E10D6" w:rsidRPr="00802F82" w:rsidRDefault="003E10D6">
            <w:pPr>
              <w:jc w:val="center"/>
            </w:pPr>
            <w:r>
              <w:t>0.2545</w:t>
            </w:r>
          </w:p>
        </w:tc>
      </w:tr>
      <w:tr w:rsidR="003E10D6" w14:paraId="3F1B9AE9" w14:textId="77777777">
        <w:trPr>
          <w:trHeight w:val="505"/>
        </w:trPr>
        <w:tc>
          <w:tcPr>
            <w:tcW w:w="2402" w:type="dxa"/>
            <w:vAlign w:val="center"/>
          </w:tcPr>
          <w:p w14:paraId="3287CECF" w14:textId="77777777" w:rsidR="003E10D6" w:rsidRPr="00856751" w:rsidRDefault="003E10D6">
            <w:pPr>
              <w:jc w:val="center"/>
              <w:rPr>
                <w:rFonts w:eastAsia="Times New Roman" w:cs="Times New Roman"/>
                <w:kern w:val="0"/>
                <w:szCs w:val="24"/>
                <w14:ligatures w14:val="none"/>
              </w:rPr>
            </w:pPr>
            <w:r>
              <w:rPr>
                <w:rFonts w:eastAsia="Times New Roman" w:cs="Times New Roman"/>
                <w:kern w:val="0"/>
                <w:szCs w:val="24"/>
                <w14:ligatures w14:val="none"/>
              </w:rPr>
              <w:t>Isolation Forest (IF)</w:t>
            </w:r>
          </w:p>
        </w:tc>
        <w:tc>
          <w:tcPr>
            <w:tcW w:w="2402" w:type="dxa"/>
            <w:vAlign w:val="center"/>
          </w:tcPr>
          <w:p w14:paraId="1F159845" w14:textId="77777777" w:rsidR="003E10D6" w:rsidRDefault="003E10D6">
            <w:pPr>
              <w:jc w:val="center"/>
            </w:pPr>
            <w:r>
              <w:t>pyOD</w:t>
            </w:r>
          </w:p>
        </w:tc>
        <w:tc>
          <w:tcPr>
            <w:tcW w:w="2403" w:type="dxa"/>
            <w:vAlign w:val="center"/>
          </w:tcPr>
          <w:p w14:paraId="1A7F43F8" w14:textId="77777777" w:rsidR="003E10D6" w:rsidRDefault="003E10D6">
            <w:pPr>
              <w:jc w:val="center"/>
            </w:pPr>
            <w:r>
              <w:t>n_estimators: 150</w:t>
            </w:r>
          </w:p>
          <w:p w14:paraId="1F5F3DB7" w14:textId="77777777" w:rsidR="003E10D6" w:rsidRDefault="003E10D6">
            <w:pPr>
              <w:jc w:val="center"/>
            </w:pPr>
            <w:r>
              <w:t>max_samples: 10</w:t>
            </w:r>
          </w:p>
          <w:p w14:paraId="23CF46EF" w14:textId="77777777" w:rsidR="003E10D6" w:rsidRDefault="003E10D6">
            <w:pPr>
              <w:jc w:val="center"/>
            </w:pPr>
            <w:r>
              <w:t>max_features: 2</w:t>
            </w:r>
          </w:p>
          <w:p w14:paraId="61E1142A" w14:textId="77777777" w:rsidR="003E10D6" w:rsidRDefault="003E10D6">
            <w:pPr>
              <w:jc w:val="center"/>
            </w:pPr>
            <w:r>
              <w:t>bootstrap: False</w:t>
            </w:r>
          </w:p>
        </w:tc>
        <w:tc>
          <w:tcPr>
            <w:tcW w:w="2403" w:type="dxa"/>
            <w:vAlign w:val="center"/>
          </w:tcPr>
          <w:p w14:paraId="12CF8B31" w14:textId="77777777" w:rsidR="003E10D6" w:rsidRPr="00802F82" w:rsidRDefault="003E10D6">
            <w:pPr>
              <w:jc w:val="center"/>
            </w:pPr>
            <w:r>
              <w:t>0.03852</w:t>
            </w:r>
          </w:p>
        </w:tc>
      </w:tr>
      <w:tr w:rsidR="003E10D6" w14:paraId="20F66329" w14:textId="77777777">
        <w:trPr>
          <w:trHeight w:val="505"/>
        </w:trPr>
        <w:tc>
          <w:tcPr>
            <w:tcW w:w="2402" w:type="dxa"/>
            <w:vAlign w:val="center"/>
          </w:tcPr>
          <w:p w14:paraId="2112BAC2" w14:textId="77777777" w:rsidR="003E10D6" w:rsidRPr="00802F82" w:rsidRDefault="003E10D6">
            <w:pPr>
              <w:jc w:val="center"/>
            </w:pPr>
            <w:r w:rsidRPr="00856751">
              <w:rPr>
                <w:rFonts w:eastAsia="Times New Roman" w:cs="Times New Roman"/>
                <w:kern w:val="0"/>
                <w:szCs w:val="24"/>
                <w14:ligatures w14:val="none"/>
              </w:rPr>
              <w:t>k-Nearest Neighbors (KNN)</w:t>
            </w:r>
          </w:p>
        </w:tc>
        <w:tc>
          <w:tcPr>
            <w:tcW w:w="2402" w:type="dxa"/>
            <w:vAlign w:val="center"/>
          </w:tcPr>
          <w:p w14:paraId="66935D58" w14:textId="77777777" w:rsidR="003E10D6" w:rsidRPr="00802F82" w:rsidRDefault="003E10D6">
            <w:pPr>
              <w:jc w:val="center"/>
            </w:pPr>
            <w:r>
              <w:t>pyOD</w:t>
            </w:r>
          </w:p>
        </w:tc>
        <w:tc>
          <w:tcPr>
            <w:tcW w:w="2403" w:type="dxa"/>
            <w:vAlign w:val="center"/>
          </w:tcPr>
          <w:p w14:paraId="3E70F400" w14:textId="77777777" w:rsidR="003E10D6" w:rsidRDefault="003E10D6">
            <w:pPr>
              <w:jc w:val="center"/>
            </w:pPr>
            <w:r>
              <w:t>n_neighbors: 10</w:t>
            </w:r>
          </w:p>
          <w:p w14:paraId="0E4D8795" w14:textId="77777777" w:rsidR="003E10D6" w:rsidRDefault="003E10D6">
            <w:pPr>
              <w:jc w:val="center"/>
            </w:pPr>
            <w:r>
              <w:t>method: ‘mean’</w:t>
            </w:r>
          </w:p>
          <w:p w14:paraId="4F5721F7" w14:textId="77777777" w:rsidR="003E10D6" w:rsidRPr="00802F82" w:rsidRDefault="003E10D6">
            <w:pPr>
              <w:jc w:val="center"/>
            </w:pPr>
            <w:r>
              <w:t>metric: ‘manhattan’</w:t>
            </w:r>
          </w:p>
        </w:tc>
        <w:tc>
          <w:tcPr>
            <w:tcW w:w="2403" w:type="dxa"/>
            <w:vAlign w:val="center"/>
          </w:tcPr>
          <w:p w14:paraId="5CBEDB78" w14:textId="77777777" w:rsidR="003E10D6" w:rsidRPr="00802F82" w:rsidRDefault="003E10D6">
            <w:pPr>
              <w:jc w:val="center"/>
            </w:pPr>
            <w:r>
              <w:t>8.6769</w:t>
            </w:r>
          </w:p>
        </w:tc>
      </w:tr>
      <w:tr w:rsidR="003E10D6" w14:paraId="4B2953AB" w14:textId="77777777">
        <w:trPr>
          <w:trHeight w:val="505"/>
        </w:trPr>
        <w:tc>
          <w:tcPr>
            <w:tcW w:w="2402" w:type="dxa"/>
            <w:vAlign w:val="center"/>
          </w:tcPr>
          <w:p w14:paraId="2746EA32" w14:textId="77777777" w:rsidR="003E10D6" w:rsidRPr="00856751" w:rsidRDefault="003E10D6">
            <w:pPr>
              <w:jc w:val="center"/>
              <w:rPr>
                <w:rFonts w:eastAsia="Times New Roman" w:cs="Times New Roman"/>
                <w:kern w:val="0"/>
                <w:szCs w:val="24"/>
                <w14:ligatures w14:val="none"/>
              </w:rPr>
            </w:pPr>
            <w:r w:rsidRPr="00856751">
              <w:rPr>
                <w:rFonts w:eastAsia="Times New Roman" w:cs="Times New Roman"/>
                <w:kern w:val="0"/>
                <w:szCs w:val="24"/>
                <w14:ligatures w14:val="none"/>
              </w:rPr>
              <w:t>Local Outlier Factor (LOF)</w:t>
            </w:r>
          </w:p>
        </w:tc>
        <w:tc>
          <w:tcPr>
            <w:tcW w:w="2402" w:type="dxa"/>
            <w:vAlign w:val="center"/>
          </w:tcPr>
          <w:p w14:paraId="669352E2" w14:textId="77777777" w:rsidR="003E10D6" w:rsidRDefault="003E10D6">
            <w:pPr>
              <w:jc w:val="center"/>
            </w:pPr>
            <w:r>
              <w:t>pyOD</w:t>
            </w:r>
          </w:p>
        </w:tc>
        <w:tc>
          <w:tcPr>
            <w:tcW w:w="2403" w:type="dxa"/>
            <w:vAlign w:val="center"/>
          </w:tcPr>
          <w:p w14:paraId="3CDF9652" w14:textId="77777777" w:rsidR="003E10D6" w:rsidRDefault="003E10D6">
            <w:pPr>
              <w:jc w:val="center"/>
            </w:pPr>
            <w:r>
              <w:t>n_neighbors: 17</w:t>
            </w:r>
          </w:p>
          <w:p w14:paraId="6896A90B" w14:textId="77777777" w:rsidR="003E10D6" w:rsidRDefault="003E10D6">
            <w:pPr>
              <w:jc w:val="center"/>
            </w:pPr>
            <w:r>
              <w:t>algorithm: ‘kd_tree’</w:t>
            </w:r>
          </w:p>
          <w:p w14:paraId="76E0025B" w14:textId="77777777" w:rsidR="003E10D6" w:rsidRDefault="003E10D6">
            <w:pPr>
              <w:jc w:val="center"/>
            </w:pPr>
            <w:r>
              <w:t>metric: ‘manhattan’</w:t>
            </w:r>
          </w:p>
          <w:p w14:paraId="0AC74477" w14:textId="77777777" w:rsidR="003E10D6" w:rsidRDefault="003E10D6">
            <w:pPr>
              <w:jc w:val="center"/>
            </w:pPr>
            <w:r>
              <w:t>leaf_size: 10</w:t>
            </w:r>
          </w:p>
        </w:tc>
        <w:tc>
          <w:tcPr>
            <w:tcW w:w="2403" w:type="dxa"/>
            <w:vAlign w:val="center"/>
          </w:tcPr>
          <w:p w14:paraId="199A2FD2" w14:textId="77777777" w:rsidR="003E10D6" w:rsidRPr="00802F82" w:rsidRDefault="003E10D6">
            <w:pPr>
              <w:jc w:val="center"/>
            </w:pPr>
            <w:r>
              <w:t>1.0997</w:t>
            </w:r>
          </w:p>
        </w:tc>
      </w:tr>
      <w:tr w:rsidR="003E10D6" w14:paraId="114DEB5C" w14:textId="77777777">
        <w:trPr>
          <w:trHeight w:val="505"/>
        </w:trPr>
        <w:tc>
          <w:tcPr>
            <w:tcW w:w="2402" w:type="dxa"/>
            <w:vAlign w:val="center"/>
          </w:tcPr>
          <w:p w14:paraId="0B7BB2CC" w14:textId="77777777" w:rsidR="003E10D6" w:rsidRPr="00856751" w:rsidRDefault="003E10D6">
            <w:pPr>
              <w:jc w:val="center"/>
              <w:rPr>
                <w:rFonts w:eastAsia="Times New Roman" w:cs="Times New Roman"/>
                <w:kern w:val="0"/>
                <w:szCs w:val="24"/>
                <w14:ligatures w14:val="none"/>
              </w:rPr>
            </w:pPr>
            <w:r w:rsidRPr="00856751">
              <w:rPr>
                <w:rFonts w:eastAsia="Times New Roman" w:cs="Times New Roman"/>
                <w:kern w:val="0"/>
                <w:szCs w:val="24"/>
                <w14:ligatures w14:val="none"/>
              </w:rPr>
              <w:t>Median Absolute Deviation (MAD)</w:t>
            </w:r>
          </w:p>
        </w:tc>
        <w:tc>
          <w:tcPr>
            <w:tcW w:w="2402" w:type="dxa"/>
            <w:vAlign w:val="center"/>
          </w:tcPr>
          <w:p w14:paraId="2386F043" w14:textId="77777777" w:rsidR="003E10D6" w:rsidRDefault="003E10D6">
            <w:pPr>
              <w:jc w:val="center"/>
            </w:pPr>
            <w:r>
              <w:t>pyOD</w:t>
            </w:r>
          </w:p>
        </w:tc>
        <w:tc>
          <w:tcPr>
            <w:tcW w:w="2403" w:type="dxa"/>
            <w:vAlign w:val="center"/>
          </w:tcPr>
          <w:p w14:paraId="0ABBFE01" w14:textId="77777777" w:rsidR="003E10D6" w:rsidRDefault="003E10D6">
            <w:pPr>
              <w:jc w:val="center"/>
            </w:pPr>
          </w:p>
        </w:tc>
        <w:tc>
          <w:tcPr>
            <w:tcW w:w="2403" w:type="dxa"/>
            <w:vAlign w:val="center"/>
          </w:tcPr>
          <w:p w14:paraId="690C20A9" w14:textId="77777777" w:rsidR="003E10D6" w:rsidRPr="00802F82" w:rsidRDefault="003E10D6">
            <w:pPr>
              <w:jc w:val="center"/>
            </w:pPr>
            <w:r>
              <w:t>2.0247</w:t>
            </w:r>
          </w:p>
        </w:tc>
      </w:tr>
      <w:tr w:rsidR="003E10D6" w14:paraId="5EBE7FD4" w14:textId="77777777">
        <w:trPr>
          <w:trHeight w:val="505"/>
        </w:trPr>
        <w:tc>
          <w:tcPr>
            <w:tcW w:w="2402" w:type="dxa"/>
            <w:vAlign w:val="center"/>
          </w:tcPr>
          <w:p w14:paraId="754AD47A" w14:textId="77777777" w:rsidR="003E10D6" w:rsidRPr="00856751" w:rsidRDefault="003E10D6">
            <w:pPr>
              <w:jc w:val="center"/>
              <w:rPr>
                <w:rFonts w:eastAsia="Times New Roman" w:cs="Times New Roman"/>
                <w:kern w:val="0"/>
                <w:szCs w:val="24"/>
                <w14:ligatures w14:val="none"/>
              </w:rPr>
            </w:pPr>
            <w:r w:rsidRPr="00856751">
              <w:rPr>
                <w:rFonts w:eastAsia="Times New Roman" w:cs="Times New Roman"/>
                <w:kern w:val="0"/>
                <w:szCs w:val="24"/>
                <w14:ligatures w14:val="none"/>
              </w:rPr>
              <w:t>Minimum Covariance Distance (MCD)</w:t>
            </w:r>
          </w:p>
        </w:tc>
        <w:tc>
          <w:tcPr>
            <w:tcW w:w="2402" w:type="dxa"/>
            <w:vAlign w:val="center"/>
          </w:tcPr>
          <w:p w14:paraId="52C64507" w14:textId="77777777" w:rsidR="003E10D6" w:rsidRDefault="003E10D6">
            <w:pPr>
              <w:jc w:val="center"/>
            </w:pPr>
            <w:r>
              <w:t>pyOD</w:t>
            </w:r>
          </w:p>
        </w:tc>
        <w:tc>
          <w:tcPr>
            <w:tcW w:w="2403" w:type="dxa"/>
            <w:vAlign w:val="center"/>
          </w:tcPr>
          <w:p w14:paraId="1B530F5D" w14:textId="77777777" w:rsidR="003E10D6" w:rsidRDefault="003E10D6">
            <w:pPr>
              <w:jc w:val="center"/>
            </w:pPr>
          </w:p>
        </w:tc>
        <w:tc>
          <w:tcPr>
            <w:tcW w:w="2403" w:type="dxa"/>
            <w:vAlign w:val="center"/>
          </w:tcPr>
          <w:p w14:paraId="5C8112E3" w14:textId="77777777" w:rsidR="003E10D6" w:rsidRPr="00802F82" w:rsidRDefault="003E10D6">
            <w:pPr>
              <w:jc w:val="center"/>
            </w:pPr>
            <w:r>
              <w:t>16.9729</w:t>
            </w:r>
          </w:p>
        </w:tc>
      </w:tr>
      <w:tr w:rsidR="003E10D6" w14:paraId="68ADDDD6" w14:textId="77777777">
        <w:trPr>
          <w:trHeight w:val="505"/>
        </w:trPr>
        <w:tc>
          <w:tcPr>
            <w:tcW w:w="2402" w:type="dxa"/>
            <w:tcBorders>
              <w:bottom w:val="single" w:sz="4" w:space="0" w:color="auto"/>
            </w:tcBorders>
            <w:vAlign w:val="center"/>
          </w:tcPr>
          <w:p w14:paraId="4D3AE166" w14:textId="77777777" w:rsidR="003E10D6" w:rsidRPr="00856751" w:rsidRDefault="003E10D6">
            <w:pPr>
              <w:jc w:val="center"/>
              <w:rPr>
                <w:rFonts w:eastAsia="Times New Roman" w:cs="Times New Roman"/>
                <w:kern w:val="0"/>
                <w:szCs w:val="24"/>
                <w14:ligatures w14:val="none"/>
              </w:rPr>
            </w:pPr>
            <w:r>
              <w:rPr>
                <w:rFonts w:eastAsia="Times New Roman" w:cs="Times New Roman"/>
                <w:kern w:val="0"/>
                <w:szCs w:val="24"/>
                <w14:ligatures w14:val="none"/>
              </w:rPr>
              <w:t>Moving Average</w:t>
            </w:r>
          </w:p>
        </w:tc>
        <w:tc>
          <w:tcPr>
            <w:tcW w:w="2402" w:type="dxa"/>
            <w:tcBorders>
              <w:bottom w:val="single" w:sz="4" w:space="0" w:color="auto"/>
            </w:tcBorders>
            <w:vAlign w:val="center"/>
          </w:tcPr>
          <w:p w14:paraId="66E5E9C8" w14:textId="77777777" w:rsidR="003E10D6" w:rsidRDefault="003E10D6">
            <w:pPr>
              <w:jc w:val="center"/>
            </w:pPr>
            <w:r>
              <w:t>pyOATS</w:t>
            </w:r>
          </w:p>
        </w:tc>
        <w:tc>
          <w:tcPr>
            <w:tcW w:w="2403" w:type="dxa"/>
            <w:tcBorders>
              <w:bottom w:val="single" w:sz="4" w:space="0" w:color="auto"/>
            </w:tcBorders>
            <w:vAlign w:val="center"/>
          </w:tcPr>
          <w:p w14:paraId="1D4694CB" w14:textId="77777777" w:rsidR="003E10D6" w:rsidRDefault="003E10D6">
            <w:pPr>
              <w:jc w:val="center"/>
            </w:pPr>
            <w:r>
              <w:t>window: 1</w:t>
            </w:r>
          </w:p>
        </w:tc>
        <w:tc>
          <w:tcPr>
            <w:tcW w:w="2403" w:type="dxa"/>
            <w:tcBorders>
              <w:bottom w:val="single" w:sz="4" w:space="0" w:color="auto"/>
            </w:tcBorders>
            <w:vAlign w:val="center"/>
          </w:tcPr>
          <w:p w14:paraId="37C7023E" w14:textId="77777777" w:rsidR="003E10D6" w:rsidRPr="00802F82" w:rsidRDefault="003E10D6">
            <w:pPr>
              <w:jc w:val="center"/>
            </w:pPr>
            <w:r>
              <w:t>0.7465</w:t>
            </w:r>
          </w:p>
        </w:tc>
      </w:tr>
    </w:tbl>
    <w:p w14:paraId="7124485C" w14:textId="77777777" w:rsidR="003E10D6" w:rsidRPr="00BE7A9C" w:rsidRDefault="003E10D6" w:rsidP="003E10D6">
      <w:pPr>
        <w:spacing w:line="240" w:lineRule="auto"/>
      </w:pPr>
    </w:p>
    <w:p w14:paraId="17F8E7A9" w14:textId="77777777" w:rsidR="003E10D6" w:rsidRDefault="003E10D6" w:rsidP="003E10D6"/>
    <w:p w14:paraId="42DC0A26" w14:textId="77777777" w:rsidR="003E10D6" w:rsidRDefault="003E10D6" w:rsidP="003E10D6"/>
    <w:p w14:paraId="0E7E1FC9" w14:textId="77777777" w:rsidR="003E10D6" w:rsidRDefault="003E10D6" w:rsidP="003E10D6"/>
    <w:p w14:paraId="17961C8B" w14:textId="77777777" w:rsidR="003E10D6" w:rsidRDefault="003E10D6" w:rsidP="003E10D6">
      <w:pPr>
        <w:spacing w:line="480" w:lineRule="auto"/>
        <w:rPr>
          <w:rFonts w:eastAsia="Times New Roman" w:cs="Times New Roman"/>
          <w:kern w:val="0"/>
          <w:szCs w:val="24"/>
          <w14:ligatures w14:val="none"/>
        </w:rPr>
      </w:pPr>
    </w:p>
    <w:p w14:paraId="74D1AEA6" w14:textId="77777777" w:rsidR="003E10D6" w:rsidRDefault="003E10D6" w:rsidP="003E10D6">
      <w:pPr>
        <w:spacing w:line="480" w:lineRule="auto"/>
        <w:rPr>
          <w:rFonts w:eastAsia="Times New Roman" w:cs="Times New Roman"/>
          <w:kern w:val="0"/>
          <w:szCs w:val="24"/>
          <w14:ligatures w14:val="none"/>
        </w:rPr>
      </w:pPr>
    </w:p>
    <w:p w14:paraId="658C29A7" w14:textId="064222F8" w:rsidR="006A7008" w:rsidRPr="00994531" w:rsidRDefault="006A7008" w:rsidP="001B567A">
      <w:pPr>
        <w:spacing w:after="0" w:line="480" w:lineRule="auto"/>
        <w:rPr>
          <w:rFonts w:eastAsia="Times New Roman" w:cs="Times New Roman"/>
          <w:kern w:val="0"/>
          <w:szCs w:val="24"/>
          <w14:ligatures w14:val="none"/>
        </w:rPr>
      </w:pPr>
      <w:r w:rsidRPr="00994531">
        <w:rPr>
          <w:rFonts w:eastAsia="Times New Roman" w:cs="Times New Roman"/>
          <w:kern w:val="0"/>
          <w:szCs w:val="24"/>
          <w14:ligatures w14:val="none"/>
        </w:rPr>
        <w:lastRenderedPageBreak/>
        <w:t xml:space="preserve">curve which graphs the precision (the fraction of correctly identified anomalies among all predicted anomalies) and recall (the fraction of correctly identified anomalies among all true anomalies) at possible decision thresholds </w:t>
      </w:r>
      <w:r w:rsidRPr="00994531">
        <w:rPr>
          <w:rFonts w:eastAsia="Times New Roman" w:cs="Times New Roman"/>
          <w:kern w:val="0"/>
          <w:szCs w:val="24"/>
          <w14:ligatures w14:val="none"/>
        </w:rPr>
        <w:fldChar w:fldCharType="begin"/>
      </w:r>
      <w:r w:rsidR="00D74AD1">
        <w:rPr>
          <w:rFonts w:eastAsia="Times New Roman" w:cs="Times New Roman"/>
          <w:kern w:val="0"/>
          <w:szCs w:val="24"/>
          <w14:ligatures w14:val="none"/>
        </w:rPr>
        <w:instrText xml:space="preserve"> ADDIN ZOTERO_ITEM CSL_CITATION {"citationID":"eJ3eQKqf","properties":{"formattedCitation":"(Saito &amp; Rehmsmeier, 2015; Su et al., 2015)","plainCitation":"(Saito &amp; Rehmsmeier, 2015; Su et al., 2015)","noteIndex":0},"citationItems":[{"id":1637,"uris":["http://zotero.org/groups/4573874/items/7ZNKWPLY"],"itemData":{"id":1637,"type":"article-journal","abstract":"Binary classifiers are routinely evaluated with performance measures such as sensitivity and specificity, and performance is frequently illustrated with Receiver Operating Characteristics (ROC) plots. Alternative measures such as positive predictive value (PPV) and the associated Precision/Recall (PRC) plots are used less frequently. Many bioinformatics studies develop and evaluate classifiers that are to be applied to strongly imbalanced datasets in which the number of negatives outweighs the number of positives significantly. While ROC plots are visually appealing and provide an overview of a classifier's performance across a wide range of specificities, one can ask whether ROC plots could be misleading when applied in imbalanced classification scenarios. We show here that the visual interpretability of ROC plots in the context of imbalanced datasets can be deceptive with respect to conclusions about the reliability of classification performance, owing to an intuitive but wrong interpretation of specificity. PRC plots, on the other hand, can provide the viewer with an accurate prediction of future classification performance due to the fact that they evaluate the fraction of true positives among positive predictions. Our findings have potential implications for the interpretation of a large number of studies that use ROC plots on imbalanced datasets.","container-title":"PLoS ONE","DOI":"10.1371/journal.pone.0118432","ISSN":"1932-6203","issue":"3","journalAbbreviation":"PLoS One","note":"PMID: 25738806\nPMCID: PMC4349800","page":"e0118432","source":"PubMed Central","title":"The Precision-Recall Plot Is More Informative than the ROC Plot When Evaluating Binary Classifiers on Imbalanced Datasets","volume":"10","author":[{"family":"Saito","given":"Takaya"},{"family":"Rehmsmeier","given":"Marc"}],"issued":{"date-parts":[["2015",3,4]]}}},{"id":3051,"uris":["http://zotero.org/groups/4573874/items/YQFEIRNI"],"itemData":{"id":3051,"type":"paper-conference","abstract":"For similar evaluation tasks, the area under the receiver operating characteristic curve (AUC) is often used by researchers in machine learning, whereas the average precision (AP) is used more often by the information retrieval community. We establish some results to explain why this is the case. Speciﬁcally, we show that, when both the AUC and the AP are rescaled to lie in [0,1], the AP is approximately the AUC times the initial precision of the system.","container-title":"Proceedings of the 2015 International Conference on The Theory of Information Retrieval","DOI":"10.1145/2808194.2809481","event-place":"Northampton Massachusetts USA","event-title":"ICTIR '15: ACM SIGIR International Conference on the Theory of Information Retrieval","ISBN":"978-1-4503-3833-2","language":"en","page":"349-352","publisher":"ACM","publisher-place":"Northampton Massachusetts USA","source":"DOI.org (Crossref)","title":"A Relationship between the Average Precision and the Area Under the ROC Curve","URL":"https://dl.acm.org/doi/10.1145/2808194.2809481","author":[{"family":"Su","given":"Wanhua"},{"family":"Yuan","given":"Yan"},{"family":"Zhu","given":"Mu"}],"accessed":{"date-parts":[["2025",2,3]]},"issued":{"date-parts":[["2015",9,27]]}}}],"schema":"https://github.com/citation-style-language/schema/raw/master/csl-citation.json"} </w:instrText>
      </w:r>
      <w:r w:rsidRPr="00994531">
        <w:rPr>
          <w:rFonts w:eastAsia="Times New Roman" w:cs="Times New Roman"/>
          <w:kern w:val="0"/>
          <w:szCs w:val="24"/>
          <w14:ligatures w14:val="none"/>
        </w:rPr>
        <w:fldChar w:fldCharType="separate"/>
      </w:r>
      <w:r w:rsidRPr="00994531">
        <w:rPr>
          <w:rFonts w:eastAsia="Times New Roman" w:cs="Times New Roman"/>
          <w:kern w:val="0"/>
          <w:szCs w:val="24"/>
          <w14:ligatures w14:val="none"/>
        </w:rPr>
        <w:t>(Saito &amp; Rehmsmeier, 2015; Su et al., 2015)</w:t>
      </w:r>
      <w:r w:rsidRPr="00994531">
        <w:rPr>
          <w:rFonts w:eastAsia="Times New Roman" w:cs="Times New Roman"/>
          <w:kern w:val="0"/>
          <w:szCs w:val="24"/>
          <w14:ligatures w14:val="none"/>
        </w:rPr>
        <w:fldChar w:fldCharType="end"/>
      </w:r>
      <w:r w:rsidRPr="00994531">
        <w:rPr>
          <w:rFonts w:eastAsia="Times New Roman" w:cs="Times New Roman"/>
          <w:kern w:val="0"/>
          <w:szCs w:val="24"/>
          <w14:ligatures w14:val="none"/>
        </w:rPr>
        <w:t>. This metric is useful in identifying the predictive power of a model or method when no specific decision threshold is yet determined. Optimal hyperparameters were then used to score the anomalousness of all data in each training dataset. Finally, the optimal decision threshold was determined to be that which resulted in the highest Matthews Correlation Coefficient (MCC, Equation 2) on the training dataset scored with optimal hyperparameters.</w:t>
      </w:r>
      <w:r w:rsidR="003574CB">
        <w:rPr>
          <w:rFonts w:eastAsia="Times New Roman" w:cs="Times New Roman"/>
          <w:kern w:val="0"/>
          <w:szCs w:val="24"/>
          <w14:ligatures w14:val="none"/>
        </w:rPr>
        <w:t xml:space="preserve"> MCC</w:t>
      </w:r>
      <w:r w:rsidR="00114824">
        <w:rPr>
          <w:rFonts w:eastAsia="Times New Roman" w:cs="Times New Roman"/>
          <w:kern w:val="0"/>
          <w:szCs w:val="24"/>
          <w14:ligatures w14:val="none"/>
        </w:rPr>
        <w:t>,</w:t>
      </w:r>
      <w:r w:rsidR="00114824" w:rsidRPr="00994531">
        <w:rPr>
          <w:rFonts w:eastAsia="Times New Roman" w:cs="Times New Roman"/>
          <w:kern w:val="0"/>
          <w:szCs w:val="24"/>
          <w14:ligatures w14:val="none"/>
        </w:rPr>
        <w:t xml:space="preserve"> derived from the confusion matrix (True Positive, TP; True Negative, TN; False Positive, FP; and False Negative, FN), gives a high score when all four confusion matrix outcomes are</w:t>
      </w:r>
      <w:r w:rsidR="00114824">
        <w:rPr>
          <w:rFonts w:eastAsia="Times New Roman" w:cs="Times New Roman"/>
          <w:kern w:val="0"/>
          <w:szCs w:val="24"/>
          <w14:ligatures w14:val="none"/>
        </w:rPr>
        <w:t xml:space="preserve"> </w:t>
      </w:r>
      <w:r w:rsidR="00114824" w:rsidRPr="00994531">
        <w:rPr>
          <w:rFonts w:eastAsia="Times New Roman" w:cs="Times New Roman"/>
          <w:kern w:val="0"/>
          <w:szCs w:val="24"/>
          <w14:ligatures w14:val="none"/>
        </w:rPr>
        <w:t xml:space="preserve">high, and is more informative and rigorous than other metrics for imbalanced datasets </w:t>
      </w:r>
      <w:r w:rsidR="00114824" w:rsidRPr="00994531">
        <w:rPr>
          <w:rFonts w:eastAsia="Times New Roman" w:cs="Times New Roman"/>
          <w:kern w:val="0"/>
          <w:szCs w:val="24"/>
          <w14:ligatures w14:val="none"/>
        </w:rPr>
        <w:fldChar w:fldCharType="begin"/>
      </w:r>
      <w:r w:rsidR="00D74AD1">
        <w:rPr>
          <w:rFonts w:eastAsia="Times New Roman" w:cs="Times New Roman"/>
          <w:kern w:val="0"/>
          <w:szCs w:val="24"/>
          <w14:ligatures w14:val="none"/>
        </w:rPr>
        <w:instrText xml:space="preserve"> ADDIN ZOTERO_ITEM CSL_CITATION {"citationID":"8avO7DAU","properties":{"formattedCitation":"(Boughorbel et al., 2017; Chicco &amp; Jurman, 2020, 2023)","plainCitation":"(Boughorbel et al., 2017; Chicco &amp; Jurman, 2020, 2023)","noteIndex":0},"citationItems":[{"id":1631,"uris":["http://zotero.org/groups/4573874/items/PJ5YLZ6Y"],"itemData":{"id":1631,"type":"article-journal","abstract":"Data imbalance is frequently encountered in biomedical applications. Resampling techniques can be used in binary classification to tackle this issue. However such solutions are not desired when the number of samples in the small class is limited. Moreover the use of inadequate performance metrics, such as accuracy, lead to poor generalization results because the classifiers tend to predict the largest size class. One of the good approaches to deal with this issue is to optimize performance metrics that are designed to handle data imbalance. Matthews Correlation Coefficient (MCC) is widely used in Bioinformatics as a performance metric. We are interested in developing a new classifier based on the MCC metric to handle imbalanced data. We derive an optimal Bayes classifier for the MCC metric using an approach based on Frechet derivative. We show that the proposed algorithm has the nice theoretical property of consistency. Using simulated data, we verify the correctness of our optimality result by searching in the space of all possible binary classifiers. The proposed classifier is evaluated on 64 datasets from a wide range data imbalance. We compare both classification performance and CPU efficiency for three classifiers: 1) the proposed algorithm (MCC-classifier), the Bayes classifier with a default threshold (MCC-base) and imbalanced SVM (SVM-imba). The experimental evaluation shows that MCC-classifier has a close performance to SVM-imba while being simpler and more efficient.","container-title":"PLOS ONE","DOI":"10.1371/journal.pone.0177678","ISSN":"1932-6203","issue":"6","journalAbbreviation":"PLOS ONE","language":"en","note":"publisher: Public Library of Science","page":"e0177678","source":"PLoS Journals","title":"Optimal classifier for imbalanced data using Matthews Correlation Coefficient metric","volume":"12","author":[{"family":"Boughorbel","given":"Sabri"},{"family":"Jarray","given":"Fethi"},{"family":"El-Anbari","given":"Mohammed"}],"issued":{"date-parts":[["2017",6,2]]}}},{"id":1597,"uris":["http://zotero.org/groups/4573874/items/YRDULFH8"],"itemData":{"id":1597,"type":"article-journal","abstract":"To evaluate binary classifications and their confusion matrices, scientific researchers can employ several statistical rates, accordingly to the goal of the experiment they are investigating. Despite being a crucial issue in machine learning, no widespread consensus has been reached on a unified elective chosen measure yet. Accuracy and F1 score computed on confusion matrices have been (and still are) among the most popular adopted metrics in binary classification tasks. However, these statistical measures can dangerously show overoptimistic inflated results, especially on imbalanced datasets.","container-title":"BMC Genomics","DOI":"10.1186/s12864-019-6413-7","ISSN":"1471-2164","issue":"1","journalAbbreviation":"BMC Genomics","page":"6","source":"BioMed Central","title":"The advantages of the Matthews correlation coefficient (MCC) over F1 score and accuracy in binary classification evaluation","volume":"21","author":[{"family":"Chicco","given":"Davide"},{"family":"Jurman","given":"Giuseppe"}],"issued":{"date-parts":[["2020",1,2]]}}},{"id":1578,"uris":["http://zotero.org/groups/4573874/items/DUPX8K4T"],"itemData":{"id":1578,"type":"article-journal","abstract":"Binary classification is a common task for which machine learning and computational statistics are used, and the area under the receiver operating characteristic curve (ROC AUC) has become the common standard metric to evaluate binary classifications in most scientific fields. The ROC curve has true positive rate (also called sensitivity or recall) on the y axis and false positive rate on the x axis, and the ROC AUC can range from 0 (worst result) to 1 (perfect result). The ROC AUC, however, has several flaws and drawbacks. This score is generated including predictions that obtained insufficient sensitivity and specificity, and moreover it does not say anything about positive predictive value (also known as precision) nor negative predictive value (NPV) obtained by the classifier, therefore potentially generating inflated overoptimistic results. Since it is common to include ROC AUC alone without precision and negative predictive value, a researcher might erroneously conclude that their classification was successful. Furthermore, a given point in the ROC space does not identify a single confusion matrix nor a group of matrices sharing the same MCC value. Indeed, a given (sensitivity, specificity) pair can cover a broad MCC range, which casts doubts on the reliability of ROC AUC as a performance measure. In contrast, the Matthews correlation coefficient (MCC) generates a high score in its [Formula: see text] interval only if the classifier scored a high value for all the four basic rates of the confusion matrix: sensitivity, specificity, precision, and negative predictive value. A high MCC (for example, MCC [Formula: see text] 0.9), moreover, always corresponds to a high ROC AUC, and not vice versa. In this short study, we explain why the Matthews correlation coefficient should replace the ROC AUC as standard statistic in all the scientific studies involving a binary classification, in all scientific fields.","container-title":"BioData Mining","DOI":"10.1186/s13040-023-00322-4","ISSN":"1756-0381","issue":"1","journalAbbreviation":"BioData Min","language":"eng","note":"PMID: 36800973\nPMCID: PMC9938573","page":"4","source":"PubMed","title":"The Matthews correlation coefficient (MCC) should replace the ROC AUC as the standard metric for assessing binary classification","volume":"16","author":[{"family":"Chicco","given":"Davide"},{"family":"Jurman","given":"Giuseppe"}],"issued":{"date-parts":[["2023",2,17]]}}}],"schema":"https://github.com/citation-style-language/schema/raw/master/csl-citation.json"} </w:instrText>
      </w:r>
      <w:r w:rsidR="00114824" w:rsidRPr="00994531">
        <w:rPr>
          <w:rFonts w:eastAsia="Times New Roman" w:cs="Times New Roman"/>
          <w:kern w:val="0"/>
          <w:szCs w:val="24"/>
          <w14:ligatures w14:val="none"/>
        </w:rPr>
        <w:fldChar w:fldCharType="separate"/>
      </w:r>
      <w:r w:rsidR="00114824" w:rsidRPr="00994531">
        <w:rPr>
          <w:rFonts w:eastAsia="Times New Roman" w:cs="Times New Roman"/>
          <w:kern w:val="0"/>
          <w:szCs w:val="24"/>
          <w14:ligatures w14:val="none"/>
        </w:rPr>
        <w:t>(Boughorbel et al., 2017; Chicco &amp; Jurman, 2020, 2023)</w:t>
      </w:r>
      <w:r w:rsidR="00114824" w:rsidRPr="00994531">
        <w:rPr>
          <w:rFonts w:eastAsia="Times New Roman" w:cs="Times New Roman"/>
          <w:kern w:val="0"/>
          <w:szCs w:val="24"/>
          <w14:ligatures w14:val="none"/>
        </w:rPr>
        <w:fldChar w:fldCharType="end"/>
      </w:r>
      <w:r w:rsidR="00114824" w:rsidRPr="00994531">
        <w:rPr>
          <w:rFonts w:eastAsia="Times New Roman" w:cs="Times New Roman"/>
          <w:kern w:val="0"/>
          <w:szCs w:val="24"/>
          <w14:ligatures w14:val="none"/>
        </w:rPr>
        <w:t xml:space="preserve">. </w:t>
      </w:r>
      <w:r w:rsidR="00114824">
        <w:rPr>
          <w:rFonts w:eastAsia="Times New Roman" w:cs="Times New Roman"/>
          <w:kern w:val="0"/>
          <w:szCs w:val="24"/>
          <w14:ligatures w14:val="none"/>
        </w:rPr>
        <w:t>MCC</w:t>
      </w:r>
      <w:r w:rsidR="003574CB" w:rsidRPr="00994531">
        <w:rPr>
          <w:rFonts w:eastAsia="Times New Roman" w:cs="Times New Roman"/>
          <w:kern w:val="0"/>
          <w:szCs w:val="24"/>
          <w14:ligatures w14:val="none"/>
        </w:rPr>
        <w:t xml:space="preserve"> is </w:t>
      </w:r>
      <w:r w:rsidR="00114824">
        <w:rPr>
          <w:rFonts w:eastAsia="Times New Roman" w:cs="Times New Roman"/>
          <w:kern w:val="0"/>
          <w:szCs w:val="24"/>
          <w14:ligatures w14:val="none"/>
        </w:rPr>
        <w:t xml:space="preserve">also </w:t>
      </w:r>
      <w:r w:rsidR="003574CB" w:rsidRPr="00994531">
        <w:rPr>
          <w:rFonts w:eastAsia="Times New Roman" w:cs="Times New Roman"/>
          <w:kern w:val="0"/>
          <w:szCs w:val="24"/>
          <w14:ligatures w14:val="none"/>
        </w:rPr>
        <w:t>equivalent to Pearson’s Correlation Coefficient using binary values.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55"/>
        <w:gridCol w:w="2345"/>
      </w:tblGrid>
      <w:tr w:rsidR="006A7008" w:rsidRPr="00994531" w14:paraId="549F6328" w14:textId="77777777" w:rsidTr="00285357">
        <w:tc>
          <w:tcPr>
            <w:tcW w:w="6655" w:type="dxa"/>
          </w:tcPr>
          <w:p w14:paraId="4D26DBAF" w14:textId="77777777" w:rsidR="006A7008" w:rsidRPr="00994531" w:rsidRDefault="006656ED" w:rsidP="001B567A">
            <w:pPr>
              <w:spacing w:line="480" w:lineRule="auto"/>
              <w:jc w:val="center"/>
            </w:pPr>
            <m:oMathPara>
              <m:oMath>
                <m:r>
                  <w:rPr>
                    <w:rFonts w:ascii="Cambria Math" w:eastAsia="Cambria Math" w:hAnsi="Cambria Math"/>
                  </w:rPr>
                  <m:t xml:space="preserve">Average Precision= </m:t>
                </m:r>
                <m:nary>
                  <m:naryPr>
                    <m:limLoc m:val="subSup"/>
                    <m:ctrlPr>
                      <w:rPr>
                        <w:rFonts w:ascii="Cambria Math" w:eastAsia="Cambria Math" w:hAnsi="Cambria Math"/>
                        <w:i/>
                        <w:vertAlign w:val="superscript"/>
                      </w:rPr>
                    </m:ctrlPr>
                  </m:naryPr>
                  <m:sub>
                    <m:r>
                      <w:rPr>
                        <w:rFonts w:ascii="Cambria Math" w:eastAsia="Cambria Math" w:hAnsi="Cambria Math"/>
                        <w:vertAlign w:val="superscript"/>
                      </w:rPr>
                      <m:t>0</m:t>
                    </m:r>
                  </m:sub>
                  <m:sup>
                    <m:r>
                      <w:rPr>
                        <w:rFonts w:ascii="Cambria Math" w:eastAsia="Cambria Math" w:hAnsi="Cambria Math"/>
                        <w:vertAlign w:val="superscript"/>
                      </w:rPr>
                      <m:t>1</m:t>
                    </m:r>
                  </m:sup>
                  <m:e>
                    <m:r>
                      <w:rPr>
                        <w:rFonts w:ascii="Cambria Math" w:eastAsia="Cambria Math" w:hAnsi="Cambria Math"/>
                        <w:vertAlign w:val="superscript"/>
                      </w:rPr>
                      <m:t>Precision</m:t>
                    </m:r>
                    <m:d>
                      <m:dPr>
                        <m:ctrlPr>
                          <w:rPr>
                            <w:rFonts w:ascii="Cambria Math" w:eastAsia="Cambria Math" w:hAnsi="Cambria Math"/>
                            <w:i/>
                            <w:vertAlign w:val="superscript"/>
                          </w:rPr>
                        </m:ctrlPr>
                      </m:dPr>
                      <m:e>
                        <m:r>
                          <w:rPr>
                            <w:rFonts w:ascii="Cambria Math" w:eastAsia="Cambria Math" w:hAnsi="Cambria Math"/>
                            <w:vertAlign w:val="superscript"/>
                          </w:rPr>
                          <m:t>t</m:t>
                        </m:r>
                      </m:e>
                    </m:d>
                    <m:r>
                      <w:rPr>
                        <w:rFonts w:ascii="Cambria Math" w:eastAsia="Cambria Math" w:hAnsi="Cambria Math"/>
                        <w:vertAlign w:val="superscript"/>
                      </w:rPr>
                      <m:t>d[Recall</m:t>
                    </m:r>
                    <m:d>
                      <m:dPr>
                        <m:ctrlPr>
                          <w:rPr>
                            <w:rFonts w:ascii="Cambria Math" w:eastAsia="Cambria Math" w:hAnsi="Cambria Math"/>
                            <w:i/>
                            <w:vertAlign w:val="superscript"/>
                          </w:rPr>
                        </m:ctrlPr>
                      </m:dPr>
                      <m:e>
                        <m:r>
                          <w:rPr>
                            <w:rFonts w:ascii="Cambria Math" w:eastAsia="Cambria Math" w:hAnsi="Cambria Math"/>
                            <w:vertAlign w:val="superscript"/>
                          </w:rPr>
                          <m:t>t</m:t>
                        </m:r>
                      </m:e>
                    </m:d>
                    <m:r>
                      <w:rPr>
                        <w:rFonts w:ascii="Cambria Math" w:eastAsia="Cambria Math" w:hAnsi="Cambria Math"/>
                        <w:vertAlign w:val="superscript"/>
                      </w:rPr>
                      <m:t>]</m:t>
                    </m:r>
                  </m:e>
                </m:nary>
              </m:oMath>
            </m:oMathPara>
          </w:p>
        </w:tc>
        <w:tc>
          <w:tcPr>
            <w:tcW w:w="2345" w:type="dxa"/>
          </w:tcPr>
          <w:p w14:paraId="75A95381" w14:textId="77777777" w:rsidR="006A7008" w:rsidRDefault="006A7008" w:rsidP="001B567A">
            <w:pPr>
              <w:spacing w:line="480" w:lineRule="auto"/>
            </w:pPr>
            <w:r>
              <w:t xml:space="preserve">         </w:t>
            </w:r>
          </w:p>
          <w:p w14:paraId="707F0994" w14:textId="1AEAA1DC" w:rsidR="006A7008" w:rsidRPr="00994531" w:rsidRDefault="006A7008" w:rsidP="001B567A">
            <w:pPr>
              <w:spacing w:line="480" w:lineRule="auto"/>
              <w:ind w:right="-288"/>
            </w:pPr>
            <w:r>
              <w:t xml:space="preserve">                   </w:t>
            </w:r>
            <w:r w:rsidRPr="00994531">
              <w:t>Equation 1</w:t>
            </w:r>
          </w:p>
        </w:tc>
      </w:tr>
    </w:tbl>
    <w:p w14:paraId="50AE82DC" w14:textId="1EF92067" w:rsidR="006A7008" w:rsidRPr="006A7008" w:rsidRDefault="006A7008" w:rsidP="001B567A">
      <w:pPr>
        <w:spacing w:after="0" w:line="480" w:lineRule="auto"/>
      </w:pPr>
    </w:p>
    <w:tbl>
      <w:tblPr>
        <w:tblStyle w:val="TableGrid"/>
        <w:tblpPr w:leftFromText="180" w:rightFromText="180" w:vertAnchor="text" w:horzAnchor="margin" w:tblpY="41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65"/>
        <w:gridCol w:w="1885"/>
      </w:tblGrid>
      <w:tr w:rsidR="007E75FA" w:rsidRPr="00994531" w14:paraId="4761EAEA" w14:textId="77777777">
        <w:tc>
          <w:tcPr>
            <w:tcW w:w="7465" w:type="dxa"/>
          </w:tcPr>
          <w:p w14:paraId="30EC6494" w14:textId="77777777" w:rsidR="007E75FA" w:rsidRPr="00994531" w:rsidRDefault="0042320A" w:rsidP="001B567A">
            <w:pPr>
              <w:spacing w:line="480" w:lineRule="auto"/>
            </w:pPr>
            <m:oMathPara>
              <m:oMath>
                <m:r>
                  <w:rPr>
                    <w:rFonts w:ascii="Cambria Math" w:eastAsia="Cambria Math" w:hAnsi="Cambria Math"/>
                  </w:rPr>
                  <m:t xml:space="preserve">MCC= </m:t>
                </m:r>
                <m:f>
                  <m:fPr>
                    <m:ctrlPr>
                      <w:rPr>
                        <w:rFonts w:ascii="Cambria Math" w:eastAsia="Cambria Math" w:hAnsi="Cambria Math"/>
                        <w:vertAlign w:val="superscript"/>
                      </w:rPr>
                    </m:ctrlPr>
                  </m:fPr>
                  <m:num>
                    <m:r>
                      <w:rPr>
                        <w:rFonts w:ascii="Cambria Math" w:eastAsia="Cambria Math" w:hAnsi="Cambria Math"/>
                      </w:rPr>
                      <m:t>TP * TN - FP * FN</m:t>
                    </m:r>
                  </m:num>
                  <m:den>
                    <m:sSup>
                      <m:sSupPr>
                        <m:ctrlPr>
                          <w:rPr>
                            <w:rFonts w:ascii="Cambria Math" w:eastAsia="Cambria Math" w:hAnsi="Cambria Math"/>
                            <w:i/>
                          </w:rPr>
                        </m:ctrlPr>
                      </m:sSupPr>
                      <m:e>
                        <m:r>
                          <w:rPr>
                            <w:rFonts w:ascii="Cambria Math" w:eastAsia="Cambria Math" w:hAnsi="Cambria Math"/>
                          </w:rPr>
                          <m:t>((TP + FP)(TP + FN)(TN + FP)(TN + FN))</m:t>
                        </m:r>
                      </m:e>
                      <m:sup>
                        <m:r>
                          <w:rPr>
                            <w:rFonts w:ascii="Cambria Math" w:eastAsia="Cambria Math" w:hAnsi="Cambria Math"/>
                          </w:rPr>
                          <m:t>0.5</m:t>
                        </m:r>
                      </m:sup>
                    </m:sSup>
                  </m:den>
                </m:f>
              </m:oMath>
            </m:oMathPara>
          </w:p>
        </w:tc>
        <w:tc>
          <w:tcPr>
            <w:tcW w:w="1885" w:type="dxa"/>
          </w:tcPr>
          <w:p w14:paraId="77DB5741" w14:textId="77777777" w:rsidR="007E75FA" w:rsidRDefault="007E75FA" w:rsidP="001B567A">
            <w:pPr>
              <w:spacing w:line="480" w:lineRule="auto"/>
              <w:jc w:val="center"/>
            </w:pPr>
            <w:r w:rsidRPr="00994531">
              <w:t>Equation 2</w:t>
            </w:r>
          </w:p>
          <w:p w14:paraId="34AF627B" w14:textId="77777777" w:rsidR="007E75FA" w:rsidRPr="00994531" w:rsidRDefault="007E75FA" w:rsidP="001B567A">
            <w:pPr>
              <w:spacing w:line="480" w:lineRule="auto"/>
              <w:jc w:val="center"/>
            </w:pPr>
          </w:p>
        </w:tc>
      </w:tr>
    </w:tbl>
    <w:p w14:paraId="29F2F730" w14:textId="77777777" w:rsidR="007E75FA" w:rsidRDefault="007E75FA" w:rsidP="001B567A">
      <w:pPr>
        <w:spacing w:after="0" w:line="480" w:lineRule="auto"/>
        <w:rPr>
          <w:b/>
          <w:bCs/>
        </w:rPr>
      </w:pPr>
    </w:p>
    <w:p w14:paraId="02D16C34" w14:textId="044FBC58" w:rsidR="0040689A" w:rsidRDefault="0040689A" w:rsidP="001B567A">
      <w:pPr>
        <w:pStyle w:val="Heading3"/>
      </w:pPr>
      <w:bookmarkStart w:id="46" w:name="_Toc204282749"/>
      <w:r w:rsidRPr="00994531">
        <w:t xml:space="preserve">Evaluating the </w:t>
      </w:r>
      <w:r w:rsidR="00EE0E17">
        <w:t>p</w:t>
      </w:r>
      <w:r w:rsidRPr="00994531">
        <w:t xml:space="preserve">erformance of </w:t>
      </w:r>
      <w:r w:rsidR="00EE0E17">
        <w:t>h</w:t>
      </w:r>
      <w:r w:rsidRPr="00994531">
        <w:t xml:space="preserve">ot </w:t>
      </w:r>
      <w:r w:rsidR="00EE0E17">
        <w:t>m</w:t>
      </w:r>
      <w:r w:rsidRPr="00994531">
        <w:t xml:space="preserve">oment </w:t>
      </w:r>
      <w:r w:rsidR="00EE0E17">
        <w:t>i</w:t>
      </w:r>
      <w:r w:rsidRPr="00994531">
        <w:t xml:space="preserve">dentification </w:t>
      </w:r>
      <w:r w:rsidR="00EE0E17">
        <w:t>m</w:t>
      </w:r>
      <w:r w:rsidRPr="00994531">
        <w:t>ethods</w:t>
      </w:r>
      <w:bookmarkEnd w:id="46"/>
    </w:p>
    <w:p w14:paraId="26596A6F" w14:textId="2B97B807" w:rsidR="0040689A" w:rsidRPr="0040689A" w:rsidRDefault="0040689A" w:rsidP="001B567A">
      <w:pPr>
        <w:spacing w:after="0" w:line="480" w:lineRule="auto"/>
        <w:rPr>
          <w:rFonts w:eastAsia="Times New Roman" w:cs="Times New Roman"/>
          <w:kern w:val="0"/>
          <w:szCs w:val="24"/>
          <w14:ligatures w14:val="none"/>
        </w:rPr>
      </w:pPr>
      <w:r>
        <w:rPr>
          <w:rFonts w:eastAsia="Times New Roman" w:cs="Times New Roman"/>
          <w:kern w:val="0"/>
          <w:szCs w:val="24"/>
          <w14:ligatures w14:val="none"/>
        </w:rPr>
        <w:t>T</w:t>
      </w:r>
      <w:r w:rsidRPr="00994531">
        <w:rPr>
          <w:rFonts w:eastAsia="Times New Roman" w:cs="Times New Roman"/>
          <w:kern w:val="0"/>
          <w:szCs w:val="24"/>
          <w14:ligatures w14:val="none"/>
        </w:rPr>
        <w:t>he overall performance of each anomaly detection method was evaluated using the MCC</w:t>
      </w:r>
      <w:r>
        <w:rPr>
          <w:rFonts w:eastAsia="Times New Roman" w:cs="Times New Roman"/>
          <w:kern w:val="0"/>
          <w:szCs w:val="24"/>
          <w14:ligatures w14:val="none"/>
        </w:rPr>
        <w:t xml:space="preserve">. </w:t>
      </w:r>
      <w:r w:rsidRPr="00994531">
        <w:rPr>
          <w:rFonts w:eastAsia="Times New Roman" w:cs="Times New Roman"/>
          <w:kern w:val="0"/>
          <w:szCs w:val="24"/>
          <w14:ligatures w14:val="none"/>
        </w:rPr>
        <w:t>While we pose that MCC is thus the most valuable representation of the overall predictive power</w:t>
      </w:r>
      <w:r>
        <w:rPr>
          <w:rFonts w:eastAsia="Times New Roman" w:cs="Times New Roman"/>
          <w:kern w:val="0"/>
          <w:szCs w:val="24"/>
          <w14:ligatures w14:val="none"/>
        </w:rPr>
        <w:t xml:space="preserve"> </w:t>
      </w:r>
      <w:r w:rsidRPr="00994531">
        <w:rPr>
          <w:rFonts w:eastAsia="Times New Roman" w:cs="Times New Roman"/>
          <w:kern w:val="0"/>
          <w:szCs w:val="24"/>
          <w14:ligatures w14:val="none"/>
        </w:rPr>
        <w:t>of methods, we supplementally determined the average accuracy of each method, calculated by the mean</w:t>
      </w:r>
      <w:r>
        <w:rPr>
          <w:rFonts w:eastAsia="Times New Roman" w:cs="Times New Roman"/>
          <w:kern w:val="0"/>
          <w:szCs w:val="24"/>
          <w14:ligatures w14:val="none"/>
        </w:rPr>
        <w:t xml:space="preserve"> </w:t>
      </w:r>
      <w:r w:rsidRPr="00994531">
        <w:rPr>
          <w:rFonts w:eastAsia="Times New Roman" w:cs="Times New Roman"/>
          <w:kern w:val="0"/>
          <w:szCs w:val="24"/>
          <w14:ligatures w14:val="none"/>
        </w:rPr>
        <w:t xml:space="preserve">accuracy achieved across the 85 </w:t>
      </w:r>
      <w:r w:rsidRPr="00994531">
        <w:t xml:space="preserve">time series </w:t>
      </w:r>
      <w:r w:rsidRPr="00994531">
        <w:rPr>
          <w:rFonts w:eastAsia="Times New Roman" w:cs="Times New Roman"/>
          <w:kern w:val="0"/>
          <w:szCs w:val="24"/>
          <w14:ligatures w14:val="none"/>
        </w:rPr>
        <w:t>in the testing dataset.</w:t>
      </w:r>
    </w:p>
    <w:p w14:paraId="54F2371D" w14:textId="77777777" w:rsidR="00EF23D4" w:rsidRPr="00994531" w:rsidRDefault="00EF23D4" w:rsidP="001B567A">
      <w:pPr>
        <w:spacing w:after="0" w:line="480" w:lineRule="auto"/>
        <w:rPr>
          <w:rFonts w:eastAsia="Times New Roman" w:cs="Times New Roman"/>
          <w:kern w:val="0"/>
          <w:szCs w:val="24"/>
          <w14:ligatures w14:val="none"/>
        </w:rPr>
      </w:pPr>
      <w:r w:rsidRPr="00994531">
        <w:rPr>
          <w:rFonts w:eastAsia="Times New Roman" w:cs="Times New Roman"/>
          <w:kern w:val="0"/>
          <w:szCs w:val="24"/>
          <w14:ligatures w14:val="none"/>
        </w:rPr>
        <w:lastRenderedPageBreak/>
        <w:t>We argue that a statistical method of identifying hot moments should perform comparably across datasets with varying flux distribution characteristics to ensure broader applicability with minimum bias. Therefore, we determined how measurement frequency and anomaly prevalence in datasets affect method’s classification accuracy, measured by the slope and R</w:t>
      </w:r>
      <w:r w:rsidRPr="00994531">
        <w:rPr>
          <w:rFonts w:eastAsia="Times New Roman" w:cs="Times New Roman"/>
          <w:kern w:val="0"/>
          <w:szCs w:val="24"/>
          <w:vertAlign w:val="superscript"/>
          <w14:ligatures w14:val="none"/>
        </w:rPr>
        <w:t>2</w:t>
      </w:r>
      <w:r w:rsidRPr="00994531">
        <w:rPr>
          <w:rFonts w:eastAsia="Times New Roman" w:cs="Times New Roman"/>
          <w:kern w:val="0"/>
          <w:szCs w:val="24"/>
          <w14:ligatures w14:val="none"/>
        </w:rPr>
        <w:t xml:space="preserve"> of linear regression at a 5% significance level. </w:t>
      </w:r>
    </w:p>
    <w:p w14:paraId="7058ACBC" w14:textId="02FFE3B4" w:rsidR="00016090" w:rsidRPr="00994531" w:rsidRDefault="00EF23D4" w:rsidP="001B567A">
      <w:pPr>
        <w:spacing w:after="0" w:line="480" w:lineRule="auto"/>
        <w:rPr>
          <w:rFonts w:eastAsia="Times New Roman" w:cs="Times New Roman"/>
          <w:kern w:val="0"/>
          <w:szCs w:val="24"/>
          <w14:ligatures w14:val="none"/>
        </w:rPr>
      </w:pPr>
      <w:r w:rsidRPr="00994531">
        <w:rPr>
          <w:rFonts w:eastAsia="Times New Roman" w:cs="Times New Roman"/>
          <w:kern w:val="0"/>
          <w:szCs w:val="24"/>
          <w14:ligatures w14:val="none"/>
        </w:rPr>
        <w:t>Beyond overall performance, we evaluated each method for its detection rate of local anomalies, which we defined as N</w:t>
      </w:r>
      <w:r w:rsidRPr="00994531">
        <w:rPr>
          <w:rFonts w:eastAsia="Times New Roman" w:cs="Times New Roman"/>
          <w:kern w:val="0"/>
          <w:szCs w:val="24"/>
          <w:vertAlign w:val="subscript"/>
          <w14:ligatures w14:val="none"/>
        </w:rPr>
        <w:t>2</w:t>
      </w:r>
      <w:r w:rsidRPr="00994531">
        <w:rPr>
          <w:rFonts w:eastAsia="Times New Roman" w:cs="Times New Roman"/>
          <w:kern w:val="0"/>
          <w:szCs w:val="24"/>
          <w14:ligatures w14:val="none"/>
        </w:rPr>
        <w:t xml:space="preserve">O emissions measurements labeled as hot moments which were lower than other data points within a given dataset classified as background emissions. For example, a winter thaw may cause a conspicuous rise in fluxes compared to the typical seasonally low fluxes. However, They may not exceed the background rate of emissions during summer which can be elevated for a period of several weeks due to favorable environmental conditions and substrate availability, thus making this a ‘local’ anomaly </w:t>
      </w:r>
      <w:r w:rsidRPr="00994531">
        <w:rPr>
          <w:rFonts w:eastAsia="Times New Roman" w:cs="Times New Roman"/>
          <w:kern w:val="0"/>
          <w:szCs w:val="24"/>
          <w14:ligatures w14:val="none"/>
        </w:rPr>
        <w:fldChar w:fldCharType="begin"/>
      </w:r>
      <w:r w:rsidR="00D74AD1">
        <w:rPr>
          <w:rFonts w:eastAsia="Times New Roman" w:cs="Times New Roman"/>
          <w:kern w:val="0"/>
          <w:szCs w:val="24"/>
          <w14:ligatures w14:val="none"/>
        </w:rPr>
        <w:instrText xml:space="preserve"> ADDIN ZOTERO_ITEM CSL_CITATION {"citationID":"nhQ4RGHL","properties":{"formattedCitation":"(Waldo et al., 2019)","plainCitation":"(Waldo et al., 2019)","noteIndex":0},"citationItems":[{"id":688,"uris":["http://zotero.org/groups/4573874/items/M9C6P8IU"],"itemData":{"id":688,"type":"article-journal","abstract":"With the addition of nitrogen (N), agricultural soils are the main anthropogenic source of N2O, but high spatial and temporal variabilities make N2O emissions difficult to characterize at the field scale. This study used flux-gradient measurements to continuously monitor N2O emissions at two agricultural fields under different management regimes in the inland Pacific Northwest of Washington State, USA. Automated 16-chamber arrays were also deployed at each site; chamber monitoring results aided the interpretation of the flux gradient results. The cumulative emissions over the six-month (1 April–30 September) monitoring period were 2.4 ± 0.7 and 2.1 ± 2 kg N2O-N/ha at the no-till and conventional till sites, respectively. At both sites, maximum N2O emissions occurred following the first rainfall event after N fertilization, and both sites had monthlong emission pulses. The no-till site had a larger N2O emission factor than the Intergovernmental Panel on Climate Change Tier 1 emission factor of 1% of the N input, while the conventional-till site's emission factor was close to 1% of the N input. However, these emission factors are likely conservative. We estimate that the global warming potential of the N2O emissions at these sites is larger than that of the no-till conversion carbon uptake. We recommend the use of chambers to investigate spatiotemporal controls as a complementary method to micrometeorological monitoring, especially in systems with high variability. Continued monitoring coupled with the use of models is necessary to investigate how changing management and environmental conditions will affect N2O emissions.","container-title":"Journal of Geophysical Research: Biogeosciences","DOI":"10.1029/2019JG005032","ISSN":"2169-8961","issue":"7","language":"en","note":"_eprint: https://onlinelibrary.wiley.com/doi/pdf/10.1029/2019JG005032","page":"1887-1904","source":"Wiley Online Library","title":"N2O Emissions From Two Agroecosystems: High Spatial Variability and Long Pulses Observed Using Static Chambers and the Flux-Gradient Technique","title-short":"N2O Emissions From Two Agroecosystems","volume":"124","author":[{"family":"Waldo","given":"Sarah"},{"family":"Russell","given":"Eric S."},{"family":"Kostyanovsky","given":"Kirill"},{"family":"Pressley","given":"Shelley N."},{"family":"O'Keeffe","given":"Patrick T."},{"family":"Huggins","given":"David R."},{"family":"Stöckle","given":"Claudio O."},{"family":"Pan","given":"William L."},{"family":"Lamb","given":"Brian K."}],"issued":{"date-parts":[["2019"]]}}}],"schema":"https://github.com/citation-style-language/schema/raw/master/csl-citation.json"} </w:instrText>
      </w:r>
      <w:r w:rsidRPr="00994531">
        <w:rPr>
          <w:rFonts w:eastAsia="Times New Roman" w:cs="Times New Roman"/>
          <w:kern w:val="0"/>
          <w:szCs w:val="24"/>
          <w14:ligatures w14:val="none"/>
        </w:rPr>
        <w:fldChar w:fldCharType="separate"/>
      </w:r>
      <w:r w:rsidR="0056073F" w:rsidRPr="0056073F">
        <w:rPr>
          <w:rFonts w:cs="Times New Roman"/>
        </w:rPr>
        <w:t>(Waldo et al., 2019)</w:t>
      </w:r>
      <w:r w:rsidRPr="00994531">
        <w:rPr>
          <w:rFonts w:eastAsia="Times New Roman" w:cs="Times New Roman"/>
          <w:kern w:val="0"/>
          <w:szCs w:val="24"/>
          <w14:ligatures w14:val="none"/>
        </w:rPr>
        <w:fldChar w:fldCharType="end"/>
      </w:r>
      <w:r w:rsidRPr="00994531">
        <w:rPr>
          <w:rFonts w:eastAsia="Times New Roman" w:cs="Times New Roman"/>
          <w:kern w:val="0"/>
          <w:szCs w:val="24"/>
          <w14:ligatures w14:val="none"/>
        </w:rPr>
        <w:t>. We argue such a case is still an ecologically significant hot moment driven by distinct biogeochemical mechanisms and should be identified as such. Thus, we additionally evaluated the local anomaly detection rate of each method as the proportion of the total local hot moments identified by each method.</w:t>
      </w:r>
    </w:p>
    <w:p w14:paraId="6870CAEA" w14:textId="4FBE7E42" w:rsidR="00EF23D4" w:rsidRPr="00994531" w:rsidRDefault="00EF23D4" w:rsidP="001B567A">
      <w:pPr>
        <w:pStyle w:val="Heading3"/>
      </w:pPr>
      <w:bookmarkStart w:id="47" w:name="_Toc204282750"/>
      <w:r w:rsidRPr="00994531">
        <w:t xml:space="preserve">Evaluating the </w:t>
      </w:r>
      <w:r w:rsidR="00EE0E17">
        <w:t>i</w:t>
      </w:r>
      <w:r w:rsidRPr="00994531">
        <w:t xml:space="preserve">mpact of </w:t>
      </w:r>
      <w:r w:rsidR="00EE0E17">
        <w:t>h</w:t>
      </w:r>
      <w:r w:rsidRPr="00994531">
        <w:t xml:space="preserve">ot </w:t>
      </w:r>
      <w:r w:rsidR="00EE0E17">
        <w:t>m</w:t>
      </w:r>
      <w:r w:rsidRPr="00994531">
        <w:t xml:space="preserve">oments on </w:t>
      </w:r>
      <w:r w:rsidR="00EE0E17">
        <w:t>t</w:t>
      </w:r>
      <w:r w:rsidRPr="00994531">
        <w:t>otal N</w:t>
      </w:r>
      <w:r w:rsidRPr="00994531">
        <w:rPr>
          <w:vertAlign w:val="subscript"/>
        </w:rPr>
        <w:t>2</w:t>
      </w:r>
      <w:r w:rsidRPr="00994531">
        <w:t xml:space="preserve">O </w:t>
      </w:r>
      <w:r w:rsidR="00EE0E17">
        <w:t>e</w:t>
      </w:r>
      <w:r w:rsidRPr="00994531">
        <w:t>missions</w:t>
      </w:r>
      <w:bookmarkEnd w:id="47"/>
    </w:p>
    <w:p w14:paraId="14C289D8" w14:textId="02C66A01" w:rsidR="00EF23D4" w:rsidRPr="00994531" w:rsidRDefault="00EF23D4" w:rsidP="001B567A">
      <w:pPr>
        <w:spacing w:after="0" w:line="480" w:lineRule="auto"/>
        <w:rPr>
          <w:rFonts w:eastAsia="Times New Roman" w:cs="Times New Roman"/>
          <w:kern w:val="0"/>
          <w:szCs w:val="24"/>
          <w14:ligatures w14:val="none"/>
        </w:rPr>
      </w:pPr>
      <w:r w:rsidRPr="00994531">
        <w:rPr>
          <w:rFonts w:eastAsia="Times New Roman" w:cs="Times New Roman"/>
          <w:kern w:val="0"/>
          <w:szCs w:val="24"/>
          <w14:ligatures w14:val="none"/>
        </w:rPr>
        <w:t>The impact of hot moments on total soil N</w:t>
      </w:r>
      <w:r w:rsidRPr="00994531">
        <w:rPr>
          <w:rFonts w:eastAsia="Times New Roman" w:cs="Times New Roman"/>
          <w:kern w:val="0"/>
          <w:szCs w:val="24"/>
          <w:vertAlign w:val="subscript"/>
          <w14:ligatures w14:val="none"/>
        </w:rPr>
        <w:t>2</w:t>
      </w:r>
      <w:r w:rsidRPr="00994531">
        <w:rPr>
          <w:rFonts w:eastAsia="Times New Roman" w:cs="Times New Roman"/>
          <w:kern w:val="0"/>
          <w:szCs w:val="24"/>
          <w14:ligatures w14:val="none"/>
        </w:rPr>
        <w:t xml:space="preserve">O emissions was evaluated by determining the proportion of measurements classified as hot moment among all measurements, as well as the contribution to total measured flux made during hot moments. Since experimental datasets overrepresented the warmer, wetter, and often fertilized growing season and therefore overrepresented hot moments </w:t>
      </w:r>
      <w:r w:rsidRPr="00994531">
        <w:rPr>
          <w:rFonts w:eastAsia="Times New Roman" w:cs="Times New Roman"/>
          <w:kern w:val="0"/>
          <w:szCs w:val="24"/>
          <w14:ligatures w14:val="none"/>
        </w:rPr>
        <w:fldChar w:fldCharType="begin"/>
      </w:r>
      <w:r w:rsidR="00D74AD1">
        <w:rPr>
          <w:rFonts w:eastAsia="Times New Roman" w:cs="Times New Roman"/>
          <w:kern w:val="0"/>
          <w:szCs w:val="24"/>
          <w14:ligatures w14:val="none"/>
        </w:rPr>
        <w:instrText xml:space="preserve"> ADDIN ZOTERO_ITEM CSL_CITATION {"citationID":"JVFKDbr5","properties":{"formattedCitation":"(Zhou et al., 2022)","plainCitation":"(Zhou et al., 2022)","noteIndex":0},"citationItems":[{"id":883,"uris":["http://zotero.org/groups/4573874/items/APJK422N"],"itemData":{"id":883,"type":"article-journal","abstract":"Identification of hot spots and hot moments (HSHMs) in regard to soil nitrogen (N) losses has received public attention. Soil nitrous oxide (N2O) emissions and mineral N leaching under varied annual precipitation were simulated with the DayCent model in a mixed landscape (tea garden, bamboo forest and coniferous and broad-leaved mixed forests). Their HSHMs were further quantified using the 3rd quartile value of all data as the baseline. Results showed that the hot moments of soil N2O emissions were the dry year, summer, and months with high air temperature (July to September) and months after fertilization (April or May) at inter-annual, seasonal and monthly time scales, respectively. The hot moments of mineral N leaching at these time scales were the normal year or the wet year, spring or rainy seasons after drought, and rainy months after fertilization or drought, respectively. The main factors controlling the formation of hot moments on N losses were temperature, precipitation and fertilization. In addition, the hot spots of N2O emissions and mineral N leaching in the mixed landscape were both distributed in the tea garden (TG). When the entire study area was assumed to be under the same land-use type (i.e., TG), the hot spots of these two kinds of N losses were mainly distributed in the areas with rock fragment content &lt; 0.16 cm3 cm−3, field capacity &gt; 0.24 cm3 cm−3, bulk density &gt; 1.29 g cm−3, soil carbon (C)/N ratio &lt; 13.26, and slope &lt; 12°. These results indicated that fertilizer management, climate factors, soil properties and topography need to be comprehensively considered to alleviate the formation of HSHMs of N losses in mixed landscape mountainous areas.","container-title":"Geoderma","DOI":"10.1016/j.geoderma.2022.115896","ISSN":"0016-7061","journalAbbreviation":"Geoderma","language":"en","page":"115896","source":"ScienceDirect","title":"Determining the hot spots and hot moments of soil N2O emissions and mineral N leaching in a mixed landscape under subtropical monsoon climatic conditions","volume":"420","author":[{"family":"Zhou","given":"Zhiwen"},{"family":"Liao","given":"Kaihua"},{"family":"Zhu","given":"Qing"},{"family":"Lai","given":"Xiaoming"},{"family":"Yang","given":"Juan"},{"family":"Huang","given":"Jiacong"}],"issued":{"date-parts":[["2022",8,15]]}}}],"schema":"https://github.com/citation-style-language/schema/raw/master/csl-citation.json"} </w:instrText>
      </w:r>
      <w:r w:rsidRPr="00994531">
        <w:rPr>
          <w:rFonts w:eastAsia="Times New Roman" w:cs="Times New Roman"/>
          <w:kern w:val="0"/>
          <w:szCs w:val="24"/>
          <w14:ligatures w14:val="none"/>
        </w:rPr>
        <w:fldChar w:fldCharType="separate"/>
      </w:r>
      <w:r w:rsidRPr="00994531">
        <w:rPr>
          <w:rFonts w:eastAsia="Times New Roman" w:cs="Times New Roman"/>
          <w:kern w:val="0"/>
          <w:szCs w:val="24"/>
          <w14:ligatures w14:val="none"/>
        </w:rPr>
        <w:t>(Zhou et al., 2022)</w:t>
      </w:r>
      <w:r w:rsidRPr="00994531">
        <w:rPr>
          <w:rFonts w:eastAsia="Times New Roman" w:cs="Times New Roman"/>
          <w:kern w:val="0"/>
          <w:szCs w:val="24"/>
          <w14:ligatures w14:val="none"/>
        </w:rPr>
        <w:fldChar w:fldCharType="end"/>
      </w:r>
      <w:r w:rsidRPr="00994531">
        <w:rPr>
          <w:rFonts w:eastAsia="Times New Roman" w:cs="Times New Roman"/>
          <w:kern w:val="0"/>
          <w:szCs w:val="24"/>
          <w14:ligatures w14:val="none"/>
        </w:rPr>
        <w:t xml:space="preserve">, we also calculated these contributions from a </w:t>
      </w:r>
      <w:r w:rsidRPr="00994531">
        <w:rPr>
          <w:rFonts w:eastAsia="Times New Roman" w:cs="Times New Roman"/>
          <w:kern w:val="0"/>
          <w:szCs w:val="24"/>
          <w14:ligatures w14:val="none"/>
        </w:rPr>
        <w:lastRenderedPageBreak/>
        <w:t xml:space="preserve">subset of eight time series datasets identified with year-round flux measurements available with no gaps between measurements exceeding 20 days. </w:t>
      </w:r>
    </w:p>
    <w:p w14:paraId="062ECEEE" w14:textId="50D305AB" w:rsidR="00EF23D4" w:rsidRPr="00994531" w:rsidRDefault="00EF23D4" w:rsidP="001B567A">
      <w:pPr>
        <w:pStyle w:val="Heading2"/>
      </w:pPr>
      <w:bookmarkStart w:id="48" w:name="_Toc204282751"/>
      <w:r w:rsidRPr="00994531">
        <w:t>Results</w:t>
      </w:r>
      <w:bookmarkEnd w:id="48"/>
    </w:p>
    <w:p w14:paraId="4CC5416C" w14:textId="1B9BAFE1" w:rsidR="00EF23D4" w:rsidRPr="00994531" w:rsidRDefault="00EF23D4" w:rsidP="001B567A">
      <w:pPr>
        <w:pStyle w:val="Heading3"/>
      </w:pPr>
      <w:bookmarkStart w:id="49" w:name="_Toc204282752"/>
      <w:r w:rsidRPr="00994531">
        <w:t xml:space="preserve">Performance of </w:t>
      </w:r>
      <w:r w:rsidR="00EE0E17">
        <w:t>m</w:t>
      </w:r>
      <w:r w:rsidRPr="00994531">
        <w:t xml:space="preserve">ethods </w:t>
      </w:r>
      <w:r w:rsidR="00EE0E17">
        <w:t>u</w:t>
      </w:r>
      <w:r w:rsidRPr="00994531">
        <w:t xml:space="preserve">sing </w:t>
      </w:r>
      <w:r w:rsidR="00EE0E17">
        <w:t>o</w:t>
      </w:r>
      <w:r w:rsidRPr="00994531">
        <w:t xml:space="preserve">ptimized </w:t>
      </w:r>
      <w:r w:rsidR="00EE0E17">
        <w:t>t</w:t>
      </w:r>
      <w:r w:rsidRPr="00994531">
        <w:t>hresholds</w:t>
      </w:r>
      <w:bookmarkEnd w:id="49"/>
    </w:p>
    <w:p w14:paraId="471323C9" w14:textId="55C77561" w:rsidR="00EF23D4" w:rsidRPr="00994531" w:rsidRDefault="00EF23D4" w:rsidP="001B567A">
      <w:pPr>
        <w:spacing w:after="0" w:line="480" w:lineRule="auto"/>
      </w:pPr>
      <w:r w:rsidRPr="00994531">
        <w:t>Among the tested methods, MAD and MCD demonstrated the best performance, with both achieving an MCC of 0.80 and Accuracy of 93.6% and 93.2%, respectively (</w:t>
      </w:r>
      <w:r w:rsidRPr="004A01FB">
        <w:rPr>
          <w:b/>
        </w:rPr>
        <w:t xml:space="preserve">Table </w:t>
      </w:r>
      <w:r>
        <w:rPr>
          <w:b/>
        </w:rPr>
        <w:t>2</w:t>
      </w:r>
      <w:r w:rsidR="004A01FB">
        <w:rPr>
          <w:b/>
          <w:bCs/>
        </w:rPr>
        <w:t>.</w:t>
      </w:r>
      <w:r w:rsidR="004048F2">
        <w:rPr>
          <w:b/>
          <w:bCs/>
        </w:rPr>
        <w:t>3</w:t>
      </w:r>
      <w:r w:rsidRPr="00994531">
        <w:t>). In agreement with prior analyses, 1.5 IQR performed well in overall performance, ranking 3</w:t>
      </w:r>
      <w:r w:rsidRPr="00994531">
        <w:rPr>
          <w:vertAlign w:val="superscript"/>
        </w:rPr>
        <w:t>rd</w:t>
      </w:r>
      <w:r w:rsidRPr="00994531">
        <w:t xml:space="preserve"> (MCC: 0.77; Accuracy: 93.3%). However, the performances of the methods previously used for statistical hot moment identification—four standard deviation, IQR methods, and 75</w:t>
      </w:r>
      <w:r w:rsidRPr="00994531">
        <w:rPr>
          <w:vertAlign w:val="superscript"/>
        </w:rPr>
        <w:t>th</w:t>
      </w:r>
      <w:r w:rsidRPr="00994531">
        <w:t xml:space="preserve"> Percentile—were highly correlated to the prevalence of hot moments, degrading significantly as hot moments became more common. </w:t>
      </w:r>
    </w:p>
    <w:p w14:paraId="0447BF59" w14:textId="64D67DCC" w:rsidR="00FE2278" w:rsidRPr="00FE2278" w:rsidRDefault="00B432C5" w:rsidP="001B567A">
      <w:pPr>
        <w:spacing w:after="0" w:line="480" w:lineRule="auto"/>
        <w:rPr>
          <w:szCs w:val="24"/>
        </w:rPr>
      </w:pPr>
      <w:r w:rsidRPr="00994531">
        <w:t xml:space="preserve">We next analyzed the top three overall performing methods—MAD, MCD, and 1.5 IQR—to more thoroughly identify their strengths, weaknesses, and most appropriate applications. When hot moments made up at least 25% or more of </w:t>
      </w:r>
      <w:r w:rsidR="00016090" w:rsidRPr="00FF5B6D">
        <w:rPr>
          <w:szCs w:val="24"/>
        </w:rPr>
        <w:t xml:space="preserve">measurements, MCD maintained 94% accuracy, MAD slightly fell to 92%, and 1.5 IQR dropped by over 8% to 85% </w:t>
      </w:r>
      <w:r w:rsidR="00016090" w:rsidRPr="00FF5B6D">
        <w:rPr>
          <w:b/>
          <w:bCs/>
          <w:szCs w:val="24"/>
        </w:rPr>
        <w:t>(Figure 2.6</w:t>
      </w:r>
      <w:r w:rsidR="00016090" w:rsidRPr="00FF5B6D">
        <w:rPr>
          <w:szCs w:val="24"/>
        </w:rPr>
        <w:t>). Notably, 1.5 IQR also underperformed relative to other</w:t>
      </w:r>
      <w:r w:rsidR="003B3A4A">
        <w:rPr>
          <w:szCs w:val="24"/>
        </w:rPr>
        <w:t xml:space="preserve"> </w:t>
      </w:r>
      <w:r w:rsidR="003B3A4A" w:rsidRPr="00FF5B6D">
        <w:rPr>
          <w:szCs w:val="24"/>
        </w:rPr>
        <w:t>methods when few labeled hot moments existed within a dataset</w:t>
      </w:r>
      <w:r w:rsidR="001306AF">
        <w:rPr>
          <w:szCs w:val="24"/>
        </w:rPr>
        <w:t xml:space="preserve"> (</w:t>
      </w:r>
      <w:r w:rsidR="001306AF" w:rsidRPr="001306AF">
        <w:rPr>
          <w:b/>
          <w:bCs/>
          <w:szCs w:val="24"/>
        </w:rPr>
        <w:t>Figure 2.7</w:t>
      </w:r>
      <w:r w:rsidR="001306AF">
        <w:rPr>
          <w:szCs w:val="24"/>
        </w:rPr>
        <w:t>)</w:t>
      </w:r>
      <w:r w:rsidR="003B3A4A" w:rsidRPr="00FF5B6D">
        <w:rPr>
          <w:szCs w:val="24"/>
        </w:rPr>
        <w:t>.</w:t>
      </w:r>
      <w:r w:rsidR="001306AF">
        <w:rPr>
          <w:szCs w:val="24"/>
        </w:rPr>
        <w:t xml:space="preserve"> </w:t>
      </w:r>
      <w:r w:rsidR="001306AF" w:rsidRPr="00FF5B6D">
        <w:rPr>
          <w:szCs w:val="24"/>
        </w:rPr>
        <w:t>The diminished accuracy of 1.5 IQR</w:t>
      </w:r>
      <w:r w:rsidR="001306AF">
        <w:rPr>
          <w:szCs w:val="24"/>
        </w:rPr>
        <w:t xml:space="preserve"> </w:t>
      </w:r>
      <w:r w:rsidR="001306AF" w:rsidRPr="00FF5B6D">
        <w:rPr>
          <w:szCs w:val="24"/>
        </w:rPr>
        <w:t>on both extremes of hot</w:t>
      </w:r>
      <w:r w:rsidR="00FE2278">
        <w:rPr>
          <w:szCs w:val="24"/>
        </w:rPr>
        <w:t xml:space="preserve"> </w:t>
      </w:r>
      <w:r w:rsidR="00FE2278" w:rsidRPr="00AE1FE3">
        <w:t xml:space="preserve">moment </w:t>
      </w:r>
      <w:r w:rsidR="00FE2278" w:rsidRPr="00FF5B6D">
        <w:rPr>
          <w:szCs w:val="24"/>
        </w:rPr>
        <w:t>prevalence were caused by opposing effects: 1.5 IQR resulted in false positives when no labeled hot moments were present, and false negatives when hot moments were common.</w:t>
      </w:r>
    </w:p>
    <w:p w14:paraId="0D050D99" w14:textId="0612170D" w:rsidR="00016090" w:rsidRDefault="00AE1FE3" w:rsidP="001B567A">
      <w:pPr>
        <w:spacing w:after="0" w:line="480" w:lineRule="auto"/>
      </w:pPr>
      <w:r w:rsidRPr="00994531">
        <w:t xml:space="preserve">An example of classification results using the three methods—1.5 IQR, MCD, and MAD—on one example time series from the dataset is shown in </w:t>
      </w:r>
      <w:r w:rsidRPr="001306AF">
        <w:rPr>
          <w:b/>
          <w:bCs/>
        </w:rPr>
        <w:t xml:space="preserve">Figure </w:t>
      </w:r>
      <w:r>
        <w:rPr>
          <w:b/>
          <w:bCs/>
        </w:rPr>
        <w:t>2.</w:t>
      </w:r>
      <w:r w:rsidRPr="001306AF">
        <w:rPr>
          <w:b/>
          <w:bCs/>
        </w:rPr>
        <w:t>8</w:t>
      </w:r>
      <w:r w:rsidRPr="00994531">
        <w:t>. Approximately one third of N</w:t>
      </w:r>
      <w:r w:rsidRPr="00994531">
        <w:rPr>
          <w:vertAlign w:val="subscript"/>
        </w:rPr>
        <w:t>2</w:t>
      </w:r>
      <w:r w:rsidRPr="00994531">
        <w:t>O flux measurements from this time series were labeled as hot moments, driven primarily by a</w:t>
      </w:r>
    </w:p>
    <w:p w14:paraId="53B9BA6C" w14:textId="77777777" w:rsidR="001B567A" w:rsidRPr="00AE1FE3" w:rsidRDefault="001B567A" w:rsidP="001B567A">
      <w:pPr>
        <w:spacing w:after="0" w:line="480" w:lineRule="auto"/>
        <w:rPr>
          <w:szCs w:val="24"/>
        </w:rPr>
      </w:pPr>
    </w:p>
    <w:p w14:paraId="34888031" w14:textId="67672E34" w:rsidR="000F473A" w:rsidRDefault="000F473A" w:rsidP="000F473A">
      <w:pPr>
        <w:spacing w:line="240" w:lineRule="auto"/>
      </w:pPr>
      <w:bookmarkStart w:id="50" w:name="_Toc204261962"/>
      <w:r w:rsidRPr="000F473A">
        <w:rPr>
          <w:rFonts w:eastAsia="Times New Roman" w:cs="Times New Roman"/>
          <w:b/>
          <w:bCs/>
          <w:kern w:val="0"/>
          <w:szCs w:val="24"/>
          <w14:ligatures w14:val="none"/>
        </w:rPr>
        <w:lastRenderedPageBreak/>
        <w:t xml:space="preserve">Table </w:t>
      </w:r>
      <w:r>
        <w:rPr>
          <w:rFonts w:eastAsia="Times New Roman" w:cs="Times New Roman"/>
          <w:b/>
          <w:bCs/>
          <w:kern w:val="0"/>
          <w:szCs w:val="24"/>
          <w14:ligatures w14:val="none"/>
        </w:rPr>
        <w:t>2</w:t>
      </w:r>
      <w:r w:rsidR="00827B75">
        <w:rPr>
          <w:rFonts w:eastAsia="Times New Roman" w:cs="Times New Roman"/>
          <w:b/>
          <w:bCs/>
          <w:kern w:val="0"/>
          <w:szCs w:val="24"/>
          <w14:ligatures w14:val="none"/>
        </w:rPr>
        <w:t>.</w:t>
      </w:r>
      <w:r w:rsidR="00827B75">
        <w:rPr>
          <w:rFonts w:eastAsia="Times New Roman" w:cs="Times New Roman"/>
          <w:b/>
          <w:bCs/>
          <w:kern w:val="0"/>
          <w:szCs w:val="24"/>
          <w14:ligatures w14:val="none"/>
        </w:rPr>
        <w:fldChar w:fldCharType="begin"/>
      </w:r>
      <w:r w:rsidR="00827B75">
        <w:rPr>
          <w:rFonts w:eastAsia="Times New Roman" w:cs="Times New Roman"/>
          <w:b/>
          <w:bCs/>
          <w:kern w:val="0"/>
          <w:szCs w:val="24"/>
          <w14:ligatures w14:val="none"/>
        </w:rPr>
        <w:instrText xml:space="preserve"> SEQ Table \* ARABIC \s 1 </w:instrText>
      </w:r>
      <w:r w:rsidR="00827B75">
        <w:rPr>
          <w:rFonts w:eastAsia="Times New Roman" w:cs="Times New Roman"/>
          <w:b/>
          <w:bCs/>
          <w:kern w:val="0"/>
          <w:szCs w:val="24"/>
          <w14:ligatures w14:val="none"/>
        </w:rPr>
        <w:fldChar w:fldCharType="separate"/>
      </w:r>
      <w:r w:rsidR="00827B75">
        <w:rPr>
          <w:rFonts w:eastAsia="Times New Roman" w:cs="Times New Roman"/>
          <w:b/>
          <w:bCs/>
          <w:noProof/>
          <w:kern w:val="0"/>
          <w:szCs w:val="24"/>
          <w14:ligatures w14:val="none"/>
        </w:rPr>
        <w:t>3</w:t>
      </w:r>
      <w:r w:rsidR="00827B75">
        <w:rPr>
          <w:rFonts w:eastAsia="Times New Roman" w:cs="Times New Roman"/>
          <w:b/>
          <w:bCs/>
          <w:kern w:val="0"/>
          <w:szCs w:val="24"/>
          <w14:ligatures w14:val="none"/>
        </w:rPr>
        <w:fldChar w:fldCharType="end"/>
      </w:r>
      <w:r w:rsidR="00787DBF" w:rsidRPr="00CA79D3">
        <w:rPr>
          <w:rFonts w:eastAsia="Times New Roman" w:cs="Times New Roman"/>
          <w:b/>
          <w:bCs/>
          <w:kern w:val="0"/>
          <w:szCs w:val="24"/>
          <w14:ligatures w14:val="none"/>
        </w:rPr>
        <w:t>:</w:t>
      </w:r>
      <w:r w:rsidR="00787DBF" w:rsidRPr="00856751">
        <w:rPr>
          <w:rFonts w:eastAsia="Times New Roman" w:cs="Times New Roman"/>
          <w:kern w:val="0"/>
          <w:szCs w:val="24"/>
          <w14:ligatures w14:val="none"/>
        </w:rPr>
        <w:t xml:space="preserve"> Optimized method performance evaluated using a variety of metrics using the testing dataset. Matthews Correlation Coefficient (MCC) measures overall model performance across the confusion matrix (Equation </w:t>
      </w:r>
      <w:r w:rsidR="00787DBF">
        <w:rPr>
          <w:rFonts w:eastAsia="Times New Roman" w:cs="Times New Roman"/>
          <w:kern w:val="0"/>
          <w:szCs w:val="24"/>
          <w14:ligatures w14:val="none"/>
        </w:rPr>
        <w:t>2</w:t>
      </w:r>
      <w:r w:rsidR="00787DBF" w:rsidRPr="00856751">
        <w:rPr>
          <w:rFonts w:eastAsia="Times New Roman" w:cs="Times New Roman"/>
          <w:kern w:val="0"/>
          <w:szCs w:val="24"/>
          <w14:ligatures w14:val="none"/>
        </w:rPr>
        <w:t>). R</w:t>
      </w:r>
      <w:r w:rsidR="00787DBF" w:rsidRPr="00856751">
        <w:rPr>
          <w:rFonts w:eastAsia="Times New Roman" w:cs="Times New Roman"/>
          <w:kern w:val="0"/>
          <w:szCs w:val="24"/>
          <w:vertAlign w:val="superscript"/>
          <w14:ligatures w14:val="none"/>
        </w:rPr>
        <w:t>2</w:t>
      </w:r>
      <w:r w:rsidR="00787DBF" w:rsidRPr="00856751">
        <w:rPr>
          <w:rFonts w:eastAsia="Times New Roman" w:cs="Times New Roman"/>
          <w:kern w:val="0"/>
          <w:szCs w:val="24"/>
          <w14:ligatures w14:val="none"/>
        </w:rPr>
        <w:t xml:space="preserve"> and slope of the regression between method accuracy and the prevalence of hot moments and the measurement </w:t>
      </w:r>
      <w:r w:rsidR="00787DBF">
        <w:rPr>
          <w:rFonts w:eastAsia="Times New Roman" w:cs="Times New Roman"/>
          <w:kern w:val="0"/>
          <w:szCs w:val="24"/>
          <w14:ligatures w14:val="none"/>
        </w:rPr>
        <w:t xml:space="preserve">frequency </w:t>
      </w:r>
      <w:r w:rsidR="00787DBF" w:rsidRPr="00856751">
        <w:rPr>
          <w:rFonts w:eastAsia="Times New Roman" w:cs="Times New Roman"/>
          <w:kern w:val="0"/>
          <w:szCs w:val="24"/>
          <w14:ligatures w14:val="none"/>
        </w:rPr>
        <w:t>are shown. Due to the sharp angular</w:t>
      </w:r>
      <w:r w:rsidR="00787DBF">
        <w:rPr>
          <w:rFonts w:eastAsia="Times New Roman" w:cs="Times New Roman"/>
          <w:kern w:val="0"/>
          <w:szCs w:val="24"/>
          <w14:ligatures w14:val="none"/>
        </w:rPr>
        <w:t xml:space="preserve"> </w:t>
      </w:r>
      <w:r w:rsidR="00787DBF">
        <w:t>relationship of the accuracy of the 75</w:t>
      </w:r>
      <w:r w:rsidR="00787DBF" w:rsidRPr="00930941">
        <w:rPr>
          <w:vertAlign w:val="superscript"/>
        </w:rPr>
        <w:t>th</w:t>
      </w:r>
      <w:r w:rsidR="00787DBF">
        <w:t xml:space="preserve"> Percentile method and the hot moment prevalence, two separate linear regressions were fit and the slopes and coefficients of determination are shown: first one where the hot moment prevalence was less than 25%, and another where it was greater than or equal to 25%.</w:t>
      </w:r>
      <w:bookmarkEnd w:id="50"/>
    </w:p>
    <w:tbl>
      <w:tblPr>
        <w:tblpPr w:leftFromText="187" w:rightFromText="187" w:vertAnchor="page" w:horzAnchor="margin" w:tblpY="3791"/>
        <w:tblW w:w="9661" w:type="dxa"/>
        <w:tblLayout w:type="fixed"/>
        <w:tblCellMar>
          <w:top w:w="100" w:type="dxa"/>
          <w:left w:w="100" w:type="dxa"/>
          <w:bottom w:w="100" w:type="dxa"/>
          <w:right w:w="100" w:type="dxa"/>
        </w:tblCellMar>
        <w:tblLook w:val="0600" w:firstRow="0" w:lastRow="0" w:firstColumn="0" w:lastColumn="0" w:noHBand="1" w:noVBand="1"/>
      </w:tblPr>
      <w:tblGrid>
        <w:gridCol w:w="1185"/>
        <w:gridCol w:w="820"/>
        <w:gridCol w:w="1185"/>
        <w:gridCol w:w="911"/>
        <w:gridCol w:w="911"/>
        <w:gridCol w:w="1185"/>
        <w:gridCol w:w="1914"/>
        <w:gridCol w:w="1550"/>
      </w:tblGrid>
      <w:tr w:rsidR="00653AA4" w:rsidRPr="00994531" w14:paraId="7752586C" w14:textId="77777777" w:rsidTr="00787DBF">
        <w:trPr>
          <w:trHeight w:val="1475"/>
        </w:trPr>
        <w:tc>
          <w:tcPr>
            <w:tcW w:w="1185" w:type="dxa"/>
            <w:tcBorders>
              <w:top w:val="single" w:sz="4" w:space="0" w:color="auto"/>
              <w:bottom w:val="single" w:sz="12" w:space="0" w:color="auto"/>
            </w:tcBorders>
            <w:tcMar>
              <w:top w:w="100" w:type="dxa"/>
              <w:left w:w="100" w:type="dxa"/>
              <w:bottom w:w="100" w:type="dxa"/>
              <w:right w:w="100" w:type="dxa"/>
            </w:tcMar>
            <w:vAlign w:val="bottom"/>
          </w:tcPr>
          <w:p w14:paraId="404151ED" w14:textId="77777777" w:rsidR="00653AA4" w:rsidRPr="00994531" w:rsidRDefault="00653AA4" w:rsidP="00653AA4">
            <w:pPr>
              <w:widowControl w:val="0"/>
              <w:spacing w:after="0" w:line="240" w:lineRule="auto"/>
              <w:jc w:val="center"/>
            </w:pPr>
            <w:r w:rsidRPr="00994531">
              <w:t>Method</w:t>
            </w:r>
          </w:p>
        </w:tc>
        <w:tc>
          <w:tcPr>
            <w:tcW w:w="820" w:type="dxa"/>
            <w:tcBorders>
              <w:top w:val="single" w:sz="4" w:space="0" w:color="auto"/>
              <w:bottom w:val="single" w:sz="12" w:space="0" w:color="auto"/>
            </w:tcBorders>
            <w:tcMar>
              <w:top w:w="100" w:type="dxa"/>
              <w:left w:w="100" w:type="dxa"/>
              <w:bottom w:w="100" w:type="dxa"/>
              <w:right w:w="100" w:type="dxa"/>
            </w:tcMar>
            <w:vAlign w:val="bottom"/>
          </w:tcPr>
          <w:p w14:paraId="24F0D7AD" w14:textId="77777777" w:rsidR="00653AA4" w:rsidRPr="00994531" w:rsidRDefault="00653AA4" w:rsidP="00653AA4">
            <w:pPr>
              <w:widowControl w:val="0"/>
              <w:spacing w:after="0" w:line="240" w:lineRule="auto"/>
              <w:jc w:val="center"/>
            </w:pPr>
            <w:r w:rsidRPr="00994531">
              <w:t>MCC</w:t>
            </w:r>
          </w:p>
        </w:tc>
        <w:tc>
          <w:tcPr>
            <w:tcW w:w="1185" w:type="dxa"/>
            <w:tcBorders>
              <w:top w:val="single" w:sz="4" w:space="0" w:color="auto"/>
              <w:bottom w:val="single" w:sz="12" w:space="0" w:color="auto"/>
            </w:tcBorders>
            <w:vAlign w:val="bottom"/>
          </w:tcPr>
          <w:p w14:paraId="468ED4E0" w14:textId="77777777" w:rsidR="00653AA4" w:rsidRPr="00994531" w:rsidRDefault="00653AA4" w:rsidP="00653AA4">
            <w:pPr>
              <w:widowControl w:val="0"/>
              <w:spacing w:after="0" w:line="240" w:lineRule="auto"/>
              <w:jc w:val="center"/>
            </w:pPr>
            <w:r w:rsidRPr="00994531">
              <w:t>Mean accuracy</w:t>
            </w:r>
          </w:p>
        </w:tc>
        <w:tc>
          <w:tcPr>
            <w:tcW w:w="911" w:type="dxa"/>
            <w:tcBorders>
              <w:top w:val="single" w:sz="4" w:space="0" w:color="auto"/>
              <w:bottom w:val="single" w:sz="12" w:space="0" w:color="auto"/>
            </w:tcBorders>
            <w:vAlign w:val="bottom"/>
          </w:tcPr>
          <w:p w14:paraId="708964B9" w14:textId="77777777" w:rsidR="00653AA4" w:rsidRPr="00994531" w:rsidRDefault="00653AA4" w:rsidP="00653AA4">
            <w:pPr>
              <w:widowControl w:val="0"/>
              <w:spacing w:after="0" w:line="240" w:lineRule="auto"/>
              <w:jc w:val="center"/>
            </w:pPr>
            <w:r w:rsidRPr="00994531">
              <w:t>TP</w:t>
            </w:r>
          </w:p>
        </w:tc>
        <w:tc>
          <w:tcPr>
            <w:tcW w:w="911" w:type="dxa"/>
            <w:tcBorders>
              <w:top w:val="single" w:sz="4" w:space="0" w:color="auto"/>
              <w:bottom w:val="single" w:sz="12" w:space="0" w:color="auto"/>
            </w:tcBorders>
            <w:vAlign w:val="bottom"/>
          </w:tcPr>
          <w:p w14:paraId="61E9F4C2" w14:textId="77777777" w:rsidR="00653AA4" w:rsidRPr="00994531" w:rsidRDefault="00653AA4" w:rsidP="00653AA4">
            <w:pPr>
              <w:widowControl w:val="0"/>
              <w:spacing w:after="0" w:line="240" w:lineRule="auto"/>
              <w:jc w:val="center"/>
            </w:pPr>
            <w:r w:rsidRPr="00994531">
              <w:t>FP</w:t>
            </w:r>
          </w:p>
        </w:tc>
        <w:tc>
          <w:tcPr>
            <w:tcW w:w="1185" w:type="dxa"/>
            <w:tcBorders>
              <w:top w:val="single" w:sz="4" w:space="0" w:color="auto"/>
              <w:bottom w:val="single" w:sz="12" w:space="0" w:color="auto"/>
            </w:tcBorders>
            <w:tcMar>
              <w:top w:w="100" w:type="dxa"/>
              <w:left w:w="100" w:type="dxa"/>
              <w:bottom w:w="100" w:type="dxa"/>
              <w:right w:w="100" w:type="dxa"/>
            </w:tcMar>
            <w:vAlign w:val="bottom"/>
          </w:tcPr>
          <w:p w14:paraId="675F9183" w14:textId="77777777" w:rsidR="00653AA4" w:rsidRPr="00994531" w:rsidRDefault="00653AA4" w:rsidP="00653AA4">
            <w:pPr>
              <w:widowControl w:val="0"/>
              <w:spacing w:after="0" w:line="240" w:lineRule="auto"/>
              <w:jc w:val="center"/>
            </w:pPr>
            <w:r w:rsidRPr="00994531">
              <w:t>Local hot moment detection rate</w:t>
            </w:r>
          </w:p>
        </w:tc>
        <w:tc>
          <w:tcPr>
            <w:tcW w:w="1914" w:type="dxa"/>
            <w:tcBorders>
              <w:top w:val="single" w:sz="4" w:space="0" w:color="auto"/>
              <w:bottom w:val="single" w:sz="12" w:space="0" w:color="auto"/>
            </w:tcBorders>
            <w:tcMar>
              <w:top w:w="100" w:type="dxa"/>
              <w:left w:w="100" w:type="dxa"/>
              <w:bottom w:w="100" w:type="dxa"/>
              <w:right w:w="100" w:type="dxa"/>
            </w:tcMar>
            <w:vAlign w:val="bottom"/>
          </w:tcPr>
          <w:p w14:paraId="585E4307" w14:textId="77777777" w:rsidR="00653AA4" w:rsidRPr="00994531" w:rsidRDefault="00653AA4" w:rsidP="00653AA4">
            <w:pPr>
              <w:widowControl w:val="0"/>
              <w:spacing w:after="0" w:line="240" w:lineRule="auto"/>
              <w:jc w:val="center"/>
            </w:pPr>
            <w:r w:rsidRPr="00994531">
              <w:t>Correlation with hot moment prevalence (slope, R</w:t>
            </w:r>
            <w:r w:rsidRPr="00994531">
              <w:rPr>
                <w:vertAlign w:val="superscript"/>
              </w:rPr>
              <w:t>2</w:t>
            </w:r>
            <w:r w:rsidRPr="00994531">
              <w:t>)</w:t>
            </w:r>
          </w:p>
        </w:tc>
        <w:tc>
          <w:tcPr>
            <w:tcW w:w="1550" w:type="dxa"/>
            <w:tcBorders>
              <w:top w:val="single" w:sz="4" w:space="0" w:color="auto"/>
              <w:bottom w:val="single" w:sz="12" w:space="0" w:color="auto"/>
            </w:tcBorders>
            <w:tcMar>
              <w:top w:w="100" w:type="dxa"/>
              <w:left w:w="100" w:type="dxa"/>
              <w:bottom w:w="100" w:type="dxa"/>
              <w:right w:w="100" w:type="dxa"/>
            </w:tcMar>
            <w:vAlign w:val="bottom"/>
          </w:tcPr>
          <w:p w14:paraId="333E47B9" w14:textId="77777777" w:rsidR="00653AA4" w:rsidRPr="00994531" w:rsidRDefault="00653AA4" w:rsidP="00653AA4">
            <w:pPr>
              <w:widowControl w:val="0"/>
              <w:spacing w:after="0" w:line="240" w:lineRule="auto"/>
              <w:jc w:val="center"/>
            </w:pPr>
            <w:r w:rsidRPr="00994531">
              <w:t>Correlation with measurement frequency (slope, R</w:t>
            </w:r>
            <w:r w:rsidRPr="00994531">
              <w:rPr>
                <w:vertAlign w:val="superscript"/>
              </w:rPr>
              <w:t>2</w:t>
            </w:r>
            <w:r w:rsidRPr="00994531">
              <w:t>)</w:t>
            </w:r>
          </w:p>
        </w:tc>
      </w:tr>
      <w:tr w:rsidR="00653AA4" w:rsidRPr="00994531" w14:paraId="7328AB9D" w14:textId="77777777" w:rsidTr="00787DBF">
        <w:trPr>
          <w:trHeight w:val="17"/>
        </w:trPr>
        <w:tc>
          <w:tcPr>
            <w:tcW w:w="1185" w:type="dxa"/>
            <w:tcBorders>
              <w:top w:val="single" w:sz="12" w:space="0" w:color="auto"/>
            </w:tcBorders>
            <w:tcMar>
              <w:top w:w="100" w:type="dxa"/>
              <w:left w:w="100" w:type="dxa"/>
              <w:bottom w:w="100" w:type="dxa"/>
              <w:right w:w="100" w:type="dxa"/>
            </w:tcMar>
            <w:vAlign w:val="center"/>
          </w:tcPr>
          <w:p w14:paraId="2D172DBB" w14:textId="77777777" w:rsidR="00653AA4" w:rsidRPr="00994531" w:rsidRDefault="00653AA4" w:rsidP="00653AA4">
            <w:pPr>
              <w:widowControl w:val="0"/>
              <w:spacing w:after="0" w:line="240" w:lineRule="auto"/>
              <w:jc w:val="center"/>
            </w:pPr>
            <w:r w:rsidRPr="00994531">
              <w:t>MAD</w:t>
            </w:r>
          </w:p>
        </w:tc>
        <w:tc>
          <w:tcPr>
            <w:tcW w:w="820" w:type="dxa"/>
            <w:tcBorders>
              <w:top w:val="single" w:sz="12" w:space="0" w:color="auto"/>
            </w:tcBorders>
            <w:tcMar>
              <w:top w:w="100" w:type="dxa"/>
              <w:left w:w="100" w:type="dxa"/>
              <w:bottom w:w="100" w:type="dxa"/>
              <w:right w:w="100" w:type="dxa"/>
            </w:tcMar>
            <w:vAlign w:val="center"/>
          </w:tcPr>
          <w:p w14:paraId="6D423A92" w14:textId="77777777" w:rsidR="00653AA4" w:rsidRPr="00994531" w:rsidRDefault="00653AA4" w:rsidP="00653AA4">
            <w:pPr>
              <w:widowControl w:val="0"/>
              <w:spacing w:after="0" w:line="240" w:lineRule="auto"/>
              <w:jc w:val="center"/>
            </w:pPr>
            <w:r w:rsidRPr="00994531">
              <w:t>0.80</w:t>
            </w:r>
          </w:p>
        </w:tc>
        <w:tc>
          <w:tcPr>
            <w:tcW w:w="1185" w:type="dxa"/>
            <w:tcBorders>
              <w:top w:val="single" w:sz="12" w:space="0" w:color="auto"/>
            </w:tcBorders>
            <w:vAlign w:val="center"/>
          </w:tcPr>
          <w:p w14:paraId="20CDD280" w14:textId="77777777" w:rsidR="00653AA4" w:rsidRPr="00994531" w:rsidRDefault="00653AA4" w:rsidP="00653AA4">
            <w:pPr>
              <w:widowControl w:val="0"/>
              <w:spacing w:after="0" w:line="240" w:lineRule="auto"/>
              <w:jc w:val="center"/>
            </w:pPr>
            <w:r w:rsidRPr="00994531">
              <w:t>93.6%</w:t>
            </w:r>
          </w:p>
        </w:tc>
        <w:tc>
          <w:tcPr>
            <w:tcW w:w="911" w:type="dxa"/>
            <w:tcBorders>
              <w:top w:val="single" w:sz="12" w:space="0" w:color="auto"/>
            </w:tcBorders>
            <w:vAlign w:val="center"/>
          </w:tcPr>
          <w:p w14:paraId="13113BDD" w14:textId="77777777" w:rsidR="00653AA4" w:rsidRPr="00994531" w:rsidRDefault="00653AA4" w:rsidP="00653AA4">
            <w:pPr>
              <w:widowControl w:val="0"/>
              <w:spacing w:after="0" w:line="240" w:lineRule="auto"/>
              <w:jc w:val="center"/>
            </w:pPr>
            <w:r w:rsidRPr="00994531">
              <w:t>81.7%</w:t>
            </w:r>
          </w:p>
        </w:tc>
        <w:tc>
          <w:tcPr>
            <w:tcW w:w="911" w:type="dxa"/>
            <w:tcBorders>
              <w:top w:val="single" w:sz="12" w:space="0" w:color="auto"/>
            </w:tcBorders>
            <w:vAlign w:val="center"/>
          </w:tcPr>
          <w:p w14:paraId="17324C14" w14:textId="77777777" w:rsidR="00653AA4" w:rsidRPr="00994531" w:rsidRDefault="00653AA4" w:rsidP="00653AA4">
            <w:pPr>
              <w:widowControl w:val="0"/>
              <w:spacing w:after="0" w:line="240" w:lineRule="auto"/>
              <w:jc w:val="center"/>
            </w:pPr>
            <w:r w:rsidRPr="00994531">
              <w:t>3.3%</w:t>
            </w:r>
          </w:p>
        </w:tc>
        <w:tc>
          <w:tcPr>
            <w:tcW w:w="1185" w:type="dxa"/>
            <w:tcBorders>
              <w:top w:val="single" w:sz="12" w:space="0" w:color="auto"/>
            </w:tcBorders>
            <w:tcMar>
              <w:top w:w="100" w:type="dxa"/>
              <w:left w:w="100" w:type="dxa"/>
              <w:bottom w:w="100" w:type="dxa"/>
              <w:right w:w="100" w:type="dxa"/>
            </w:tcMar>
            <w:vAlign w:val="center"/>
          </w:tcPr>
          <w:p w14:paraId="7F9D56FB" w14:textId="77777777" w:rsidR="00653AA4" w:rsidRPr="00994531" w:rsidRDefault="00653AA4" w:rsidP="00653AA4">
            <w:pPr>
              <w:widowControl w:val="0"/>
              <w:spacing w:after="0" w:line="240" w:lineRule="auto"/>
              <w:jc w:val="center"/>
            </w:pPr>
            <w:r w:rsidRPr="00994531">
              <w:t>29%</w:t>
            </w:r>
          </w:p>
        </w:tc>
        <w:tc>
          <w:tcPr>
            <w:tcW w:w="1914" w:type="dxa"/>
            <w:tcBorders>
              <w:top w:val="single" w:sz="12" w:space="0" w:color="auto"/>
            </w:tcBorders>
            <w:tcMar>
              <w:top w:w="100" w:type="dxa"/>
              <w:left w:w="100" w:type="dxa"/>
              <w:bottom w:w="100" w:type="dxa"/>
              <w:right w:w="100" w:type="dxa"/>
            </w:tcMar>
            <w:vAlign w:val="center"/>
          </w:tcPr>
          <w:p w14:paraId="521ED278" w14:textId="77777777" w:rsidR="00653AA4" w:rsidRPr="00994531" w:rsidRDefault="00653AA4" w:rsidP="00653AA4">
            <w:pPr>
              <w:widowControl w:val="0"/>
              <w:spacing w:after="0" w:line="240" w:lineRule="auto"/>
              <w:jc w:val="center"/>
            </w:pPr>
            <w:r w:rsidRPr="00994531">
              <w:t>-0.16, -0.26</w:t>
            </w:r>
            <w:r w:rsidRPr="00994531">
              <w:rPr>
                <w:vertAlign w:val="superscript"/>
              </w:rPr>
              <w:t>***</w:t>
            </w:r>
          </w:p>
        </w:tc>
        <w:tc>
          <w:tcPr>
            <w:tcW w:w="1550" w:type="dxa"/>
            <w:tcBorders>
              <w:top w:val="single" w:sz="12" w:space="0" w:color="auto"/>
            </w:tcBorders>
            <w:tcMar>
              <w:top w:w="100" w:type="dxa"/>
              <w:left w:w="100" w:type="dxa"/>
              <w:bottom w:w="100" w:type="dxa"/>
              <w:right w:w="100" w:type="dxa"/>
            </w:tcMar>
            <w:vAlign w:val="center"/>
          </w:tcPr>
          <w:p w14:paraId="037D2608" w14:textId="77777777" w:rsidR="00653AA4" w:rsidRPr="00994531" w:rsidRDefault="00653AA4" w:rsidP="00653AA4">
            <w:pPr>
              <w:widowControl w:val="0"/>
              <w:spacing w:after="0" w:line="240" w:lineRule="auto"/>
              <w:jc w:val="center"/>
            </w:pPr>
            <w:r w:rsidRPr="00994531">
              <w:t>NS</w:t>
            </w:r>
            <w:r w:rsidRPr="00994531">
              <w:rPr>
                <w:vertAlign w:val="superscript"/>
              </w:rPr>
              <w:t>*</w:t>
            </w:r>
          </w:p>
        </w:tc>
      </w:tr>
      <w:tr w:rsidR="00653AA4" w:rsidRPr="00994531" w14:paraId="527E91FB" w14:textId="77777777" w:rsidTr="00787DBF">
        <w:trPr>
          <w:trHeight w:val="327"/>
        </w:trPr>
        <w:tc>
          <w:tcPr>
            <w:tcW w:w="1185" w:type="dxa"/>
            <w:tcMar>
              <w:top w:w="100" w:type="dxa"/>
              <w:left w:w="100" w:type="dxa"/>
              <w:bottom w:w="100" w:type="dxa"/>
              <w:right w:w="100" w:type="dxa"/>
            </w:tcMar>
            <w:vAlign w:val="center"/>
          </w:tcPr>
          <w:p w14:paraId="7A4C9467" w14:textId="77777777" w:rsidR="00653AA4" w:rsidRPr="00994531" w:rsidRDefault="00653AA4" w:rsidP="00653AA4">
            <w:pPr>
              <w:widowControl w:val="0"/>
              <w:spacing w:after="0" w:line="240" w:lineRule="auto"/>
              <w:jc w:val="center"/>
            </w:pPr>
            <w:r w:rsidRPr="00994531">
              <w:t>MCD</w:t>
            </w:r>
          </w:p>
        </w:tc>
        <w:tc>
          <w:tcPr>
            <w:tcW w:w="820" w:type="dxa"/>
            <w:tcMar>
              <w:top w:w="100" w:type="dxa"/>
              <w:left w:w="100" w:type="dxa"/>
              <w:bottom w:w="100" w:type="dxa"/>
              <w:right w:w="100" w:type="dxa"/>
            </w:tcMar>
            <w:vAlign w:val="center"/>
          </w:tcPr>
          <w:p w14:paraId="66E622AF" w14:textId="77777777" w:rsidR="00653AA4" w:rsidRPr="00994531" w:rsidRDefault="00653AA4" w:rsidP="00653AA4">
            <w:pPr>
              <w:widowControl w:val="0"/>
              <w:spacing w:after="0" w:line="240" w:lineRule="auto"/>
              <w:jc w:val="center"/>
            </w:pPr>
            <w:r w:rsidRPr="00994531">
              <w:t>0.80</w:t>
            </w:r>
          </w:p>
        </w:tc>
        <w:tc>
          <w:tcPr>
            <w:tcW w:w="1185" w:type="dxa"/>
            <w:vAlign w:val="center"/>
          </w:tcPr>
          <w:p w14:paraId="25CD89BD" w14:textId="77777777" w:rsidR="00653AA4" w:rsidRPr="00994531" w:rsidRDefault="00653AA4" w:rsidP="00653AA4">
            <w:pPr>
              <w:widowControl w:val="0"/>
              <w:spacing w:after="0" w:line="240" w:lineRule="auto"/>
              <w:jc w:val="center"/>
            </w:pPr>
            <w:r w:rsidRPr="00994531">
              <w:t>93.2%</w:t>
            </w:r>
          </w:p>
        </w:tc>
        <w:tc>
          <w:tcPr>
            <w:tcW w:w="911" w:type="dxa"/>
            <w:vAlign w:val="center"/>
          </w:tcPr>
          <w:p w14:paraId="5929DC4B" w14:textId="77777777" w:rsidR="00653AA4" w:rsidRPr="00994531" w:rsidRDefault="00653AA4" w:rsidP="00653AA4">
            <w:pPr>
              <w:widowControl w:val="0"/>
              <w:spacing w:after="0" w:line="240" w:lineRule="auto"/>
              <w:jc w:val="center"/>
            </w:pPr>
            <w:r w:rsidRPr="00994531">
              <w:t>85.2%</w:t>
            </w:r>
          </w:p>
        </w:tc>
        <w:tc>
          <w:tcPr>
            <w:tcW w:w="911" w:type="dxa"/>
            <w:vAlign w:val="center"/>
          </w:tcPr>
          <w:p w14:paraId="35F511C6" w14:textId="77777777" w:rsidR="00653AA4" w:rsidRPr="00994531" w:rsidRDefault="00653AA4" w:rsidP="00653AA4">
            <w:pPr>
              <w:widowControl w:val="0"/>
              <w:spacing w:after="0" w:line="240" w:lineRule="auto"/>
              <w:jc w:val="center"/>
            </w:pPr>
            <w:r w:rsidRPr="00994531">
              <w:t>4.3%</w:t>
            </w:r>
          </w:p>
        </w:tc>
        <w:tc>
          <w:tcPr>
            <w:tcW w:w="1185" w:type="dxa"/>
            <w:tcMar>
              <w:top w:w="100" w:type="dxa"/>
              <w:left w:w="100" w:type="dxa"/>
              <w:bottom w:w="100" w:type="dxa"/>
              <w:right w:w="100" w:type="dxa"/>
            </w:tcMar>
            <w:vAlign w:val="center"/>
          </w:tcPr>
          <w:p w14:paraId="15B79B52" w14:textId="77777777" w:rsidR="00653AA4" w:rsidRPr="00994531" w:rsidRDefault="00653AA4" w:rsidP="00653AA4">
            <w:pPr>
              <w:widowControl w:val="0"/>
              <w:spacing w:after="0" w:line="240" w:lineRule="auto"/>
              <w:jc w:val="center"/>
            </w:pPr>
            <w:r w:rsidRPr="00994531">
              <w:t>39%</w:t>
            </w:r>
          </w:p>
        </w:tc>
        <w:tc>
          <w:tcPr>
            <w:tcW w:w="1914" w:type="dxa"/>
            <w:tcMar>
              <w:top w:w="100" w:type="dxa"/>
              <w:left w:w="100" w:type="dxa"/>
              <w:bottom w:w="100" w:type="dxa"/>
              <w:right w:w="100" w:type="dxa"/>
            </w:tcMar>
            <w:vAlign w:val="center"/>
          </w:tcPr>
          <w:p w14:paraId="3FCE49B8" w14:textId="77777777" w:rsidR="00653AA4" w:rsidRPr="00994531" w:rsidRDefault="00653AA4" w:rsidP="00653AA4">
            <w:pPr>
              <w:widowControl w:val="0"/>
              <w:spacing w:after="0" w:line="240" w:lineRule="auto"/>
              <w:jc w:val="center"/>
            </w:pPr>
            <w:r w:rsidRPr="00994531">
              <w:t>NS</w:t>
            </w:r>
            <w:r w:rsidRPr="00994531">
              <w:rPr>
                <w:vertAlign w:val="superscript"/>
              </w:rPr>
              <w:t>*</w:t>
            </w:r>
          </w:p>
        </w:tc>
        <w:tc>
          <w:tcPr>
            <w:tcW w:w="1550" w:type="dxa"/>
            <w:tcMar>
              <w:top w:w="100" w:type="dxa"/>
              <w:left w:w="100" w:type="dxa"/>
              <w:bottom w:w="100" w:type="dxa"/>
              <w:right w:w="100" w:type="dxa"/>
            </w:tcMar>
            <w:vAlign w:val="center"/>
          </w:tcPr>
          <w:p w14:paraId="67EEE2C5" w14:textId="77777777" w:rsidR="00653AA4" w:rsidRPr="00994531" w:rsidRDefault="00653AA4" w:rsidP="00653AA4">
            <w:pPr>
              <w:widowControl w:val="0"/>
              <w:spacing w:after="0" w:line="240" w:lineRule="auto"/>
              <w:jc w:val="center"/>
            </w:pPr>
            <w:r w:rsidRPr="00994531">
              <w:t>NS</w:t>
            </w:r>
            <w:r w:rsidRPr="00994531">
              <w:rPr>
                <w:vertAlign w:val="superscript"/>
              </w:rPr>
              <w:t>*</w:t>
            </w:r>
          </w:p>
        </w:tc>
      </w:tr>
      <w:tr w:rsidR="00653AA4" w:rsidRPr="00994531" w14:paraId="76F87FF6" w14:textId="77777777" w:rsidTr="00787DBF">
        <w:trPr>
          <w:trHeight w:val="315"/>
        </w:trPr>
        <w:tc>
          <w:tcPr>
            <w:tcW w:w="1185" w:type="dxa"/>
            <w:tcMar>
              <w:top w:w="100" w:type="dxa"/>
              <w:left w:w="100" w:type="dxa"/>
              <w:bottom w:w="100" w:type="dxa"/>
              <w:right w:w="100" w:type="dxa"/>
            </w:tcMar>
            <w:vAlign w:val="center"/>
          </w:tcPr>
          <w:p w14:paraId="5CB33208" w14:textId="77777777" w:rsidR="00653AA4" w:rsidRPr="00994531" w:rsidRDefault="00653AA4" w:rsidP="00653AA4">
            <w:pPr>
              <w:widowControl w:val="0"/>
              <w:spacing w:after="0" w:line="240" w:lineRule="auto"/>
              <w:jc w:val="center"/>
            </w:pPr>
            <w:r w:rsidRPr="00994531">
              <w:t>1.5 IQR</w:t>
            </w:r>
          </w:p>
        </w:tc>
        <w:tc>
          <w:tcPr>
            <w:tcW w:w="820" w:type="dxa"/>
            <w:tcMar>
              <w:top w:w="100" w:type="dxa"/>
              <w:left w:w="100" w:type="dxa"/>
              <w:bottom w:w="100" w:type="dxa"/>
              <w:right w:w="100" w:type="dxa"/>
            </w:tcMar>
            <w:vAlign w:val="center"/>
          </w:tcPr>
          <w:p w14:paraId="619353AA" w14:textId="77777777" w:rsidR="00653AA4" w:rsidRPr="00994531" w:rsidRDefault="00653AA4" w:rsidP="00653AA4">
            <w:pPr>
              <w:widowControl w:val="0"/>
              <w:spacing w:after="0" w:line="240" w:lineRule="auto"/>
              <w:jc w:val="center"/>
            </w:pPr>
            <w:r w:rsidRPr="00994531">
              <w:t>0.77</w:t>
            </w:r>
          </w:p>
        </w:tc>
        <w:tc>
          <w:tcPr>
            <w:tcW w:w="1185" w:type="dxa"/>
            <w:vAlign w:val="center"/>
          </w:tcPr>
          <w:p w14:paraId="6BFD9D23" w14:textId="77777777" w:rsidR="00653AA4" w:rsidRPr="00994531" w:rsidRDefault="00653AA4" w:rsidP="00653AA4">
            <w:pPr>
              <w:widowControl w:val="0"/>
              <w:spacing w:after="0" w:line="240" w:lineRule="auto"/>
              <w:jc w:val="center"/>
            </w:pPr>
            <w:r w:rsidRPr="00994531">
              <w:t>93.3%</w:t>
            </w:r>
          </w:p>
        </w:tc>
        <w:tc>
          <w:tcPr>
            <w:tcW w:w="911" w:type="dxa"/>
            <w:vAlign w:val="center"/>
          </w:tcPr>
          <w:p w14:paraId="7B8235A2" w14:textId="77777777" w:rsidR="00653AA4" w:rsidRPr="00994531" w:rsidRDefault="00653AA4" w:rsidP="00653AA4">
            <w:pPr>
              <w:widowControl w:val="0"/>
              <w:spacing w:after="0" w:line="240" w:lineRule="auto"/>
              <w:jc w:val="center"/>
            </w:pPr>
            <w:r w:rsidRPr="00994531">
              <w:t>70.3%</w:t>
            </w:r>
          </w:p>
        </w:tc>
        <w:tc>
          <w:tcPr>
            <w:tcW w:w="911" w:type="dxa"/>
            <w:vAlign w:val="center"/>
          </w:tcPr>
          <w:p w14:paraId="4D5073AC" w14:textId="77777777" w:rsidR="00653AA4" w:rsidRPr="00994531" w:rsidRDefault="00653AA4" w:rsidP="00653AA4">
            <w:pPr>
              <w:widowControl w:val="0"/>
              <w:spacing w:after="0" w:line="240" w:lineRule="auto"/>
              <w:jc w:val="center"/>
            </w:pPr>
            <w:r w:rsidRPr="00994531">
              <w:t>1.4%</w:t>
            </w:r>
          </w:p>
        </w:tc>
        <w:tc>
          <w:tcPr>
            <w:tcW w:w="1185" w:type="dxa"/>
            <w:tcMar>
              <w:top w:w="100" w:type="dxa"/>
              <w:left w:w="100" w:type="dxa"/>
              <w:bottom w:w="100" w:type="dxa"/>
              <w:right w:w="100" w:type="dxa"/>
            </w:tcMar>
            <w:vAlign w:val="center"/>
          </w:tcPr>
          <w:p w14:paraId="22727603" w14:textId="77777777" w:rsidR="00653AA4" w:rsidRPr="00994531" w:rsidRDefault="00653AA4" w:rsidP="00653AA4">
            <w:pPr>
              <w:widowControl w:val="0"/>
              <w:spacing w:after="0" w:line="240" w:lineRule="auto"/>
              <w:jc w:val="center"/>
            </w:pPr>
            <w:r w:rsidRPr="00994531">
              <w:t>14%</w:t>
            </w:r>
          </w:p>
        </w:tc>
        <w:tc>
          <w:tcPr>
            <w:tcW w:w="1914" w:type="dxa"/>
            <w:tcMar>
              <w:top w:w="100" w:type="dxa"/>
              <w:left w:w="100" w:type="dxa"/>
              <w:bottom w:w="100" w:type="dxa"/>
              <w:right w:w="100" w:type="dxa"/>
            </w:tcMar>
            <w:vAlign w:val="center"/>
          </w:tcPr>
          <w:p w14:paraId="1C26137B" w14:textId="77777777" w:rsidR="00653AA4" w:rsidRPr="00994531" w:rsidRDefault="00653AA4" w:rsidP="00653AA4">
            <w:pPr>
              <w:widowControl w:val="0"/>
              <w:spacing w:after="0" w:line="240" w:lineRule="auto"/>
              <w:jc w:val="center"/>
              <w:rPr>
                <w:vertAlign w:val="superscript"/>
              </w:rPr>
            </w:pPr>
            <w:r w:rsidRPr="00994531">
              <w:t>-0.38, -0.58</w:t>
            </w:r>
            <w:r w:rsidRPr="00994531">
              <w:rPr>
                <w:vertAlign w:val="superscript"/>
              </w:rPr>
              <w:t>***</w:t>
            </w:r>
          </w:p>
        </w:tc>
        <w:tc>
          <w:tcPr>
            <w:tcW w:w="1550" w:type="dxa"/>
            <w:tcMar>
              <w:top w:w="100" w:type="dxa"/>
              <w:left w:w="100" w:type="dxa"/>
              <w:bottom w:w="100" w:type="dxa"/>
              <w:right w:w="100" w:type="dxa"/>
            </w:tcMar>
            <w:vAlign w:val="center"/>
          </w:tcPr>
          <w:p w14:paraId="7BC6069C" w14:textId="77777777" w:rsidR="00653AA4" w:rsidRPr="00994531" w:rsidRDefault="00653AA4" w:rsidP="00653AA4">
            <w:pPr>
              <w:widowControl w:val="0"/>
              <w:spacing w:after="0" w:line="240" w:lineRule="auto"/>
              <w:jc w:val="center"/>
            </w:pPr>
            <w:r w:rsidRPr="00994531">
              <w:t>NS</w:t>
            </w:r>
            <w:r w:rsidRPr="00994531">
              <w:rPr>
                <w:vertAlign w:val="superscript"/>
              </w:rPr>
              <w:t>*</w:t>
            </w:r>
          </w:p>
        </w:tc>
      </w:tr>
      <w:tr w:rsidR="00653AA4" w:rsidRPr="00994531" w14:paraId="28EFCD69" w14:textId="77777777" w:rsidTr="00787DBF">
        <w:trPr>
          <w:trHeight w:val="315"/>
        </w:trPr>
        <w:tc>
          <w:tcPr>
            <w:tcW w:w="1185" w:type="dxa"/>
            <w:tcMar>
              <w:top w:w="100" w:type="dxa"/>
              <w:left w:w="100" w:type="dxa"/>
              <w:bottom w:w="100" w:type="dxa"/>
              <w:right w:w="100" w:type="dxa"/>
            </w:tcMar>
            <w:vAlign w:val="center"/>
          </w:tcPr>
          <w:p w14:paraId="3651F2C9" w14:textId="77777777" w:rsidR="00653AA4" w:rsidRPr="00994531" w:rsidRDefault="00653AA4" w:rsidP="00653AA4">
            <w:pPr>
              <w:widowControl w:val="0"/>
              <w:spacing w:after="0" w:line="240" w:lineRule="auto"/>
              <w:jc w:val="center"/>
            </w:pPr>
            <w:r w:rsidRPr="00994531">
              <w:t>LOF</w:t>
            </w:r>
          </w:p>
        </w:tc>
        <w:tc>
          <w:tcPr>
            <w:tcW w:w="820" w:type="dxa"/>
            <w:tcMar>
              <w:top w:w="100" w:type="dxa"/>
              <w:left w:w="100" w:type="dxa"/>
              <w:bottom w:w="100" w:type="dxa"/>
              <w:right w:w="100" w:type="dxa"/>
            </w:tcMar>
            <w:vAlign w:val="center"/>
          </w:tcPr>
          <w:p w14:paraId="00DBCA96" w14:textId="77777777" w:rsidR="00653AA4" w:rsidRPr="00994531" w:rsidRDefault="00653AA4" w:rsidP="00653AA4">
            <w:pPr>
              <w:widowControl w:val="0"/>
              <w:spacing w:after="0" w:line="240" w:lineRule="auto"/>
              <w:jc w:val="center"/>
            </w:pPr>
            <w:r w:rsidRPr="00994531">
              <w:t>0.72</w:t>
            </w:r>
          </w:p>
        </w:tc>
        <w:tc>
          <w:tcPr>
            <w:tcW w:w="1185" w:type="dxa"/>
            <w:vAlign w:val="center"/>
          </w:tcPr>
          <w:p w14:paraId="0AF78D80" w14:textId="77777777" w:rsidR="00653AA4" w:rsidRPr="00994531" w:rsidRDefault="00653AA4" w:rsidP="00653AA4">
            <w:pPr>
              <w:widowControl w:val="0"/>
              <w:spacing w:after="0" w:line="240" w:lineRule="auto"/>
              <w:jc w:val="center"/>
            </w:pPr>
            <w:r w:rsidRPr="00994531">
              <w:t>91.1%</w:t>
            </w:r>
          </w:p>
        </w:tc>
        <w:tc>
          <w:tcPr>
            <w:tcW w:w="911" w:type="dxa"/>
            <w:vAlign w:val="center"/>
          </w:tcPr>
          <w:p w14:paraId="55FC1309" w14:textId="77777777" w:rsidR="00653AA4" w:rsidRPr="00994531" w:rsidRDefault="00653AA4" w:rsidP="00653AA4">
            <w:pPr>
              <w:widowControl w:val="0"/>
              <w:spacing w:after="0" w:line="240" w:lineRule="auto"/>
              <w:jc w:val="center"/>
            </w:pPr>
            <w:r w:rsidRPr="00994531">
              <w:t>76.0%</w:t>
            </w:r>
          </w:p>
        </w:tc>
        <w:tc>
          <w:tcPr>
            <w:tcW w:w="911" w:type="dxa"/>
            <w:vAlign w:val="center"/>
          </w:tcPr>
          <w:p w14:paraId="427313B4" w14:textId="77777777" w:rsidR="00653AA4" w:rsidRPr="00994531" w:rsidRDefault="00653AA4" w:rsidP="00653AA4">
            <w:pPr>
              <w:widowControl w:val="0"/>
              <w:spacing w:after="0" w:line="240" w:lineRule="auto"/>
              <w:jc w:val="center"/>
            </w:pPr>
            <w:r w:rsidRPr="00994531">
              <w:t>4.7%</w:t>
            </w:r>
          </w:p>
        </w:tc>
        <w:tc>
          <w:tcPr>
            <w:tcW w:w="1185" w:type="dxa"/>
            <w:tcMar>
              <w:top w:w="100" w:type="dxa"/>
              <w:left w:w="100" w:type="dxa"/>
              <w:bottom w:w="100" w:type="dxa"/>
              <w:right w:w="100" w:type="dxa"/>
            </w:tcMar>
            <w:vAlign w:val="center"/>
          </w:tcPr>
          <w:p w14:paraId="53C7B0DD" w14:textId="77777777" w:rsidR="00653AA4" w:rsidRPr="00994531" w:rsidRDefault="00653AA4" w:rsidP="00653AA4">
            <w:pPr>
              <w:widowControl w:val="0"/>
              <w:spacing w:after="0" w:line="240" w:lineRule="auto"/>
              <w:jc w:val="center"/>
            </w:pPr>
            <w:r w:rsidRPr="00994531">
              <w:t>50%</w:t>
            </w:r>
          </w:p>
        </w:tc>
        <w:tc>
          <w:tcPr>
            <w:tcW w:w="1914" w:type="dxa"/>
            <w:tcMar>
              <w:top w:w="100" w:type="dxa"/>
              <w:left w:w="100" w:type="dxa"/>
              <w:bottom w:w="100" w:type="dxa"/>
              <w:right w:w="100" w:type="dxa"/>
            </w:tcMar>
            <w:vAlign w:val="center"/>
          </w:tcPr>
          <w:p w14:paraId="2ED8EB46" w14:textId="77777777" w:rsidR="00653AA4" w:rsidRPr="00994531" w:rsidRDefault="00653AA4" w:rsidP="00653AA4">
            <w:pPr>
              <w:widowControl w:val="0"/>
              <w:spacing w:after="0" w:line="240" w:lineRule="auto"/>
              <w:jc w:val="center"/>
            </w:pPr>
            <w:r w:rsidRPr="00994531">
              <w:t>-0.19, -0.30</w:t>
            </w:r>
            <w:r w:rsidRPr="00994531">
              <w:rPr>
                <w:vertAlign w:val="superscript"/>
              </w:rPr>
              <w:t>***</w:t>
            </w:r>
          </w:p>
        </w:tc>
        <w:tc>
          <w:tcPr>
            <w:tcW w:w="1550" w:type="dxa"/>
            <w:tcMar>
              <w:top w:w="100" w:type="dxa"/>
              <w:left w:w="100" w:type="dxa"/>
              <w:bottom w:w="100" w:type="dxa"/>
              <w:right w:w="100" w:type="dxa"/>
            </w:tcMar>
            <w:vAlign w:val="center"/>
          </w:tcPr>
          <w:p w14:paraId="52C69FDD" w14:textId="77777777" w:rsidR="00653AA4" w:rsidRPr="00994531" w:rsidRDefault="00653AA4" w:rsidP="00653AA4">
            <w:pPr>
              <w:widowControl w:val="0"/>
              <w:spacing w:after="0" w:line="240" w:lineRule="auto"/>
              <w:jc w:val="center"/>
            </w:pPr>
            <w:r w:rsidRPr="00994531">
              <w:t>NS</w:t>
            </w:r>
            <w:r w:rsidRPr="00994531">
              <w:rPr>
                <w:vertAlign w:val="superscript"/>
              </w:rPr>
              <w:t>*</w:t>
            </w:r>
          </w:p>
        </w:tc>
      </w:tr>
      <w:tr w:rsidR="00653AA4" w:rsidRPr="00994531" w14:paraId="32269761" w14:textId="77777777" w:rsidTr="00787DBF">
        <w:trPr>
          <w:trHeight w:val="89"/>
        </w:trPr>
        <w:tc>
          <w:tcPr>
            <w:tcW w:w="1185" w:type="dxa"/>
            <w:tcMar>
              <w:top w:w="100" w:type="dxa"/>
              <w:left w:w="100" w:type="dxa"/>
              <w:bottom w:w="100" w:type="dxa"/>
              <w:right w:w="100" w:type="dxa"/>
            </w:tcMar>
            <w:vAlign w:val="center"/>
          </w:tcPr>
          <w:p w14:paraId="12A7ECBF" w14:textId="77777777" w:rsidR="00653AA4" w:rsidRPr="00994531" w:rsidRDefault="00653AA4" w:rsidP="00653AA4">
            <w:pPr>
              <w:widowControl w:val="0"/>
              <w:spacing w:after="0" w:line="240" w:lineRule="auto"/>
              <w:jc w:val="center"/>
            </w:pPr>
            <w:r w:rsidRPr="00994531">
              <w:t>IF</w:t>
            </w:r>
          </w:p>
        </w:tc>
        <w:tc>
          <w:tcPr>
            <w:tcW w:w="820" w:type="dxa"/>
            <w:tcMar>
              <w:top w:w="100" w:type="dxa"/>
              <w:left w:w="100" w:type="dxa"/>
              <w:bottom w:w="100" w:type="dxa"/>
              <w:right w:w="100" w:type="dxa"/>
            </w:tcMar>
            <w:vAlign w:val="center"/>
          </w:tcPr>
          <w:p w14:paraId="4F320652" w14:textId="77777777" w:rsidR="00653AA4" w:rsidRPr="00994531" w:rsidRDefault="00653AA4" w:rsidP="00653AA4">
            <w:pPr>
              <w:widowControl w:val="0"/>
              <w:spacing w:after="0" w:line="240" w:lineRule="auto"/>
              <w:jc w:val="center"/>
            </w:pPr>
            <w:r w:rsidRPr="00994531">
              <w:t>0.72</w:t>
            </w:r>
          </w:p>
        </w:tc>
        <w:tc>
          <w:tcPr>
            <w:tcW w:w="1185" w:type="dxa"/>
            <w:vAlign w:val="center"/>
          </w:tcPr>
          <w:p w14:paraId="4D2954B3" w14:textId="77777777" w:rsidR="00653AA4" w:rsidRPr="00994531" w:rsidRDefault="00653AA4" w:rsidP="00653AA4">
            <w:pPr>
              <w:widowControl w:val="0"/>
              <w:spacing w:after="0" w:line="240" w:lineRule="auto"/>
              <w:jc w:val="center"/>
            </w:pPr>
            <w:r w:rsidRPr="00994531">
              <w:t>91.1%</w:t>
            </w:r>
          </w:p>
        </w:tc>
        <w:tc>
          <w:tcPr>
            <w:tcW w:w="911" w:type="dxa"/>
            <w:vAlign w:val="center"/>
          </w:tcPr>
          <w:p w14:paraId="45A339DC" w14:textId="77777777" w:rsidR="00653AA4" w:rsidRPr="00994531" w:rsidRDefault="00653AA4" w:rsidP="00653AA4">
            <w:pPr>
              <w:widowControl w:val="0"/>
              <w:spacing w:after="0" w:line="240" w:lineRule="auto"/>
              <w:jc w:val="center"/>
            </w:pPr>
            <w:r w:rsidRPr="00994531">
              <w:t>80.3%</w:t>
            </w:r>
          </w:p>
        </w:tc>
        <w:tc>
          <w:tcPr>
            <w:tcW w:w="911" w:type="dxa"/>
            <w:vAlign w:val="center"/>
          </w:tcPr>
          <w:p w14:paraId="21EF76CE" w14:textId="77777777" w:rsidR="00653AA4" w:rsidRPr="00994531" w:rsidRDefault="00653AA4" w:rsidP="00653AA4">
            <w:pPr>
              <w:widowControl w:val="0"/>
              <w:spacing w:after="0" w:line="240" w:lineRule="auto"/>
              <w:jc w:val="center"/>
            </w:pPr>
            <w:r w:rsidRPr="00994531">
              <w:t>6.3%</w:t>
            </w:r>
          </w:p>
        </w:tc>
        <w:tc>
          <w:tcPr>
            <w:tcW w:w="1185" w:type="dxa"/>
            <w:tcMar>
              <w:top w:w="100" w:type="dxa"/>
              <w:left w:w="100" w:type="dxa"/>
              <w:bottom w:w="100" w:type="dxa"/>
              <w:right w:w="100" w:type="dxa"/>
            </w:tcMar>
            <w:vAlign w:val="center"/>
          </w:tcPr>
          <w:p w14:paraId="7AAD740E" w14:textId="77777777" w:rsidR="00653AA4" w:rsidRPr="00994531" w:rsidRDefault="00653AA4" w:rsidP="00653AA4">
            <w:pPr>
              <w:widowControl w:val="0"/>
              <w:spacing w:after="0" w:line="240" w:lineRule="auto"/>
              <w:jc w:val="center"/>
            </w:pPr>
            <w:r w:rsidRPr="00994531">
              <w:t>40%</w:t>
            </w:r>
          </w:p>
        </w:tc>
        <w:tc>
          <w:tcPr>
            <w:tcW w:w="1914" w:type="dxa"/>
            <w:tcMar>
              <w:top w:w="100" w:type="dxa"/>
              <w:left w:w="100" w:type="dxa"/>
              <w:bottom w:w="100" w:type="dxa"/>
              <w:right w:w="100" w:type="dxa"/>
            </w:tcMar>
            <w:vAlign w:val="center"/>
          </w:tcPr>
          <w:p w14:paraId="6B4A3844" w14:textId="77777777" w:rsidR="00653AA4" w:rsidRPr="00994531" w:rsidRDefault="00653AA4" w:rsidP="00653AA4">
            <w:pPr>
              <w:widowControl w:val="0"/>
              <w:spacing w:after="0" w:line="240" w:lineRule="auto"/>
              <w:jc w:val="center"/>
            </w:pPr>
            <w:r w:rsidRPr="00994531">
              <w:t>-0.16, -0.24</w:t>
            </w:r>
            <w:r w:rsidRPr="00994531">
              <w:rPr>
                <w:vertAlign w:val="superscript"/>
              </w:rPr>
              <w:t>**</w:t>
            </w:r>
          </w:p>
        </w:tc>
        <w:tc>
          <w:tcPr>
            <w:tcW w:w="1550" w:type="dxa"/>
            <w:tcMar>
              <w:top w:w="100" w:type="dxa"/>
              <w:left w:w="100" w:type="dxa"/>
              <w:bottom w:w="100" w:type="dxa"/>
              <w:right w:w="100" w:type="dxa"/>
            </w:tcMar>
            <w:vAlign w:val="center"/>
          </w:tcPr>
          <w:p w14:paraId="195D7A39" w14:textId="77777777" w:rsidR="00653AA4" w:rsidRPr="00994531" w:rsidRDefault="00653AA4" w:rsidP="00653AA4">
            <w:pPr>
              <w:widowControl w:val="0"/>
              <w:spacing w:after="0" w:line="240" w:lineRule="auto"/>
              <w:jc w:val="center"/>
            </w:pPr>
            <w:r w:rsidRPr="00994531">
              <w:t>NS</w:t>
            </w:r>
            <w:r w:rsidRPr="00994531">
              <w:rPr>
                <w:vertAlign w:val="superscript"/>
              </w:rPr>
              <w:t>*</w:t>
            </w:r>
          </w:p>
        </w:tc>
      </w:tr>
      <w:tr w:rsidR="00653AA4" w:rsidRPr="00994531" w14:paraId="00887559" w14:textId="77777777" w:rsidTr="00787DBF">
        <w:trPr>
          <w:trHeight w:val="89"/>
        </w:trPr>
        <w:tc>
          <w:tcPr>
            <w:tcW w:w="1185" w:type="dxa"/>
            <w:tcMar>
              <w:top w:w="100" w:type="dxa"/>
              <w:left w:w="100" w:type="dxa"/>
              <w:bottom w:w="100" w:type="dxa"/>
              <w:right w:w="100" w:type="dxa"/>
            </w:tcMar>
            <w:vAlign w:val="center"/>
          </w:tcPr>
          <w:p w14:paraId="0D8A2056" w14:textId="77777777" w:rsidR="00653AA4" w:rsidRPr="00994531" w:rsidRDefault="00653AA4" w:rsidP="00653AA4">
            <w:pPr>
              <w:widowControl w:val="0"/>
              <w:spacing w:after="0" w:line="240" w:lineRule="auto"/>
              <w:jc w:val="center"/>
            </w:pPr>
            <w:r w:rsidRPr="00994531">
              <w:t>75</w:t>
            </w:r>
            <w:r w:rsidRPr="00994531">
              <w:rPr>
                <w:vertAlign w:val="superscript"/>
              </w:rPr>
              <w:t>th</w:t>
            </w:r>
          </w:p>
          <w:p w14:paraId="07072A49" w14:textId="77777777" w:rsidR="00653AA4" w:rsidRPr="00994531" w:rsidRDefault="00653AA4" w:rsidP="00653AA4">
            <w:pPr>
              <w:widowControl w:val="0"/>
              <w:spacing w:after="0" w:line="240" w:lineRule="auto"/>
              <w:jc w:val="center"/>
            </w:pPr>
            <w:r w:rsidRPr="00994531">
              <w:t>Percentile</w:t>
            </w:r>
          </w:p>
        </w:tc>
        <w:tc>
          <w:tcPr>
            <w:tcW w:w="820" w:type="dxa"/>
            <w:tcMar>
              <w:top w:w="100" w:type="dxa"/>
              <w:left w:w="100" w:type="dxa"/>
              <w:bottom w:w="100" w:type="dxa"/>
              <w:right w:w="100" w:type="dxa"/>
            </w:tcMar>
            <w:vAlign w:val="center"/>
          </w:tcPr>
          <w:p w14:paraId="38EDD7FC" w14:textId="77777777" w:rsidR="00653AA4" w:rsidRPr="00994531" w:rsidRDefault="00653AA4" w:rsidP="00653AA4">
            <w:pPr>
              <w:widowControl w:val="0"/>
              <w:spacing w:after="0" w:line="240" w:lineRule="auto"/>
              <w:jc w:val="center"/>
            </w:pPr>
            <w:r w:rsidRPr="00994531">
              <w:t>0.71</w:t>
            </w:r>
          </w:p>
        </w:tc>
        <w:tc>
          <w:tcPr>
            <w:tcW w:w="1185" w:type="dxa"/>
            <w:vAlign w:val="center"/>
          </w:tcPr>
          <w:p w14:paraId="1783B17F" w14:textId="77777777" w:rsidR="00653AA4" w:rsidRPr="00994531" w:rsidRDefault="00653AA4" w:rsidP="00653AA4">
            <w:pPr>
              <w:widowControl w:val="0"/>
              <w:spacing w:after="0" w:line="240" w:lineRule="auto"/>
              <w:jc w:val="center"/>
            </w:pPr>
            <w:r w:rsidRPr="00994531">
              <w:t>89.5%</w:t>
            </w:r>
          </w:p>
        </w:tc>
        <w:tc>
          <w:tcPr>
            <w:tcW w:w="911" w:type="dxa"/>
            <w:vAlign w:val="center"/>
          </w:tcPr>
          <w:p w14:paraId="323D0B89" w14:textId="77777777" w:rsidR="00653AA4" w:rsidRPr="00994531" w:rsidRDefault="00653AA4" w:rsidP="00653AA4">
            <w:pPr>
              <w:widowControl w:val="0"/>
              <w:spacing w:after="0" w:line="240" w:lineRule="auto"/>
              <w:jc w:val="center"/>
            </w:pPr>
            <w:r w:rsidRPr="00994531">
              <w:t>88.8%</w:t>
            </w:r>
          </w:p>
        </w:tc>
        <w:tc>
          <w:tcPr>
            <w:tcW w:w="911" w:type="dxa"/>
            <w:vAlign w:val="center"/>
          </w:tcPr>
          <w:p w14:paraId="6AF05BA9" w14:textId="77777777" w:rsidR="00653AA4" w:rsidRPr="00994531" w:rsidRDefault="00653AA4" w:rsidP="00653AA4">
            <w:pPr>
              <w:widowControl w:val="0"/>
              <w:spacing w:after="0" w:line="240" w:lineRule="auto"/>
              <w:jc w:val="center"/>
            </w:pPr>
            <w:r w:rsidRPr="00994531">
              <w:t>10.0%</w:t>
            </w:r>
          </w:p>
        </w:tc>
        <w:tc>
          <w:tcPr>
            <w:tcW w:w="1185" w:type="dxa"/>
            <w:tcMar>
              <w:top w:w="100" w:type="dxa"/>
              <w:left w:w="100" w:type="dxa"/>
              <w:bottom w:w="100" w:type="dxa"/>
              <w:right w:w="100" w:type="dxa"/>
            </w:tcMar>
            <w:vAlign w:val="center"/>
          </w:tcPr>
          <w:p w14:paraId="21F95AE2" w14:textId="77777777" w:rsidR="00653AA4" w:rsidRPr="00994531" w:rsidRDefault="00653AA4" w:rsidP="00653AA4">
            <w:pPr>
              <w:widowControl w:val="0"/>
              <w:spacing w:after="0" w:line="240" w:lineRule="auto"/>
              <w:jc w:val="center"/>
            </w:pPr>
            <w:r w:rsidRPr="00994531">
              <w:t>53%</w:t>
            </w:r>
          </w:p>
        </w:tc>
        <w:tc>
          <w:tcPr>
            <w:tcW w:w="1914" w:type="dxa"/>
            <w:tcMar>
              <w:top w:w="100" w:type="dxa"/>
              <w:left w:w="100" w:type="dxa"/>
              <w:bottom w:w="100" w:type="dxa"/>
              <w:right w:w="100" w:type="dxa"/>
            </w:tcMar>
            <w:vAlign w:val="center"/>
          </w:tcPr>
          <w:p w14:paraId="76204692" w14:textId="77777777" w:rsidR="00653AA4" w:rsidRPr="00994531" w:rsidRDefault="00653AA4" w:rsidP="00653AA4">
            <w:pPr>
              <w:widowControl w:val="0"/>
              <w:spacing w:after="0" w:line="240" w:lineRule="auto"/>
              <w:jc w:val="center"/>
            </w:pPr>
            <w:r w:rsidRPr="00994531">
              <w:t>0.89, 0.94</w:t>
            </w:r>
            <w:r w:rsidRPr="00994531">
              <w:rPr>
                <w:vertAlign w:val="superscript"/>
              </w:rPr>
              <w:t>***</w:t>
            </w:r>
          </w:p>
          <w:p w14:paraId="4F405144" w14:textId="77777777" w:rsidR="00653AA4" w:rsidRPr="00994531" w:rsidRDefault="00653AA4" w:rsidP="00653AA4">
            <w:pPr>
              <w:widowControl w:val="0"/>
              <w:spacing w:after="0" w:line="240" w:lineRule="auto"/>
              <w:jc w:val="center"/>
            </w:pPr>
            <w:r w:rsidRPr="00994531">
              <w:t>-0.97, -0.96</w:t>
            </w:r>
            <w:r w:rsidRPr="00994531">
              <w:rPr>
                <w:vertAlign w:val="superscript"/>
              </w:rPr>
              <w:t>***</w:t>
            </w:r>
          </w:p>
        </w:tc>
        <w:tc>
          <w:tcPr>
            <w:tcW w:w="1550" w:type="dxa"/>
            <w:tcMar>
              <w:top w:w="100" w:type="dxa"/>
              <w:left w:w="100" w:type="dxa"/>
              <w:bottom w:w="100" w:type="dxa"/>
              <w:right w:w="100" w:type="dxa"/>
            </w:tcMar>
            <w:vAlign w:val="center"/>
          </w:tcPr>
          <w:p w14:paraId="717A6BDA" w14:textId="77777777" w:rsidR="00653AA4" w:rsidRPr="00994531" w:rsidRDefault="00653AA4" w:rsidP="00653AA4">
            <w:pPr>
              <w:widowControl w:val="0"/>
              <w:spacing w:after="0" w:line="240" w:lineRule="auto"/>
              <w:jc w:val="center"/>
            </w:pPr>
            <w:r w:rsidRPr="00994531">
              <w:t>NS</w:t>
            </w:r>
            <w:r w:rsidRPr="00994531">
              <w:rPr>
                <w:vertAlign w:val="superscript"/>
              </w:rPr>
              <w:t>*</w:t>
            </w:r>
          </w:p>
        </w:tc>
      </w:tr>
      <w:tr w:rsidR="00653AA4" w:rsidRPr="00994531" w14:paraId="3D732BA6" w14:textId="77777777" w:rsidTr="00787DBF">
        <w:trPr>
          <w:trHeight w:val="315"/>
        </w:trPr>
        <w:tc>
          <w:tcPr>
            <w:tcW w:w="1185" w:type="dxa"/>
            <w:tcMar>
              <w:top w:w="100" w:type="dxa"/>
              <w:left w:w="100" w:type="dxa"/>
              <w:bottom w:w="100" w:type="dxa"/>
              <w:right w:w="100" w:type="dxa"/>
            </w:tcMar>
            <w:vAlign w:val="center"/>
          </w:tcPr>
          <w:p w14:paraId="0E0A8138" w14:textId="77777777" w:rsidR="00653AA4" w:rsidRPr="00994531" w:rsidRDefault="00653AA4" w:rsidP="00653AA4">
            <w:pPr>
              <w:widowControl w:val="0"/>
              <w:spacing w:after="0" w:line="240" w:lineRule="auto"/>
              <w:jc w:val="center"/>
            </w:pPr>
            <w:r w:rsidRPr="00994531">
              <w:t>KNN</w:t>
            </w:r>
          </w:p>
        </w:tc>
        <w:tc>
          <w:tcPr>
            <w:tcW w:w="820" w:type="dxa"/>
            <w:tcMar>
              <w:top w:w="100" w:type="dxa"/>
              <w:left w:w="100" w:type="dxa"/>
              <w:bottom w:w="100" w:type="dxa"/>
              <w:right w:w="100" w:type="dxa"/>
            </w:tcMar>
            <w:vAlign w:val="center"/>
          </w:tcPr>
          <w:p w14:paraId="440C096D" w14:textId="77777777" w:rsidR="00653AA4" w:rsidRPr="00994531" w:rsidRDefault="00653AA4" w:rsidP="00653AA4">
            <w:pPr>
              <w:widowControl w:val="0"/>
              <w:spacing w:after="0" w:line="240" w:lineRule="auto"/>
              <w:jc w:val="center"/>
            </w:pPr>
            <w:r w:rsidRPr="00994531">
              <w:t>0.67</w:t>
            </w:r>
          </w:p>
        </w:tc>
        <w:tc>
          <w:tcPr>
            <w:tcW w:w="1185" w:type="dxa"/>
            <w:vAlign w:val="center"/>
          </w:tcPr>
          <w:p w14:paraId="1CD275E6" w14:textId="77777777" w:rsidR="00653AA4" w:rsidRPr="00994531" w:rsidRDefault="00653AA4" w:rsidP="00653AA4">
            <w:pPr>
              <w:widowControl w:val="0"/>
              <w:spacing w:after="0" w:line="240" w:lineRule="auto"/>
              <w:jc w:val="center"/>
            </w:pPr>
            <w:r w:rsidRPr="00994531">
              <w:t>89.9%</w:t>
            </w:r>
          </w:p>
        </w:tc>
        <w:tc>
          <w:tcPr>
            <w:tcW w:w="911" w:type="dxa"/>
            <w:vAlign w:val="center"/>
          </w:tcPr>
          <w:p w14:paraId="5101CBE0" w14:textId="77777777" w:rsidR="00653AA4" w:rsidRPr="00994531" w:rsidRDefault="00653AA4" w:rsidP="00653AA4">
            <w:pPr>
              <w:widowControl w:val="0"/>
              <w:spacing w:after="0" w:line="240" w:lineRule="auto"/>
              <w:jc w:val="center"/>
            </w:pPr>
            <w:r w:rsidRPr="00994531">
              <w:t>76.9%</w:t>
            </w:r>
          </w:p>
        </w:tc>
        <w:tc>
          <w:tcPr>
            <w:tcW w:w="911" w:type="dxa"/>
            <w:vAlign w:val="center"/>
          </w:tcPr>
          <w:p w14:paraId="4CF7299D" w14:textId="77777777" w:rsidR="00653AA4" w:rsidRPr="00994531" w:rsidRDefault="00653AA4" w:rsidP="00653AA4">
            <w:pPr>
              <w:widowControl w:val="0"/>
              <w:spacing w:after="0" w:line="240" w:lineRule="auto"/>
              <w:jc w:val="center"/>
            </w:pPr>
            <w:r w:rsidRPr="00994531">
              <w:t>7.7%</w:t>
            </w:r>
          </w:p>
        </w:tc>
        <w:tc>
          <w:tcPr>
            <w:tcW w:w="1185" w:type="dxa"/>
            <w:tcMar>
              <w:top w:w="100" w:type="dxa"/>
              <w:left w:w="100" w:type="dxa"/>
              <w:bottom w:w="100" w:type="dxa"/>
              <w:right w:w="100" w:type="dxa"/>
            </w:tcMar>
            <w:vAlign w:val="center"/>
          </w:tcPr>
          <w:p w14:paraId="410452B0" w14:textId="77777777" w:rsidR="00653AA4" w:rsidRPr="00994531" w:rsidRDefault="00653AA4" w:rsidP="00653AA4">
            <w:pPr>
              <w:widowControl w:val="0"/>
              <w:spacing w:after="0" w:line="240" w:lineRule="auto"/>
              <w:jc w:val="center"/>
            </w:pPr>
            <w:r w:rsidRPr="00994531">
              <w:t>59%</w:t>
            </w:r>
          </w:p>
        </w:tc>
        <w:tc>
          <w:tcPr>
            <w:tcW w:w="1914" w:type="dxa"/>
            <w:tcMar>
              <w:top w:w="100" w:type="dxa"/>
              <w:left w:w="100" w:type="dxa"/>
              <w:bottom w:w="100" w:type="dxa"/>
              <w:right w:w="100" w:type="dxa"/>
            </w:tcMar>
            <w:vAlign w:val="center"/>
          </w:tcPr>
          <w:p w14:paraId="5DE4FDEE" w14:textId="77777777" w:rsidR="00653AA4" w:rsidRPr="00994531" w:rsidRDefault="00653AA4" w:rsidP="00653AA4">
            <w:pPr>
              <w:widowControl w:val="0"/>
              <w:spacing w:after="0" w:line="240" w:lineRule="auto"/>
              <w:jc w:val="center"/>
            </w:pPr>
            <w:r w:rsidRPr="00994531">
              <w:t>-0.24, -0.34</w:t>
            </w:r>
            <w:r w:rsidRPr="00994531">
              <w:rPr>
                <w:vertAlign w:val="superscript"/>
              </w:rPr>
              <w:t>***</w:t>
            </w:r>
          </w:p>
        </w:tc>
        <w:tc>
          <w:tcPr>
            <w:tcW w:w="1550" w:type="dxa"/>
            <w:tcMar>
              <w:top w:w="100" w:type="dxa"/>
              <w:left w:w="100" w:type="dxa"/>
              <w:bottom w:w="100" w:type="dxa"/>
              <w:right w:w="100" w:type="dxa"/>
            </w:tcMar>
            <w:vAlign w:val="center"/>
          </w:tcPr>
          <w:p w14:paraId="34EE850E" w14:textId="77777777" w:rsidR="00653AA4" w:rsidRPr="00994531" w:rsidRDefault="00653AA4" w:rsidP="00653AA4">
            <w:pPr>
              <w:widowControl w:val="0"/>
              <w:spacing w:after="0" w:line="240" w:lineRule="auto"/>
              <w:jc w:val="center"/>
            </w:pPr>
            <w:r w:rsidRPr="00994531">
              <w:t>NS</w:t>
            </w:r>
            <w:r w:rsidRPr="00994531">
              <w:rPr>
                <w:vertAlign w:val="superscript"/>
              </w:rPr>
              <w:t>*</w:t>
            </w:r>
          </w:p>
        </w:tc>
      </w:tr>
      <w:tr w:rsidR="00653AA4" w:rsidRPr="00994531" w14:paraId="574BEBD1" w14:textId="77777777" w:rsidTr="00787DBF">
        <w:trPr>
          <w:trHeight w:val="327"/>
        </w:trPr>
        <w:tc>
          <w:tcPr>
            <w:tcW w:w="1185" w:type="dxa"/>
            <w:tcMar>
              <w:top w:w="100" w:type="dxa"/>
              <w:left w:w="100" w:type="dxa"/>
              <w:bottom w:w="100" w:type="dxa"/>
              <w:right w:w="100" w:type="dxa"/>
            </w:tcMar>
            <w:vAlign w:val="center"/>
          </w:tcPr>
          <w:p w14:paraId="065E56AD" w14:textId="77777777" w:rsidR="00653AA4" w:rsidRPr="00994531" w:rsidRDefault="00653AA4" w:rsidP="00653AA4">
            <w:pPr>
              <w:widowControl w:val="0"/>
              <w:spacing w:after="0" w:line="240" w:lineRule="auto"/>
              <w:jc w:val="center"/>
            </w:pPr>
            <w:r w:rsidRPr="00994531">
              <w:t>ABOD</w:t>
            </w:r>
          </w:p>
        </w:tc>
        <w:tc>
          <w:tcPr>
            <w:tcW w:w="820" w:type="dxa"/>
            <w:tcMar>
              <w:top w:w="100" w:type="dxa"/>
              <w:left w:w="100" w:type="dxa"/>
              <w:bottom w:w="100" w:type="dxa"/>
              <w:right w:w="100" w:type="dxa"/>
            </w:tcMar>
            <w:vAlign w:val="center"/>
          </w:tcPr>
          <w:p w14:paraId="6C2FD661" w14:textId="77777777" w:rsidR="00653AA4" w:rsidRPr="00994531" w:rsidRDefault="00653AA4" w:rsidP="00653AA4">
            <w:pPr>
              <w:widowControl w:val="0"/>
              <w:spacing w:after="0" w:line="240" w:lineRule="auto"/>
              <w:jc w:val="center"/>
            </w:pPr>
            <w:r w:rsidRPr="00994531">
              <w:t>0.65</w:t>
            </w:r>
          </w:p>
        </w:tc>
        <w:tc>
          <w:tcPr>
            <w:tcW w:w="1185" w:type="dxa"/>
            <w:vAlign w:val="center"/>
          </w:tcPr>
          <w:p w14:paraId="02403589" w14:textId="77777777" w:rsidR="00653AA4" w:rsidRPr="00994531" w:rsidRDefault="00653AA4" w:rsidP="00653AA4">
            <w:pPr>
              <w:widowControl w:val="0"/>
              <w:spacing w:after="0" w:line="240" w:lineRule="auto"/>
              <w:jc w:val="center"/>
            </w:pPr>
            <w:r w:rsidRPr="00994531">
              <w:t>89.4%</w:t>
            </w:r>
          </w:p>
        </w:tc>
        <w:tc>
          <w:tcPr>
            <w:tcW w:w="911" w:type="dxa"/>
            <w:vAlign w:val="center"/>
          </w:tcPr>
          <w:p w14:paraId="74528AA1" w14:textId="77777777" w:rsidR="00653AA4" w:rsidRPr="00994531" w:rsidRDefault="00653AA4" w:rsidP="00653AA4">
            <w:pPr>
              <w:widowControl w:val="0"/>
              <w:spacing w:after="0" w:line="240" w:lineRule="auto"/>
              <w:jc w:val="center"/>
            </w:pPr>
            <w:r w:rsidRPr="00994531">
              <w:t>76.3%</w:t>
            </w:r>
          </w:p>
        </w:tc>
        <w:tc>
          <w:tcPr>
            <w:tcW w:w="911" w:type="dxa"/>
            <w:vAlign w:val="center"/>
          </w:tcPr>
          <w:p w14:paraId="1D9D35BC" w14:textId="77777777" w:rsidR="00653AA4" w:rsidRPr="00994531" w:rsidRDefault="00653AA4" w:rsidP="00653AA4">
            <w:pPr>
              <w:widowControl w:val="0"/>
              <w:spacing w:after="0" w:line="240" w:lineRule="auto"/>
              <w:jc w:val="center"/>
            </w:pPr>
            <w:r w:rsidRPr="00994531">
              <w:t>8.4%</w:t>
            </w:r>
          </w:p>
        </w:tc>
        <w:tc>
          <w:tcPr>
            <w:tcW w:w="1185" w:type="dxa"/>
            <w:tcMar>
              <w:top w:w="100" w:type="dxa"/>
              <w:left w:w="100" w:type="dxa"/>
              <w:bottom w:w="100" w:type="dxa"/>
              <w:right w:w="100" w:type="dxa"/>
            </w:tcMar>
            <w:vAlign w:val="center"/>
          </w:tcPr>
          <w:p w14:paraId="33231F6D" w14:textId="77777777" w:rsidR="00653AA4" w:rsidRPr="00994531" w:rsidRDefault="00653AA4" w:rsidP="00653AA4">
            <w:pPr>
              <w:widowControl w:val="0"/>
              <w:spacing w:after="0" w:line="240" w:lineRule="auto"/>
              <w:jc w:val="center"/>
            </w:pPr>
            <w:r w:rsidRPr="00994531">
              <w:t>54%</w:t>
            </w:r>
          </w:p>
        </w:tc>
        <w:tc>
          <w:tcPr>
            <w:tcW w:w="1914" w:type="dxa"/>
            <w:tcMar>
              <w:top w:w="100" w:type="dxa"/>
              <w:left w:w="100" w:type="dxa"/>
              <w:bottom w:w="100" w:type="dxa"/>
              <w:right w:w="100" w:type="dxa"/>
            </w:tcMar>
            <w:vAlign w:val="center"/>
          </w:tcPr>
          <w:p w14:paraId="65795FED" w14:textId="77777777" w:rsidR="00653AA4" w:rsidRPr="00994531" w:rsidRDefault="00653AA4" w:rsidP="00653AA4">
            <w:pPr>
              <w:widowControl w:val="0"/>
              <w:spacing w:after="0" w:line="240" w:lineRule="auto"/>
              <w:jc w:val="center"/>
            </w:pPr>
            <w:r w:rsidRPr="00994531">
              <w:t>-0.26, -0.37</w:t>
            </w:r>
            <w:r w:rsidRPr="00994531">
              <w:rPr>
                <w:vertAlign w:val="superscript"/>
              </w:rPr>
              <w:t>***</w:t>
            </w:r>
          </w:p>
        </w:tc>
        <w:tc>
          <w:tcPr>
            <w:tcW w:w="1550" w:type="dxa"/>
            <w:tcMar>
              <w:top w:w="100" w:type="dxa"/>
              <w:left w:w="100" w:type="dxa"/>
              <w:bottom w:w="100" w:type="dxa"/>
              <w:right w:w="100" w:type="dxa"/>
            </w:tcMar>
            <w:vAlign w:val="center"/>
          </w:tcPr>
          <w:p w14:paraId="7C62044D" w14:textId="77777777" w:rsidR="00653AA4" w:rsidRPr="00994531" w:rsidRDefault="00653AA4" w:rsidP="00653AA4">
            <w:pPr>
              <w:widowControl w:val="0"/>
              <w:spacing w:after="0" w:line="240" w:lineRule="auto"/>
              <w:jc w:val="center"/>
            </w:pPr>
            <w:r w:rsidRPr="00994531">
              <w:t>NS</w:t>
            </w:r>
            <w:r w:rsidRPr="00994531">
              <w:rPr>
                <w:vertAlign w:val="superscript"/>
              </w:rPr>
              <w:t>*</w:t>
            </w:r>
          </w:p>
        </w:tc>
      </w:tr>
      <w:tr w:rsidR="00653AA4" w:rsidRPr="00994531" w14:paraId="15DEF092" w14:textId="77777777" w:rsidTr="00787DBF">
        <w:trPr>
          <w:trHeight w:val="327"/>
        </w:trPr>
        <w:tc>
          <w:tcPr>
            <w:tcW w:w="1185" w:type="dxa"/>
            <w:tcMar>
              <w:top w:w="100" w:type="dxa"/>
              <w:left w:w="100" w:type="dxa"/>
              <w:bottom w:w="100" w:type="dxa"/>
              <w:right w:w="100" w:type="dxa"/>
            </w:tcMar>
            <w:vAlign w:val="center"/>
          </w:tcPr>
          <w:p w14:paraId="16A295DB" w14:textId="77777777" w:rsidR="00653AA4" w:rsidRPr="00994531" w:rsidRDefault="00653AA4" w:rsidP="00653AA4">
            <w:pPr>
              <w:widowControl w:val="0"/>
              <w:spacing w:after="0" w:line="240" w:lineRule="auto"/>
              <w:jc w:val="center"/>
            </w:pPr>
            <w:r w:rsidRPr="00994531">
              <w:t>HBOS</w:t>
            </w:r>
          </w:p>
        </w:tc>
        <w:tc>
          <w:tcPr>
            <w:tcW w:w="820" w:type="dxa"/>
            <w:tcMar>
              <w:top w:w="100" w:type="dxa"/>
              <w:left w:w="100" w:type="dxa"/>
              <w:bottom w:w="100" w:type="dxa"/>
              <w:right w:w="100" w:type="dxa"/>
            </w:tcMar>
            <w:vAlign w:val="center"/>
          </w:tcPr>
          <w:p w14:paraId="765BBFBB" w14:textId="77777777" w:rsidR="00653AA4" w:rsidRPr="00994531" w:rsidRDefault="00653AA4" w:rsidP="00653AA4">
            <w:pPr>
              <w:widowControl w:val="0"/>
              <w:spacing w:after="0" w:line="240" w:lineRule="auto"/>
              <w:jc w:val="center"/>
            </w:pPr>
            <w:r w:rsidRPr="00994531">
              <w:t>0.64</w:t>
            </w:r>
          </w:p>
        </w:tc>
        <w:tc>
          <w:tcPr>
            <w:tcW w:w="1185" w:type="dxa"/>
            <w:vAlign w:val="center"/>
          </w:tcPr>
          <w:p w14:paraId="38D76C95" w14:textId="77777777" w:rsidR="00653AA4" w:rsidRPr="00994531" w:rsidRDefault="00653AA4" w:rsidP="00653AA4">
            <w:pPr>
              <w:widowControl w:val="0"/>
              <w:spacing w:after="0" w:line="240" w:lineRule="auto"/>
              <w:jc w:val="center"/>
            </w:pPr>
            <w:r w:rsidRPr="00994531">
              <w:t>88.4%</w:t>
            </w:r>
          </w:p>
        </w:tc>
        <w:tc>
          <w:tcPr>
            <w:tcW w:w="911" w:type="dxa"/>
            <w:vAlign w:val="center"/>
          </w:tcPr>
          <w:p w14:paraId="3B6D6F83" w14:textId="77777777" w:rsidR="00653AA4" w:rsidRPr="00994531" w:rsidRDefault="00653AA4" w:rsidP="00653AA4">
            <w:pPr>
              <w:widowControl w:val="0"/>
              <w:spacing w:after="0" w:line="240" w:lineRule="auto"/>
              <w:jc w:val="center"/>
            </w:pPr>
            <w:r w:rsidRPr="00994531">
              <w:t>66.5%</w:t>
            </w:r>
          </w:p>
        </w:tc>
        <w:tc>
          <w:tcPr>
            <w:tcW w:w="911" w:type="dxa"/>
            <w:vAlign w:val="center"/>
          </w:tcPr>
          <w:p w14:paraId="705BD731" w14:textId="77777777" w:rsidR="00653AA4" w:rsidRPr="00994531" w:rsidRDefault="00653AA4" w:rsidP="00653AA4">
            <w:pPr>
              <w:widowControl w:val="0"/>
              <w:spacing w:after="0" w:line="240" w:lineRule="auto"/>
              <w:jc w:val="center"/>
            </w:pPr>
            <w:r w:rsidRPr="00994531">
              <w:t>5.3%</w:t>
            </w:r>
          </w:p>
        </w:tc>
        <w:tc>
          <w:tcPr>
            <w:tcW w:w="1185" w:type="dxa"/>
            <w:tcMar>
              <w:top w:w="100" w:type="dxa"/>
              <w:left w:w="100" w:type="dxa"/>
              <w:bottom w:w="100" w:type="dxa"/>
              <w:right w:w="100" w:type="dxa"/>
            </w:tcMar>
            <w:vAlign w:val="center"/>
          </w:tcPr>
          <w:p w14:paraId="0E5B7481" w14:textId="77777777" w:rsidR="00653AA4" w:rsidRPr="00994531" w:rsidRDefault="00653AA4" w:rsidP="00653AA4">
            <w:pPr>
              <w:widowControl w:val="0"/>
              <w:spacing w:after="0" w:line="240" w:lineRule="auto"/>
              <w:jc w:val="center"/>
            </w:pPr>
            <w:r w:rsidRPr="00994531">
              <w:t>41%</w:t>
            </w:r>
          </w:p>
        </w:tc>
        <w:tc>
          <w:tcPr>
            <w:tcW w:w="1914" w:type="dxa"/>
            <w:tcMar>
              <w:top w:w="100" w:type="dxa"/>
              <w:left w:w="100" w:type="dxa"/>
              <w:bottom w:w="100" w:type="dxa"/>
              <w:right w:w="100" w:type="dxa"/>
            </w:tcMar>
            <w:vAlign w:val="center"/>
          </w:tcPr>
          <w:p w14:paraId="65913C86" w14:textId="77777777" w:rsidR="00653AA4" w:rsidRPr="00994531" w:rsidRDefault="00653AA4" w:rsidP="00653AA4">
            <w:pPr>
              <w:widowControl w:val="0"/>
              <w:spacing w:after="0" w:line="240" w:lineRule="auto"/>
              <w:jc w:val="center"/>
            </w:pPr>
            <w:r w:rsidRPr="00994531">
              <w:t>-0.35, -0.42</w:t>
            </w:r>
            <w:r w:rsidRPr="00994531">
              <w:rPr>
                <w:vertAlign w:val="superscript"/>
              </w:rPr>
              <w:t>***</w:t>
            </w:r>
          </w:p>
        </w:tc>
        <w:tc>
          <w:tcPr>
            <w:tcW w:w="1550" w:type="dxa"/>
            <w:tcMar>
              <w:top w:w="100" w:type="dxa"/>
              <w:left w:w="100" w:type="dxa"/>
              <w:bottom w:w="100" w:type="dxa"/>
              <w:right w:w="100" w:type="dxa"/>
            </w:tcMar>
            <w:vAlign w:val="center"/>
          </w:tcPr>
          <w:p w14:paraId="0FCBBB59" w14:textId="77777777" w:rsidR="00653AA4" w:rsidRPr="00994531" w:rsidRDefault="00653AA4" w:rsidP="00653AA4">
            <w:pPr>
              <w:widowControl w:val="0"/>
              <w:spacing w:after="0" w:line="240" w:lineRule="auto"/>
              <w:jc w:val="center"/>
            </w:pPr>
            <w:r w:rsidRPr="00994531">
              <w:t>NS</w:t>
            </w:r>
            <w:r w:rsidRPr="00994531">
              <w:rPr>
                <w:vertAlign w:val="superscript"/>
              </w:rPr>
              <w:t>*</w:t>
            </w:r>
          </w:p>
        </w:tc>
      </w:tr>
      <w:tr w:rsidR="00653AA4" w:rsidRPr="00994531" w14:paraId="397ECD29" w14:textId="77777777" w:rsidTr="00787DBF">
        <w:trPr>
          <w:trHeight w:val="327"/>
        </w:trPr>
        <w:tc>
          <w:tcPr>
            <w:tcW w:w="1185" w:type="dxa"/>
            <w:tcMar>
              <w:top w:w="100" w:type="dxa"/>
              <w:left w:w="100" w:type="dxa"/>
              <w:bottom w:w="100" w:type="dxa"/>
              <w:right w:w="100" w:type="dxa"/>
            </w:tcMar>
            <w:vAlign w:val="center"/>
          </w:tcPr>
          <w:p w14:paraId="24BFBD19" w14:textId="77777777" w:rsidR="00653AA4" w:rsidRPr="00994531" w:rsidRDefault="00653AA4" w:rsidP="00653AA4">
            <w:pPr>
              <w:widowControl w:val="0"/>
              <w:spacing w:after="0" w:line="240" w:lineRule="auto"/>
              <w:jc w:val="center"/>
            </w:pPr>
            <w:r w:rsidRPr="00994531">
              <w:t>COPOD</w:t>
            </w:r>
          </w:p>
        </w:tc>
        <w:tc>
          <w:tcPr>
            <w:tcW w:w="820" w:type="dxa"/>
            <w:tcMar>
              <w:top w:w="100" w:type="dxa"/>
              <w:left w:w="100" w:type="dxa"/>
              <w:bottom w:w="100" w:type="dxa"/>
              <w:right w:w="100" w:type="dxa"/>
            </w:tcMar>
            <w:vAlign w:val="center"/>
          </w:tcPr>
          <w:p w14:paraId="6AC63A6D" w14:textId="77777777" w:rsidR="00653AA4" w:rsidRPr="00994531" w:rsidRDefault="00653AA4" w:rsidP="00653AA4">
            <w:pPr>
              <w:widowControl w:val="0"/>
              <w:spacing w:after="0" w:line="240" w:lineRule="auto"/>
              <w:jc w:val="center"/>
            </w:pPr>
            <w:r w:rsidRPr="00994531">
              <w:t>0.62</w:t>
            </w:r>
          </w:p>
        </w:tc>
        <w:tc>
          <w:tcPr>
            <w:tcW w:w="1185" w:type="dxa"/>
            <w:vAlign w:val="center"/>
          </w:tcPr>
          <w:p w14:paraId="51BC5957" w14:textId="77777777" w:rsidR="00653AA4" w:rsidRPr="00994531" w:rsidRDefault="00653AA4" w:rsidP="00653AA4">
            <w:pPr>
              <w:widowControl w:val="0"/>
              <w:spacing w:after="0" w:line="240" w:lineRule="auto"/>
              <w:jc w:val="center"/>
            </w:pPr>
            <w:r w:rsidRPr="00994531">
              <w:t>87.0%</w:t>
            </w:r>
          </w:p>
        </w:tc>
        <w:tc>
          <w:tcPr>
            <w:tcW w:w="911" w:type="dxa"/>
            <w:vAlign w:val="center"/>
          </w:tcPr>
          <w:p w14:paraId="41BC2E41" w14:textId="77777777" w:rsidR="00653AA4" w:rsidRPr="00994531" w:rsidRDefault="00653AA4" w:rsidP="00653AA4">
            <w:pPr>
              <w:widowControl w:val="0"/>
              <w:spacing w:after="0" w:line="240" w:lineRule="auto"/>
              <w:jc w:val="center"/>
            </w:pPr>
            <w:r w:rsidRPr="00994531">
              <w:t>80.0%</w:t>
            </w:r>
          </w:p>
        </w:tc>
        <w:tc>
          <w:tcPr>
            <w:tcW w:w="911" w:type="dxa"/>
            <w:vAlign w:val="center"/>
          </w:tcPr>
          <w:p w14:paraId="6B4750AC" w14:textId="77777777" w:rsidR="00653AA4" w:rsidRPr="00994531" w:rsidRDefault="00653AA4" w:rsidP="00653AA4">
            <w:pPr>
              <w:widowControl w:val="0"/>
              <w:spacing w:after="0" w:line="240" w:lineRule="auto"/>
              <w:jc w:val="center"/>
            </w:pPr>
            <w:r w:rsidRPr="00994531">
              <w:t>11.8%</w:t>
            </w:r>
          </w:p>
        </w:tc>
        <w:tc>
          <w:tcPr>
            <w:tcW w:w="1185" w:type="dxa"/>
            <w:tcMar>
              <w:top w:w="100" w:type="dxa"/>
              <w:left w:w="100" w:type="dxa"/>
              <w:bottom w:w="100" w:type="dxa"/>
              <w:right w:w="100" w:type="dxa"/>
            </w:tcMar>
            <w:vAlign w:val="center"/>
          </w:tcPr>
          <w:p w14:paraId="29EEC741" w14:textId="77777777" w:rsidR="00653AA4" w:rsidRPr="00994531" w:rsidRDefault="00653AA4" w:rsidP="00653AA4">
            <w:pPr>
              <w:widowControl w:val="0"/>
              <w:spacing w:after="0" w:line="240" w:lineRule="auto"/>
              <w:jc w:val="center"/>
            </w:pPr>
            <w:r w:rsidRPr="00994531">
              <w:t>41%</w:t>
            </w:r>
          </w:p>
        </w:tc>
        <w:tc>
          <w:tcPr>
            <w:tcW w:w="1914" w:type="dxa"/>
            <w:tcMar>
              <w:top w:w="100" w:type="dxa"/>
              <w:left w:w="100" w:type="dxa"/>
              <w:bottom w:w="100" w:type="dxa"/>
              <w:right w:w="100" w:type="dxa"/>
            </w:tcMar>
            <w:vAlign w:val="center"/>
          </w:tcPr>
          <w:p w14:paraId="485ECA53" w14:textId="77777777" w:rsidR="00653AA4" w:rsidRPr="00994531" w:rsidRDefault="00653AA4" w:rsidP="00653AA4">
            <w:pPr>
              <w:widowControl w:val="0"/>
              <w:spacing w:after="0" w:line="240" w:lineRule="auto"/>
              <w:jc w:val="center"/>
            </w:pPr>
            <w:r w:rsidRPr="00994531">
              <w:t>NS</w:t>
            </w:r>
            <w:r w:rsidRPr="00994531">
              <w:rPr>
                <w:vertAlign w:val="superscript"/>
              </w:rPr>
              <w:t>*</w:t>
            </w:r>
          </w:p>
        </w:tc>
        <w:tc>
          <w:tcPr>
            <w:tcW w:w="1550" w:type="dxa"/>
            <w:tcMar>
              <w:top w:w="100" w:type="dxa"/>
              <w:left w:w="100" w:type="dxa"/>
              <w:bottom w:w="100" w:type="dxa"/>
              <w:right w:w="100" w:type="dxa"/>
            </w:tcMar>
            <w:vAlign w:val="center"/>
          </w:tcPr>
          <w:p w14:paraId="7784B774" w14:textId="77777777" w:rsidR="00653AA4" w:rsidRPr="00994531" w:rsidRDefault="00653AA4" w:rsidP="00653AA4">
            <w:pPr>
              <w:widowControl w:val="0"/>
              <w:spacing w:after="0" w:line="240" w:lineRule="auto"/>
              <w:jc w:val="center"/>
            </w:pPr>
            <w:r w:rsidRPr="00994531">
              <w:t>NS</w:t>
            </w:r>
            <w:r w:rsidRPr="00994531">
              <w:rPr>
                <w:vertAlign w:val="superscript"/>
              </w:rPr>
              <w:t>*</w:t>
            </w:r>
          </w:p>
        </w:tc>
      </w:tr>
      <w:tr w:rsidR="00653AA4" w:rsidRPr="00994531" w14:paraId="3ED9B48D" w14:textId="77777777" w:rsidTr="00787DBF">
        <w:trPr>
          <w:trHeight w:val="315"/>
        </w:trPr>
        <w:tc>
          <w:tcPr>
            <w:tcW w:w="1185" w:type="dxa"/>
            <w:tcMar>
              <w:top w:w="100" w:type="dxa"/>
              <w:left w:w="100" w:type="dxa"/>
              <w:bottom w:w="100" w:type="dxa"/>
              <w:right w:w="100" w:type="dxa"/>
            </w:tcMar>
            <w:vAlign w:val="center"/>
          </w:tcPr>
          <w:p w14:paraId="509166A6" w14:textId="77777777" w:rsidR="00653AA4" w:rsidRPr="00994531" w:rsidRDefault="00653AA4" w:rsidP="00653AA4">
            <w:pPr>
              <w:widowControl w:val="0"/>
              <w:spacing w:after="0" w:line="240" w:lineRule="auto"/>
              <w:jc w:val="center"/>
            </w:pPr>
            <w:r w:rsidRPr="00994531">
              <w:t>ARIMA</w:t>
            </w:r>
          </w:p>
        </w:tc>
        <w:tc>
          <w:tcPr>
            <w:tcW w:w="820" w:type="dxa"/>
            <w:tcMar>
              <w:top w:w="100" w:type="dxa"/>
              <w:left w:w="100" w:type="dxa"/>
              <w:bottom w:w="100" w:type="dxa"/>
              <w:right w:w="100" w:type="dxa"/>
            </w:tcMar>
            <w:vAlign w:val="center"/>
          </w:tcPr>
          <w:p w14:paraId="751BD674" w14:textId="77777777" w:rsidR="00653AA4" w:rsidRPr="00994531" w:rsidRDefault="00653AA4" w:rsidP="00653AA4">
            <w:pPr>
              <w:widowControl w:val="0"/>
              <w:spacing w:after="0" w:line="240" w:lineRule="auto"/>
              <w:jc w:val="center"/>
            </w:pPr>
            <w:r w:rsidRPr="00994531">
              <w:t>0.60</w:t>
            </w:r>
          </w:p>
        </w:tc>
        <w:tc>
          <w:tcPr>
            <w:tcW w:w="1185" w:type="dxa"/>
            <w:vAlign w:val="center"/>
          </w:tcPr>
          <w:p w14:paraId="47FF0C69" w14:textId="77777777" w:rsidR="00653AA4" w:rsidRPr="00994531" w:rsidRDefault="00653AA4" w:rsidP="00653AA4">
            <w:pPr>
              <w:widowControl w:val="0"/>
              <w:spacing w:after="0" w:line="240" w:lineRule="auto"/>
              <w:jc w:val="center"/>
            </w:pPr>
            <w:r w:rsidRPr="00994531">
              <w:t>86.4%</w:t>
            </w:r>
          </w:p>
        </w:tc>
        <w:tc>
          <w:tcPr>
            <w:tcW w:w="911" w:type="dxa"/>
            <w:vAlign w:val="center"/>
          </w:tcPr>
          <w:p w14:paraId="1E8C041E" w14:textId="77777777" w:rsidR="00653AA4" w:rsidRPr="00994531" w:rsidRDefault="00653AA4" w:rsidP="00653AA4">
            <w:pPr>
              <w:widowControl w:val="0"/>
              <w:spacing w:after="0" w:line="240" w:lineRule="auto"/>
              <w:jc w:val="center"/>
            </w:pPr>
            <w:r w:rsidRPr="00994531">
              <w:t>75.2%</w:t>
            </w:r>
          </w:p>
        </w:tc>
        <w:tc>
          <w:tcPr>
            <w:tcW w:w="911" w:type="dxa"/>
            <w:vAlign w:val="center"/>
          </w:tcPr>
          <w:p w14:paraId="7C86C2EB" w14:textId="77777777" w:rsidR="00653AA4" w:rsidRPr="00994531" w:rsidRDefault="00653AA4" w:rsidP="00653AA4">
            <w:pPr>
              <w:widowControl w:val="0"/>
              <w:spacing w:after="0" w:line="240" w:lineRule="auto"/>
              <w:jc w:val="center"/>
            </w:pPr>
            <w:r w:rsidRPr="00994531">
              <w:t>11.0%</w:t>
            </w:r>
          </w:p>
        </w:tc>
        <w:tc>
          <w:tcPr>
            <w:tcW w:w="1185" w:type="dxa"/>
            <w:tcMar>
              <w:top w:w="100" w:type="dxa"/>
              <w:left w:w="100" w:type="dxa"/>
              <w:bottom w:w="100" w:type="dxa"/>
              <w:right w:w="100" w:type="dxa"/>
            </w:tcMar>
            <w:vAlign w:val="center"/>
          </w:tcPr>
          <w:p w14:paraId="58F0B146" w14:textId="77777777" w:rsidR="00653AA4" w:rsidRPr="00994531" w:rsidRDefault="00653AA4" w:rsidP="00653AA4">
            <w:pPr>
              <w:widowControl w:val="0"/>
              <w:spacing w:after="0" w:line="240" w:lineRule="auto"/>
              <w:jc w:val="center"/>
            </w:pPr>
            <w:r w:rsidRPr="00994531">
              <w:t>56%</w:t>
            </w:r>
          </w:p>
        </w:tc>
        <w:tc>
          <w:tcPr>
            <w:tcW w:w="1914" w:type="dxa"/>
            <w:tcMar>
              <w:top w:w="100" w:type="dxa"/>
              <w:left w:w="100" w:type="dxa"/>
              <w:bottom w:w="100" w:type="dxa"/>
              <w:right w:w="100" w:type="dxa"/>
            </w:tcMar>
            <w:vAlign w:val="center"/>
          </w:tcPr>
          <w:p w14:paraId="24CDA6AB" w14:textId="77777777" w:rsidR="00653AA4" w:rsidRPr="00994531" w:rsidRDefault="00653AA4" w:rsidP="00653AA4">
            <w:pPr>
              <w:widowControl w:val="0"/>
              <w:spacing w:after="0" w:line="240" w:lineRule="auto"/>
              <w:jc w:val="center"/>
            </w:pPr>
            <w:r w:rsidRPr="00994531">
              <w:t>-0.22, -0.31</w:t>
            </w:r>
            <w:r w:rsidRPr="00994531">
              <w:rPr>
                <w:vertAlign w:val="superscript"/>
              </w:rPr>
              <w:t>***</w:t>
            </w:r>
          </w:p>
        </w:tc>
        <w:tc>
          <w:tcPr>
            <w:tcW w:w="1550" w:type="dxa"/>
            <w:tcMar>
              <w:top w:w="100" w:type="dxa"/>
              <w:left w:w="100" w:type="dxa"/>
              <w:bottom w:w="100" w:type="dxa"/>
              <w:right w:w="100" w:type="dxa"/>
            </w:tcMar>
            <w:vAlign w:val="center"/>
          </w:tcPr>
          <w:p w14:paraId="007FB89B" w14:textId="77777777" w:rsidR="00653AA4" w:rsidRPr="00994531" w:rsidRDefault="00653AA4" w:rsidP="00653AA4">
            <w:pPr>
              <w:widowControl w:val="0"/>
              <w:spacing w:after="0" w:line="240" w:lineRule="auto"/>
              <w:jc w:val="center"/>
            </w:pPr>
            <w:r w:rsidRPr="00994531">
              <w:t>NS</w:t>
            </w:r>
            <w:r w:rsidRPr="00994531">
              <w:rPr>
                <w:vertAlign w:val="superscript"/>
              </w:rPr>
              <w:t>*</w:t>
            </w:r>
          </w:p>
        </w:tc>
      </w:tr>
      <w:tr w:rsidR="00653AA4" w:rsidRPr="00994531" w14:paraId="6B7733E9" w14:textId="77777777" w:rsidTr="00787DBF">
        <w:trPr>
          <w:trHeight w:val="315"/>
        </w:trPr>
        <w:tc>
          <w:tcPr>
            <w:tcW w:w="1185" w:type="dxa"/>
            <w:tcMar>
              <w:top w:w="100" w:type="dxa"/>
              <w:left w:w="100" w:type="dxa"/>
              <w:bottom w:w="100" w:type="dxa"/>
              <w:right w:w="100" w:type="dxa"/>
            </w:tcMar>
            <w:vAlign w:val="center"/>
          </w:tcPr>
          <w:p w14:paraId="40F05F70" w14:textId="77777777" w:rsidR="00653AA4" w:rsidRPr="00994531" w:rsidRDefault="00653AA4" w:rsidP="00653AA4">
            <w:pPr>
              <w:widowControl w:val="0"/>
              <w:spacing w:after="0" w:line="240" w:lineRule="auto"/>
              <w:jc w:val="center"/>
            </w:pPr>
            <w:r w:rsidRPr="00994531">
              <w:t>3 IQR</w:t>
            </w:r>
          </w:p>
        </w:tc>
        <w:tc>
          <w:tcPr>
            <w:tcW w:w="820" w:type="dxa"/>
            <w:tcMar>
              <w:top w:w="100" w:type="dxa"/>
              <w:left w:w="100" w:type="dxa"/>
              <w:bottom w:w="100" w:type="dxa"/>
              <w:right w:w="100" w:type="dxa"/>
            </w:tcMar>
            <w:vAlign w:val="center"/>
          </w:tcPr>
          <w:p w14:paraId="608A254D" w14:textId="77777777" w:rsidR="00653AA4" w:rsidRPr="00994531" w:rsidRDefault="00653AA4" w:rsidP="00653AA4">
            <w:pPr>
              <w:widowControl w:val="0"/>
              <w:spacing w:after="0" w:line="240" w:lineRule="auto"/>
              <w:jc w:val="center"/>
            </w:pPr>
            <w:r w:rsidRPr="00994531">
              <w:t>0.60</w:t>
            </w:r>
          </w:p>
        </w:tc>
        <w:tc>
          <w:tcPr>
            <w:tcW w:w="1185" w:type="dxa"/>
            <w:vAlign w:val="center"/>
          </w:tcPr>
          <w:p w14:paraId="2EC5DE1B" w14:textId="77777777" w:rsidR="00653AA4" w:rsidRPr="00994531" w:rsidRDefault="00653AA4" w:rsidP="00653AA4">
            <w:pPr>
              <w:widowControl w:val="0"/>
              <w:spacing w:after="0" w:line="240" w:lineRule="auto"/>
              <w:jc w:val="center"/>
            </w:pPr>
            <w:r w:rsidRPr="00994531">
              <w:t>89.1%</w:t>
            </w:r>
          </w:p>
        </w:tc>
        <w:tc>
          <w:tcPr>
            <w:tcW w:w="911" w:type="dxa"/>
            <w:vAlign w:val="center"/>
          </w:tcPr>
          <w:p w14:paraId="77E67132" w14:textId="77777777" w:rsidR="00653AA4" w:rsidRPr="00994531" w:rsidRDefault="00653AA4" w:rsidP="00653AA4">
            <w:pPr>
              <w:widowControl w:val="0"/>
              <w:spacing w:after="0" w:line="240" w:lineRule="auto"/>
              <w:jc w:val="center"/>
            </w:pPr>
            <w:r w:rsidRPr="00994531">
              <w:t>41.6%</w:t>
            </w:r>
          </w:p>
        </w:tc>
        <w:tc>
          <w:tcPr>
            <w:tcW w:w="911" w:type="dxa"/>
            <w:vAlign w:val="center"/>
          </w:tcPr>
          <w:p w14:paraId="5E917EA1" w14:textId="77777777" w:rsidR="00653AA4" w:rsidRPr="00994531" w:rsidRDefault="00653AA4" w:rsidP="00653AA4">
            <w:pPr>
              <w:widowControl w:val="0"/>
              <w:spacing w:after="0" w:line="240" w:lineRule="auto"/>
              <w:jc w:val="center"/>
            </w:pPr>
            <w:r w:rsidRPr="00994531">
              <w:t>0.0%</w:t>
            </w:r>
          </w:p>
        </w:tc>
        <w:tc>
          <w:tcPr>
            <w:tcW w:w="1185" w:type="dxa"/>
            <w:tcMar>
              <w:top w:w="100" w:type="dxa"/>
              <w:left w:w="100" w:type="dxa"/>
              <w:bottom w:w="100" w:type="dxa"/>
              <w:right w:w="100" w:type="dxa"/>
            </w:tcMar>
            <w:vAlign w:val="center"/>
          </w:tcPr>
          <w:p w14:paraId="0EB3BCE2" w14:textId="77777777" w:rsidR="00653AA4" w:rsidRPr="00994531" w:rsidRDefault="00653AA4" w:rsidP="00653AA4">
            <w:pPr>
              <w:widowControl w:val="0"/>
              <w:spacing w:after="0" w:line="240" w:lineRule="auto"/>
              <w:jc w:val="center"/>
            </w:pPr>
            <w:r w:rsidRPr="00994531">
              <w:t>0%</w:t>
            </w:r>
          </w:p>
        </w:tc>
        <w:tc>
          <w:tcPr>
            <w:tcW w:w="1914" w:type="dxa"/>
            <w:tcMar>
              <w:top w:w="100" w:type="dxa"/>
              <w:left w:w="100" w:type="dxa"/>
              <w:bottom w:w="100" w:type="dxa"/>
              <w:right w:w="100" w:type="dxa"/>
            </w:tcMar>
            <w:vAlign w:val="center"/>
          </w:tcPr>
          <w:p w14:paraId="2061EE24" w14:textId="77777777" w:rsidR="00653AA4" w:rsidRPr="00994531" w:rsidRDefault="00653AA4" w:rsidP="00653AA4">
            <w:pPr>
              <w:widowControl w:val="0"/>
              <w:spacing w:after="0" w:line="240" w:lineRule="auto"/>
              <w:jc w:val="center"/>
            </w:pPr>
            <w:r w:rsidRPr="00994531">
              <w:t>-0.79, -0.86</w:t>
            </w:r>
            <w:r w:rsidRPr="00994531">
              <w:rPr>
                <w:vertAlign w:val="superscript"/>
              </w:rPr>
              <w:t>***</w:t>
            </w:r>
          </w:p>
        </w:tc>
        <w:tc>
          <w:tcPr>
            <w:tcW w:w="1550" w:type="dxa"/>
            <w:tcMar>
              <w:top w:w="100" w:type="dxa"/>
              <w:left w:w="100" w:type="dxa"/>
              <w:bottom w:w="100" w:type="dxa"/>
              <w:right w:w="100" w:type="dxa"/>
            </w:tcMar>
            <w:vAlign w:val="center"/>
          </w:tcPr>
          <w:p w14:paraId="67F98BDB" w14:textId="77777777" w:rsidR="00653AA4" w:rsidRPr="00994531" w:rsidRDefault="00653AA4" w:rsidP="00653AA4">
            <w:pPr>
              <w:widowControl w:val="0"/>
              <w:spacing w:after="0" w:line="240" w:lineRule="auto"/>
              <w:jc w:val="center"/>
            </w:pPr>
            <w:r w:rsidRPr="00994531">
              <w:t>NS</w:t>
            </w:r>
            <w:r w:rsidRPr="00994531">
              <w:rPr>
                <w:vertAlign w:val="superscript"/>
              </w:rPr>
              <w:t>*</w:t>
            </w:r>
          </w:p>
        </w:tc>
      </w:tr>
      <w:tr w:rsidR="00653AA4" w:rsidRPr="00994531" w14:paraId="55E92E3A" w14:textId="77777777" w:rsidTr="00787DBF">
        <w:trPr>
          <w:trHeight w:val="315"/>
        </w:trPr>
        <w:tc>
          <w:tcPr>
            <w:tcW w:w="1185" w:type="dxa"/>
            <w:tcMar>
              <w:top w:w="100" w:type="dxa"/>
              <w:left w:w="100" w:type="dxa"/>
              <w:bottom w:w="100" w:type="dxa"/>
              <w:right w:w="100" w:type="dxa"/>
            </w:tcMar>
            <w:vAlign w:val="center"/>
          </w:tcPr>
          <w:p w14:paraId="570F6C4D" w14:textId="77777777" w:rsidR="00653AA4" w:rsidRPr="00994531" w:rsidRDefault="00653AA4" w:rsidP="00653AA4">
            <w:pPr>
              <w:widowControl w:val="0"/>
              <w:spacing w:after="0" w:line="240" w:lineRule="auto"/>
              <w:jc w:val="center"/>
            </w:pPr>
            <w:r w:rsidRPr="00994531">
              <w:t>Moving Average</w:t>
            </w:r>
          </w:p>
        </w:tc>
        <w:tc>
          <w:tcPr>
            <w:tcW w:w="820" w:type="dxa"/>
            <w:tcMar>
              <w:top w:w="100" w:type="dxa"/>
              <w:left w:w="100" w:type="dxa"/>
              <w:bottom w:w="100" w:type="dxa"/>
              <w:right w:w="100" w:type="dxa"/>
            </w:tcMar>
            <w:vAlign w:val="center"/>
          </w:tcPr>
          <w:p w14:paraId="05BAAD27" w14:textId="77777777" w:rsidR="00653AA4" w:rsidRPr="00994531" w:rsidRDefault="00653AA4" w:rsidP="00653AA4">
            <w:pPr>
              <w:widowControl w:val="0"/>
              <w:spacing w:after="0" w:line="240" w:lineRule="auto"/>
              <w:jc w:val="center"/>
            </w:pPr>
            <w:r w:rsidRPr="00994531">
              <w:t>0.47</w:t>
            </w:r>
          </w:p>
        </w:tc>
        <w:tc>
          <w:tcPr>
            <w:tcW w:w="1185" w:type="dxa"/>
            <w:vAlign w:val="center"/>
          </w:tcPr>
          <w:p w14:paraId="65916936" w14:textId="77777777" w:rsidR="00653AA4" w:rsidRPr="00994531" w:rsidRDefault="00653AA4" w:rsidP="00653AA4">
            <w:pPr>
              <w:widowControl w:val="0"/>
              <w:spacing w:after="0" w:line="240" w:lineRule="auto"/>
              <w:jc w:val="center"/>
            </w:pPr>
            <w:r w:rsidRPr="00994531">
              <w:t>86.2%</w:t>
            </w:r>
          </w:p>
        </w:tc>
        <w:tc>
          <w:tcPr>
            <w:tcW w:w="911" w:type="dxa"/>
            <w:vAlign w:val="center"/>
          </w:tcPr>
          <w:p w14:paraId="167E37BA" w14:textId="77777777" w:rsidR="00653AA4" w:rsidRPr="00994531" w:rsidRDefault="00653AA4" w:rsidP="00653AA4">
            <w:pPr>
              <w:widowControl w:val="0"/>
              <w:spacing w:after="0" w:line="240" w:lineRule="auto"/>
              <w:jc w:val="center"/>
            </w:pPr>
            <w:r w:rsidRPr="00994531">
              <w:t>48.1%</w:t>
            </w:r>
          </w:p>
        </w:tc>
        <w:tc>
          <w:tcPr>
            <w:tcW w:w="911" w:type="dxa"/>
            <w:vAlign w:val="center"/>
          </w:tcPr>
          <w:p w14:paraId="032C9EC2" w14:textId="77777777" w:rsidR="00653AA4" w:rsidRPr="00994531" w:rsidRDefault="00653AA4" w:rsidP="00653AA4">
            <w:pPr>
              <w:widowControl w:val="0"/>
              <w:spacing w:after="0" w:line="240" w:lineRule="auto"/>
              <w:jc w:val="center"/>
            </w:pPr>
            <w:r w:rsidRPr="00994531">
              <w:t>6.1%</w:t>
            </w:r>
          </w:p>
        </w:tc>
        <w:tc>
          <w:tcPr>
            <w:tcW w:w="1185" w:type="dxa"/>
            <w:tcMar>
              <w:top w:w="100" w:type="dxa"/>
              <w:left w:w="100" w:type="dxa"/>
              <w:bottom w:w="100" w:type="dxa"/>
              <w:right w:w="100" w:type="dxa"/>
            </w:tcMar>
            <w:vAlign w:val="center"/>
          </w:tcPr>
          <w:p w14:paraId="61D33731" w14:textId="77777777" w:rsidR="00653AA4" w:rsidRPr="00994531" w:rsidRDefault="00653AA4" w:rsidP="00653AA4">
            <w:pPr>
              <w:widowControl w:val="0"/>
              <w:spacing w:after="0" w:line="240" w:lineRule="auto"/>
              <w:jc w:val="center"/>
            </w:pPr>
            <w:r w:rsidRPr="00994531">
              <w:t>16%</w:t>
            </w:r>
          </w:p>
        </w:tc>
        <w:tc>
          <w:tcPr>
            <w:tcW w:w="1914" w:type="dxa"/>
            <w:tcMar>
              <w:top w:w="100" w:type="dxa"/>
              <w:left w:w="100" w:type="dxa"/>
              <w:bottom w:w="100" w:type="dxa"/>
              <w:right w:w="100" w:type="dxa"/>
            </w:tcMar>
            <w:vAlign w:val="center"/>
          </w:tcPr>
          <w:p w14:paraId="7EF92DEA" w14:textId="77777777" w:rsidR="00653AA4" w:rsidRPr="00994531" w:rsidRDefault="00653AA4" w:rsidP="00653AA4">
            <w:pPr>
              <w:widowControl w:val="0"/>
              <w:spacing w:after="0" w:line="240" w:lineRule="auto"/>
              <w:jc w:val="center"/>
            </w:pPr>
            <w:r w:rsidRPr="00994531">
              <w:t>-0.45, -0.66</w:t>
            </w:r>
            <w:r w:rsidRPr="00994531">
              <w:rPr>
                <w:vertAlign w:val="superscript"/>
              </w:rPr>
              <w:t>***</w:t>
            </w:r>
          </w:p>
        </w:tc>
        <w:tc>
          <w:tcPr>
            <w:tcW w:w="1550" w:type="dxa"/>
            <w:tcMar>
              <w:top w:w="100" w:type="dxa"/>
              <w:left w:w="100" w:type="dxa"/>
              <w:bottom w:w="100" w:type="dxa"/>
              <w:right w:w="100" w:type="dxa"/>
            </w:tcMar>
            <w:vAlign w:val="center"/>
          </w:tcPr>
          <w:p w14:paraId="3863560E" w14:textId="77777777" w:rsidR="00653AA4" w:rsidRPr="00994531" w:rsidRDefault="00653AA4" w:rsidP="00653AA4">
            <w:pPr>
              <w:widowControl w:val="0"/>
              <w:spacing w:after="0" w:line="240" w:lineRule="auto"/>
              <w:jc w:val="center"/>
            </w:pPr>
            <w:r w:rsidRPr="00994531">
              <w:t>NS</w:t>
            </w:r>
            <w:r w:rsidRPr="00994531">
              <w:rPr>
                <w:vertAlign w:val="superscript"/>
              </w:rPr>
              <w:t>*</w:t>
            </w:r>
          </w:p>
        </w:tc>
      </w:tr>
      <w:tr w:rsidR="00653AA4" w:rsidRPr="00994531" w14:paraId="1A6F56A6" w14:textId="77777777" w:rsidTr="00787DBF">
        <w:trPr>
          <w:trHeight w:val="315"/>
        </w:trPr>
        <w:tc>
          <w:tcPr>
            <w:tcW w:w="1185" w:type="dxa"/>
            <w:tcBorders>
              <w:bottom w:val="single" w:sz="4" w:space="0" w:color="auto"/>
            </w:tcBorders>
            <w:tcMar>
              <w:top w:w="100" w:type="dxa"/>
              <w:left w:w="100" w:type="dxa"/>
              <w:bottom w:w="100" w:type="dxa"/>
              <w:right w:w="100" w:type="dxa"/>
            </w:tcMar>
            <w:vAlign w:val="center"/>
          </w:tcPr>
          <w:p w14:paraId="6D9F4A6C" w14:textId="77777777" w:rsidR="00653AA4" w:rsidRPr="00994531" w:rsidRDefault="00653AA4" w:rsidP="00653AA4">
            <w:pPr>
              <w:widowControl w:val="0"/>
              <w:spacing w:after="0" w:line="240" w:lineRule="auto"/>
              <w:jc w:val="center"/>
            </w:pPr>
            <w:r w:rsidRPr="00994531">
              <w:t>4 SD</w:t>
            </w:r>
          </w:p>
        </w:tc>
        <w:tc>
          <w:tcPr>
            <w:tcW w:w="820" w:type="dxa"/>
            <w:tcBorders>
              <w:bottom w:val="single" w:sz="4" w:space="0" w:color="auto"/>
            </w:tcBorders>
            <w:tcMar>
              <w:top w:w="100" w:type="dxa"/>
              <w:left w:w="100" w:type="dxa"/>
              <w:bottom w:w="100" w:type="dxa"/>
              <w:right w:w="100" w:type="dxa"/>
            </w:tcMar>
            <w:vAlign w:val="center"/>
          </w:tcPr>
          <w:p w14:paraId="12F70BE5" w14:textId="77777777" w:rsidR="00653AA4" w:rsidRPr="00994531" w:rsidRDefault="00653AA4" w:rsidP="00653AA4">
            <w:pPr>
              <w:widowControl w:val="0"/>
              <w:spacing w:after="0" w:line="240" w:lineRule="auto"/>
              <w:jc w:val="center"/>
            </w:pPr>
            <w:r w:rsidRPr="00994531">
              <w:t>0.24</w:t>
            </w:r>
          </w:p>
        </w:tc>
        <w:tc>
          <w:tcPr>
            <w:tcW w:w="1185" w:type="dxa"/>
            <w:tcBorders>
              <w:bottom w:val="single" w:sz="4" w:space="0" w:color="auto"/>
            </w:tcBorders>
            <w:vAlign w:val="center"/>
          </w:tcPr>
          <w:p w14:paraId="2A901102" w14:textId="77777777" w:rsidR="00653AA4" w:rsidRPr="00994531" w:rsidRDefault="00653AA4" w:rsidP="00653AA4">
            <w:pPr>
              <w:widowControl w:val="0"/>
              <w:spacing w:after="0" w:line="240" w:lineRule="auto"/>
              <w:jc w:val="center"/>
            </w:pPr>
            <w:r w:rsidRPr="00994531">
              <w:t>83.2%</w:t>
            </w:r>
          </w:p>
        </w:tc>
        <w:tc>
          <w:tcPr>
            <w:tcW w:w="911" w:type="dxa"/>
            <w:tcBorders>
              <w:bottom w:val="single" w:sz="4" w:space="0" w:color="auto"/>
            </w:tcBorders>
            <w:vAlign w:val="center"/>
          </w:tcPr>
          <w:p w14:paraId="73E931C5" w14:textId="77777777" w:rsidR="00653AA4" w:rsidRPr="00994531" w:rsidRDefault="00653AA4" w:rsidP="00653AA4">
            <w:pPr>
              <w:widowControl w:val="0"/>
              <w:spacing w:after="0" w:line="240" w:lineRule="auto"/>
              <w:jc w:val="center"/>
            </w:pPr>
            <w:r w:rsidRPr="00994531">
              <w:t>7.0%</w:t>
            </w:r>
          </w:p>
        </w:tc>
        <w:tc>
          <w:tcPr>
            <w:tcW w:w="911" w:type="dxa"/>
            <w:tcBorders>
              <w:bottom w:val="single" w:sz="4" w:space="0" w:color="auto"/>
            </w:tcBorders>
            <w:vAlign w:val="center"/>
          </w:tcPr>
          <w:p w14:paraId="54274DAC" w14:textId="77777777" w:rsidR="00653AA4" w:rsidRPr="00994531" w:rsidRDefault="00653AA4" w:rsidP="00653AA4">
            <w:pPr>
              <w:widowControl w:val="0"/>
              <w:spacing w:after="0" w:line="240" w:lineRule="auto"/>
              <w:jc w:val="center"/>
            </w:pPr>
            <w:r w:rsidRPr="00994531">
              <w:t>0%</w:t>
            </w:r>
          </w:p>
        </w:tc>
        <w:tc>
          <w:tcPr>
            <w:tcW w:w="1185" w:type="dxa"/>
            <w:tcBorders>
              <w:bottom w:val="single" w:sz="4" w:space="0" w:color="auto"/>
            </w:tcBorders>
            <w:tcMar>
              <w:top w:w="100" w:type="dxa"/>
              <w:left w:w="100" w:type="dxa"/>
              <w:bottom w:w="100" w:type="dxa"/>
              <w:right w:w="100" w:type="dxa"/>
            </w:tcMar>
            <w:vAlign w:val="center"/>
          </w:tcPr>
          <w:p w14:paraId="02DBAA1D" w14:textId="77777777" w:rsidR="00653AA4" w:rsidRPr="00994531" w:rsidRDefault="00653AA4" w:rsidP="00653AA4">
            <w:pPr>
              <w:widowControl w:val="0"/>
              <w:spacing w:after="0" w:line="240" w:lineRule="auto"/>
              <w:jc w:val="center"/>
            </w:pPr>
            <w:r w:rsidRPr="00994531">
              <w:t>0%</w:t>
            </w:r>
          </w:p>
        </w:tc>
        <w:tc>
          <w:tcPr>
            <w:tcW w:w="1914" w:type="dxa"/>
            <w:tcBorders>
              <w:bottom w:val="single" w:sz="4" w:space="0" w:color="auto"/>
            </w:tcBorders>
            <w:tcMar>
              <w:top w:w="100" w:type="dxa"/>
              <w:left w:w="100" w:type="dxa"/>
              <w:bottom w:w="100" w:type="dxa"/>
              <w:right w:w="100" w:type="dxa"/>
            </w:tcMar>
            <w:vAlign w:val="center"/>
          </w:tcPr>
          <w:p w14:paraId="4019B9DB" w14:textId="77777777" w:rsidR="00653AA4" w:rsidRPr="00994531" w:rsidRDefault="00653AA4" w:rsidP="00653AA4">
            <w:pPr>
              <w:widowControl w:val="0"/>
              <w:spacing w:after="0" w:line="240" w:lineRule="auto"/>
              <w:jc w:val="center"/>
            </w:pPr>
            <w:r w:rsidRPr="00994531">
              <w:t>-0.99, -0.99</w:t>
            </w:r>
            <w:r w:rsidRPr="00994531">
              <w:rPr>
                <w:vertAlign w:val="superscript"/>
              </w:rPr>
              <w:t>***</w:t>
            </w:r>
          </w:p>
        </w:tc>
        <w:tc>
          <w:tcPr>
            <w:tcW w:w="1550" w:type="dxa"/>
            <w:tcBorders>
              <w:bottom w:val="single" w:sz="4" w:space="0" w:color="auto"/>
            </w:tcBorders>
            <w:tcMar>
              <w:top w:w="100" w:type="dxa"/>
              <w:left w:w="100" w:type="dxa"/>
              <w:bottom w:w="100" w:type="dxa"/>
              <w:right w:w="100" w:type="dxa"/>
            </w:tcMar>
            <w:vAlign w:val="center"/>
          </w:tcPr>
          <w:p w14:paraId="35FBDD8E" w14:textId="77777777" w:rsidR="00653AA4" w:rsidRPr="00994531" w:rsidRDefault="00653AA4" w:rsidP="00653AA4">
            <w:pPr>
              <w:widowControl w:val="0"/>
              <w:spacing w:after="0" w:line="240" w:lineRule="auto"/>
              <w:jc w:val="center"/>
            </w:pPr>
            <w:r w:rsidRPr="00994531">
              <w:t>NS</w:t>
            </w:r>
            <w:r w:rsidRPr="00994531">
              <w:rPr>
                <w:vertAlign w:val="superscript"/>
              </w:rPr>
              <w:t>*</w:t>
            </w:r>
          </w:p>
        </w:tc>
      </w:tr>
    </w:tbl>
    <w:p w14:paraId="7C5C492A" w14:textId="59B72DDD" w:rsidR="00AE5B74" w:rsidRPr="00A42586" w:rsidRDefault="007F200C" w:rsidP="006D0F78">
      <w:pPr>
        <w:pStyle w:val="EndnoteText"/>
        <w:spacing w:after="240"/>
        <w:rPr>
          <w:sz w:val="24"/>
          <w:szCs w:val="24"/>
        </w:rPr>
      </w:pPr>
      <w:r w:rsidRPr="00A42586">
        <w:rPr>
          <w:sz w:val="24"/>
          <w:szCs w:val="24"/>
        </w:rPr>
        <w:t xml:space="preserve">Statistical significance at </w:t>
      </w:r>
      <w:r w:rsidRPr="00A42586">
        <w:rPr>
          <w:i/>
          <w:sz w:val="24"/>
          <w:szCs w:val="24"/>
        </w:rPr>
        <w:t xml:space="preserve">P </w:t>
      </w:r>
      <w:r w:rsidRPr="00A42586">
        <w:rPr>
          <w:sz w:val="24"/>
          <w:szCs w:val="24"/>
        </w:rPr>
        <w:t xml:space="preserve">&lt; 0.05 (*), </w:t>
      </w:r>
      <w:r w:rsidRPr="00A42586">
        <w:rPr>
          <w:i/>
          <w:sz w:val="24"/>
          <w:szCs w:val="24"/>
        </w:rPr>
        <w:t>P</w:t>
      </w:r>
      <w:r w:rsidRPr="00A42586">
        <w:rPr>
          <w:sz w:val="24"/>
          <w:szCs w:val="24"/>
        </w:rPr>
        <w:t xml:space="preserve"> &lt; 0.01 (**), and </w:t>
      </w:r>
      <w:r w:rsidRPr="00A42586">
        <w:rPr>
          <w:i/>
          <w:sz w:val="24"/>
          <w:szCs w:val="24"/>
        </w:rPr>
        <w:t>P</w:t>
      </w:r>
      <w:r w:rsidRPr="00A42586">
        <w:rPr>
          <w:sz w:val="24"/>
          <w:szCs w:val="24"/>
        </w:rPr>
        <w:t xml:space="preserve"> &lt; 0.001 (***). Not Significant (NS)</w:t>
      </w:r>
    </w:p>
    <w:p w14:paraId="287AF520" w14:textId="0AF94131" w:rsidR="001306AF" w:rsidRDefault="001306AF" w:rsidP="001306AF">
      <w:pPr>
        <w:spacing w:line="480" w:lineRule="auto"/>
      </w:pPr>
    </w:p>
    <w:p w14:paraId="101A9635" w14:textId="009A0832" w:rsidR="001306AF" w:rsidRPr="00AD14D2" w:rsidRDefault="001306AF" w:rsidP="001306AF">
      <w:pPr>
        <w:spacing w:line="480" w:lineRule="auto"/>
        <w:rPr>
          <w:b/>
          <w:bCs/>
          <w:noProof/>
        </w:rPr>
      </w:pPr>
    </w:p>
    <w:p w14:paraId="670130F7" w14:textId="77777777" w:rsidR="001306AF" w:rsidRDefault="001306AF" w:rsidP="001306AF">
      <w:pPr>
        <w:spacing w:line="480" w:lineRule="auto"/>
      </w:pPr>
    </w:p>
    <w:p w14:paraId="33C05909" w14:textId="77777777" w:rsidR="001306AF" w:rsidRDefault="001306AF" w:rsidP="001306AF">
      <w:pPr>
        <w:spacing w:line="480" w:lineRule="auto"/>
      </w:pPr>
    </w:p>
    <w:p w14:paraId="752477EC" w14:textId="77777777" w:rsidR="001306AF" w:rsidRDefault="001306AF" w:rsidP="001306AF">
      <w:pPr>
        <w:spacing w:line="480" w:lineRule="auto"/>
      </w:pPr>
    </w:p>
    <w:p w14:paraId="131987C8" w14:textId="303906E9" w:rsidR="001306AF" w:rsidRDefault="00FE2278" w:rsidP="001306AF">
      <w:pPr>
        <w:spacing w:line="480" w:lineRule="auto"/>
      </w:pPr>
      <w:r w:rsidRPr="00994531">
        <w:rPr>
          <w:noProof/>
        </w:rPr>
        <w:drawing>
          <wp:anchor distT="0" distB="0" distL="114300" distR="114300" simplePos="0" relativeHeight="251658242" behindDoc="0" locked="0" layoutInCell="1" allowOverlap="1" wp14:anchorId="16CADA96" wp14:editId="5082A899">
            <wp:simplePos x="0" y="0"/>
            <wp:positionH relativeFrom="column">
              <wp:posOffset>1242695</wp:posOffset>
            </wp:positionH>
            <wp:positionV relativeFrom="page">
              <wp:posOffset>1034415</wp:posOffset>
            </wp:positionV>
            <wp:extent cx="3057525" cy="2814955"/>
            <wp:effectExtent l="0" t="0" r="9525" b="4445"/>
            <wp:wrapSquare wrapText="bothSides"/>
            <wp:docPr id="2028572667"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8572667" name=""/>
                    <pic:cNvPicPr/>
                  </pic:nvPicPr>
                  <pic:blipFill>
                    <a:blip r:embed="rId22">
                      <a:extLst>
                        <a:ext uri="{96DAC541-7B7A-43D3-8B79-37D633B846F1}">
                          <asvg:svgBlip xmlns:asvg="http://schemas.microsoft.com/office/drawing/2016/SVG/main" r:embed="rId23"/>
                        </a:ext>
                      </a:extLst>
                    </a:blip>
                    <a:stretch>
                      <a:fillRect/>
                    </a:stretch>
                  </pic:blipFill>
                  <pic:spPr>
                    <a:xfrm>
                      <a:off x="0" y="0"/>
                      <a:ext cx="3057525" cy="2814955"/>
                    </a:xfrm>
                    <a:prstGeom prst="rect">
                      <a:avLst/>
                    </a:prstGeom>
                  </pic:spPr>
                </pic:pic>
              </a:graphicData>
            </a:graphic>
            <wp14:sizeRelH relativeFrom="margin">
              <wp14:pctWidth>0</wp14:pctWidth>
            </wp14:sizeRelH>
            <wp14:sizeRelV relativeFrom="margin">
              <wp14:pctHeight>0</wp14:pctHeight>
            </wp14:sizeRelV>
          </wp:anchor>
        </w:drawing>
      </w:r>
    </w:p>
    <w:p w14:paraId="557ABEA0" w14:textId="77777777" w:rsidR="001306AF" w:rsidRDefault="001306AF" w:rsidP="001306AF">
      <w:pPr>
        <w:spacing w:line="480" w:lineRule="auto"/>
      </w:pPr>
    </w:p>
    <w:p w14:paraId="60EFD817" w14:textId="77777777" w:rsidR="001306AF" w:rsidRDefault="001306AF" w:rsidP="001306AF">
      <w:pPr>
        <w:spacing w:line="240" w:lineRule="auto"/>
        <w:rPr>
          <w:b/>
          <w:bCs/>
        </w:rPr>
      </w:pPr>
    </w:p>
    <w:p w14:paraId="6C41CDA2" w14:textId="61C1451C" w:rsidR="001306AF" w:rsidRDefault="001306AF" w:rsidP="001306AF">
      <w:pPr>
        <w:spacing w:line="240" w:lineRule="auto"/>
      </w:pPr>
      <w:bookmarkStart w:id="51" w:name="_Toc204263357"/>
      <w:r w:rsidRPr="001F1EE5">
        <w:rPr>
          <w:b/>
          <w:bCs/>
        </w:rPr>
        <w:t>Figure 2</w:t>
      </w:r>
      <w:r w:rsidR="00D24801">
        <w:rPr>
          <w:b/>
          <w:bCs/>
        </w:rPr>
        <w:t>.</w:t>
      </w:r>
      <w:r w:rsidR="00D24801">
        <w:rPr>
          <w:b/>
          <w:bCs/>
        </w:rPr>
        <w:fldChar w:fldCharType="begin"/>
      </w:r>
      <w:r w:rsidR="00D24801">
        <w:rPr>
          <w:b/>
          <w:bCs/>
        </w:rPr>
        <w:instrText xml:space="preserve"> SEQ Figure \* ARABIC \s 1 </w:instrText>
      </w:r>
      <w:r w:rsidR="00D24801">
        <w:rPr>
          <w:b/>
          <w:bCs/>
        </w:rPr>
        <w:fldChar w:fldCharType="separate"/>
      </w:r>
      <w:r w:rsidR="00D24801">
        <w:rPr>
          <w:b/>
          <w:bCs/>
          <w:noProof/>
        </w:rPr>
        <w:t>6</w:t>
      </w:r>
      <w:r w:rsidR="00D24801">
        <w:rPr>
          <w:b/>
          <w:bCs/>
        </w:rPr>
        <w:fldChar w:fldCharType="end"/>
      </w:r>
      <w:r w:rsidRPr="00994531">
        <w:t>: Impact of hot moment prevalence on the performance of anomaly detection methods. The accuracy of 1.5 IQR was highest when hot moments comprised 5-25% of the dataset, and underperformed other methods when hot moments were very rare or common. The accuracy of MAD and MCD were more consistent across the full range of hot moment prevalences.</w:t>
      </w:r>
      <w:bookmarkEnd w:id="51"/>
    </w:p>
    <w:p w14:paraId="337AB38B" w14:textId="77777777" w:rsidR="001306AF" w:rsidRPr="00994531" w:rsidRDefault="001306AF" w:rsidP="001306AF">
      <w:pPr>
        <w:spacing w:line="240" w:lineRule="auto"/>
      </w:pPr>
    </w:p>
    <w:p w14:paraId="0546A05C" w14:textId="77777777" w:rsidR="001306AF" w:rsidRPr="00994531" w:rsidRDefault="001306AF" w:rsidP="001306AF">
      <w:pPr>
        <w:keepNext/>
        <w:spacing w:line="480" w:lineRule="auto"/>
        <w:jc w:val="center"/>
      </w:pPr>
      <w:r w:rsidRPr="00994531">
        <w:rPr>
          <w:noProof/>
        </w:rPr>
        <w:drawing>
          <wp:anchor distT="0" distB="0" distL="114300" distR="114300" simplePos="0" relativeHeight="251658240" behindDoc="0" locked="0" layoutInCell="1" allowOverlap="1" wp14:anchorId="277B9037" wp14:editId="4A5842BB">
            <wp:simplePos x="0" y="0"/>
            <wp:positionH relativeFrom="column">
              <wp:posOffset>311785</wp:posOffset>
            </wp:positionH>
            <wp:positionV relativeFrom="paragraph">
              <wp:posOffset>-130629</wp:posOffset>
            </wp:positionV>
            <wp:extent cx="5311775" cy="2848610"/>
            <wp:effectExtent l="0" t="0" r="3175" b="8890"/>
            <wp:wrapNone/>
            <wp:docPr id="1931197637"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1197637" name=""/>
                    <pic:cNvPicPr/>
                  </pic:nvPicPr>
                  <pic:blipFill>
                    <a:blip r:embed="rId24">
                      <a:extLst>
                        <a:ext uri="{96DAC541-7B7A-43D3-8B79-37D633B846F1}">
                          <asvg:svgBlip xmlns:asvg="http://schemas.microsoft.com/office/drawing/2016/SVG/main" r:embed="rId25"/>
                        </a:ext>
                      </a:extLst>
                    </a:blip>
                    <a:stretch>
                      <a:fillRect/>
                    </a:stretch>
                  </pic:blipFill>
                  <pic:spPr>
                    <a:xfrm>
                      <a:off x="0" y="0"/>
                      <a:ext cx="5311775" cy="2848610"/>
                    </a:xfrm>
                    <a:prstGeom prst="rect">
                      <a:avLst/>
                    </a:prstGeom>
                  </pic:spPr>
                </pic:pic>
              </a:graphicData>
            </a:graphic>
          </wp:anchor>
        </w:drawing>
      </w:r>
      <w:r w:rsidRPr="0051651C">
        <w:rPr>
          <w:noProof/>
        </w:rPr>
        <mc:AlternateContent>
          <mc:Choice Requires="wpg">
            <w:drawing>
              <wp:anchor distT="0" distB="0" distL="114300" distR="114300" simplePos="0" relativeHeight="251658241" behindDoc="0" locked="0" layoutInCell="1" allowOverlap="1" wp14:anchorId="3704D4FA" wp14:editId="4F6B5AE1">
                <wp:simplePos x="0" y="0"/>
                <wp:positionH relativeFrom="column">
                  <wp:posOffset>-65314</wp:posOffset>
                </wp:positionH>
                <wp:positionV relativeFrom="paragraph">
                  <wp:posOffset>-94343</wp:posOffset>
                </wp:positionV>
                <wp:extent cx="438785" cy="1891212"/>
                <wp:effectExtent l="0" t="0" r="0" b="0"/>
                <wp:wrapNone/>
                <wp:docPr id="1761853139" name="Group 6"/>
                <wp:cNvGraphicFramePr/>
                <a:graphic xmlns:a="http://schemas.openxmlformats.org/drawingml/2006/main">
                  <a:graphicData uri="http://schemas.microsoft.com/office/word/2010/wordprocessingGroup">
                    <wpg:wgp>
                      <wpg:cNvGrpSpPr/>
                      <wpg:grpSpPr>
                        <a:xfrm>
                          <a:off x="0" y="0"/>
                          <a:ext cx="438785" cy="1891212"/>
                          <a:chOff x="0" y="0"/>
                          <a:chExt cx="438785" cy="1891212"/>
                        </a:xfrm>
                      </wpg:grpSpPr>
                      <wps:wsp>
                        <wps:cNvPr id="217" name="Text Box 2"/>
                        <wps:cNvSpPr txBox="1">
                          <a:spLocks noChangeArrowheads="1"/>
                        </wps:cNvSpPr>
                        <wps:spPr bwMode="auto">
                          <a:xfrm>
                            <a:off x="0" y="0"/>
                            <a:ext cx="438785" cy="294640"/>
                          </a:xfrm>
                          <a:prstGeom prst="rect">
                            <a:avLst/>
                          </a:prstGeom>
                          <a:noFill/>
                          <a:ln w="9525">
                            <a:noFill/>
                            <a:miter lim="800000"/>
                            <a:headEnd/>
                            <a:tailEnd/>
                          </a:ln>
                        </wps:spPr>
                        <wps:txbx>
                          <w:txbxContent>
                            <w:p w14:paraId="6726039D" w14:textId="77777777" w:rsidR="001306AF" w:rsidRDefault="001306AF" w:rsidP="001306AF">
                              <w:r>
                                <w:t>a</w:t>
                              </w:r>
                            </w:p>
                          </w:txbxContent>
                        </wps:txbx>
                        <wps:bodyPr rot="0" vert="horz" wrap="square" lIns="91440" tIns="45720" rIns="91440" bIns="45720" anchor="t" anchorCtr="0">
                          <a:noAutofit/>
                        </wps:bodyPr>
                      </wps:wsp>
                      <wps:wsp>
                        <wps:cNvPr id="1814097409" name="Text Box 2"/>
                        <wps:cNvSpPr txBox="1">
                          <a:spLocks noChangeArrowheads="1"/>
                        </wps:cNvSpPr>
                        <wps:spPr bwMode="auto">
                          <a:xfrm>
                            <a:off x="0" y="1596572"/>
                            <a:ext cx="438785" cy="294640"/>
                          </a:xfrm>
                          <a:prstGeom prst="rect">
                            <a:avLst/>
                          </a:prstGeom>
                          <a:noFill/>
                          <a:ln w="9525">
                            <a:noFill/>
                            <a:miter lim="800000"/>
                            <a:headEnd/>
                            <a:tailEnd/>
                          </a:ln>
                        </wps:spPr>
                        <wps:txbx>
                          <w:txbxContent>
                            <w:p w14:paraId="38657D0C" w14:textId="77777777" w:rsidR="001306AF" w:rsidRDefault="001306AF" w:rsidP="001306AF">
                              <w:r>
                                <w:t>b</w:t>
                              </w:r>
                            </w:p>
                          </w:txbxContent>
                        </wps:txbx>
                        <wps:bodyPr rot="0" vert="horz" wrap="square" lIns="91440" tIns="45720" rIns="91440" bIns="45720" anchor="t" anchorCtr="0">
                          <a:noAutofit/>
                        </wps:bodyPr>
                      </wps:wsp>
                    </wpg:wgp>
                  </a:graphicData>
                </a:graphic>
              </wp:anchor>
            </w:drawing>
          </mc:Choice>
          <mc:Fallback>
            <w:pict>
              <v:group w14:anchorId="3704D4FA" id="Group 6" o:spid="_x0000_s1026" style="position:absolute;left:0;text-align:left;margin-left:-5.15pt;margin-top:-7.45pt;width:34.55pt;height:148.9pt;z-index:251658241" coordsize="4387,189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">
                <v:shapetype id="_x0000_t202" coordsize="21600,21600" o:spt="202" path="m,l,21600r21600,l21600,xe">
                  <v:stroke joinstyle="miter"/>
                  <v:path gradientshapeok="t" o:connecttype="rect"/>
                </v:shapetype>
                <v:shape id="_x0000_s1027" type="#_x0000_t202" style="position:absolute;width:4387;height:29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" filled="f" stroked="f">
                  <v:textbox>
                    <w:txbxContent>
                      <w:p w14:paraId="6726039D" w14:textId="77777777" w:rsidR="001306AF" w:rsidRDefault="001306AF" w:rsidP="001306AF">
                        <w:r>
                          <w:t>a</w:t>
                        </w:r>
                      </w:p>
                    </w:txbxContent>
                  </v:textbox>
                </v:shape>
                <v:shape id="_x0000_s1028" type="#_x0000_t202" style="position:absolute;top:15965;width:4387;height:29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" filled="f" stroked="f">
                  <v:textbox>
                    <w:txbxContent>
                      <w:p w14:paraId="38657D0C" w14:textId="77777777" w:rsidR="001306AF" w:rsidRDefault="001306AF" w:rsidP="001306AF">
                        <w:r>
                          <w:t>b</w:t>
                        </w:r>
                      </w:p>
                    </w:txbxContent>
                  </v:textbox>
                </v:shape>
              </v:group>
            </w:pict>
          </mc:Fallback>
        </mc:AlternateContent>
      </w:r>
    </w:p>
    <w:p w14:paraId="01829A21" w14:textId="77777777" w:rsidR="001306AF" w:rsidRDefault="001306AF" w:rsidP="001306AF">
      <w:pPr>
        <w:pStyle w:val="Caption"/>
        <w:rPr>
          <w:i w:val="0"/>
          <w:iCs w:val="0"/>
          <w:color w:val="auto"/>
          <w:sz w:val="24"/>
          <w:szCs w:val="24"/>
        </w:rPr>
      </w:pPr>
    </w:p>
    <w:p w14:paraId="0A5F9A04" w14:textId="77777777" w:rsidR="001306AF" w:rsidRDefault="001306AF" w:rsidP="001306AF">
      <w:pPr>
        <w:pStyle w:val="Caption"/>
        <w:rPr>
          <w:i w:val="0"/>
          <w:iCs w:val="0"/>
          <w:color w:val="auto"/>
          <w:sz w:val="24"/>
          <w:szCs w:val="24"/>
        </w:rPr>
      </w:pPr>
    </w:p>
    <w:p w14:paraId="10A43D82" w14:textId="77777777" w:rsidR="001306AF" w:rsidRDefault="001306AF" w:rsidP="001306AF">
      <w:pPr>
        <w:pStyle w:val="Caption"/>
        <w:rPr>
          <w:i w:val="0"/>
          <w:iCs w:val="0"/>
          <w:color w:val="auto"/>
          <w:sz w:val="24"/>
          <w:szCs w:val="24"/>
        </w:rPr>
      </w:pPr>
    </w:p>
    <w:p w14:paraId="07D87018" w14:textId="77777777" w:rsidR="001306AF" w:rsidRDefault="001306AF" w:rsidP="001306AF">
      <w:pPr>
        <w:pStyle w:val="Caption"/>
        <w:rPr>
          <w:i w:val="0"/>
          <w:iCs w:val="0"/>
          <w:color w:val="auto"/>
          <w:sz w:val="24"/>
          <w:szCs w:val="24"/>
        </w:rPr>
      </w:pPr>
    </w:p>
    <w:p w14:paraId="15510BF8" w14:textId="77777777" w:rsidR="001306AF" w:rsidRDefault="001306AF" w:rsidP="001306AF">
      <w:pPr>
        <w:pStyle w:val="Caption"/>
        <w:rPr>
          <w:i w:val="0"/>
          <w:iCs w:val="0"/>
          <w:color w:val="auto"/>
          <w:sz w:val="24"/>
          <w:szCs w:val="24"/>
        </w:rPr>
      </w:pPr>
    </w:p>
    <w:p w14:paraId="6144F09C" w14:textId="77777777" w:rsidR="001306AF" w:rsidRDefault="001306AF" w:rsidP="001306AF">
      <w:pPr>
        <w:pStyle w:val="Caption"/>
        <w:rPr>
          <w:i w:val="0"/>
          <w:iCs w:val="0"/>
          <w:color w:val="auto"/>
          <w:sz w:val="24"/>
          <w:szCs w:val="24"/>
        </w:rPr>
      </w:pPr>
    </w:p>
    <w:p w14:paraId="2CCF8C1E" w14:textId="77777777" w:rsidR="001306AF" w:rsidRDefault="001306AF" w:rsidP="001306AF">
      <w:pPr>
        <w:pStyle w:val="Caption"/>
        <w:rPr>
          <w:i w:val="0"/>
          <w:iCs w:val="0"/>
          <w:color w:val="auto"/>
          <w:sz w:val="24"/>
          <w:szCs w:val="24"/>
        </w:rPr>
      </w:pPr>
    </w:p>
    <w:p w14:paraId="313F2B39" w14:textId="77777777" w:rsidR="001306AF" w:rsidRDefault="001306AF" w:rsidP="001306AF">
      <w:pPr>
        <w:pStyle w:val="Caption"/>
        <w:rPr>
          <w:i w:val="0"/>
          <w:iCs w:val="0"/>
          <w:color w:val="auto"/>
          <w:sz w:val="24"/>
          <w:szCs w:val="24"/>
        </w:rPr>
      </w:pPr>
    </w:p>
    <w:p w14:paraId="69546EA8" w14:textId="5A17B4C8" w:rsidR="001306AF" w:rsidRDefault="001306AF" w:rsidP="001306AF">
      <w:pPr>
        <w:pStyle w:val="Caption"/>
        <w:rPr>
          <w:i w:val="0"/>
          <w:iCs w:val="0"/>
          <w:color w:val="auto"/>
          <w:sz w:val="24"/>
          <w:szCs w:val="24"/>
        </w:rPr>
      </w:pPr>
      <w:bookmarkStart w:id="52" w:name="_Toc204263358"/>
      <w:r w:rsidRPr="001F1EE5">
        <w:rPr>
          <w:b/>
          <w:bCs/>
          <w:i w:val="0"/>
          <w:iCs w:val="0"/>
          <w:color w:val="auto"/>
          <w:sz w:val="24"/>
          <w:szCs w:val="24"/>
        </w:rPr>
        <w:t>Figure 2</w:t>
      </w:r>
      <w:r w:rsidR="00D24801">
        <w:rPr>
          <w:b/>
          <w:bCs/>
          <w:i w:val="0"/>
          <w:iCs w:val="0"/>
          <w:color w:val="auto"/>
          <w:sz w:val="24"/>
          <w:szCs w:val="24"/>
        </w:rPr>
        <w:t>.</w:t>
      </w:r>
      <w:r w:rsidR="00D24801">
        <w:rPr>
          <w:b/>
          <w:bCs/>
          <w:i w:val="0"/>
          <w:iCs w:val="0"/>
          <w:color w:val="auto"/>
          <w:sz w:val="24"/>
          <w:szCs w:val="24"/>
        </w:rPr>
        <w:fldChar w:fldCharType="begin"/>
      </w:r>
      <w:r w:rsidR="00D24801">
        <w:rPr>
          <w:b/>
          <w:bCs/>
          <w:i w:val="0"/>
          <w:iCs w:val="0"/>
          <w:color w:val="auto"/>
          <w:sz w:val="24"/>
          <w:szCs w:val="24"/>
        </w:rPr>
        <w:instrText xml:space="preserve"> SEQ Figure \* ARABIC \s 1 </w:instrText>
      </w:r>
      <w:r w:rsidR="00D24801">
        <w:rPr>
          <w:b/>
          <w:bCs/>
          <w:i w:val="0"/>
          <w:iCs w:val="0"/>
          <w:color w:val="auto"/>
          <w:sz w:val="24"/>
          <w:szCs w:val="24"/>
        </w:rPr>
        <w:fldChar w:fldCharType="separate"/>
      </w:r>
      <w:r w:rsidR="00D24801">
        <w:rPr>
          <w:b/>
          <w:bCs/>
          <w:i w:val="0"/>
          <w:iCs w:val="0"/>
          <w:noProof/>
          <w:color w:val="auto"/>
          <w:sz w:val="24"/>
          <w:szCs w:val="24"/>
        </w:rPr>
        <w:t>7</w:t>
      </w:r>
      <w:r w:rsidR="00D24801">
        <w:rPr>
          <w:b/>
          <w:bCs/>
          <w:i w:val="0"/>
          <w:iCs w:val="0"/>
          <w:color w:val="auto"/>
          <w:sz w:val="24"/>
          <w:szCs w:val="24"/>
        </w:rPr>
        <w:fldChar w:fldCharType="end"/>
      </w:r>
      <w:r w:rsidRPr="00994531">
        <w:rPr>
          <w:i w:val="0"/>
          <w:iCs w:val="0"/>
          <w:color w:val="auto"/>
          <w:sz w:val="24"/>
          <w:szCs w:val="24"/>
        </w:rPr>
        <w:t>: Temporal distribution of hot moments (red bars) and background emissions (blue bars) as predicted by the top three performing methods in the testing dataset, compared to the labeled data, using a bin width of five days (a). Histogram of the proportion of hot moments in time-series data as predicted by each method. 1.5 IQR rarely predicted hot moments to comprise more than 20% of a dataset, and more often tended to identify 15-20% of data as anomalous.</w:t>
      </w:r>
      <w:bookmarkEnd w:id="52"/>
    </w:p>
    <w:p w14:paraId="1388FE10" w14:textId="77777777" w:rsidR="00AE1FE3" w:rsidRPr="00AD14D2" w:rsidRDefault="00AE1FE3" w:rsidP="00AE1FE3">
      <w:pPr>
        <w:rPr>
          <w:noProof/>
        </w:rPr>
      </w:pPr>
      <w:r w:rsidRPr="00994531">
        <w:rPr>
          <w:noProof/>
        </w:rPr>
        <w:lastRenderedPageBreak/>
        <mc:AlternateContent>
          <mc:Choice Requires="wps">
            <w:drawing>
              <wp:anchor distT="45720" distB="45720" distL="114300" distR="114300" simplePos="0" relativeHeight="251658243" behindDoc="0" locked="0" layoutInCell="1" allowOverlap="1" wp14:anchorId="2828F986" wp14:editId="4DE38C32">
                <wp:simplePos x="0" y="0"/>
                <wp:positionH relativeFrom="column">
                  <wp:posOffset>-635618</wp:posOffset>
                </wp:positionH>
                <wp:positionV relativeFrom="paragraph">
                  <wp:posOffset>694690</wp:posOffset>
                </wp:positionV>
                <wp:extent cx="1591377" cy="323116"/>
                <wp:effectExtent l="5715" t="0" r="0" b="0"/>
                <wp:wrapNone/>
                <wp:docPr id="201522016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1591377" cy="323116"/>
                        </a:xfrm>
                        <a:prstGeom prst="rect">
                          <a:avLst/>
                        </a:prstGeom>
                        <a:solidFill>
                          <a:srgbClr val="FFFFFF"/>
                        </a:solidFill>
                        <a:ln w="9525">
                          <a:noFill/>
                          <a:miter lim="800000"/>
                          <a:headEnd/>
                          <a:tailEnd/>
                        </a:ln>
                      </wps:spPr>
                      <wps:txbx>
                        <w:txbxContent>
                          <w:p w14:paraId="1A74F288" w14:textId="77777777" w:rsidR="00AE1FE3" w:rsidRPr="001F1EE5" w:rsidRDefault="00AE1FE3" w:rsidP="00E41A83">
                            <w:pPr>
                              <w:ind w:left="630"/>
                              <w:rPr>
                                <w:sz w:val="16"/>
                                <w:szCs w:val="16"/>
                              </w:rPr>
                            </w:pPr>
                            <w:r w:rsidRPr="001F1EE5">
                              <w:rPr>
                                <w:sz w:val="16"/>
                                <w:szCs w:val="16"/>
                              </w:rPr>
                              <w:t>Flux (g N ha</w:t>
                            </w:r>
                            <w:r w:rsidRPr="001F1EE5">
                              <w:rPr>
                                <w:sz w:val="16"/>
                                <w:szCs w:val="16"/>
                                <w:vertAlign w:val="superscript"/>
                              </w:rPr>
                              <w:t>-1</w:t>
                            </w:r>
                            <w:r w:rsidRPr="001F1EE5">
                              <w:rPr>
                                <w:sz w:val="16"/>
                                <w:szCs w:val="16"/>
                              </w:rPr>
                              <w:t xml:space="preserve"> d</w:t>
                            </w:r>
                            <w:r w:rsidRPr="001F1EE5">
                              <w:rPr>
                                <w:sz w:val="16"/>
                                <w:szCs w:val="16"/>
                                <w:vertAlign w:val="superscript"/>
                              </w:rPr>
                              <w:t>-1</w:t>
                            </w:r>
                            <w:r w:rsidRPr="001F1EE5">
                              <w:rPr>
                                <w:sz w:val="16"/>
                                <w:szCs w:val="16"/>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828F986" id="Text Box 2" o:spid="_x0000_s1029" type="#_x0000_t202" style="position:absolute;margin-left:-50.05pt;margin-top:54.7pt;width:125.3pt;height:25.45pt;rotation:-90;z-index:25165824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" stroked="f">
                <v:textbox>
                  <w:txbxContent>
                    <w:p w14:paraId="1A74F288" w14:textId="77777777" w:rsidR="00AE1FE3" w:rsidRPr="001F1EE5" w:rsidRDefault="00AE1FE3" w:rsidP="00E41A83">
                      <w:pPr>
                        <w:ind w:left="630"/>
                        <w:rPr>
                          <w:sz w:val="16"/>
                          <w:szCs w:val="16"/>
                        </w:rPr>
                      </w:pPr>
                      <w:r w:rsidRPr="001F1EE5">
                        <w:rPr>
                          <w:sz w:val="16"/>
                          <w:szCs w:val="16"/>
                        </w:rPr>
                        <w:t>Flux (g N ha</w:t>
                      </w:r>
                      <w:r w:rsidRPr="001F1EE5">
                        <w:rPr>
                          <w:sz w:val="16"/>
                          <w:szCs w:val="16"/>
                          <w:vertAlign w:val="superscript"/>
                        </w:rPr>
                        <w:t>-1</w:t>
                      </w:r>
                      <w:r w:rsidRPr="001F1EE5">
                        <w:rPr>
                          <w:sz w:val="16"/>
                          <w:szCs w:val="16"/>
                        </w:rPr>
                        <w:t xml:space="preserve"> d</w:t>
                      </w:r>
                      <w:r w:rsidRPr="001F1EE5">
                        <w:rPr>
                          <w:sz w:val="16"/>
                          <w:szCs w:val="16"/>
                          <w:vertAlign w:val="superscript"/>
                        </w:rPr>
                        <w:t>-1</w:t>
                      </w:r>
                      <w:r w:rsidRPr="001F1EE5">
                        <w:rPr>
                          <w:sz w:val="16"/>
                          <w:szCs w:val="16"/>
                        </w:rPr>
                        <w:t>)</w:t>
                      </w:r>
                    </w:p>
                  </w:txbxContent>
                </v:textbox>
              </v:shape>
            </w:pict>
          </mc:Fallback>
        </mc:AlternateContent>
      </w:r>
      <w:r w:rsidRPr="00994531">
        <w:rPr>
          <w:noProof/>
        </w:rPr>
        <w:drawing>
          <wp:inline distT="0" distB="0" distL="0" distR="0" wp14:anchorId="66101225" wp14:editId="46663C14">
            <wp:extent cx="2880026" cy="1532376"/>
            <wp:effectExtent l="0" t="0" r="0" b="0"/>
            <wp:docPr id="738555294"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8555294" name=""/>
                    <pic:cNvPicPr/>
                  </pic:nvPicPr>
                  <pic:blipFill rotWithShape="1">
                    <a:blip r:embed="rId26">
                      <a:extLst>
                        <a:ext uri="{96DAC541-7B7A-43D3-8B79-37D633B846F1}">
                          <asvg:svgBlip xmlns:asvg="http://schemas.microsoft.com/office/drawing/2016/SVG/main" r:embed="rId27"/>
                        </a:ext>
                      </a:extLst>
                    </a:blip>
                    <a:srcRect b="50107"/>
                    <a:stretch>
                      <a:fillRect/>
                    </a:stretch>
                  </pic:blipFill>
                  <pic:spPr bwMode="auto">
                    <a:xfrm>
                      <a:off x="0" y="0"/>
                      <a:ext cx="2921605" cy="1554499"/>
                    </a:xfrm>
                    <a:prstGeom prst="rect">
                      <a:avLst/>
                    </a:prstGeom>
                    <a:ln>
                      <a:noFill/>
                    </a:ln>
                    <a:extLst>
                      <a:ext uri="{53640926-AAD7-44D8-BBD7-CCE9431645EC}">
                        <a14:shadowObscured xmlns:a14="http://schemas.microsoft.com/office/drawing/2010/main"/>
                      </a:ext>
                    </a:extLst>
                  </pic:spPr>
                </pic:pic>
              </a:graphicData>
            </a:graphic>
          </wp:inline>
        </w:drawing>
      </w:r>
      <w:r w:rsidRPr="00994531">
        <w:rPr>
          <w:noProof/>
        </w:rPr>
        <w:drawing>
          <wp:inline distT="0" distB="0" distL="0" distR="0" wp14:anchorId="1CD14A9F" wp14:editId="242865CB">
            <wp:extent cx="2866390" cy="1532815"/>
            <wp:effectExtent l="0" t="0" r="0" b="0"/>
            <wp:docPr id="749087316"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8555294" name=""/>
                    <pic:cNvPicPr/>
                  </pic:nvPicPr>
                  <pic:blipFill rotWithShape="1">
                    <a:blip r:embed="rId26">
                      <a:extLst>
                        <a:ext uri="{96DAC541-7B7A-43D3-8B79-37D633B846F1}">
                          <asvg:svgBlip xmlns:asvg="http://schemas.microsoft.com/office/drawing/2016/SVG/main" r:embed="rId27"/>
                        </a:ext>
                      </a:extLst>
                    </a:blip>
                    <a:srcRect t="49856"/>
                    <a:stretch>
                      <a:fillRect/>
                    </a:stretch>
                  </pic:blipFill>
                  <pic:spPr bwMode="auto">
                    <a:xfrm>
                      <a:off x="0" y="0"/>
                      <a:ext cx="2889908" cy="1545391"/>
                    </a:xfrm>
                    <a:prstGeom prst="rect">
                      <a:avLst/>
                    </a:prstGeom>
                    <a:ln>
                      <a:noFill/>
                    </a:ln>
                    <a:extLst>
                      <a:ext uri="{53640926-AAD7-44D8-BBD7-CCE9431645EC}">
                        <a14:shadowObscured xmlns:a14="http://schemas.microsoft.com/office/drawing/2010/main"/>
                      </a:ext>
                    </a:extLst>
                  </pic:spPr>
                </pic:pic>
              </a:graphicData>
            </a:graphic>
          </wp:inline>
        </w:drawing>
      </w:r>
    </w:p>
    <w:p w14:paraId="04ADCBED" w14:textId="566B72D5" w:rsidR="00AE1FE3" w:rsidRPr="00AE1FE3" w:rsidRDefault="00AE1FE3" w:rsidP="00AE1FE3">
      <w:pPr>
        <w:pStyle w:val="Caption"/>
        <w:rPr>
          <w:b/>
          <w:bCs/>
          <w:i w:val="0"/>
          <w:iCs w:val="0"/>
          <w:color w:val="auto"/>
          <w:sz w:val="24"/>
          <w:szCs w:val="24"/>
        </w:rPr>
      </w:pPr>
      <w:bookmarkStart w:id="53" w:name="_Toc204263359"/>
      <w:r w:rsidRPr="001F1EE5">
        <w:rPr>
          <w:b/>
          <w:bCs/>
          <w:i w:val="0"/>
          <w:iCs w:val="0"/>
          <w:color w:val="auto"/>
          <w:sz w:val="24"/>
          <w:szCs w:val="24"/>
        </w:rPr>
        <w:t>Figure 2.</w:t>
      </w:r>
      <w:r w:rsidR="00D24801">
        <w:rPr>
          <w:b/>
          <w:bCs/>
          <w:i w:val="0"/>
          <w:iCs w:val="0"/>
          <w:color w:val="auto"/>
          <w:sz w:val="24"/>
          <w:szCs w:val="24"/>
        </w:rPr>
        <w:fldChar w:fldCharType="begin"/>
      </w:r>
      <w:r w:rsidR="00D24801">
        <w:rPr>
          <w:b/>
          <w:bCs/>
          <w:i w:val="0"/>
          <w:iCs w:val="0"/>
          <w:color w:val="auto"/>
          <w:sz w:val="24"/>
          <w:szCs w:val="24"/>
        </w:rPr>
        <w:instrText xml:space="preserve"> SEQ Figure \* ARABIC \s 1 </w:instrText>
      </w:r>
      <w:r w:rsidR="00D24801">
        <w:rPr>
          <w:b/>
          <w:bCs/>
          <w:i w:val="0"/>
          <w:iCs w:val="0"/>
          <w:color w:val="auto"/>
          <w:sz w:val="24"/>
          <w:szCs w:val="24"/>
        </w:rPr>
        <w:fldChar w:fldCharType="separate"/>
      </w:r>
      <w:r w:rsidR="00D24801">
        <w:rPr>
          <w:b/>
          <w:bCs/>
          <w:i w:val="0"/>
          <w:iCs w:val="0"/>
          <w:noProof/>
          <w:color w:val="auto"/>
          <w:sz w:val="24"/>
          <w:szCs w:val="24"/>
        </w:rPr>
        <w:t>8</w:t>
      </w:r>
      <w:r w:rsidR="00D24801">
        <w:rPr>
          <w:b/>
          <w:bCs/>
          <w:i w:val="0"/>
          <w:iCs w:val="0"/>
          <w:color w:val="auto"/>
          <w:sz w:val="24"/>
          <w:szCs w:val="24"/>
        </w:rPr>
        <w:fldChar w:fldCharType="end"/>
      </w:r>
      <w:r w:rsidRPr="00994531">
        <w:rPr>
          <w:i w:val="0"/>
          <w:iCs w:val="0"/>
          <w:color w:val="auto"/>
          <w:sz w:val="24"/>
          <w:szCs w:val="24"/>
        </w:rPr>
        <w:t>: Example visual demonstration of anomaly detection method performance in hot moment identification using a sample time-series data. N</w:t>
      </w:r>
      <w:r w:rsidRPr="00994531">
        <w:rPr>
          <w:i w:val="0"/>
          <w:iCs w:val="0"/>
          <w:color w:val="auto"/>
          <w:sz w:val="24"/>
          <w:szCs w:val="24"/>
          <w:vertAlign w:val="subscript"/>
        </w:rPr>
        <w:t>2</w:t>
      </w:r>
      <w:r w:rsidRPr="00994531">
        <w:rPr>
          <w:i w:val="0"/>
          <w:iCs w:val="0"/>
          <w:color w:val="auto"/>
          <w:sz w:val="24"/>
          <w:szCs w:val="24"/>
        </w:rPr>
        <w:t>O flux measurements identified as hot moments are highlighted in red, while background emissions are presented in blue. 1.5 IQR identified only extreme anomalies as hot moments above 60 g N ha</w:t>
      </w:r>
      <w:r w:rsidRPr="00994531">
        <w:rPr>
          <w:i w:val="0"/>
          <w:iCs w:val="0"/>
          <w:color w:val="auto"/>
          <w:sz w:val="24"/>
          <w:szCs w:val="24"/>
          <w:vertAlign w:val="superscript"/>
        </w:rPr>
        <w:t>-1</w:t>
      </w:r>
      <w:r w:rsidRPr="00994531">
        <w:rPr>
          <w:i w:val="0"/>
          <w:iCs w:val="0"/>
          <w:color w:val="auto"/>
          <w:sz w:val="24"/>
          <w:szCs w:val="24"/>
        </w:rPr>
        <w:t xml:space="preserve"> d</w:t>
      </w:r>
      <w:r w:rsidRPr="00994531">
        <w:rPr>
          <w:i w:val="0"/>
          <w:iCs w:val="0"/>
          <w:color w:val="auto"/>
          <w:sz w:val="24"/>
          <w:szCs w:val="24"/>
          <w:vertAlign w:val="superscript"/>
        </w:rPr>
        <w:t>-1</w:t>
      </w:r>
      <w:r w:rsidRPr="00994531">
        <w:rPr>
          <w:i w:val="0"/>
          <w:iCs w:val="0"/>
          <w:color w:val="auto"/>
          <w:sz w:val="24"/>
          <w:szCs w:val="24"/>
        </w:rPr>
        <w:t>, while MCD and MAD</w:t>
      </w:r>
      <w:r w:rsidR="003A6D75" w:rsidRPr="00994531">
        <w:rPr>
          <w:i w:val="0"/>
          <w:color w:val="auto"/>
          <w:sz w:val="24"/>
          <w:szCs w:val="24"/>
        </w:rPr>
        <w:t xml:space="preserve"> were </w:t>
      </w:r>
      <w:r w:rsidRPr="00994531">
        <w:rPr>
          <w:i w:val="0"/>
          <w:iCs w:val="0"/>
          <w:color w:val="auto"/>
          <w:sz w:val="24"/>
          <w:szCs w:val="24"/>
        </w:rPr>
        <w:t>much more sensitive, identifying smaller hot moments with flux magnitudes of 30 g N ha</w:t>
      </w:r>
      <w:r w:rsidRPr="00994531">
        <w:rPr>
          <w:i w:val="0"/>
          <w:iCs w:val="0"/>
          <w:color w:val="auto"/>
          <w:sz w:val="24"/>
          <w:szCs w:val="24"/>
          <w:vertAlign w:val="superscript"/>
        </w:rPr>
        <w:t>-1</w:t>
      </w:r>
      <w:r w:rsidRPr="00994531">
        <w:rPr>
          <w:i w:val="0"/>
          <w:iCs w:val="0"/>
          <w:color w:val="auto"/>
          <w:sz w:val="24"/>
          <w:szCs w:val="24"/>
        </w:rPr>
        <w:t xml:space="preserve"> d</w:t>
      </w:r>
      <w:r w:rsidRPr="00994531">
        <w:rPr>
          <w:i w:val="0"/>
          <w:iCs w:val="0"/>
          <w:color w:val="auto"/>
          <w:sz w:val="24"/>
          <w:szCs w:val="24"/>
          <w:vertAlign w:val="superscript"/>
        </w:rPr>
        <w:t>-1</w:t>
      </w:r>
      <w:r w:rsidRPr="00994531">
        <w:rPr>
          <w:i w:val="0"/>
          <w:iCs w:val="0"/>
          <w:color w:val="auto"/>
          <w:sz w:val="24"/>
          <w:szCs w:val="24"/>
        </w:rPr>
        <w:t>.</w:t>
      </w:r>
      <w:bookmarkEnd w:id="53"/>
    </w:p>
    <w:p w14:paraId="6B6A7A23" w14:textId="297B9271" w:rsidR="003A6D75" w:rsidRDefault="003A6D75" w:rsidP="001B567A">
      <w:pPr>
        <w:spacing w:after="0" w:line="480" w:lineRule="auto"/>
      </w:pPr>
      <w:r w:rsidRPr="00994531">
        <w:t>large hot moment in early summer during which the fluxes rose above 130 g N ha</w:t>
      </w:r>
      <w:r w:rsidRPr="00994531">
        <w:rPr>
          <w:vertAlign w:val="superscript"/>
        </w:rPr>
        <w:t xml:space="preserve">-1 </w:t>
      </w:r>
      <w:r w:rsidRPr="00994531">
        <w:t>d</w:t>
      </w:r>
      <w:r w:rsidRPr="00994531">
        <w:rPr>
          <w:vertAlign w:val="superscript"/>
        </w:rPr>
        <w:t>-1</w:t>
      </w:r>
      <w:r w:rsidRPr="00994531">
        <w:t xml:space="preserve"> and remained elevated over a month. 1.5 IQR identified the most extreme anomalies above 60 g N ha</w:t>
      </w:r>
      <w:r w:rsidRPr="00994531">
        <w:rPr>
          <w:vertAlign w:val="superscript"/>
        </w:rPr>
        <w:t>-1</w:t>
      </w:r>
      <w:r w:rsidRPr="00994531">
        <w:t xml:space="preserve"> d</w:t>
      </w:r>
      <w:r w:rsidRPr="00994531">
        <w:rPr>
          <w:vertAlign w:val="superscript"/>
        </w:rPr>
        <w:t>-1</w:t>
      </w:r>
      <w:r w:rsidRPr="00994531">
        <w:t xml:space="preserve"> as hot moments but missed emissions between 30 and 50 g N ha</w:t>
      </w:r>
      <w:r w:rsidRPr="00994531">
        <w:rPr>
          <w:vertAlign w:val="superscript"/>
        </w:rPr>
        <w:t>-1</w:t>
      </w:r>
      <w:r w:rsidRPr="00994531">
        <w:t xml:space="preserve"> d</w:t>
      </w:r>
      <w:r w:rsidRPr="00994531">
        <w:rPr>
          <w:vertAlign w:val="superscript"/>
        </w:rPr>
        <w:t>-1</w:t>
      </w:r>
      <w:r w:rsidRPr="00994531">
        <w:t xml:space="preserve"> labeled as hot moments. This mislabeling illustrates how the performance of this method degrades as hot</w:t>
      </w:r>
      <w:r>
        <w:t xml:space="preserve"> </w:t>
      </w:r>
      <w:r w:rsidRPr="00994531">
        <w:t>moments become more extreme and common. On the other hand, MCD and MAD resulted in</w:t>
      </w:r>
      <w:r w:rsidR="00054BA3">
        <w:t xml:space="preserve"> </w:t>
      </w:r>
      <w:r w:rsidR="00054BA3" w:rsidRPr="00994531">
        <w:t>much tighter ranges of background emissions and were more sensitive to smaller hot moments around 30 g N ha</w:t>
      </w:r>
      <w:r w:rsidR="00054BA3" w:rsidRPr="00994531">
        <w:rPr>
          <w:vertAlign w:val="superscript"/>
        </w:rPr>
        <w:t>-1</w:t>
      </w:r>
      <w:r w:rsidR="00054BA3" w:rsidRPr="00994531">
        <w:t xml:space="preserve"> d</w:t>
      </w:r>
      <w:r w:rsidR="00054BA3" w:rsidRPr="00994531">
        <w:rPr>
          <w:vertAlign w:val="superscript"/>
        </w:rPr>
        <w:t>-1</w:t>
      </w:r>
      <w:r w:rsidR="00054BA3" w:rsidRPr="00994531">
        <w:t>.</w:t>
      </w:r>
    </w:p>
    <w:p w14:paraId="5F220C6B" w14:textId="2D9EF44A" w:rsidR="00600D84" w:rsidRPr="00994531" w:rsidRDefault="00600D84" w:rsidP="001B567A">
      <w:pPr>
        <w:pStyle w:val="Heading3"/>
      </w:pPr>
      <w:bookmarkStart w:id="54" w:name="_Toc204282753"/>
      <w:r w:rsidRPr="00994531">
        <w:t xml:space="preserve">Hot </w:t>
      </w:r>
      <w:r w:rsidR="00EE0E17">
        <w:t>m</w:t>
      </w:r>
      <w:r w:rsidRPr="00994531">
        <w:t xml:space="preserve">oments and </w:t>
      </w:r>
      <w:r w:rsidR="00EE0E17">
        <w:t>o</w:t>
      </w:r>
      <w:r w:rsidRPr="00994531">
        <w:t>verall N</w:t>
      </w:r>
      <w:r w:rsidRPr="00994531">
        <w:rPr>
          <w:vertAlign w:val="subscript"/>
        </w:rPr>
        <w:t>2</w:t>
      </w:r>
      <w:r w:rsidRPr="00994531">
        <w:t xml:space="preserve">O </w:t>
      </w:r>
      <w:r w:rsidR="00EE0E17">
        <w:t>e</w:t>
      </w:r>
      <w:r w:rsidRPr="00994531">
        <w:t>missions</w:t>
      </w:r>
      <w:bookmarkEnd w:id="54"/>
    </w:p>
    <w:p w14:paraId="400460B7" w14:textId="46C0BAB3" w:rsidR="007D56A9" w:rsidRDefault="00600D84" w:rsidP="001B567A">
      <w:pPr>
        <w:spacing w:after="0" w:line="480" w:lineRule="auto"/>
      </w:pPr>
      <w:r w:rsidRPr="00994531">
        <w:t>The mean flux of hot moments estimated by both MCD and MAD classifications was statistically equivalent to that estimated from context-informed data labels (</w:t>
      </w:r>
      <w:r w:rsidRPr="006F1E7D">
        <w:rPr>
          <w:b/>
          <w:bCs/>
        </w:rPr>
        <w:t>Table 2.4</w:t>
      </w:r>
      <w:r w:rsidRPr="00994531">
        <w:t>). 1.5 IQR</w:t>
      </w:r>
      <w:r w:rsidR="00150A6A">
        <w:t xml:space="preserve"> </w:t>
      </w:r>
      <w:r w:rsidR="00150A6A" w:rsidRPr="00994531">
        <w:t>estimated higher mean and median fluxes of both hot moments and background emissions</w:t>
      </w:r>
      <w:r w:rsidR="00150A6A">
        <w:t xml:space="preserve"> </w:t>
      </w:r>
      <w:r w:rsidR="00150A6A" w:rsidRPr="00994531">
        <w:t>compared to context-informed data labels, which can be attributed to its low true positive rate (and therefore high false negative rate) compared to most other methods (</w:t>
      </w:r>
      <w:r w:rsidR="00150A6A" w:rsidRPr="006F1E7D">
        <w:rPr>
          <w:b/>
          <w:bCs/>
        </w:rPr>
        <w:t>Table 2.3</w:t>
      </w:r>
      <w:r w:rsidR="00150A6A" w:rsidRPr="00994531">
        <w:t>), which increased the estimates of the background level and typical hot mo</w:t>
      </w:r>
      <w:r w:rsidR="00150A6A">
        <w:t>ment flux.</w:t>
      </w:r>
    </w:p>
    <w:p w14:paraId="0CA0D80F" w14:textId="7F3A861A" w:rsidR="007D56A9" w:rsidRPr="004A6F85" w:rsidRDefault="004A6F85" w:rsidP="001B567A">
      <w:pPr>
        <w:spacing w:after="0" w:line="480" w:lineRule="auto"/>
        <w:rPr>
          <w:i/>
          <w:szCs w:val="24"/>
        </w:rPr>
      </w:pPr>
      <w:r w:rsidRPr="00994531">
        <w:t>The proportion of measurements classified as hot moments across all 170 time series datasets</w:t>
      </w:r>
    </w:p>
    <w:p w14:paraId="75F913D2" w14:textId="358E54D7" w:rsidR="000F473A" w:rsidRPr="000F473A" w:rsidRDefault="000F473A" w:rsidP="000F473A">
      <w:pPr>
        <w:pStyle w:val="Caption"/>
        <w:keepNext/>
        <w:rPr>
          <w:i w:val="0"/>
          <w:iCs w:val="0"/>
          <w:color w:val="auto"/>
          <w:sz w:val="24"/>
          <w:szCs w:val="24"/>
        </w:rPr>
      </w:pPr>
      <w:bookmarkStart w:id="55" w:name="_Toc204261963"/>
      <w:r w:rsidRPr="000F473A">
        <w:rPr>
          <w:b/>
          <w:bCs/>
          <w:i w:val="0"/>
          <w:iCs w:val="0"/>
          <w:color w:val="auto"/>
          <w:sz w:val="24"/>
          <w:szCs w:val="24"/>
        </w:rPr>
        <w:lastRenderedPageBreak/>
        <w:t xml:space="preserve">Table </w:t>
      </w:r>
      <w:r>
        <w:rPr>
          <w:b/>
          <w:bCs/>
          <w:i w:val="0"/>
          <w:iCs w:val="0"/>
          <w:color w:val="auto"/>
          <w:sz w:val="24"/>
          <w:szCs w:val="24"/>
        </w:rPr>
        <w:t>2</w:t>
      </w:r>
      <w:r w:rsidR="00827B75">
        <w:rPr>
          <w:b/>
          <w:bCs/>
          <w:i w:val="0"/>
          <w:iCs w:val="0"/>
          <w:color w:val="auto"/>
          <w:sz w:val="24"/>
          <w:szCs w:val="24"/>
        </w:rPr>
        <w:t>.</w:t>
      </w:r>
      <w:r w:rsidR="00827B75">
        <w:rPr>
          <w:b/>
          <w:bCs/>
          <w:i w:val="0"/>
          <w:iCs w:val="0"/>
          <w:color w:val="auto"/>
          <w:sz w:val="24"/>
          <w:szCs w:val="24"/>
        </w:rPr>
        <w:fldChar w:fldCharType="begin"/>
      </w:r>
      <w:r w:rsidR="00827B75">
        <w:rPr>
          <w:b/>
          <w:bCs/>
          <w:i w:val="0"/>
          <w:iCs w:val="0"/>
          <w:color w:val="auto"/>
          <w:sz w:val="24"/>
          <w:szCs w:val="24"/>
        </w:rPr>
        <w:instrText xml:space="preserve"> SEQ Table \* ARABIC \s 1 </w:instrText>
      </w:r>
      <w:r w:rsidR="00827B75">
        <w:rPr>
          <w:b/>
          <w:bCs/>
          <w:i w:val="0"/>
          <w:iCs w:val="0"/>
          <w:color w:val="auto"/>
          <w:sz w:val="24"/>
          <w:szCs w:val="24"/>
        </w:rPr>
        <w:fldChar w:fldCharType="separate"/>
      </w:r>
      <w:r w:rsidR="00827B75">
        <w:rPr>
          <w:b/>
          <w:bCs/>
          <w:i w:val="0"/>
          <w:iCs w:val="0"/>
          <w:noProof/>
          <w:color w:val="auto"/>
          <w:sz w:val="24"/>
          <w:szCs w:val="24"/>
        </w:rPr>
        <w:t>4</w:t>
      </w:r>
      <w:r w:rsidR="00827B75">
        <w:rPr>
          <w:b/>
          <w:bCs/>
          <w:i w:val="0"/>
          <w:iCs w:val="0"/>
          <w:color w:val="auto"/>
          <w:sz w:val="24"/>
          <w:szCs w:val="24"/>
        </w:rPr>
        <w:fldChar w:fldCharType="end"/>
      </w:r>
      <w:r w:rsidR="00150A6A" w:rsidRPr="00994531">
        <w:rPr>
          <w:i w:val="0"/>
          <w:iCs w:val="0"/>
          <w:color w:val="auto"/>
          <w:sz w:val="24"/>
          <w:szCs w:val="24"/>
        </w:rPr>
        <w:t>: Mean daily soil N</w:t>
      </w:r>
      <w:r w:rsidR="00150A6A" w:rsidRPr="00994531">
        <w:rPr>
          <w:i w:val="0"/>
          <w:iCs w:val="0"/>
          <w:color w:val="auto"/>
          <w:sz w:val="24"/>
          <w:szCs w:val="24"/>
          <w:vertAlign w:val="subscript"/>
        </w:rPr>
        <w:t>2</w:t>
      </w:r>
      <w:r w:rsidR="00150A6A" w:rsidRPr="00994531">
        <w:rPr>
          <w:i w:val="0"/>
          <w:iCs w:val="0"/>
          <w:color w:val="auto"/>
          <w:sz w:val="24"/>
          <w:szCs w:val="24"/>
        </w:rPr>
        <w:t>O flux of background emissions and hot moments emissions, as determined by context-informed labeled data, MAD, MCD, and 1.5 IQR classification methods. The mean values are associated with 95% confidence interval.</w:t>
      </w:r>
      <w:bookmarkEnd w:id="55"/>
    </w:p>
    <w:tbl>
      <w:tblPr>
        <w:tblW w:w="9642" w:type="dxa"/>
        <w:tblLayout w:type="fixed"/>
        <w:tblCellMar>
          <w:left w:w="0" w:type="dxa"/>
          <w:right w:w="0" w:type="dxa"/>
        </w:tblCellMar>
        <w:tblLook w:val="0400" w:firstRow="0" w:lastRow="0" w:firstColumn="0" w:lastColumn="0" w:noHBand="0" w:noVBand="1"/>
      </w:tblPr>
      <w:tblGrid>
        <w:gridCol w:w="1071"/>
        <w:gridCol w:w="639"/>
        <w:gridCol w:w="450"/>
        <w:gridCol w:w="1054"/>
        <w:gridCol w:w="1071"/>
        <w:gridCol w:w="1115"/>
        <w:gridCol w:w="1028"/>
        <w:gridCol w:w="1071"/>
        <w:gridCol w:w="1071"/>
        <w:gridCol w:w="1072"/>
      </w:tblGrid>
      <w:tr w:rsidR="00600D84" w:rsidRPr="00994531" w14:paraId="36D5A75A" w14:textId="77777777">
        <w:trPr>
          <w:trHeight w:val="348"/>
        </w:trPr>
        <w:tc>
          <w:tcPr>
            <w:tcW w:w="1710" w:type="dxa"/>
            <w:gridSpan w:val="2"/>
            <w:tcBorders>
              <w:top w:val="single" w:sz="4" w:space="0" w:color="auto"/>
              <w:bottom w:val="single" w:sz="12" w:space="0" w:color="auto"/>
            </w:tcBorders>
          </w:tcPr>
          <w:p w14:paraId="4F0981BF" w14:textId="77777777" w:rsidR="00600D84" w:rsidRPr="00994531" w:rsidRDefault="00600D84">
            <w:pPr>
              <w:spacing w:line="240" w:lineRule="auto"/>
              <w:jc w:val="center"/>
            </w:pPr>
          </w:p>
        </w:tc>
        <w:tc>
          <w:tcPr>
            <w:tcW w:w="3690" w:type="dxa"/>
            <w:gridSpan w:val="4"/>
            <w:tcBorders>
              <w:top w:val="single" w:sz="4" w:space="0" w:color="auto"/>
              <w:bottom w:val="single" w:sz="12" w:space="0" w:color="auto"/>
              <w:right w:val="single" w:sz="4" w:space="0" w:color="auto"/>
            </w:tcBorders>
          </w:tcPr>
          <w:p w14:paraId="3AC35853" w14:textId="77777777" w:rsidR="00600D84" w:rsidRPr="00994531" w:rsidRDefault="00600D84">
            <w:pPr>
              <w:spacing w:line="240" w:lineRule="auto"/>
            </w:pPr>
            <w:r w:rsidRPr="00994531">
              <w:t>Hot moment emissions (g N ha</w:t>
            </w:r>
            <w:r w:rsidRPr="00994531">
              <w:rPr>
                <w:vertAlign w:val="superscript"/>
              </w:rPr>
              <w:t>-1</w:t>
            </w:r>
            <w:r w:rsidRPr="00994531">
              <w:t xml:space="preserve"> d</w:t>
            </w:r>
            <w:r w:rsidRPr="00994531">
              <w:rPr>
                <w:vertAlign w:val="superscript"/>
              </w:rPr>
              <w:t>-1</w:t>
            </w:r>
            <w:r w:rsidRPr="00994531">
              <w:t>)</w:t>
            </w:r>
          </w:p>
        </w:tc>
        <w:tc>
          <w:tcPr>
            <w:tcW w:w="4242" w:type="dxa"/>
            <w:gridSpan w:val="4"/>
            <w:tcBorders>
              <w:top w:val="single" w:sz="4" w:space="0" w:color="auto"/>
              <w:left w:val="single" w:sz="4" w:space="0" w:color="auto"/>
            </w:tcBorders>
          </w:tcPr>
          <w:p w14:paraId="73203D1E" w14:textId="77777777" w:rsidR="00600D84" w:rsidRPr="00994531" w:rsidRDefault="00600D84">
            <w:pPr>
              <w:spacing w:line="240" w:lineRule="auto"/>
              <w:jc w:val="center"/>
            </w:pPr>
            <w:r w:rsidRPr="00994531">
              <w:t>Background emission (g N ha</w:t>
            </w:r>
            <w:r w:rsidRPr="00994531">
              <w:rPr>
                <w:vertAlign w:val="superscript"/>
              </w:rPr>
              <w:t>-1</w:t>
            </w:r>
            <w:r w:rsidRPr="00994531">
              <w:t xml:space="preserve"> d</w:t>
            </w:r>
            <w:r w:rsidRPr="00994531">
              <w:rPr>
                <w:vertAlign w:val="superscript"/>
              </w:rPr>
              <w:t>-1</w:t>
            </w:r>
            <w:r w:rsidRPr="00994531">
              <w:t>)</w:t>
            </w:r>
          </w:p>
        </w:tc>
      </w:tr>
      <w:tr w:rsidR="00600D84" w:rsidRPr="00994531" w14:paraId="2A203DEB" w14:textId="77777777">
        <w:trPr>
          <w:trHeight w:val="529"/>
        </w:trPr>
        <w:tc>
          <w:tcPr>
            <w:tcW w:w="1071" w:type="dxa"/>
            <w:tcBorders>
              <w:top w:val="single" w:sz="12" w:space="0" w:color="auto"/>
              <w:bottom w:val="single" w:sz="6" w:space="0" w:color="auto"/>
            </w:tcBorders>
          </w:tcPr>
          <w:p w14:paraId="3D82007C" w14:textId="77777777" w:rsidR="00600D84" w:rsidRPr="00994531" w:rsidRDefault="00600D84">
            <w:pPr>
              <w:spacing w:line="276" w:lineRule="auto"/>
              <w:jc w:val="center"/>
            </w:pPr>
          </w:p>
        </w:tc>
        <w:tc>
          <w:tcPr>
            <w:tcW w:w="1089" w:type="dxa"/>
            <w:gridSpan w:val="2"/>
            <w:tcBorders>
              <w:top w:val="single" w:sz="12" w:space="0" w:color="auto"/>
              <w:bottom w:val="single" w:sz="6" w:space="0" w:color="auto"/>
            </w:tcBorders>
          </w:tcPr>
          <w:p w14:paraId="3F597841" w14:textId="77777777" w:rsidR="00600D84" w:rsidRPr="00994531" w:rsidRDefault="00600D84">
            <w:pPr>
              <w:spacing w:line="276" w:lineRule="auto"/>
              <w:jc w:val="center"/>
            </w:pPr>
            <w:r w:rsidRPr="00994531">
              <w:t>Labeled</w:t>
            </w:r>
          </w:p>
        </w:tc>
        <w:tc>
          <w:tcPr>
            <w:tcW w:w="1054" w:type="dxa"/>
            <w:tcBorders>
              <w:top w:val="single" w:sz="12" w:space="0" w:color="auto"/>
              <w:bottom w:val="single" w:sz="6" w:space="0" w:color="auto"/>
            </w:tcBorders>
          </w:tcPr>
          <w:p w14:paraId="66671BF8" w14:textId="77777777" w:rsidR="00600D84" w:rsidRPr="00994531" w:rsidRDefault="00600D84">
            <w:pPr>
              <w:spacing w:line="276" w:lineRule="auto"/>
              <w:jc w:val="center"/>
            </w:pPr>
            <w:r w:rsidRPr="00994531">
              <w:t>MAD</w:t>
            </w:r>
          </w:p>
        </w:tc>
        <w:tc>
          <w:tcPr>
            <w:tcW w:w="1071" w:type="dxa"/>
            <w:tcBorders>
              <w:top w:val="single" w:sz="12" w:space="0" w:color="auto"/>
              <w:bottom w:val="single" w:sz="6" w:space="0" w:color="auto"/>
            </w:tcBorders>
          </w:tcPr>
          <w:p w14:paraId="1CA8E871" w14:textId="77777777" w:rsidR="00600D84" w:rsidRPr="00994531" w:rsidRDefault="00600D84">
            <w:pPr>
              <w:spacing w:line="276" w:lineRule="auto"/>
              <w:jc w:val="center"/>
            </w:pPr>
            <w:r w:rsidRPr="00994531">
              <w:t>MCD</w:t>
            </w:r>
          </w:p>
        </w:tc>
        <w:tc>
          <w:tcPr>
            <w:tcW w:w="1115" w:type="dxa"/>
            <w:tcBorders>
              <w:top w:val="single" w:sz="12" w:space="0" w:color="auto"/>
              <w:bottom w:val="single" w:sz="6" w:space="0" w:color="auto"/>
              <w:right w:val="single" w:sz="4" w:space="0" w:color="auto"/>
            </w:tcBorders>
          </w:tcPr>
          <w:p w14:paraId="16E9E762" w14:textId="77777777" w:rsidR="00600D84" w:rsidRPr="00994531" w:rsidRDefault="00600D84">
            <w:pPr>
              <w:spacing w:line="276" w:lineRule="auto"/>
              <w:jc w:val="center"/>
            </w:pPr>
            <w:r w:rsidRPr="00994531">
              <w:t>1.5 IQR</w:t>
            </w:r>
          </w:p>
        </w:tc>
        <w:tc>
          <w:tcPr>
            <w:tcW w:w="1028" w:type="dxa"/>
            <w:tcBorders>
              <w:top w:val="single" w:sz="12" w:space="0" w:color="auto"/>
              <w:left w:val="single" w:sz="4" w:space="0" w:color="auto"/>
              <w:bottom w:val="single" w:sz="6" w:space="0" w:color="auto"/>
            </w:tcBorders>
          </w:tcPr>
          <w:p w14:paraId="265E5426" w14:textId="77777777" w:rsidR="00600D84" w:rsidRPr="00994531" w:rsidRDefault="00600D84">
            <w:pPr>
              <w:spacing w:line="276" w:lineRule="auto"/>
              <w:jc w:val="center"/>
            </w:pPr>
            <w:r w:rsidRPr="00994531">
              <w:t>Labeled</w:t>
            </w:r>
          </w:p>
        </w:tc>
        <w:tc>
          <w:tcPr>
            <w:tcW w:w="1071" w:type="dxa"/>
            <w:tcBorders>
              <w:top w:val="single" w:sz="12" w:space="0" w:color="auto"/>
              <w:bottom w:val="single" w:sz="6" w:space="0" w:color="auto"/>
            </w:tcBorders>
          </w:tcPr>
          <w:p w14:paraId="0BCEFC77" w14:textId="77777777" w:rsidR="00600D84" w:rsidRPr="00994531" w:rsidRDefault="00600D84">
            <w:pPr>
              <w:spacing w:line="276" w:lineRule="auto"/>
              <w:jc w:val="center"/>
            </w:pPr>
            <w:r w:rsidRPr="00994531">
              <w:t>MAD</w:t>
            </w:r>
          </w:p>
        </w:tc>
        <w:tc>
          <w:tcPr>
            <w:tcW w:w="1071" w:type="dxa"/>
            <w:tcBorders>
              <w:top w:val="single" w:sz="12" w:space="0" w:color="auto"/>
              <w:bottom w:val="single" w:sz="6" w:space="0" w:color="auto"/>
            </w:tcBorders>
          </w:tcPr>
          <w:p w14:paraId="1EB81FB9" w14:textId="77777777" w:rsidR="00600D84" w:rsidRPr="00994531" w:rsidRDefault="00600D84">
            <w:pPr>
              <w:spacing w:line="276" w:lineRule="auto"/>
              <w:jc w:val="center"/>
            </w:pPr>
            <w:r w:rsidRPr="00994531">
              <w:t>MCD</w:t>
            </w:r>
          </w:p>
        </w:tc>
        <w:tc>
          <w:tcPr>
            <w:tcW w:w="1072" w:type="dxa"/>
            <w:tcBorders>
              <w:top w:val="single" w:sz="12" w:space="0" w:color="auto"/>
              <w:bottom w:val="single" w:sz="6" w:space="0" w:color="auto"/>
            </w:tcBorders>
          </w:tcPr>
          <w:p w14:paraId="18A5C26B" w14:textId="77777777" w:rsidR="00600D84" w:rsidRPr="00994531" w:rsidRDefault="00600D84">
            <w:pPr>
              <w:spacing w:line="276" w:lineRule="auto"/>
              <w:jc w:val="center"/>
            </w:pPr>
            <w:r w:rsidRPr="00994531">
              <w:t>1.5 IQR</w:t>
            </w:r>
          </w:p>
        </w:tc>
      </w:tr>
      <w:tr w:rsidR="00600D84" w:rsidRPr="00994531" w14:paraId="0D9EEE1E" w14:textId="77777777">
        <w:trPr>
          <w:trHeight w:val="477"/>
        </w:trPr>
        <w:tc>
          <w:tcPr>
            <w:tcW w:w="1071" w:type="dxa"/>
            <w:tcBorders>
              <w:top w:val="single" w:sz="6" w:space="0" w:color="auto"/>
            </w:tcBorders>
          </w:tcPr>
          <w:p w14:paraId="31F418F1" w14:textId="77777777" w:rsidR="00600D84" w:rsidRPr="00994531" w:rsidRDefault="00600D84">
            <w:pPr>
              <w:spacing w:line="276" w:lineRule="auto"/>
              <w:jc w:val="center"/>
            </w:pPr>
            <w:r w:rsidRPr="00994531">
              <w:t>Mean</w:t>
            </w:r>
          </w:p>
        </w:tc>
        <w:tc>
          <w:tcPr>
            <w:tcW w:w="1089" w:type="dxa"/>
            <w:gridSpan w:val="2"/>
            <w:tcBorders>
              <w:top w:val="single" w:sz="6" w:space="0" w:color="auto"/>
            </w:tcBorders>
          </w:tcPr>
          <w:p w14:paraId="7C6DB4B5" w14:textId="77777777" w:rsidR="00600D84" w:rsidRPr="00994531" w:rsidRDefault="00600D84">
            <w:pPr>
              <w:spacing w:line="276" w:lineRule="auto"/>
              <w:jc w:val="center"/>
            </w:pPr>
            <w:r w:rsidRPr="00994531">
              <w:t>60.7±8.4</w:t>
            </w:r>
          </w:p>
        </w:tc>
        <w:tc>
          <w:tcPr>
            <w:tcW w:w="1054" w:type="dxa"/>
            <w:tcBorders>
              <w:top w:val="single" w:sz="6" w:space="0" w:color="auto"/>
            </w:tcBorders>
          </w:tcPr>
          <w:p w14:paraId="17BA77D2" w14:textId="77777777" w:rsidR="00600D84" w:rsidRPr="00994531" w:rsidRDefault="00600D84">
            <w:pPr>
              <w:spacing w:line="276" w:lineRule="auto"/>
              <w:jc w:val="center"/>
            </w:pPr>
            <w:r w:rsidRPr="00994531">
              <w:t>61.5±8.8</w:t>
            </w:r>
          </w:p>
        </w:tc>
        <w:tc>
          <w:tcPr>
            <w:tcW w:w="1071" w:type="dxa"/>
            <w:tcBorders>
              <w:top w:val="single" w:sz="6" w:space="0" w:color="auto"/>
            </w:tcBorders>
          </w:tcPr>
          <w:p w14:paraId="679374B3" w14:textId="77777777" w:rsidR="00600D84" w:rsidRPr="00994531" w:rsidRDefault="00600D84">
            <w:pPr>
              <w:spacing w:line="276" w:lineRule="auto"/>
              <w:jc w:val="center"/>
            </w:pPr>
            <w:r w:rsidRPr="00994531">
              <w:t>58.4±8.2</w:t>
            </w:r>
          </w:p>
        </w:tc>
        <w:tc>
          <w:tcPr>
            <w:tcW w:w="1115" w:type="dxa"/>
            <w:tcBorders>
              <w:top w:val="single" w:sz="6" w:space="0" w:color="auto"/>
              <w:right w:val="single" w:sz="4" w:space="0" w:color="auto"/>
            </w:tcBorders>
          </w:tcPr>
          <w:p w14:paraId="1EF0E6D3" w14:textId="77777777" w:rsidR="00600D84" w:rsidRPr="00994531" w:rsidRDefault="00600D84">
            <w:pPr>
              <w:spacing w:line="276" w:lineRule="auto"/>
              <w:jc w:val="center"/>
            </w:pPr>
            <w:r w:rsidRPr="00994531">
              <w:t>72.9±0.9</w:t>
            </w:r>
          </w:p>
        </w:tc>
        <w:tc>
          <w:tcPr>
            <w:tcW w:w="1028" w:type="dxa"/>
            <w:tcBorders>
              <w:top w:val="single" w:sz="6" w:space="0" w:color="auto"/>
              <w:left w:val="single" w:sz="4" w:space="0" w:color="auto"/>
            </w:tcBorders>
          </w:tcPr>
          <w:p w14:paraId="1AD3E06E" w14:textId="77777777" w:rsidR="00600D84" w:rsidRPr="00994531" w:rsidRDefault="00600D84">
            <w:pPr>
              <w:spacing w:line="276" w:lineRule="auto"/>
              <w:jc w:val="center"/>
            </w:pPr>
            <w:r w:rsidRPr="00994531">
              <w:t>4.28±0.20</w:t>
            </w:r>
          </w:p>
        </w:tc>
        <w:tc>
          <w:tcPr>
            <w:tcW w:w="1071" w:type="dxa"/>
            <w:tcBorders>
              <w:top w:val="single" w:sz="6" w:space="0" w:color="auto"/>
            </w:tcBorders>
          </w:tcPr>
          <w:p w14:paraId="4D55A324" w14:textId="77777777" w:rsidR="00600D84" w:rsidRPr="00994531" w:rsidRDefault="00600D84">
            <w:pPr>
              <w:spacing w:line="276" w:lineRule="auto"/>
              <w:jc w:val="center"/>
            </w:pPr>
            <w:r w:rsidRPr="00994531">
              <w:t>4.79±0.27</w:t>
            </w:r>
          </w:p>
        </w:tc>
        <w:tc>
          <w:tcPr>
            <w:tcW w:w="1071" w:type="dxa"/>
            <w:tcBorders>
              <w:top w:val="single" w:sz="6" w:space="0" w:color="auto"/>
            </w:tcBorders>
          </w:tcPr>
          <w:p w14:paraId="69608B58" w14:textId="77777777" w:rsidR="00600D84" w:rsidRPr="00994531" w:rsidRDefault="00600D84">
            <w:pPr>
              <w:spacing w:line="276" w:lineRule="auto"/>
              <w:jc w:val="center"/>
            </w:pPr>
            <w:r w:rsidRPr="00994531">
              <w:t>4.55±0.25</w:t>
            </w:r>
          </w:p>
        </w:tc>
        <w:tc>
          <w:tcPr>
            <w:tcW w:w="1072" w:type="dxa"/>
            <w:tcBorders>
              <w:top w:val="single" w:sz="6" w:space="0" w:color="auto"/>
            </w:tcBorders>
          </w:tcPr>
          <w:p w14:paraId="37CEA50E" w14:textId="77777777" w:rsidR="00600D84" w:rsidRPr="00994531" w:rsidRDefault="00600D84">
            <w:pPr>
              <w:spacing w:line="276" w:lineRule="auto"/>
              <w:jc w:val="center"/>
            </w:pPr>
            <w:r w:rsidRPr="00994531">
              <w:t>5.28±0.27</w:t>
            </w:r>
          </w:p>
        </w:tc>
      </w:tr>
      <w:tr w:rsidR="00600D84" w:rsidRPr="00994531" w14:paraId="208E49DD" w14:textId="77777777">
        <w:trPr>
          <w:trHeight w:val="280"/>
        </w:trPr>
        <w:tc>
          <w:tcPr>
            <w:tcW w:w="1071" w:type="dxa"/>
            <w:tcBorders>
              <w:bottom w:val="single" w:sz="4" w:space="0" w:color="auto"/>
            </w:tcBorders>
          </w:tcPr>
          <w:p w14:paraId="2521BB2F" w14:textId="77777777" w:rsidR="00600D84" w:rsidRPr="00994531" w:rsidRDefault="00600D84">
            <w:pPr>
              <w:spacing w:line="276" w:lineRule="auto"/>
              <w:jc w:val="center"/>
              <w:rPr>
                <w:lang w:val="it-IT"/>
              </w:rPr>
            </w:pPr>
            <w:r w:rsidRPr="00994531">
              <w:rPr>
                <w:lang w:val="it-IT"/>
              </w:rPr>
              <w:t>Median</w:t>
            </w:r>
          </w:p>
        </w:tc>
        <w:tc>
          <w:tcPr>
            <w:tcW w:w="1089" w:type="dxa"/>
            <w:gridSpan w:val="2"/>
            <w:tcBorders>
              <w:bottom w:val="single" w:sz="4" w:space="0" w:color="auto"/>
            </w:tcBorders>
          </w:tcPr>
          <w:p w14:paraId="1A16BC17" w14:textId="77777777" w:rsidR="00600D84" w:rsidRPr="00994531" w:rsidRDefault="00600D84">
            <w:pPr>
              <w:spacing w:line="276" w:lineRule="auto"/>
              <w:jc w:val="center"/>
            </w:pPr>
            <w:r w:rsidRPr="00994531">
              <w:t>24.7</w:t>
            </w:r>
          </w:p>
        </w:tc>
        <w:tc>
          <w:tcPr>
            <w:tcW w:w="1054" w:type="dxa"/>
            <w:tcBorders>
              <w:bottom w:val="single" w:sz="4" w:space="0" w:color="auto"/>
            </w:tcBorders>
          </w:tcPr>
          <w:p w14:paraId="753A72CD" w14:textId="77777777" w:rsidR="00600D84" w:rsidRPr="00994531" w:rsidRDefault="00600D84">
            <w:pPr>
              <w:spacing w:line="276" w:lineRule="auto"/>
              <w:jc w:val="center"/>
            </w:pPr>
            <w:r w:rsidRPr="00994531">
              <w:t>23.0</w:t>
            </w:r>
          </w:p>
        </w:tc>
        <w:tc>
          <w:tcPr>
            <w:tcW w:w="1071" w:type="dxa"/>
            <w:tcBorders>
              <w:bottom w:val="single" w:sz="4" w:space="0" w:color="auto"/>
            </w:tcBorders>
          </w:tcPr>
          <w:p w14:paraId="5E53285E" w14:textId="77777777" w:rsidR="00600D84" w:rsidRPr="00994531" w:rsidRDefault="00600D84">
            <w:pPr>
              <w:spacing w:line="276" w:lineRule="auto"/>
              <w:jc w:val="center"/>
            </w:pPr>
            <w:r w:rsidRPr="00994531">
              <w:t>21.2</w:t>
            </w:r>
          </w:p>
        </w:tc>
        <w:tc>
          <w:tcPr>
            <w:tcW w:w="1115" w:type="dxa"/>
            <w:tcBorders>
              <w:bottom w:val="single" w:sz="4" w:space="0" w:color="auto"/>
              <w:right w:val="single" w:sz="4" w:space="0" w:color="auto"/>
            </w:tcBorders>
          </w:tcPr>
          <w:p w14:paraId="37408EC4" w14:textId="77777777" w:rsidR="00600D84" w:rsidRPr="00994531" w:rsidRDefault="00600D84">
            <w:pPr>
              <w:spacing w:line="276" w:lineRule="auto"/>
              <w:jc w:val="center"/>
            </w:pPr>
            <w:r w:rsidRPr="00994531">
              <w:t>29.7</w:t>
            </w:r>
          </w:p>
        </w:tc>
        <w:tc>
          <w:tcPr>
            <w:tcW w:w="1028" w:type="dxa"/>
            <w:tcBorders>
              <w:left w:val="single" w:sz="4" w:space="0" w:color="auto"/>
              <w:bottom w:val="single" w:sz="4" w:space="0" w:color="auto"/>
            </w:tcBorders>
          </w:tcPr>
          <w:p w14:paraId="42B1CF44" w14:textId="77777777" w:rsidR="00600D84" w:rsidRPr="00994531" w:rsidRDefault="00600D84">
            <w:pPr>
              <w:spacing w:line="276" w:lineRule="auto"/>
              <w:jc w:val="center"/>
            </w:pPr>
            <w:r w:rsidRPr="00994531">
              <w:t>2.20</w:t>
            </w:r>
          </w:p>
        </w:tc>
        <w:tc>
          <w:tcPr>
            <w:tcW w:w="1071" w:type="dxa"/>
            <w:tcBorders>
              <w:bottom w:val="single" w:sz="4" w:space="0" w:color="auto"/>
            </w:tcBorders>
          </w:tcPr>
          <w:p w14:paraId="3A694A48" w14:textId="77777777" w:rsidR="00600D84" w:rsidRPr="00994531" w:rsidRDefault="00600D84">
            <w:pPr>
              <w:spacing w:line="276" w:lineRule="auto"/>
              <w:jc w:val="center"/>
            </w:pPr>
            <w:r w:rsidRPr="00994531">
              <w:t>2.27</w:t>
            </w:r>
          </w:p>
        </w:tc>
        <w:tc>
          <w:tcPr>
            <w:tcW w:w="1071" w:type="dxa"/>
            <w:tcBorders>
              <w:bottom w:val="single" w:sz="4" w:space="0" w:color="auto"/>
            </w:tcBorders>
          </w:tcPr>
          <w:p w14:paraId="7453792E" w14:textId="77777777" w:rsidR="00600D84" w:rsidRPr="00994531" w:rsidRDefault="00600D84">
            <w:pPr>
              <w:spacing w:line="276" w:lineRule="auto"/>
              <w:jc w:val="center"/>
            </w:pPr>
            <w:r w:rsidRPr="00994531">
              <w:t>2.17</w:t>
            </w:r>
          </w:p>
        </w:tc>
        <w:tc>
          <w:tcPr>
            <w:tcW w:w="1072" w:type="dxa"/>
            <w:tcBorders>
              <w:bottom w:val="single" w:sz="4" w:space="0" w:color="auto"/>
            </w:tcBorders>
          </w:tcPr>
          <w:p w14:paraId="415CCF6C" w14:textId="77777777" w:rsidR="00600D84" w:rsidRPr="00994531" w:rsidRDefault="00600D84">
            <w:pPr>
              <w:spacing w:line="276" w:lineRule="auto"/>
              <w:jc w:val="center"/>
            </w:pPr>
            <w:r w:rsidRPr="00994531">
              <w:t>2.52</w:t>
            </w:r>
          </w:p>
        </w:tc>
      </w:tr>
    </w:tbl>
    <w:p w14:paraId="79D1D8A9" w14:textId="1D925856" w:rsidR="00BB0B1E" w:rsidRDefault="008904D6" w:rsidP="006D0F78">
      <w:pPr>
        <w:spacing w:before="240" w:after="0" w:line="480" w:lineRule="auto"/>
      </w:pPr>
      <w:r w:rsidRPr="00994531">
        <w:t>were also similar for MAD (18.9%), MCD (19.3%), closely matching the context-informed labeled data (17.9%) (</w:t>
      </w:r>
      <w:r w:rsidRPr="002D2F19">
        <w:rPr>
          <w:b/>
        </w:rPr>
        <w:t xml:space="preserve">Table </w:t>
      </w:r>
      <w:r w:rsidR="002D2F19">
        <w:rPr>
          <w:b/>
          <w:bCs/>
        </w:rPr>
        <w:t>2.</w:t>
      </w:r>
      <w:r w:rsidRPr="002D2F19">
        <w:rPr>
          <w:b/>
        </w:rPr>
        <w:t>4</w:t>
      </w:r>
      <w:r w:rsidRPr="00994531">
        <w:t>). In contrast, the 1.5 IQR method predicted substantially lower proportion of hot moments (14.3%). Eight time series from four separate experiments with consistent year-round measurements were identified. In this year-round time series subset, hot moments were found to be slightly less frequent, with proportions identified by the context-informed labeled data (13.8%), MAD (17.0%), MCD (16.8%), and 1.5 IQR (17.0%). As a result,</w:t>
      </w:r>
      <w:r>
        <w:t xml:space="preserve"> </w:t>
      </w:r>
      <w:r w:rsidRPr="00994531">
        <w:t>hot moments contribute a lower proportion of the total flux relative to the complete dataset, as indicated by labeled data (60.1%), MAD (63%), MCD (63.2%), and 1.5 IQR (63.3%) (</w:t>
      </w:r>
      <w:r w:rsidRPr="00BB0B1E">
        <w:rPr>
          <w:b/>
        </w:rPr>
        <w:t xml:space="preserve">Table </w:t>
      </w:r>
      <w:r w:rsidR="00BB0B1E">
        <w:rPr>
          <w:b/>
          <w:bCs/>
        </w:rPr>
        <w:t>2.5</w:t>
      </w:r>
      <w:r w:rsidRPr="00994531">
        <w:t>). In this temporally resolved data subset, where hot moments made up a smaller proportion of measurements, 1.5 IQR method performed similarly to MAD and MCD.</w:t>
      </w:r>
    </w:p>
    <w:p w14:paraId="3F6A0357" w14:textId="77777777" w:rsidR="00212548" w:rsidRPr="00994531" w:rsidRDefault="00212548" w:rsidP="00212548">
      <w:pPr>
        <w:pStyle w:val="Heading2"/>
      </w:pPr>
      <w:bookmarkStart w:id="56" w:name="_Toc204282754"/>
      <w:r w:rsidRPr="00994531">
        <w:t>Discussion</w:t>
      </w:r>
      <w:bookmarkEnd w:id="56"/>
    </w:p>
    <w:p w14:paraId="03FD5217" w14:textId="352E5BF5" w:rsidR="004A6F85" w:rsidRDefault="00212548" w:rsidP="00212548">
      <w:pPr>
        <w:spacing w:after="0" w:line="480" w:lineRule="auto"/>
      </w:pPr>
      <w:r w:rsidRPr="00994531">
        <w:t>Hot moments of N</w:t>
      </w:r>
      <w:r w:rsidRPr="00994531">
        <w:rPr>
          <w:vertAlign w:val="subscript"/>
        </w:rPr>
        <w:t>2</w:t>
      </w:r>
      <w:r w:rsidRPr="00994531">
        <w:t>O emissions contribute disproportionately to overall GHG emissions from agriculture, making them critical targets for mitigation. Given the outsized warming potential of</w:t>
      </w:r>
      <w:r>
        <w:t xml:space="preserve"> </w:t>
      </w:r>
      <w:r w:rsidRPr="00994531">
        <w:t>N</w:t>
      </w:r>
      <w:r w:rsidRPr="00994531">
        <w:rPr>
          <w:vertAlign w:val="subscript"/>
        </w:rPr>
        <w:t>2</w:t>
      </w:r>
      <w:r w:rsidRPr="00994531">
        <w:t>O, even small changes in accurately estimating its hot moments can lead to large errors in</w:t>
      </w:r>
      <w:r>
        <w:t xml:space="preserve"> </w:t>
      </w:r>
      <w:r w:rsidRPr="00994531">
        <w:t>accounting for soil N</w:t>
      </w:r>
      <w:r w:rsidRPr="00994531">
        <w:rPr>
          <w:vertAlign w:val="subscript"/>
        </w:rPr>
        <w:t>2</w:t>
      </w:r>
      <w:r w:rsidRPr="00994531">
        <w:t>O emissions. However, lack of consistent and robust quantitative methods</w:t>
      </w:r>
      <w:r>
        <w:t xml:space="preserve"> </w:t>
      </w:r>
      <w:r w:rsidRPr="00994531">
        <w:t>of identification across diverse N</w:t>
      </w:r>
      <w:r w:rsidRPr="00994531">
        <w:rPr>
          <w:vertAlign w:val="subscript"/>
        </w:rPr>
        <w:t>2</w:t>
      </w:r>
      <w:r w:rsidRPr="00994531">
        <w:t>O flux distributions hinders progress in understanding their</w:t>
      </w:r>
      <w:r w:rsidR="004A6F85">
        <w:t xml:space="preserve"> </w:t>
      </w:r>
      <w:r w:rsidR="004A6F85" w:rsidRPr="00994531">
        <w:t xml:space="preserve">significance and biogeochemical drivers </w:t>
      </w:r>
      <w:r w:rsidR="004A6F85" w:rsidRPr="00994531">
        <w:fldChar w:fldCharType="begin"/>
      </w:r>
      <w:r w:rsidR="00D74AD1">
        <w:instrText xml:space="preserve"> ADDIN ZOTERO_ITEM CSL_CITATION {"citationID":"ZbdzWbvD","properties":{"formattedCitation":"(Bernhardt et al., 2017)","plainCitation":"(Bernhardt et al., 2017)","noteIndex":0},"citationItems":[{"id":1985,"uris":["http://zotero.org/groups/4573874/items/XE62TGV4"],"itemData":{"id":1985,"type":"article-journal","abstract":"The phrase “hot spots and hot moments” first entered the lexicon in 2003, following the publication of the paper “Biogeochemical hot spots and hot moments at the interface of terrestrial and aquatic ecosystems” by McClain and others (Ecosystems 6:301–312, 2003). This paper described the potential for rare places and rare events to exert a disproportionate influence on the movement of elements at the scale of landscapes and ecosystems. Here, we examine how the cleverly named hot spot and hot moment concept (hereafter HSHM) has influenced biogeochemistry and ecosystem science over the last 13 years. We specifically examined the extent to which the HSHM concept has: (1) motivated research aimed at understanding how and why biogeochemical behavior varies across spatiotemporal scales; (2) improved our ability to detect HSHM phenomena; and (3) influenced our approaches to restoration and ecosystem management practices. We found that the HSHM concept has provided a highly fertile framework for a substantial volume of research on the spatial and temporal dynamics of nutrient cycling, and in doing so, has improved our understanding of when and where biogeochemical rates are maximized. Despite the high usage of the term, we found limited examples of rigorous statistical or modeling approaches that would allow ecosystem scientists to not only identify, but scale the aggregate impact of HSHM on ecosystem processes. We propose that the phrase “hot spots and hot moments” includes two implicit assumptions that may actually be limiting progress in applying the concept. First, by differentiating “hot spots” from “hot moments,” the phrase separates the spatial and temporal components of biogeochemical behavior. Instead, we argue that the temporal dynamics of a putative hot spot are a fundamental trait that should be used in their description. Second, the adjective “hot” implicitly suggests that a place or a time must be dichotomously classified as “hot or not.” We suggest instead that each landscape of interest contains a wide range of biogeochemical process rates that respond to critical drivers, and the gradations of this biogeochemical topography are of greater interest than the maximum peaks. For these reasons, we recommend replacing the HSHM terminology with the more nuanced term ecosystem control points. “Ecosystem control” suggests that the rate must be of sufficient magnitude or ubiquity to affect dynamics of the ecosystem, while “points” allows for descriptions that simultaneously incorporate both spatial and temporal dynamics. We further suggest that there are at least four distinct types of ecosystem control points whose influence arises through distinct hydrologic and biogeochemical mechanisms. Our goal is to provide the tools with which researchers can develop testable hypotheses regarding the spatiotemporal dynamics of biogeochemistry that will stimulate advances in more accurately identifying, modeling and scaling biogeochemical heterogeneity to better understand ecosystem processes.","container-title":"Ecosystems","DOI":"10.1007/s10021-016-0103-y","ISSN":"1435-0629","issue":"4","journalAbbreviation":"Ecosystems","language":"en","page":"665-682","source":"Springer Link","title":"Control Points in Ecosystems: Moving Beyond the Hot Spot Hot Moment Concept","title-short":"Control Points in Ecosystems","volume":"20","author":[{"family":"Bernhardt","given":"Emily S."},{"family":"Blaszczak","given":"Joanna R."},{"family":"Ficken","given":"Cari D."},{"family":"Fork","given":"Megan L."},{"family":"Kaiser","given":"Kendra E."},{"family":"Seybold","given":"Erin C."}],"issued":{"date-parts":[["2017",6,1]]}}}],"schema":"https://github.com/citation-style-language/schema/raw/master/csl-citation.json"} </w:instrText>
      </w:r>
      <w:r w:rsidR="004A6F85" w:rsidRPr="00994531">
        <w:fldChar w:fldCharType="separate"/>
      </w:r>
      <w:r w:rsidR="004A6F85" w:rsidRPr="00994531">
        <w:t>(Bernhardt et al., 2017)</w:t>
      </w:r>
      <w:r w:rsidR="004A6F85" w:rsidRPr="00994531">
        <w:fldChar w:fldCharType="end"/>
      </w:r>
      <w:r w:rsidR="004A6F85" w:rsidRPr="00994531">
        <w:t>. We employed a global dataset</w:t>
      </w:r>
    </w:p>
    <w:p w14:paraId="6012C69D" w14:textId="78CBABB8" w:rsidR="0084465F" w:rsidRPr="0084465F" w:rsidRDefault="0084465F" w:rsidP="0084465F">
      <w:pPr>
        <w:pStyle w:val="Caption"/>
        <w:keepNext/>
        <w:rPr>
          <w:i w:val="0"/>
          <w:iCs w:val="0"/>
          <w:color w:val="auto"/>
          <w:sz w:val="24"/>
          <w:szCs w:val="24"/>
        </w:rPr>
      </w:pPr>
      <w:bookmarkStart w:id="57" w:name="_Toc204261964"/>
      <w:r w:rsidRPr="0084465F">
        <w:rPr>
          <w:b/>
          <w:bCs/>
          <w:i w:val="0"/>
          <w:iCs w:val="0"/>
          <w:color w:val="auto"/>
          <w:sz w:val="24"/>
          <w:szCs w:val="24"/>
        </w:rPr>
        <w:lastRenderedPageBreak/>
        <w:t xml:space="preserve">Table </w:t>
      </w:r>
      <w:r>
        <w:rPr>
          <w:b/>
          <w:bCs/>
          <w:i w:val="0"/>
          <w:iCs w:val="0"/>
          <w:color w:val="auto"/>
          <w:sz w:val="24"/>
          <w:szCs w:val="24"/>
        </w:rPr>
        <w:t>2</w:t>
      </w:r>
      <w:r w:rsidR="00827B75">
        <w:rPr>
          <w:b/>
          <w:bCs/>
          <w:i w:val="0"/>
          <w:iCs w:val="0"/>
          <w:color w:val="auto"/>
          <w:sz w:val="24"/>
          <w:szCs w:val="24"/>
        </w:rPr>
        <w:t>.</w:t>
      </w:r>
      <w:r w:rsidR="00827B75">
        <w:rPr>
          <w:b/>
          <w:bCs/>
          <w:i w:val="0"/>
          <w:iCs w:val="0"/>
          <w:color w:val="auto"/>
          <w:sz w:val="24"/>
          <w:szCs w:val="24"/>
        </w:rPr>
        <w:fldChar w:fldCharType="begin"/>
      </w:r>
      <w:r w:rsidR="00827B75">
        <w:rPr>
          <w:b/>
          <w:bCs/>
          <w:i w:val="0"/>
          <w:iCs w:val="0"/>
          <w:color w:val="auto"/>
          <w:sz w:val="24"/>
          <w:szCs w:val="24"/>
        </w:rPr>
        <w:instrText xml:space="preserve"> SEQ Table \* ARABIC \s 1 </w:instrText>
      </w:r>
      <w:r w:rsidR="00827B75">
        <w:rPr>
          <w:b/>
          <w:bCs/>
          <w:i w:val="0"/>
          <w:iCs w:val="0"/>
          <w:color w:val="auto"/>
          <w:sz w:val="24"/>
          <w:szCs w:val="24"/>
        </w:rPr>
        <w:fldChar w:fldCharType="separate"/>
      </w:r>
      <w:r w:rsidR="00827B75">
        <w:rPr>
          <w:b/>
          <w:bCs/>
          <w:i w:val="0"/>
          <w:iCs w:val="0"/>
          <w:noProof/>
          <w:color w:val="auto"/>
          <w:sz w:val="24"/>
          <w:szCs w:val="24"/>
        </w:rPr>
        <w:t>5</w:t>
      </w:r>
      <w:r w:rsidR="00827B75">
        <w:rPr>
          <w:b/>
          <w:bCs/>
          <w:i w:val="0"/>
          <w:iCs w:val="0"/>
          <w:color w:val="auto"/>
          <w:sz w:val="24"/>
          <w:szCs w:val="24"/>
        </w:rPr>
        <w:fldChar w:fldCharType="end"/>
      </w:r>
      <w:r w:rsidR="00212548" w:rsidRPr="00994531">
        <w:rPr>
          <w:i w:val="0"/>
          <w:iCs w:val="0"/>
          <w:color w:val="auto"/>
          <w:sz w:val="24"/>
          <w:szCs w:val="24"/>
        </w:rPr>
        <w:t>: Contribution of hot moments to cumulative N</w:t>
      </w:r>
      <w:r w:rsidR="00212548" w:rsidRPr="00994531">
        <w:rPr>
          <w:i w:val="0"/>
          <w:iCs w:val="0"/>
          <w:color w:val="auto"/>
          <w:sz w:val="24"/>
          <w:szCs w:val="24"/>
          <w:vertAlign w:val="subscript"/>
        </w:rPr>
        <w:t>2</w:t>
      </w:r>
      <w:r w:rsidR="00212548" w:rsidRPr="00994531">
        <w:rPr>
          <w:i w:val="0"/>
          <w:iCs w:val="0"/>
          <w:color w:val="auto"/>
          <w:sz w:val="24"/>
          <w:szCs w:val="24"/>
        </w:rPr>
        <w:t>O flux and their relative duration as estimated by context-informed labeled data, MAD, MCD, and 1.5 IQR methods. Values are shown for the complete dataset, which overrepresents studies emphasizing spring and summer months, and for a subset of the data from experiments with available year-round measurement.</w:t>
      </w:r>
      <w:bookmarkEnd w:id="57"/>
    </w:p>
    <w:tbl>
      <w:tblPr>
        <w:tblW w:w="9311" w:type="dxa"/>
        <w:jc w:val="center"/>
        <w:tblLayout w:type="fixed"/>
        <w:tblCellMar>
          <w:left w:w="0" w:type="dxa"/>
          <w:right w:w="0" w:type="dxa"/>
        </w:tblCellMar>
        <w:tblLook w:val="0400" w:firstRow="0" w:lastRow="0" w:firstColumn="0" w:lastColumn="0" w:noHBand="0" w:noVBand="1"/>
      </w:tblPr>
      <w:tblGrid>
        <w:gridCol w:w="1633"/>
        <w:gridCol w:w="443"/>
        <w:gridCol w:w="997"/>
        <w:gridCol w:w="830"/>
        <w:gridCol w:w="747"/>
        <w:gridCol w:w="833"/>
        <w:gridCol w:w="908"/>
        <w:gridCol w:w="970"/>
        <w:gridCol w:w="974"/>
        <w:gridCol w:w="976"/>
      </w:tblGrid>
      <w:tr w:rsidR="00BB0B1E" w:rsidRPr="00994531" w14:paraId="23BB7EB3" w14:textId="77777777">
        <w:trPr>
          <w:trHeight w:val="484"/>
          <w:jc w:val="center"/>
        </w:trPr>
        <w:tc>
          <w:tcPr>
            <w:tcW w:w="1633" w:type="dxa"/>
            <w:tcBorders>
              <w:top w:val="single" w:sz="4" w:space="0" w:color="auto"/>
              <w:bottom w:val="single" w:sz="12" w:space="0" w:color="auto"/>
            </w:tcBorders>
          </w:tcPr>
          <w:p w14:paraId="654C6B53" w14:textId="77777777" w:rsidR="00BB0B1E" w:rsidRPr="00994531" w:rsidRDefault="00BB0B1E">
            <w:pPr>
              <w:spacing w:line="276" w:lineRule="auto"/>
              <w:jc w:val="center"/>
            </w:pPr>
          </w:p>
        </w:tc>
        <w:tc>
          <w:tcPr>
            <w:tcW w:w="3850" w:type="dxa"/>
            <w:gridSpan w:val="5"/>
            <w:tcBorders>
              <w:top w:val="single" w:sz="4" w:space="0" w:color="auto"/>
              <w:right w:val="single" w:sz="4" w:space="0" w:color="auto"/>
            </w:tcBorders>
          </w:tcPr>
          <w:p w14:paraId="3FBE4C5C" w14:textId="77777777" w:rsidR="00BB0B1E" w:rsidRPr="00EF75A5" w:rsidRDefault="00BB0B1E">
            <w:pPr>
              <w:spacing w:line="276" w:lineRule="auto"/>
              <w:jc w:val="center"/>
            </w:pPr>
            <w:r w:rsidRPr="00EF75A5">
              <w:t>Complete dataset</w:t>
            </w:r>
          </w:p>
        </w:tc>
        <w:tc>
          <w:tcPr>
            <w:tcW w:w="3828" w:type="dxa"/>
            <w:gridSpan w:val="4"/>
            <w:tcBorders>
              <w:top w:val="single" w:sz="4" w:space="0" w:color="auto"/>
              <w:left w:val="single" w:sz="4" w:space="0" w:color="auto"/>
            </w:tcBorders>
          </w:tcPr>
          <w:p w14:paraId="02842CE8" w14:textId="77777777" w:rsidR="00BB0B1E" w:rsidRPr="00EF75A5" w:rsidRDefault="00BB0B1E">
            <w:pPr>
              <w:spacing w:line="276" w:lineRule="auto"/>
              <w:jc w:val="center"/>
              <w:rPr>
                <w:vertAlign w:val="superscript"/>
              </w:rPr>
            </w:pPr>
            <w:r w:rsidRPr="00EF75A5">
              <w:t>Data subset with year-round measurements available</w:t>
            </w:r>
            <w:r w:rsidRPr="00EF75A5">
              <w:rPr>
                <w:vertAlign w:val="superscript"/>
              </w:rPr>
              <w:t>1</w:t>
            </w:r>
          </w:p>
        </w:tc>
      </w:tr>
      <w:tr w:rsidR="00BB0B1E" w:rsidRPr="00994531" w14:paraId="05669C16" w14:textId="77777777">
        <w:trPr>
          <w:trHeight w:val="544"/>
          <w:jc w:val="center"/>
        </w:trPr>
        <w:tc>
          <w:tcPr>
            <w:tcW w:w="2076" w:type="dxa"/>
            <w:gridSpan w:val="2"/>
            <w:tcBorders>
              <w:top w:val="single" w:sz="12" w:space="0" w:color="auto"/>
              <w:bottom w:val="single" w:sz="6" w:space="0" w:color="auto"/>
            </w:tcBorders>
          </w:tcPr>
          <w:p w14:paraId="6AF85844" w14:textId="77777777" w:rsidR="00BB0B1E" w:rsidRPr="00994531" w:rsidRDefault="00BB0B1E">
            <w:pPr>
              <w:spacing w:line="276" w:lineRule="auto"/>
              <w:jc w:val="center"/>
            </w:pPr>
          </w:p>
        </w:tc>
        <w:tc>
          <w:tcPr>
            <w:tcW w:w="997" w:type="dxa"/>
            <w:tcBorders>
              <w:top w:val="single" w:sz="12" w:space="0" w:color="auto"/>
              <w:bottom w:val="single" w:sz="6" w:space="0" w:color="auto"/>
            </w:tcBorders>
          </w:tcPr>
          <w:p w14:paraId="545F253C" w14:textId="77777777" w:rsidR="00BB0B1E" w:rsidRPr="00994531" w:rsidRDefault="00BB0B1E">
            <w:pPr>
              <w:spacing w:line="276" w:lineRule="auto"/>
              <w:jc w:val="center"/>
            </w:pPr>
            <w:r w:rsidRPr="00994531">
              <w:t>Labeled</w:t>
            </w:r>
          </w:p>
        </w:tc>
        <w:tc>
          <w:tcPr>
            <w:tcW w:w="830" w:type="dxa"/>
            <w:tcBorders>
              <w:top w:val="single" w:sz="12" w:space="0" w:color="auto"/>
              <w:bottom w:val="single" w:sz="6" w:space="0" w:color="auto"/>
            </w:tcBorders>
          </w:tcPr>
          <w:p w14:paraId="61244470" w14:textId="77777777" w:rsidR="00BB0B1E" w:rsidRPr="00994531" w:rsidRDefault="00BB0B1E">
            <w:pPr>
              <w:spacing w:line="276" w:lineRule="auto"/>
              <w:jc w:val="center"/>
            </w:pPr>
            <w:r w:rsidRPr="00994531">
              <w:t>MAD</w:t>
            </w:r>
          </w:p>
        </w:tc>
        <w:tc>
          <w:tcPr>
            <w:tcW w:w="747" w:type="dxa"/>
            <w:tcBorders>
              <w:top w:val="single" w:sz="12" w:space="0" w:color="auto"/>
              <w:bottom w:val="single" w:sz="6" w:space="0" w:color="auto"/>
            </w:tcBorders>
          </w:tcPr>
          <w:p w14:paraId="47626E21" w14:textId="77777777" w:rsidR="00BB0B1E" w:rsidRPr="00994531" w:rsidRDefault="00BB0B1E">
            <w:pPr>
              <w:spacing w:line="276" w:lineRule="auto"/>
              <w:jc w:val="center"/>
            </w:pPr>
            <w:r w:rsidRPr="00994531">
              <w:t>MCD</w:t>
            </w:r>
          </w:p>
        </w:tc>
        <w:tc>
          <w:tcPr>
            <w:tcW w:w="833" w:type="dxa"/>
            <w:tcBorders>
              <w:top w:val="single" w:sz="12" w:space="0" w:color="auto"/>
              <w:bottom w:val="single" w:sz="6" w:space="0" w:color="auto"/>
              <w:right w:val="single" w:sz="4" w:space="0" w:color="auto"/>
            </w:tcBorders>
          </w:tcPr>
          <w:p w14:paraId="2627C1FB" w14:textId="77777777" w:rsidR="00BB0B1E" w:rsidRPr="00994531" w:rsidRDefault="00BB0B1E">
            <w:pPr>
              <w:spacing w:line="276" w:lineRule="auto"/>
              <w:jc w:val="center"/>
            </w:pPr>
            <w:r w:rsidRPr="00994531">
              <w:t>1.5 IQR</w:t>
            </w:r>
          </w:p>
        </w:tc>
        <w:tc>
          <w:tcPr>
            <w:tcW w:w="908" w:type="dxa"/>
            <w:tcBorders>
              <w:top w:val="single" w:sz="12" w:space="0" w:color="auto"/>
              <w:left w:val="single" w:sz="4" w:space="0" w:color="auto"/>
              <w:bottom w:val="single" w:sz="6" w:space="0" w:color="auto"/>
            </w:tcBorders>
          </w:tcPr>
          <w:p w14:paraId="5E49736D" w14:textId="77777777" w:rsidR="00BB0B1E" w:rsidRPr="00994531" w:rsidRDefault="00BB0B1E">
            <w:pPr>
              <w:spacing w:line="276" w:lineRule="auto"/>
              <w:jc w:val="center"/>
            </w:pPr>
            <w:r w:rsidRPr="00994531">
              <w:t>Labeled</w:t>
            </w:r>
          </w:p>
        </w:tc>
        <w:tc>
          <w:tcPr>
            <w:tcW w:w="970" w:type="dxa"/>
            <w:tcBorders>
              <w:top w:val="single" w:sz="12" w:space="0" w:color="auto"/>
              <w:bottom w:val="single" w:sz="6" w:space="0" w:color="auto"/>
            </w:tcBorders>
          </w:tcPr>
          <w:p w14:paraId="42DE141C" w14:textId="77777777" w:rsidR="00BB0B1E" w:rsidRPr="00994531" w:rsidRDefault="00BB0B1E">
            <w:pPr>
              <w:spacing w:line="276" w:lineRule="auto"/>
              <w:jc w:val="center"/>
            </w:pPr>
            <w:r w:rsidRPr="00994531">
              <w:t>MAD</w:t>
            </w:r>
          </w:p>
        </w:tc>
        <w:tc>
          <w:tcPr>
            <w:tcW w:w="974" w:type="dxa"/>
            <w:tcBorders>
              <w:top w:val="single" w:sz="12" w:space="0" w:color="auto"/>
              <w:bottom w:val="single" w:sz="6" w:space="0" w:color="auto"/>
            </w:tcBorders>
          </w:tcPr>
          <w:p w14:paraId="5CB64525" w14:textId="77777777" w:rsidR="00BB0B1E" w:rsidRPr="00994531" w:rsidRDefault="00BB0B1E">
            <w:pPr>
              <w:spacing w:line="276" w:lineRule="auto"/>
              <w:jc w:val="center"/>
            </w:pPr>
            <w:r w:rsidRPr="00994531">
              <w:t>MCD</w:t>
            </w:r>
          </w:p>
        </w:tc>
        <w:tc>
          <w:tcPr>
            <w:tcW w:w="976" w:type="dxa"/>
            <w:tcBorders>
              <w:top w:val="single" w:sz="12" w:space="0" w:color="auto"/>
              <w:bottom w:val="single" w:sz="6" w:space="0" w:color="auto"/>
            </w:tcBorders>
          </w:tcPr>
          <w:p w14:paraId="57878783" w14:textId="77777777" w:rsidR="00BB0B1E" w:rsidRPr="00994531" w:rsidRDefault="00BB0B1E">
            <w:pPr>
              <w:spacing w:line="276" w:lineRule="auto"/>
              <w:jc w:val="center"/>
            </w:pPr>
            <w:r w:rsidRPr="00994531">
              <w:t>1.5 IQR</w:t>
            </w:r>
          </w:p>
        </w:tc>
      </w:tr>
      <w:tr w:rsidR="00BB0B1E" w:rsidRPr="00994531" w14:paraId="07D8C816" w14:textId="77777777">
        <w:trPr>
          <w:trHeight w:val="719"/>
          <w:jc w:val="center"/>
        </w:trPr>
        <w:tc>
          <w:tcPr>
            <w:tcW w:w="2076" w:type="dxa"/>
            <w:gridSpan w:val="2"/>
            <w:tcBorders>
              <w:top w:val="single" w:sz="6" w:space="0" w:color="auto"/>
            </w:tcBorders>
          </w:tcPr>
          <w:p w14:paraId="4C7EB642" w14:textId="77777777" w:rsidR="00BB0B1E" w:rsidRPr="00994531" w:rsidRDefault="00BB0B1E">
            <w:pPr>
              <w:spacing w:line="276" w:lineRule="auto"/>
            </w:pPr>
            <w:r w:rsidRPr="00994531">
              <w:t>Time contribution</w:t>
            </w:r>
          </w:p>
        </w:tc>
        <w:tc>
          <w:tcPr>
            <w:tcW w:w="997" w:type="dxa"/>
            <w:tcBorders>
              <w:top w:val="single" w:sz="6" w:space="0" w:color="auto"/>
            </w:tcBorders>
          </w:tcPr>
          <w:p w14:paraId="3422D9A5" w14:textId="77777777" w:rsidR="00BB0B1E" w:rsidRPr="00994531" w:rsidRDefault="00BB0B1E">
            <w:pPr>
              <w:spacing w:line="276" w:lineRule="auto"/>
              <w:jc w:val="center"/>
            </w:pPr>
            <w:r w:rsidRPr="00994531">
              <w:t>18.9%</w:t>
            </w:r>
          </w:p>
        </w:tc>
        <w:tc>
          <w:tcPr>
            <w:tcW w:w="830" w:type="dxa"/>
            <w:tcBorders>
              <w:top w:val="single" w:sz="6" w:space="0" w:color="auto"/>
            </w:tcBorders>
          </w:tcPr>
          <w:p w14:paraId="38045659" w14:textId="77777777" w:rsidR="00BB0B1E" w:rsidRPr="00994531" w:rsidRDefault="00BB0B1E">
            <w:pPr>
              <w:spacing w:line="276" w:lineRule="auto"/>
              <w:jc w:val="center"/>
            </w:pPr>
            <w:r w:rsidRPr="00994531">
              <w:t>17.9%</w:t>
            </w:r>
          </w:p>
        </w:tc>
        <w:tc>
          <w:tcPr>
            <w:tcW w:w="747" w:type="dxa"/>
            <w:tcBorders>
              <w:top w:val="single" w:sz="6" w:space="0" w:color="auto"/>
            </w:tcBorders>
          </w:tcPr>
          <w:p w14:paraId="19717225" w14:textId="77777777" w:rsidR="00BB0B1E" w:rsidRPr="00994531" w:rsidRDefault="00BB0B1E">
            <w:pPr>
              <w:spacing w:line="276" w:lineRule="auto"/>
              <w:jc w:val="center"/>
            </w:pPr>
            <w:r w:rsidRPr="00994531">
              <w:t>19.3%</w:t>
            </w:r>
          </w:p>
        </w:tc>
        <w:tc>
          <w:tcPr>
            <w:tcW w:w="833" w:type="dxa"/>
            <w:tcBorders>
              <w:top w:val="single" w:sz="6" w:space="0" w:color="auto"/>
              <w:right w:val="single" w:sz="4" w:space="0" w:color="auto"/>
            </w:tcBorders>
          </w:tcPr>
          <w:p w14:paraId="3034B8CE" w14:textId="77777777" w:rsidR="00BB0B1E" w:rsidRPr="00994531" w:rsidRDefault="00BB0B1E">
            <w:pPr>
              <w:spacing w:line="276" w:lineRule="auto"/>
              <w:jc w:val="center"/>
            </w:pPr>
            <w:r w:rsidRPr="00994531">
              <w:t>14.3%</w:t>
            </w:r>
          </w:p>
        </w:tc>
        <w:tc>
          <w:tcPr>
            <w:tcW w:w="908" w:type="dxa"/>
            <w:tcBorders>
              <w:top w:val="single" w:sz="6" w:space="0" w:color="auto"/>
              <w:left w:val="single" w:sz="4" w:space="0" w:color="auto"/>
            </w:tcBorders>
          </w:tcPr>
          <w:p w14:paraId="71A275A0" w14:textId="77777777" w:rsidR="00BB0B1E" w:rsidRPr="00994531" w:rsidRDefault="00BB0B1E">
            <w:pPr>
              <w:spacing w:line="276" w:lineRule="auto"/>
              <w:jc w:val="center"/>
            </w:pPr>
            <w:r w:rsidRPr="00994531">
              <w:t>13.8%</w:t>
            </w:r>
          </w:p>
        </w:tc>
        <w:tc>
          <w:tcPr>
            <w:tcW w:w="970" w:type="dxa"/>
            <w:tcBorders>
              <w:top w:val="single" w:sz="6" w:space="0" w:color="auto"/>
            </w:tcBorders>
          </w:tcPr>
          <w:p w14:paraId="00875D36" w14:textId="77777777" w:rsidR="00BB0B1E" w:rsidRPr="00994531" w:rsidRDefault="00BB0B1E">
            <w:pPr>
              <w:spacing w:line="276" w:lineRule="auto"/>
              <w:jc w:val="center"/>
            </w:pPr>
            <w:r w:rsidRPr="00994531">
              <w:t>17.0%</w:t>
            </w:r>
          </w:p>
        </w:tc>
        <w:tc>
          <w:tcPr>
            <w:tcW w:w="974" w:type="dxa"/>
            <w:tcBorders>
              <w:top w:val="single" w:sz="6" w:space="0" w:color="auto"/>
            </w:tcBorders>
          </w:tcPr>
          <w:p w14:paraId="640F8B40" w14:textId="77777777" w:rsidR="00BB0B1E" w:rsidRPr="00994531" w:rsidRDefault="00BB0B1E">
            <w:pPr>
              <w:spacing w:line="276" w:lineRule="auto"/>
              <w:jc w:val="center"/>
            </w:pPr>
            <w:r w:rsidRPr="00994531">
              <w:t>16.8%</w:t>
            </w:r>
          </w:p>
        </w:tc>
        <w:tc>
          <w:tcPr>
            <w:tcW w:w="976" w:type="dxa"/>
            <w:tcBorders>
              <w:top w:val="single" w:sz="6" w:space="0" w:color="auto"/>
            </w:tcBorders>
          </w:tcPr>
          <w:p w14:paraId="435DFDA7" w14:textId="77777777" w:rsidR="00BB0B1E" w:rsidRPr="00994531" w:rsidRDefault="00BB0B1E">
            <w:pPr>
              <w:spacing w:line="276" w:lineRule="auto"/>
              <w:jc w:val="center"/>
            </w:pPr>
            <w:r w:rsidRPr="00994531">
              <w:t>17.0%</w:t>
            </w:r>
          </w:p>
        </w:tc>
      </w:tr>
      <w:tr w:rsidR="00BB0B1E" w:rsidRPr="00994531" w14:paraId="0CCD5C73" w14:textId="77777777">
        <w:trPr>
          <w:trHeight w:val="726"/>
          <w:jc w:val="center"/>
        </w:trPr>
        <w:tc>
          <w:tcPr>
            <w:tcW w:w="2076" w:type="dxa"/>
            <w:gridSpan w:val="2"/>
            <w:tcBorders>
              <w:bottom w:val="single" w:sz="4" w:space="0" w:color="auto"/>
            </w:tcBorders>
          </w:tcPr>
          <w:p w14:paraId="2280B45C" w14:textId="77777777" w:rsidR="00BB0B1E" w:rsidRPr="00994531" w:rsidRDefault="00BB0B1E">
            <w:pPr>
              <w:spacing w:line="276" w:lineRule="auto"/>
            </w:pPr>
            <w:r w:rsidRPr="00994531">
              <w:t>Flux contribution</w:t>
            </w:r>
          </w:p>
        </w:tc>
        <w:tc>
          <w:tcPr>
            <w:tcW w:w="997" w:type="dxa"/>
            <w:tcBorders>
              <w:bottom w:val="single" w:sz="4" w:space="0" w:color="auto"/>
            </w:tcBorders>
          </w:tcPr>
          <w:p w14:paraId="3E93E206" w14:textId="77777777" w:rsidR="00BB0B1E" w:rsidRPr="00994531" w:rsidRDefault="00BB0B1E">
            <w:pPr>
              <w:spacing w:line="276" w:lineRule="auto"/>
              <w:jc w:val="center"/>
            </w:pPr>
            <w:r w:rsidRPr="00994531">
              <w:t>76.7%</w:t>
            </w:r>
          </w:p>
        </w:tc>
        <w:tc>
          <w:tcPr>
            <w:tcW w:w="830" w:type="dxa"/>
            <w:tcBorders>
              <w:bottom w:val="single" w:sz="4" w:space="0" w:color="auto"/>
            </w:tcBorders>
          </w:tcPr>
          <w:p w14:paraId="4A52C749" w14:textId="77777777" w:rsidR="00BB0B1E" w:rsidRPr="00994531" w:rsidRDefault="00BB0B1E">
            <w:pPr>
              <w:spacing w:line="276" w:lineRule="auto"/>
              <w:jc w:val="center"/>
            </w:pPr>
            <w:r w:rsidRPr="00994531">
              <w:t>73.7%</w:t>
            </w:r>
          </w:p>
        </w:tc>
        <w:tc>
          <w:tcPr>
            <w:tcW w:w="747" w:type="dxa"/>
            <w:tcBorders>
              <w:bottom w:val="single" w:sz="4" w:space="0" w:color="auto"/>
            </w:tcBorders>
          </w:tcPr>
          <w:p w14:paraId="64B423D1" w14:textId="77777777" w:rsidR="00BB0B1E" w:rsidRPr="00994531" w:rsidRDefault="00BB0B1E">
            <w:pPr>
              <w:spacing w:line="276" w:lineRule="auto"/>
              <w:jc w:val="center"/>
            </w:pPr>
            <w:r w:rsidRPr="00994531">
              <w:t>75.4%</w:t>
            </w:r>
          </w:p>
        </w:tc>
        <w:tc>
          <w:tcPr>
            <w:tcW w:w="833" w:type="dxa"/>
            <w:tcBorders>
              <w:bottom w:val="single" w:sz="4" w:space="0" w:color="auto"/>
              <w:right w:val="single" w:sz="4" w:space="0" w:color="auto"/>
            </w:tcBorders>
          </w:tcPr>
          <w:p w14:paraId="6DCF0322" w14:textId="77777777" w:rsidR="00BB0B1E" w:rsidRPr="00994531" w:rsidRDefault="00BB0B1E">
            <w:pPr>
              <w:spacing w:line="276" w:lineRule="auto"/>
              <w:jc w:val="center"/>
            </w:pPr>
            <w:r w:rsidRPr="00994531">
              <w:t>69.6%</w:t>
            </w:r>
          </w:p>
        </w:tc>
        <w:tc>
          <w:tcPr>
            <w:tcW w:w="908" w:type="dxa"/>
            <w:tcBorders>
              <w:left w:val="single" w:sz="4" w:space="0" w:color="auto"/>
              <w:bottom w:val="single" w:sz="4" w:space="0" w:color="auto"/>
            </w:tcBorders>
          </w:tcPr>
          <w:p w14:paraId="39B81302" w14:textId="77777777" w:rsidR="00BB0B1E" w:rsidRPr="00994531" w:rsidRDefault="00BB0B1E">
            <w:pPr>
              <w:spacing w:line="276" w:lineRule="auto"/>
              <w:jc w:val="center"/>
            </w:pPr>
            <w:r w:rsidRPr="00994531">
              <w:t>60.1%</w:t>
            </w:r>
          </w:p>
        </w:tc>
        <w:tc>
          <w:tcPr>
            <w:tcW w:w="970" w:type="dxa"/>
            <w:tcBorders>
              <w:bottom w:val="single" w:sz="4" w:space="0" w:color="auto"/>
            </w:tcBorders>
          </w:tcPr>
          <w:p w14:paraId="65BDFDAE" w14:textId="77777777" w:rsidR="00BB0B1E" w:rsidRPr="00994531" w:rsidRDefault="00BB0B1E">
            <w:pPr>
              <w:spacing w:line="276" w:lineRule="auto"/>
              <w:jc w:val="center"/>
            </w:pPr>
            <w:r w:rsidRPr="00994531">
              <w:t>63.0%</w:t>
            </w:r>
          </w:p>
        </w:tc>
        <w:tc>
          <w:tcPr>
            <w:tcW w:w="974" w:type="dxa"/>
            <w:tcBorders>
              <w:bottom w:val="single" w:sz="4" w:space="0" w:color="auto"/>
            </w:tcBorders>
          </w:tcPr>
          <w:p w14:paraId="44B9E0C4" w14:textId="77777777" w:rsidR="00BB0B1E" w:rsidRPr="00994531" w:rsidRDefault="00BB0B1E">
            <w:pPr>
              <w:spacing w:line="276" w:lineRule="auto"/>
              <w:jc w:val="center"/>
            </w:pPr>
            <w:r w:rsidRPr="00994531">
              <w:t>63.2%</w:t>
            </w:r>
          </w:p>
        </w:tc>
        <w:tc>
          <w:tcPr>
            <w:tcW w:w="976" w:type="dxa"/>
            <w:tcBorders>
              <w:bottom w:val="single" w:sz="4" w:space="0" w:color="auto"/>
            </w:tcBorders>
          </w:tcPr>
          <w:p w14:paraId="29F08FE7" w14:textId="77777777" w:rsidR="00BB0B1E" w:rsidRPr="00994531" w:rsidRDefault="00BB0B1E">
            <w:pPr>
              <w:spacing w:line="276" w:lineRule="auto"/>
              <w:jc w:val="center"/>
            </w:pPr>
            <w:r w:rsidRPr="00994531">
              <w:t>63.3%</w:t>
            </w:r>
          </w:p>
        </w:tc>
      </w:tr>
    </w:tbl>
    <w:p w14:paraId="093BA0F2" w14:textId="6D84AAC7" w:rsidR="00BB0B1E" w:rsidRPr="00825C2F" w:rsidRDefault="00BB0B1E" w:rsidP="00825C2F">
      <w:pPr>
        <w:pStyle w:val="EndnoteText"/>
        <w:spacing w:after="240"/>
        <w:rPr>
          <w:sz w:val="24"/>
          <w:szCs w:val="24"/>
        </w:rPr>
      </w:pPr>
      <w:r w:rsidRPr="00A42586">
        <w:rPr>
          <w:sz w:val="24"/>
          <w:szCs w:val="24"/>
          <w:vertAlign w:val="superscript"/>
        </w:rPr>
        <w:t>1</w:t>
      </w:r>
      <w:r w:rsidRPr="00A42586">
        <w:rPr>
          <w:sz w:val="24"/>
          <w:szCs w:val="24"/>
        </w:rPr>
        <w:t>Eight time series from four separate experiments with consistent, year-round measurements were identified, comprising a total of 690 N</w:t>
      </w:r>
      <w:r w:rsidRPr="00A42586">
        <w:rPr>
          <w:sz w:val="24"/>
          <w:szCs w:val="24"/>
          <w:vertAlign w:val="subscript"/>
        </w:rPr>
        <w:t>2</w:t>
      </w:r>
      <w:r w:rsidRPr="00A42586">
        <w:rPr>
          <w:sz w:val="24"/>
          <w:szCs w:val="24"/>
        </w:rPr>
        <w:t>O flux measurements. Experiments were conducted in Germany (2), Brazil, and the United Kingdom. Crops represented from these experiments included maize (3), rangeland (2), soybean, ryegrass, and potato.</w:t>
      </w:r>
    </w:p>
    <w:p w14:paraId="373C339E" w14:textId="7FA401BB" w:rsidR="008A20A1" w:rsidRDefault="008A20A1" w:rsidP="00212548">
      <w:pPr>
        <w:spacing w:before="240" w:after="0" w:line="480" w:lineRule="auto"/>
      </w:pPr>
      <w:r w:rsidRPr="00994531">
        <w:t>of N</w:t>
      </w:r>
      <w:r w:rsidRPr="00994531">
        <w:rPr>
          <w:vertAlign w:val="subscript"/>
        </w:rPr>
        <w:t>2</w:t>
      </w:r>
      <w:r w:rsidRPr="00994531">
        <w:t>O flux measurements from diverse agroecosystems to evaluate a wide array of statistical anomaly detection methods which differ in their mathematical principles for data classification. Our analysis highlights the limitations and biases of previously used methods (Molodovskaya et al., 2012; Stuchiner et al., 2025), which are either too conservative or fail to account for the diverse N</w:t>
      </w:r>
      <w:r w:rsidRPr="00994531">
        <w:rPr>
          <w:vertAlign w:val="subscript"/>
        </w:rPr>
        <w:t>2</w:t>
      </w:r>
      <w:r w:rsidRPr="00994531">
        <w:t>O flux distributions. In this endeavor, we identify robust and novel N</w:t>
      </w:r>
      <w:r w:rsidRPr="00994531">
        <w:rPr>
          <w:vertAlign w:val="subscript"/>
        </w:rPr>
        <w:t>2</w:t>
      </w:r>
      <w:r w:rsidRPr="00994531">
        <w:t xml:space="preserve">O hot moment identification methods across this diverse global dataset and outline the appropriate contexts for their use.  </w:t>
      </w:r>
    </w:p>
    <w:p w14:paraId="37EB6F7A" w14:textId="0520CF74" w:rsidR="00E44A03" w:rsidRPr="00994531" w:rsidRDefault="00E44A03" w:rsidP="00E44A03">
      <w:pPr>
        <w:pStyle w:val="Heading3"/>
      </w:pPr>
      <w:bookmarkStart w:id="58" w:name="_Toc204282755"/>
      <w:r w:rsidRPr="00994531">
        <w:t xml:space="preserve">Statistical </w:t>
      </w:r>
      <w:r w:rsidR="00FB5951">
        <w:t>s</w:t>
      </w:r>
      <w:r w:rsidRPr="00994531">
        <w:t xml:space="preserve">trengths and </w:t>
      </w:r>
      <w:r w:rsidR="00FB5951">
        <w:t>l</w:t>
      </w:r>
      <w:r w:rsidRPr="00994531">
        <w:t xml:space="preserve">imitations of </w:t>
      </w:r>
      <w:r w:rsidR="00FB5951">
        <w:t>h</w:t>
      </w:r>
      <w:r w:rsidRPr="00994531">
        <w:t xml:space="preserve">ot </w:t>
      </w:r>
      <w:r w:rsidR="00FB5951">
        <w:t>m</w:t>
      </w:r>
      <w:r w:rsidRPr="00994531">
        <w:t xml:space="preserve">oment </w:t>
      </w:r>
      <w:r w:rsidR="00FB5951">
        <w:t>d</w:t>
      </w:r>
      <w:r w:rsidRPr="00994531">
        <w:t xml:space="preserve">etection </w:t>
      </w:r>
      <w:r w:rsidR="00FB5951">
        <w:t>m</w:t>
      </w:r>
      <w:r w:rsidRPr="00994531">
        <w:t xml:space="preserve">ethods </w:t>
      </w:r>
      <w:r w:rsidR="00FB5951">
        <w:t>w</w:t>
      </w:r>
      <w:r w:rsidRPr="00994531">
        <w:t xml:space="preserve">ithin the </w:t>
      </w:r>
      <w:r w:rsidR="00FB5951">
        <w:t>r</w:t>
      </w:r>
      <w:r w:rsidRPr="00994531">
        <w:t xml:space="preserve">esearch </w:t>
      </w:r>
      <w:r w:rsidR="00EE0E17">
        <w:t>c</w:t>
      </w:r>
      <w:r w:rsidRPr="00994531">
        <w:t>ontext</w:t>
      </w:r>
      <w:bookmarkEnd w:id="58"/>
    </w:p>
    <w:p w14:paraId="7FC5FF50" w14:textId="4E74784C" w:rsidR="00EF23D4" w:rsidRPr="00994531" w:rsidRDefault="00E44A03" w:rsidP="001B567A">
      <w:pPr>
        <w:spacing w:after="0" w:line="480" w:lineRule="auto"/>
      </w:pPr>
      <w:r w:rsidRPr="00994531">
        <w:t>IQR and standard deviation methods have most commonly been used for N</w:t>
      </w:r>
      <w:r w:rsidRPr="00994531">
        <w:rPr>
          <w:vertAlign w:val="subscript"/>
        </w:rPr>
        <w:t>2</w:t>
      </w:r>
      <w:r w:rsidRPr="00994531">
        <w:t>O hot moment</w:t>
      </w:r>
      <w:r w:rsidR="0003406B">
        <w:t xml:space="preserve"> </w:t>
      </w:r>
      <w:r w:rsidR="0003406B" w:rsidRPr="00994531">
        <w:t xml:space="preserve">identification </w:t>
      </w:r>
      <w:r w:rsidR="0003406B" w:rsidRPr="00994531">
        <w:fldChar w:fldCharType="begin"/>
      </w:r>
      <w:r w:rsidR="00D74AD1">
        <w:instrText xml:space="preserve"> ADDIN ZOTERO_ITEM CSL_CITATION {"citationID":"aJecdeMv","properties":{"formattedCitation":"(Anthony et al., 2023; Anthony &amp; Silver, 2021; Molodovskaya et al., 2012; Palta et al., 2014; Stuchiner et al., 2025; Zhou et al., 2022)","plainCitation":"(Anthony et al., 2023; Anthony &amp; Silver, 2021; Molodovskaya et al., 2012; Palta et al., 2014; Stuchiner et al., 2025; Zhou et al., 2022)","noteIndex":0},"citationItems":[{"id":795,"uris":["http://zotero.org/groups/4573874/items/75F6U62S"],"itemData":{"id":795,"type":"article-journal","abstract":"Alfalfa is the most widely grown forage crop worldwide and is thought to be a significant carbon sink due to high productivity, extensive root systems, and nitrogen-fixation. However, these conditions may increase nitrous oxide (N2O) emissions thus lowering the climate change mitigation potential. We used a suite of long-term automated instrumentation and satellite imagery to quantify patterns and drivers of greenhouse gas fluxes in a continuous alfalfa agroecosystem in California. We show that this continuous alfalfa system was a large N2O source (624 ± 28 mg N2O m2 y−1), offsetting the ecosystem carbon (carbon dioxide (CO2) and methane (CH4)) sink by up to 14% annually. Short-term N2O emissions events (i.e., hot moments) accounted for ≤1% of measurements but up to 57% of annual emissions. Seasonal and daily trends in rainfall and irrigation were the primary drivers of hot moments of N2O emissions. Significant coherence between satellite-derived photosynthetic activity and N2O fluxes suggested plant activity was an important driver of background emissions. Combined data show annual N2O emissions can significantly lower the carbon-sink potential of continuous alfalfa agriculture.","container-title":"Nature Communications","DOI":"10.1038/s41467-023-37391-2","ISSN":"2041-1723","issue":"1","journalAbbreviation":"Nat Commun","language":"en","license":"2023 The Author(s)","note":"number: 1\npublisher: Nature Publishing Group","page":"1926","source":"www.nature.com","title":"Carbon-sink potential of continuous alfalfa agriculture lowered by short-term nitrous oxide emission events","volume":"14","author":[{"family":"Anthony","given":"Tyler L."},{"family":"Szutu","given":"Daphne J."},{"family":"Verfaillie","given":"Joseph G."},{"family":"Baldocchi","given":"Dennis D."},{"family":"Silver","given":"Whendee L."}],"issued":{"date-parts":[["2023",4,6]]}}},{"id":794,"uris":["http://zotero.org/groups/4573874/items/UNBCKZAX"],"itemData":{"id":794,"type":"article-journal","abstract":"Agricultural peatlands are estimated to emit approximately one third of global greenhouse gas (GHG) emissions from croplands, but the temporal dynamics and controls of these emissions are poorly understood, particularly for nitrous oxide (N2O). We used cavity ring-down spectroscopy and automated chambers in a drained agricultural peatland to measure over 70,000 individual N2O, methane (CH4), and carbon dioxide (CO2) fluxes over 3 years. Our results showed that N2O fluxes were high, contributing 26% (annual range: 16%–35%) of annual CO2e emissions. Total N2O fluxes averaged 26 ± 0.5 kg N2O-N ha−1 y−1 and exhibited significant inter- and intra-annual variability with a maximum annual flux of 42 ± 1.8 kg N2O-N ha−1 y−1. Hot moments of N2O and CH4 emissions represented 1.1 ± 0.2 and 1.3 ± 0.2% of measurements, respectively, but contributed to 45 ± 1% of mean annual N2O fluxes and to 140 ± 9% of mean annual CH4 fluxes. Soil moisture, soil temperature, and bulk soil oxygen (O2) concentrations were strongly correlated with soil N2O and CH4 emissions; soil nitrate () concentrations were also significantly correlated with soil N2O emissions. These results suggest that IPCC benchmarks underestimate N2O emissions from these high emitting agricultural peatlands by up to 70%. Scaling to regional agricultural peatlands with similar management suggests these ecosystems could emit up to 1.86 Tg CO2e y−1 (range: 1.58–2.21 Tg CO2e y−1). Data suggest that these agricultural peatlands are large sources of GHGs, and that short-term hot moments of N2O and CH4 are a significant fraction of total greenhouse budgets.","container-title":"Global Change Biology","DOI":"10.1111/gcb.15802","ISSN":"1365-2486","issue":"20","language":"en","note":"_eprint: https://onlinelibrary.wiley.com/doi/pdf/10.1111/gcb.15802","page":"5141-5153","source":"Wiley Online Library","title":"Hot moments drive extreme nitrous oxide and methane emissions from agricultural peatlands","volume":"27","author":[{"family":"Anthony","given":"Tyler L."},{"family":"Silver","given":"Whendee L."}],"issued":{"date-parts":[["2021"]]}}},{"id":692,"uris":["http://zotero.org/groups/4573874/items/97DFR7GJ"],"itemData":{"id":692,"type":"article-journal","abstract":"Nitrous oxide (N2O) emissions were monitored using the micrometeorological eddy covariance technique from manure-fertilized cropland on a large dairy farm in New York State in 2006 to 2009. Nitrous oxide emissions demonstrated episodic behavior with intermittent short-duration peak fluxes up to 39.7 mg N2O-N m−2 d−1, whereas most of background fluxes during the annual agricultural cycle were below 6.5 mg N2O-N m−2 d−1. This paper discusses temporal variability of measured N2O emissions using a “hot moment” approach. To identify and quantify peak events as potential hot moments and to determine whether or not they could be treated statistically as outliers, N2O daily fluxes were analyzed by the box plot method using multiple thresholds. Peak events exceeding outlier thresholds contributed up to 51% of cumulative annual N2O emissions, although they represented &lt;7% of the total observation time. Individual N2O peaks were also categorized by their duration, as single day spikes and multiday events. The highest contributing instances were multiday N2O peaks during summer precipitation and early spring thaw, largely enhanced by manure fertilization. These high-intensity emission events demonstrated repetitive seasonal responses to a combination of environmental factors and were therefore identified as hot moments. Abrupt rises in both temperature and soil moisture appeared to trigger major hot moments, whereas the availability of manure N controlled their magnitude. In the absence of strong correlations between time-series of individual environmental factors and N2O emissions, the hot moment approach can be a promising tool for the integrated analysis of most significant N2O events in cultivated fields receiving manure applications.","container-title":"Soil Science Society of America Journal","DOI":"10.2136/sssaj2012.0039","ISSN":"1435-0661","issue":"5","language":"en","note":"_eprint: https://onlinelibrary.wiley.com/doi/pdf/10.2136/sssaj2012.0039","page":"1728-1740","source":"Wiley Online Library","title":"Temporal Variability of Nitrous Oxide from Fertilized Croplands: Hot Moment Analysis","title-short":"Temporal Variability of Nitrous Oxide from Fertilized Croplands","volume":"76","author":[{"family":"Molodovskaya","given":"Marina"},{"family":"Singurindy","given":"Olga"},{"family":"Richards","given":"Brian K."},{"family":"Warland","given":"Jon"},{"family":"Johnson","given":"Mark S."},{"family":"Steenhuis","given":"Tammo S."}],"issued":{"date-parts":[["2012"]]}}},{"id":1564,"uris":["http://zotero.org/groups/4573874/items/GLDYSNVZ"],"itemData":{"id":1564,"type":"article-journal","abstract":"The influence of hydrology and soil properties on disproportionately high (“hot”) rates of nitrate (NO3−) removal via denitrification has been relatively well established. It is poorly understood, however, how the unique soil characteristics of brownfield wetlands contribute to or hinder denitrification. In this study, we examined drivers of “hot” denitrification rates over time (“hot moments”) and space (“hotspots”) in a watershed located on an unrestored brownfield in New Jersey, USA. We carried out measurements of denitrification over 9-day sequences during three seasons in sites with the same vegetation (Phragmites australis) but different soils (fill material, remnant marsh soils, flooded organic-rich soils). Denitrification rates above the 3rd quartile value of the data distribution were defined as “hot” and the most important drivers of these rates were determined using mixed models. Porosity and NO3− availability were the strongest spatial and temporal predictors, respectively, of high denitrification rates, with coarse-textured, unflooded fill materials unexpectedly supporting the highest rates. These results suggest that pore-scale hydrology is a more complex controller of wetland denitrification than previously thought. Course-textured, unflooded soils have high fractions of air-filled pores relative to flooded soils, leading to more endogenous NO3− production, and less diffusion constraints than fine-textured soils, leading to higher NO3− availability to denitrifiers in suboxic pores. Laboratory studies confirmed denitrifiers were limited by NO3− availability. However, denitrification rates in all soils matched or exceeded atmospheric NO3− deposition and stormwater NO3− loading at the site, suggesting that brownfields may play an important role in NO3− removal from urban stormwater.","container-title":"Ecosystems","DOI":"10.1007/s10021-014-9778-0","ISSN":"1435-0629","issue":"7","journalAbbreviation":"Ecosystems","language":"en","page":"1121-1137","source":"Springer Link","title":"“Hotspots” and “Hot Moments” of Denitrification in Urban Brownfield Wetlands","volume":"17","author":[{"family":"Palta","given":"Monica M."},{"family":"Ehrenfeld","given":"Joan G."},{"family":"Groffman","given":"Peter M."}],"issued":{"date-parts":[["2014",11,1]]}}},{"id":3046,"uris":["http://zotero.org/groups/4573874/items/GYIWTSML"],"itemData":{"id":3046,"type":"article-journal","abstract":"Effectively quantifying hot moments of nitrous oxide (N2O) emissions from agricultural soils is critical for managing this potent greenhouse gas. However, we are challenged by a lack of standard approaches for identifying hot moments, including (a) determining thresholds above which emissions are considered hot moments, and (b) considering seasonal variation in the magnitude and frequency distribution of net N2O fluxes. We used one year of hourly N2O flux measurements from 16 autochambers that varied in flux magnitude and frequency distribution in a conventionally tilled maize field in central Illinois, USA, to compare three approaches to identify hot moment thresholds: standard deviations (SD) above the mean, 1.5x the interquartile range (IQR), and isolation forest (IF) identification of anomalous values. We also compared these approaches on seasonally subdivided data (early, late, and non-growing seasons) versus the whole year. Our analyses revealed that 1.5x IQR method best identified N2O hot moments. In contrast, using 2 or 4 SD both yielded hot moment threshold values too high, and IF yielded threshold values too low, leading to missed N2O hot moments or low net N2O fluxes mischaracterized as hot moments, respectively. Furthermore, seasonally subdividing the data set not only facilitated identification of smaller hot moments in the late- and non-growing seasons when N2O hot moments were generally smaller but it also increased hot moment threshold values in the early growing season when N2O hot moments were larger. Consequently, of the methods evaluated here, we recommend using the 1.5x IQR method on whole year data sets to identify N2O hot moments.","container-title":"Journal of Geophysical Research: Biogeosciences","DOI":"10.1029/2024JG008138","ISSN":"2169-8961","issue":"1","language":"en","license":"© 2024. The Author(s).","note":"_eprint: https://onlinelibrary.wiley.com/doi/pdf/10.1029/2024JG008138","page":"e2024JG008138","source":"Wiley Online Library","title":"Hot or Not? An Evaluation of Methods for Identifying Hot Moments of Nitrous Oxide Emissions From Soils","title-short":"Hot or Not?","volume":"130","author":[{"family":"Stuchiner","given":"Emily R."},{"family":"Xu","given":"Jiacheng"},{"family":"Eddy","given":"William C."},{"family":"DeLucia","given":"Evan H."},{"family":"Yang","given":"Wendy H."}],"issued":{"date-parts":[["2025"]]}}},{"id":883,"uris":["http://zotero.org/groups/4573874/items/APJK422N"],"itemData":{"id":883,"type":"article-journal","abstract":"Identification of hot spots and hot moments (HSHMs) in regard to soil nitrogen (N) losses has received public attention. Soil nitrous oxide (N2O) emissions and mineral N leaching under varied annual precipitation were simulated with the DayCent model in a mixed landscape (tea garden, bamboo forest and coniferous and broad-leaved mixed forests). Their HSHMs were further quantified using the 3rd quartile value of all data as the baseline. Results showed that the hot moments of soil N2O emissions were the dry year, summer, and months with high air temperature (July to September) and months after fertilization (April or May) at inter-annual, seasonal and monthly time scales, respectively. The hot moments of mineral N leaching at these time scales were the normal year or the wet year, spring or rainy seasons after drought, and rainy months after fertilization or drought, respectively. The main factors controlling the formation of hot moments on N losses were temperature, precipitation and fertilization. In addition, the hot spots of N2O emissions and mineral N leaching in the mixed landscape were both distributed in the tea garden (TG). When the entire study area was assumed to be under the same land-use type (i.e., TG), the hot spots of these two kinds of N losses were mainly distributed in the areas with rock fragment content &lt; 0.16 cm3 cm−3, field capacity &gt; 0.24 cm3 cm−3, bulk density &gt; 1.29 g cm−3, soil carbon (C)/N ratio &lt; 13.26, and slope &lt; 12°. These results indicated that fertilizer management, climate factors, soil properties and topography need to be comprehensively considered to alleviate the formation of HSHMs of N losses in mixed landscape mountainous areas.","container-title":"Geoderma","DOI":"10.1016/j.geoderma.2022.115896","ISSN":"0016-7061","journalAbbreviation":"Geoderma","language":"en","page":"115896","source":"ScienceDirect","title":"Determining the hot spots and hot moments of soil N2O emissions and mineral N leaching in a mixed landscape under subtropical monsoon climatic conditions","volume":"420","author":[{"family":"Zhou","given":"Zhiwen"},{"family":"Liao","given":"Kaihua"},{"family":"Zhu","given":"Qing"},{"family":"Lai","given":"Xiaoming"},{"family":"Yang","given":"Juan"},{"family":"Huang","given":"Jiacong"}],"issued":{"date-parts":[["2022",8,15]]}}}],"schema":"https://github.com/citation-style-language/schema/raw/master/csl-citation.json"} </w:instrText>
      </w:r>
      <w:r w:rsidR="0003406B" w:rsidRPr="00994531">
        <w:fldChar w:fldCharType="separate"/>
      </w:r>
      <w:r w:rsidR="0003406B" w:rsidRPr="00994531">
        <w:rPr>
          <w:lang w:val="it-IT"/>
        </w:rPr>
        <w:t>(Anthony et al., 2023; Anthony &amp; Silver, 2021; Molodovskaya et al., 2012; Palta et al., 2014; Stuchiner et al., 2025; Zhou et al., 2022)</w:t>
      </w:r>
      <w:r w:rsidR="0003406B" w:rsidRPr="00994531">
        <w:fldChar w:fldCharType="end"/>
      </w:r>
      <w:r w:rsidR="0003406B" w:rsidRPr="00994531">
        <w:rPr>
          <w:lang w:val="it-IT"/>
        </w:rPr>
        <w:t xml:space="preserve">. </w:t>
      </w:r>
      <w:r w:rsidR="0003406B" w:rsidRPr="00994531">
        <w:t>However, the performances of these methods</w:t>
      </w:r>
      <w:r w:rsidR="00825C2F">
        <w:t xml:space="preserve"> </w:t>
      </w:r>
      <w:r w:rsidR="00042608">
        <w:t>demonstrate</w:t>
      </w:r>
      <w:r w:rsidR="00825C2F">
        <w:t>d</w:t>
      </w:r>
      <w:r w:rsidR="00EF23D4" w:rsidRPr="00994531">
        <w:t xml:space="preserve"> strong biased </w:t>
      </w:r>
      <w:r w:rsidR="00042608">
        <w:t>with respect to</w:t>
      </w:r>
      <w:r w:rsidR="00EF23D4" w:rsidRPr="00994531">
        <w:t xml:space="preserve"> the proportion of hot moments within the dataset </w:t>
      </w:r>
      <w:r w:rsidR="00EF23D4" w:rsidRPr="00042608">
        <w:rPr>
          <w:b/>
          <w:bCs/>
        </w:rPr>
        <w:t>(Table 2</w:t>
      </w:r>
      <w:r w:rsidR="00042608">
        <w:rPr>
          <w:b/>
          <w:bCs/>
        </w:rPr>
        <w:t>.3</w:t>
      </w:r>
      <w:r w:rsidR="00EF23D4" w:rsidRPr="00994531">
        <w:t xml:space="preserve">). Standard deviation-based methods are easily distorted by extreme anomalies </w:t>
      </w:r>
      <w:r w:rsidR="00EF23D4" w:rsidRPr="00994531">
        <w:fldChar w:fldCharType="begin"/>
      </w:r>
      <w:r w:rsidR="00D74AD1">
        <w:instrText xml:space="preserve"> ADDIN ZOTERO_ITEM CSL_CITATION {"citationID":"hOC3Z1c4","properties":{"formattedCitation":"(Leys et al., 2013)","plainCitation":"(Leys et al., 2013)","noteIndex":0},"citationItems":[{"id":3036,"uris":["http://zotero.org/groups/4573874/items/EWS974CH"],"itemData":{"id":3036,"type":"article-journal","abstract":"A survey revealed that researchers still seem to encounter difficulties to cope with outliers. Detecting outliers by determining an interval spanning over the mean plus/minus three standard deviations remains a common practice. However, since both the mean and the standard deviation are particularly sensitive to outliers, this method is problematic. We highlight the disadvantages of this method and present the median absolute deviation, an alternative and more robust measure of dispersion that is easy to implement. We also explain the procedures for calculating this indicator in SPSS and R software.","container-title":"Journal of Experimental Social Psychology","DOI":"10.1016/j.jesp.2013.03.013","ISSN":"0022-1031","issue":"4","journalAbbreviation":"Journal of Experimental Social Psychology","page":"764-766","source":"ScienceDirect","title":"Detecting outliers: Do not use standard deviation around the mean, use absolute deviation around the median","title-short":"Detecting outliers","volume":"49","author":[{"family":"Leys","given":"Christophe"},{"family":"Ley","given":"Christophe"},{"family":"Klein","given":"Olivier"},{"family":"Bernard","given":"Philippe"},{"family":"Licata","given":"Laurent"}],"issued":{"date-parts":[["2013",7,1]]}}}],"schema":"https://github.com/citation-style-language/schema/raw/master/csl-citation.json"} </w:instrText>
      </w:r>
      <w:r w:rsidR="00EF23D4" w:rsidRPr="00994531">
        <w:fldChar w:fldCharType="separate"/>
      </w:r>
      <w:r w:rsidR="00EF23D4" w:rsidRPr="00994531">
        <w:t xml:space="preserve">(Leys </w:t>
      </w:r>
      <w:r w:rsidR="00EF23D4" w:rsidRPr="00994531">
        <w:lastRenderedPageBreak/>
        <w:t>et al., 2013)</w:t>
      </w:r>
      <w:r w:rsidR="00EF23D4" w:rsidRPr="00994531">
        <w:fldChar w:fldCharType="end"/>
      </w:r>
      <w:r w:rsidR="00EF23D4" w:rsidRPr="00994531">
        <w:t xml:space="preserve">, and while IQR is more robust to extreme values, its performance degrades increasingly as anomalies comprise 25% or more of a dataset </w:t>
      </w:r>
      <w:r w:rsidR="00EF23D4" w:rsidRPr="00994531">
        <w:fldChar w:fldCharType="begin"/>
      </w:r>
      <w:r w:rsidR="00D74AD1">
        <w:instrText xml:space="preserve"> ADDIN ZOTERO_ITEM CSL_CITATION {"citationID":"Kr6GQm1o","properties":{"formattedCitation":"(Hampel, 1971)","plainCitation":"(Hampel, 1971)","noteIndex":0},"citationItems":[{"id":3045,"uris":["http://zotero.org/groups/4573874/items/KLQULHXN"],"itemData":{"id":3045,"type":"article-journal","abstract":"Two very closely related definitions of robustness of a sequence of estimators are given which take into account the types of deviations from parametric models that occur in practice. These definitions utilize the properties of the Prokhorov distance between probability distributions. It is proved that weak $^\\ast$-continuous functionals on the space of probability distributions define robust sequences of estimators (in either sense). The concept of the \"breakdown point\" of a sequence of estimators is defined, and some examples are given.","container-title":"The Annals of Mathematical Statistics","DOI":"10.1214/aoms/1177693054","ISSN":"0003-4851, 2168-8990","issue":"6","note":"publisher: Institute of Mathematical Statistics","page":"1887-1896","source":"Project Euclid","title":"A General Qualitative Definition of Robustness","volume":"42","author":[{"family":"Hampel","given":"Frank R."}],"issued":{"date-parts":[["1971",12]]}}}],"schema":"https://github.com/citation-style-language/schema/raw/master/csl-citation.json"} </w:instrText>
      </w:r>
      <w:r w:rsidR="00EF23D4" w:rsidRPr="00994531">
        <w:fldChar w:fldCharType="separate"/>
      </w:r>
      <w:r w:rsidR="00EF23D4" w:rsidRPr="00994531">
        <w:t>(Hampel, 1971)</w:t>
      </w:r>
      <w:r w:rsidR="00EF23D4" w:rsidRPr="00994531">
        <w:fldChar w:fldCharType="end"/>
      </w:r>
      <w:r w:rsidR="00EF23D4" w:rsidRPr="00994531">
        <w:t>. The true rate of hot moments within real-world experimental datasets varied from 0% to over 40% (</w:t>
      </w:r>
      <w:r w:rsidR="00EF23D4" w:rsidRPr="002E618D">
        <w:rPr>
          <w:b/>
          <w:bCs/>
        </w:rPr>
        <w:t>Figure 7b</w:t>
      </w:r>
      <w:r w:rsidR="00EF23D4" w:rsidRPr="00994531">
        <w:t>), and 1.5 IQR performed poorly compared to other methods on both ends of this range (</w:t>
      </w:r>
      <w:r w:rsidR="00EF23D4" w:rsidRPr="002E618D">
        <w:rPr>
          <w:b/>
          <w:bCs/>
        </w:rPr>
        <w:t>Figure 6</w:t>
      </w:r>
      <w:r w:rsidR="00EF23D4" w:rsidRPr="00994531">
        <w:t>). This shortcoming is especially problematic when comparing datasets with vastly different proportions of anomalies, for example multiple treatments of varying fertilization rates, or datasets taken from different seasons as observed by Stuchiner et al. (2025). In such scenarios, 1.5 IQR is likely to overestimate hot moments when they are few and underestimate hot moments when they are common, potentially introducing systematic bias when comparing dissimilar datasets. Additionally, four standard deviations and IQR methods identified very few local hot moments, performing below all other methods at 0% - 14% detection, which follows logically from their methodological inability to consider local context. Poor performance in identifying local anomalies is a significant weakness, as N</w:t>
      </w:r>
      <w:r w:rsidR="00EF23D4" w:rsidRPr="00994531">
        <w:rPr>
          <w:vertAlign w:val="subscript"/>
        </w:rPr>
        <w:t>2</w:t>
      </w:r>
      <w:r w:rsidR="00EF23D4" w:rsidRPr="00994531">
        <w:t xml:space="preserve">O emissions from North American agriculture often exhibit a primary maxima of higher magnitude in early summer after nitrogen fertilization and a smaller late Winter/early Spring secondary maxima, which can become more important in the northern latitude due to freeze-thaw emissions </w:t>
      </w:r>
      <w:r w:rsidR="00EF23D4" w:rsidRPr="00994531">
        <w:fldChar w:fldCharType="begin"/>
      </w:r>
      <w:r w:rsidR="00D74AD1">
        <w:instrText xml:space="preserve"> ADDIN ZOTERO_ITEM CSL_CITATION {"citationID":"hfi8qdW7","properties":{"formattedCitation":"(Nevison et al., 2023)","plainCitation":"(Nevison et al., 2023)","noteIndex":0},"citationItems":[{"id":3055,"uris":["http://zotero.org/groups/4573874/items/CEHRA3S9"],"itemData":{"id":3055,"type":"article-journal","abstract":"North American nitrous oxide (N2O) emissions over 2011–2018 are estimated using the CarbonTracker-Lagrange regional inversion framework. Emissions are strongest in the Midwestern corn/soybean belt and display a distinct dual maxima seasonal pattern. The first maximum occurs in late winter/early spring, suggestive of freeze-thaw (FT) effects on denitrification rates and associated N2O emissions. The second maximum occurs in late spring/early summer, consistent with a growing season nitrogen fertilizer-driven source, although fertilizer applied in late fall may contribute to the FT pulse as well. Interannual variability in the first maximum correlates significantly to soil freeze thaw status derived from remote sensing data. A requisite frozen period in the preceding early winter appears necessary to create conditions for the N2O pulse after thawing. The FT pulse is a prominent feature of the annual cycle in Canadian cropland, where it may be of comparable magnitude to growing season emissions. In contrast, the growing season peak in N2O dominates the FT peak in the Midwestern Corn-Soybean region of the United States.","container-title":"Global Biogeochemical Cycles","DOI":"10.1029/2023GB007759","ISSN":"1944-9224","issue":"7","language":"en","license":"© 2023. American Geophysical Union. All Rights Reserved.","note":"_eprint: https://onlinelibrary.wiley.com/doi/pdf/10.1029/2023GB007759","page":"e2023GB007759","source":"Wiley Online Library","title":"Remote Sensing Soil Freeze-Thaw Status and North American N2O Emissions From a Regional Inversion","volume":"37","author":[{"family":"Nevison","given":"Cynthia"},{"family":"Lan","given":"Xin"},{"family":"Ogle","given":"Stephen M."}],"issued":{"date-parts":[["2023"]]}}}],"schema":"https://github.com/citation-style-language/schema/raw/master/csl-citation.json"} </w:instrText>
      </w:r>
      <w:r w:rsidR="00EF23D4" w:rsidRPr="00994531">
        <w:fldChar w:fldCharType="separate"/>
      </w:r>
      <w:r w:rsidR="00EF23D4" w:rsidRPr="00994531">
        <w:rPr>
          <w:rFonts w:cs="Times New Roman"/>
        </w:rPr>
        <w:t>(Nevison et al., 2023)</w:t>
      </w:r>
      <w:r w:rsidR="00EF23D4" w:rsidRPr="00994531">
        <w:fldChar w:fldCharType="end"/>
      </w:r>
      <w:r w:rsidR="00EF23D4" w:rsidRPr="00994531">
        <w:t>. Therefore, failure to identify relatively smaller in magnitude, but still relevant, hot moments can underestimate risks of N</w:t>
      </w:r>
      <w:r w:rsidR="00EF23D4" w:rsidRPr="00994531">
        <w:rPr>
          <w:vertAlign w:val="subscript"/>
        </w:rPr>
        <w:t>2</w:t>
      </w:r>
      <w:r w:rsidR="00EF23D4" w:rsidRPr="00994531">
        <w:t xml:space="preserve">O emissions. Due to these limitations, it is important to be cautious when using IQR and standard deviation-based methods, which have been widely used to date, for N₂O hot moment identification. </w:t>
      </w:r>
    </w:p>
    <w:p w14:paraId="69E09792" w14:textId="4CC197CD" w:rsidR="00EF23D4" w:rsidRPr="00994531" w:rsidRDefault="00EF23D4" w:rsidP="001B567A">
      <w:pPr>
        <w:spacing w:after="0" w:line="480" w:lineRule="auto"/>
      </w:pPr>
      <w:r w:rsidRPr="00994531">
        <w:t>We identified two statistical methods, MAD and MCD, that were most suitable for hot moments detection across a wide range of datasets with varying N</w:t>
      </w:r>
      <w:r w:rsidRPr="00994531">
        <w:rPr>
          <w:vertAlign w:val="subscript"/>
        </w:rPr>
        <w:t>2</w:t>
      </w:r>
      <w:r w:rsidRPr="00994531">
        <w:t xml:space="preserve">O flux distributions. Comparing these two methods, MAD achieved the highest general performance among the methods evaluated </w:t>
      </w:r>
      <w:r w:rsidRPr="00994531">
        <w:lastRenderedPageBreak/>
        <w:t xml:space="preserve">(MCC: 0.80; mean accuracy: 93.6%). Such accuracy was achieved because MAD uses the distance from the median to calculate a modified Z-score for each data point, which makes it more robust to the impact of anomalies than methods based on mean and variance (e.g. Stuchiner et al., 2025; Anthony &amp; Silver, 2021) which are heavily skewed by anomalies </w:t>
      </w:r>
      <w:r w:rsidRPr="00994531">
        <w:fldChar w:fldCharType="begin"/>
      </w:r>
      <w:r w:rsidR="00D74AD1">
        <w:instrText xml:space="preserve"> ADDIN ZOTERO_ITEM CSL_CITATION {"citationID":"S7cn7I9e","properties":{"formattedCitation":"(Leys et al., 2013)","plainCitation":"(Leys et al., 2013)","noteIndex":0},"citationItems":[{"id":3036,"uris":["http://zotero.org/groups/4573874/items/EWS974CH"],"itemData":{"id":3036,"type":"article-journal","abstract":"A survey revealed that researchers still seem to encounter difficulties to cope with outliers. Detecting outliers by determining an interval spanning over the mean plus/minus three standard deviations remains a common practice. However, since both the mean and the standard deviation are particularly sensitive to outliers, this method is problematic. We highlight the disadvantages of this method and present the median absolute deviation, an alternative and more robust measure of dispersion that is easy to implement. We also explain the procedures for calculating this indicator in SPSS and R software.","container-title":"Journal of Experimental Social Psychology","DOI":"10.1016/j.jesp.2013.03.013","ISSN":"0022-1031","issue":"4","journalAbbreviation":"Journal of Experimental Social Psychology","page":"764-766","source":"ScienceDirect","title":"Detecting outliers: Do not use standard deviation around the mean, use absolute deviation around the median","title-short":"Detecting outliers","volume":"49","author":[{"family":"Leys","given":"Christophe"},{"family":"Ley","given":"Christophe"},{"family":"Klein","given":"Olivier"},{"family":"Bernard","given":"Philippe"},{"family":"Licata","given":"Laurent"}],"issued":{"date-parts":[["2013",7,1]]}}}],"schema":"https://github.com/citation-style-language/schema/raw/master/csl-citation.json"} </w:instrText>
      </w:r>
      <w:r w:rsidRPr="00994531">
        <w:fldChar w:fldCharType="separate"/>
      </w:r>
      <w:r w:rsidRPr="00994531">
        <w:t>(Leys et al., 2013)</w:t>
      </w:r>
      <w:r w:rsidRPr="00994531">
        <w:fldChar w:fldCharType="end"/>
      </w:r>
      <w:r w:rsidRPr="00994531">
        <w:t>. While the performance of MAD exhibited a modest correlation to hot moment prevalence (R</w:t>
      </w:r>
      <w:r w:rsidRPr="00994531">
        <w:rPr>
          <w:vertAlign w:val="superscript"/>
        </w:rPr>
        <w:t>2</w:t>
      </w:r>
      <w:r w:rsidRPr="00994531">
        <w:t xml:space="preserve">: </w:t>
      </w:r>
      <w:r w:rsidR="00042608">
        <w:t xml:space="preserve">  </w:t>
      </w:r>
      <w:r w:rsidRPr="00994531">
        <w:t xml:space="preserve"> -0.26), only three methods—MCD, IF, and COPOD—evaluated here were more independent of hot moment prevalence. However, MAD’s main limitation was its relatively poor ability to identify local anomalies, as it is a strictly univariate method that does not consider local context. However, if small local hot moments (e.g., freeze-thaw or non-growing season emissions) are not a priority, or if extreme variations in hot moment prevalence are not expected, MAD may be a suitable identification method.</w:t>
      </w:r>
    </w:p>
    <w:p w14:paraId="6823B173" w14:textId="507932EE" w:rsidR="00EF23D4" w:rsidRPr="00994531" w:rsidRDefault="00EF23D4" w:rsidP="001B567A">
      <w:pPr>
        <w:spacing w:after="0" w:line="480" w:lineRule="auto"/>
      </w:pPr>
      <w:r w:rsidRPr="00994531">
        <w:t>On the other hand, MCD matched MAD for overall performance as evaluated by MCC (0.80) but ranked third in mean accuracy (93.2%) (</w:t>
      </w:r>
      <w:r w:rsidRPr="002E618D">
        <w:rPr>
          <w:b/>
        </w:rPr>
        <w:t>Table 2</w:t>
      </w:r>
      <w:r w:rsidR="0062077D">
        <w:rPr>
          <w:b/>
          <w:bCs/>
        </w:rPr>
        <w:t>.3</w:t>
      </w:r>
      <w:r w:rsidRPr="00994531">
        <w:t>). While MCD did not perform as consistently as MAD and 1.5 IQR when hot moment prevalence ranged from 5-25%, it outperformed other m</w:t>
      </w:r>
      <w:r w:rsidR="009000EC">
        <w:t>e</w:t>
      </w:r>
      <w:r w:rsidRPr="00994531">
        <w:t>thods when hot moments were either very rare or very common - an important attribute given the poor performance of other methods on such datasets (</w:t>
      </w:r>
      <w:r w:rsidRPr="0062077D">
        <w:rPr>
          <w:b/>
        </w:rPr>
        <w:t xml:space="preserve">Figure </w:t>
      </w:r>
      <w:r w:rsidR="009000EC">
        <w:rPr>
          <w:b/>
          <w:bCs/>
        </w:rPr>
        <w:t>2.</w:t>
      </w:r>
      <w:r w:rsidRPr="0062077D">
        <w:rPr>
          <w:b/>
        </w:rPr>
        <w:t>6</w:t>
      </w:r>
      <w:r w:rsidRPr="00994531">
        <w:t xml:space="preserve">). MCD also identified more local anomalies than the other top three performing methods (39%), and its performance exhibited no significant bias with hot moment prevalence. MCD identifies anomalies by repeatedly subsampling the dataset and identifying the subset with the smallest covariance matrix determinant, or a subset without anomalies, and quantifies anomalousness by the Mahalanobis distance away from this subset. In other words, MCD first isolates a group of background emissions to define their range and covariance, then identifies data points that deviate significantly beyond this range as hot moments. This method is highly robust to the </w:t>
      </w:r>
      <w:r w:rsidRPr="00994531">
        <w:lastRenderedPageBreak/>
        <w:t>effect of anomalies, and its strong performance, alongside MAD, underscores the importance of accurately identifying hot moments across diverse datasets. In fact, due to its performance being uninfluenced by hot moment prevalence, MCD excels in making comparisons across experiments, geographies, seasons, management techniques, and climates which are widely known to contribute significant variations in N</w:t>
      </w:r>
      <w:r w:rsidRPr="00994531">
        <w:rPr>
          <w:vertAlign w:val="subscript"/>
        </w:rPr>
        <w:t>2</w:t>
      </w:r>
      <w:r w:rsidRPr="00994531">
        <w:t xml:space="preserve">O fluxes </w:t>
      </w:r>
      <w:r w:rsidRPr="00994531">
        <w:fldChar w:fldCharType="begin"/>
      </w:r>
      <w:r w:rsidR="00D74AD1">
        <w:instrText xml:space="preserve"> ADDIN ZOTERO_ITEM CSL_CITATION {"citationID":"kyw6yV1P","properties":{"formattedCitation":"(Stuchiner et al., 2025)","plainCitation":"(Stuchiner et al., 2025)","noteIndex":0},"citationItems":[{"id":3046,"uris":["http://zotero.org/groups/4573874/items/GYIWTSML"],"itemData":{"id":3046,"type":"article-journal","abstract":"Effectively quantifying hot moments of nitrous oxide (N2O) emissions from agricultural soils is critical for managing this potent greenhouse gas. However, we are challenged by a lack of standard approaches for identifying hot moments, including (a) determining thresholds above which emissions are considered hot moments, and (b) considering seasonal variation in the magnitude and frequency distribution of net N2O fluxes. We used one year of hourly N2O flux measurements from 16 autochambers that varied in flux magnitude and frequency distribution in a conventionally tilled maize field in central Illinois, USA, to compare three approaches to identify hot moment thresholds: standard deviations (SD) above the mean, 1.5x the interquartile range (IQR), and isolation forest (IF) identification of anomalous values. We also compared these approaches on seasonally subdivided data (early, late, and non-growing seasons) versus the whole year. Our analyses revealed that 1.5x IQR method best identified N2O hot moments. In contrast, using 2 or 4 SD both yielded hot moment threshold values too high, and IF yielded threshold values too low, leading to missed N2O hot moments or low net N2O fluxes mischaracterized as hot moments, respectively. Furthermore, seasonally subdividing the data set not only facilitated identification of smaller hot moments in the late- and non-growing seasons when N2O hot moments were generally smaller but it also increased hot moment threshold values in the early growing season when N2O hot moments were larger. Consequently, of the methods evaluated here, we recommend using the 1.5x IQR method on whole year data sets to identify N2O hot moments.","container-title":"Journal of Geophysical Research: Biogeosciences","DOI":"10.1029/2024JG008138","ISSN":"2169-8961","issue":"1","language":"en","license":"© 2024. The Author(s).","note":"_eprint: https://onlinelibrary.wiley.com/doi/pdf/10.1029/2024JG008138","page":"e2024JG008138","source":"Wiley Online Library","title":"Hot or Not? An Evaluation of Methods for Identifying Hot Moments of Nitrous Oxide Emissions From Soils","title-short":"Hot or Not?","volume":"130","author":[{"family":"Stuchiner","given":"Emily R."},{"family":"Xu","given":"Jiacheng"},{"family":"Eddy","given":"William C."},{"family":"DeLucia","given":"Evan H."},{"family":"Yang","given":"Wendy H."}],"issued":{"date-parts":[["2025"]]}}}],"schema":"https://github.com/citation-style-language/schema/raw/master/csl-citation.json"} </w:instrText>
      </w:r>
      <w:r w:rsidRPr="00994531">
        <w:fldChar w:fldCharType="separate"/>
      </w:r>
      <w:r w:rsidR="0056073F" w:rsidRPr="0056073F">
        <w:rPr>
          <w:rFonts w:cs="Times New Roman"/>
        </w:rPr>
        <w:t>(Stuchiner et al., 2025)</w:t>
      </w:r>
      <w:r w:rsidRPr="00994531">
        <w:fldChar w:fldCharType="end"/>
      </w:r>
      <w:r w:rsidRPr="00994531">
        <w:t>.</w:t>
      </w:r>
    </w:p>
    <w:p w14:paraId="78B1775E" w14:textId="2B909EED" w:rsidR="009C084B" w:rsidRPr="00994531" w:rsidRDefault="00EF23D4" w:rsidP="001B567A">
      <w:pPr>
        <w:spacing w:after="0" w:line="480" w:lineRule="auto"/>
      </w:pPr>
      <w:r w:rsidRPr="00994531">
        <w:t xml:space="preserve">While MCD and MAD performed well overall, there may be instances when other methods are more suitable to a particular dataset, and we suggest researchers consider the nature of the data or system they are working with and the strengths and weaknesses of the various methods that this study highlighted before settling on a method suited to their purposes. For example, we observed that LOF, KNN, and ARIMA also had notable strengths, with LOF ranked fourth in overall performance (MCC: 0.72; mean accuracy: 91.1%) and identified half of all local anomalies. Whereas KNN and ARIMA were particularly useful at identifying local hot moments (59% and 56%, respectively). </w:t>
      </w:r>
    </w:p>
    <w:p w14:paraId="7E1D3B9C" w14:textId="734D6725" w:rsidR="00EF23D4" w:rsidRPr="00994531" w:rsidRDefault="00EF23D4" w:rsidP="001B567A">
      <w:pPr>
        <w:pStyle w:val="Heading3"/>
      </w:pPr>
      <w:bookmarkStart w:id="59" w:name="_Toc204282756"/>
      <w:r w:rsidRPr="00994531">
        <w:t xml:space="preserve">The </w:t>
      </w:r>
      <w:r w:rsidR="00FB5951">
        <w:t>i</w:t>
      </w:r>
      <w:r w:rsidRPr="00994531">
        <w:t xml:space="preserve">mpact of </w:t>
      </w:r>
      <w:r w:rsidR="00FB5951">
        <w:t>h</w:t>
      </w:r>
      <w:r w:rsidRPr="00994531">
        <w:t xml:space="preserve">ot </w:t>
      </w:r>
      <w:r w:rsidR="00FB5951">
        <w:t>m</w:t>
      </w:r>
      <w:r w:rsidRPr="00994531">
        <w:t>oments</w:t>
      </w:r>
      <w:bookmarkEnd w:id="59"/>
    </w:p>
    <w:p w14:paraId="4284CA2E" w14:textId="7356B49A" w:rsidR="00EF23D4" w:rsidRPr="00994531" w:rsidRDefault="00EF23D4" w:rsidP="001B567A">
      <w:pPr>
        <w:spacing w:after="0" w:line="480" w:lineRule="auto"/>
      </w:pPr>
      <w:r w:rsidRPr="00994531">
        <w:t>Early analyses, predominantly based on observations from a single site and using IQR and percentile-based methods to identify N</w:t>
      </w:r>
      <w:r w:rsidRPr="00994531">
        <w:rPr>
          <w:vertAlign w:val="subscript"/>
        </w:rPr>
        <w:t>2</w:t>
      </w:r>
      <w:r w:rsidRPr="00994531">
        <w:t xml:space="preserve">O hot moments, have reported that hot moments occur throughout 0.2-21.0% of the year in agricultural soils and their contribution to the total emissions widely ranged from 12 to 100% </w:t>
      </w:r>
      <w:r w:rsidRPr="00994531">
        <w:fldChar w:fldCharType="begin"/>
      </w:r>
      <w:r w:rsidR="00D74AD1">
        <w:instrText xml:space="preserve"> ADDIN ZOTERO_ITEM CSL_CITATION {"citationID":"HsQvifzP","properties":{"formattedCitation":"(Anthony et al., 2023; Anthony &amp; Silver, 2021; Molodovskaya et al., 2012; Stuchiner et al., 2025)","plainCitation":"(Anthony et al., 2023; Anthony &amp; Silver, 2021; Molodovskaya et al., 2012; Stuchiner et al., 2025)","noteIndex":0},"citationItems":[{"id":795,"uris":["http://zotero.org/groups/4573874/items/75F6U62S"],"itemData":{"id":795,"type":"article-journal","abstract":"Alfalfa is the most widely grown forage crop worldwide and is thought to be a significant carbon sink due to high productivity, extensive root systems, and nitrogen-fixation. However, these conditions may increase nitrous oxide (N2O) emissions thus lowering the climate change mitigation potential. We used a suite of long-term automated instrumentation and satellite imagery to quantify patterns and drivers of greenhouse gas fluxes in a continuous alfalfa agroecosystem in California. We show that this continuous alfalfa system was a large N2O source (624 ± 28 mg N2O m2 y−1), offsetting the ecosystem carbon (carbon dioxide (CO2) and methane (CH4)) sink by up to 14% annually. Short-term N2O emissions events (i.e., hot moments) accounted for ≤1% of measurements but up to 57% of annual emissions. Seasonal and daily trends in rainfall and irrigation were the primary drivers of hot moments of N2O emissions. Significant coherence between satellite-derived photosynthetic activity and N2O fluxes suggested plant activity was an important driver of background emissions. Combined data show annual N2O emissions can significantly lower the carbon-sink potential of continuous alfalfa agriculture.","container-title":"Nature Communications","DOI":"10.1038/s41467-023-37391-2","ISSN":"2041-1723","issue":"1","journalAbbreviation":"Nat Commun","language":"en","license":"2023 The Author(s)","note":"number: 1\npublisher: Nature Publishing Group","page":"1926","source":"www.nature.com","title":"Carbon-sink potential of continuous alfalfa agriculture lowered by short-term nitrous oxide emission events","volume":"14","author":[{"family":"Anthony","given":"Tyler L."},{"family":"Szutu","given":"Daphne J."},{"family":"Verfaillie","given":"Joseph G."},{"family":"Baldocchi","given":"Dennis D."},{"family":"Silver","given":"Whendee L."}],"issued":{"date-parts":[["2023",4,6]]}}},{"id":794,"uris":["http://zotero.org/groups/4573874/items/UNBCKZAX"],"itemData":{"id":794,"type":"article-journal","abstract":"Agricultural peatlands are estimated to emit approximately one third of global greenhouse gas (GHG) emissions from croplands, but the temporal dynamics and controls of these emissions are poorly understood, particularly for nitrous oxide (N2O). We used cavity ring-down spectroscopy and automated chambers in a drained agricultural peatland to measure over 70,000 individual N2O, methane (CH4), and carbon dioxide (CO2) fluxes over 3 years. Our results showed that N2O fluxes were high, contributing 26% (annual range: 16%–35%) of annual CO2e emissions. Total N2O fluxes averaged 26 ± 0.5 kg N2O-N ha−1 y−1 and exhibited significant inter- and intra-annual variability with a maximum annual flux of 42 ± 1.8 kg N2O-N ha−1 y−1. Hot moments of N2O and CH4 emissions represented 1.1 ± 0.2 and 1.3 ± 0.2% of measurements, respectively, but contributed to 45 ± 1% of mean annual N2O fluxes and to 140 ± 9% of mean annual CH4 fluxes. Soil moisture, soil temperature, and bulk soil oxygen (O2) concentrations were strongly correlated with soil N2O and CH4 emissions; soil nitrate () concentrations were also significantly correlated with soil N2O emissions. These results suggest that IPCC benchmarks underestimate N2O emissions from these high emitting agricultural peatlands by up to 70%. Scaling to regional agricultural peatlands with similar management suggests these ecosystems could emit up to 1.86 Tg CO2e y−1 (range: 1.58–2.21 Tg CO2e y−1). Data suggest that these agricultural peatlands are large sources of GHGs, and that short-term hot moments of N2O and CH4 are a significant fraction of total greenhouse budgets.","container-title":"Global Change Biology","DOI":"10.1111/gcb.15802","ISSN":"1365-2486","issue":"20","language":"en","note":"_eprint: https://onlinelibrary.wiley.com/doi/pdf/10.1111/gcb.15802","page":"5141-5153","source":"Wiley Online Library","title":"Hot moments drive extreme nitrous oxide and methane emissions from agricultural peatlands","volume":"27","author":[{"family":"Anthony","given":"Tyler L."},{"family":"Silver","given":"Whendee L."}],"issued":{"date-parts":[["2021"]]}}},{"id":692,"uris":["http://zotero.org/groups/4573874/items/97DFR7GJ"],"itemData":{"id":692,"type":"article-journal","abstract":"Nitrous oxide (N2O) emissions were monitored using the micrometeorological eddy covariance technique from manure-fertilized cropland on a large dairy farm in New York State in 2006 to 2009. Nitrous oxide emissions demonstrated episodic behavior with intermittent short-duration peak fluxes up to 39.7 mg N2O-N m−2 d−1, whereas most of background fluxes during the annual agricultural cycle were below 6.5 mg N2O-N m−2 d−1. This paper discusses temporal variability of measured N2O emissions using a “hot moment” approach. To identify and quantify peak events as potential hot moments and to determine whether or not they could be treated statistically as outliers, N2O daily fluxes were analyzed by the box plot method using multiple thresholds. Peak events exceeding outlier thresholds contributed up to 51% of cumulative annual N2O emissions, although they represented &lt;7% of the total observation time. Individual N2O peaks were also categorized by their duration, as single day spikes and multiday events. The highest contributing instances were multiday N2O peaks during summer precipitation and early spring thaw, largely enhanced by manure fertilization. These high-intensity emission events demonstrated repetitive seasonal responses to a combination of environmental factors and were therefore identified as hot moments. Abrupt rises in both temperature and soil moisture appeared to trigger major hot moments, whereas the availability of manure N controlled their magnitude. In the absence of strong correlations between time-series of individual environmental factors and N2O emissions, the hot moment approach can be a promising tool for the integrated analysis of most significant N2O events in cultivated fields receiving manure applications.","container-title":"Soil Science Society of America Journal","DOI":"10.2136/sssaj2012.0039","ISSN":"1435-0661","issue":"5","language":"en","note":"_eprint: https://onlinelibrary.wiley.com/doi/pdf/10.2136/sssaj2012.0039","page":"1728-1740","source":"Wiley Online Library","title":"Temporal Variability of Nitrous Oxide from Fertilized Croplands: Hot Moment Analysis","title-short":"Temporal Variability of Nitrous Oxide from Fertilized Croplands","volume":"76","author":[{"family":"Molodovskaya","given":"Marina"},{"family":"Singurindy","given":"Olga"},{"family":"Richards","given":"Brian K."},{"family":"Warland","given":"Jon"},{"family":"Johnson","given":"Mark S."},{"family":"Steenhuis","given":"Tammo S."}],"issued":{"date-parts":[["2012"]]}}},{"id":3046,"uris":["http://zotero.org/groups/4573874/items/GYIWTSML"],"itemData":{"id":3046,"type":"article-journal","abstract":"Effectively quantifying hot moments of nitrous oxide (N2O) emissions from agricultural soils is critical for managing this potent greenhouse gas. However, we are challenged by a lack of standard approaches for identifying hot moments, including (a) determining thresholds above which emissions are considered hot moments, and (b) considering seasonal variation in the magnitude and frequency distribution of net N2O fluxes. We used one year of hourly N2O flux measurements from 16 autochambers that varied in flux magnitude and frequency distribution in a conventionally tilled maize field in central Illinois, USA, to compare three approaches to identify hot moment thresholds: standard deviations (SD) above the mean, 1.5x the interquartile range (IQR), and isolation forest (IF) identification of anomalous values. We also compared these approaches on seasonally subdivided data (early, late, and non-growing seasons) versus the whole year. Our analyses revealed that 1.5x IQR method best identified N2O hot moments. In contrast, using 2 or 4 SD both yielded hot moment threshold values too high, and IF yielded threshold values too low, leading to missed N2O hot moments or low net N2O fluxes mischaracterized as hot moments, respectively. Furthermore, seasonally subdividing the data set not only facilitated identification of smaller hot moments in the late- and non-growing seasons when N2O hot moments were generally smaller but it also increased hot moment threshold values in the early growing season when N2O hot moments were larger. Consequently, of the methods evaluated here, we recommend using the 1.5x IQR method on whole year data sets to identify N2O hot moments.","container-title":"Journal of Geophysical Research: Biogeosciences","DOI":"10.1029/2024JG008138","ISSN":"2169-8961","issue":"1","language":"en","license":"© 2024. The Author(s).","note":"_eprint: https://onlinelibrary.wiley.com/doi/pdf/10.1029/2024JG008138","page":"e2024JG008138","source":"Wiley Online Library","title":"Hot or Not? An Evaluation of Methods for Identifying Hot Moments of Nitrous Oxide Emissions From Soils","title-short":"Hot or Not?","volume":"130","author":[{"family":"Stuchiner","given":"Emily R."},{"family":"Xu","given":"Jiacheng"},{"family":"Eddy","given":"William C."},{"family":"DeLucia","given":"Evan H."},{"family":"Yang","given":"Wendy H."}],"issued":{"date-parts":[["2025"]]}}}],"schema":"https://github.com/citation-style-language/schema/raw/master/csl-citation.json"} </w:instrText>
      </w:r>
      <w:r w:rsidRPr="00994531">
        <w:fldChar w:fldCharType="separate"/>
      </w:r>
      <w:r w:rsidRPr="00994531">
        <w:t>(Anthony et al., 2023; Anthony &amp; Silver, 2021; Molodovskaya et al., 2012; Stuchiner et al., 2025)</w:t>
      </w:r>
      <w:r w:rsidRPr="00994531">
        <w:fldChar w:fldCharType="end"/>
      </w:r>
      <w:r w:rsidRPr="00994531">
        <w:t>. Here, using 13,787 treatment-average daily N</w:t>
      </w:r>
      <w:r w:rsidRPr="00994531">
        <w:rPr>
          <w:vertAlign w:val="subscript"/>
        </w:rPr>
        <w:t>2</w:t>
      </w:r>
      <w:r w:rsidRPr="00994531">
        <w:t>O flux measurements from 42 publications and 39 sites across the globe, we found hot moments occurring in approximately ~18-19% of measurements (</w:t>
      </w:r>
      <w:r w:rsidRPr="0062077D">
        <w:rPr>
          <w:b/>
          <w:bCs/>
        </w:rPr>
        <w:t xml:space="preserve">Table </w:t>
      </w:r>
      <w:r w:rsidR="0062077D">
        <w:rPr>
          <w:b/>
          <w:bCs/>
        </w:rPr>
        <w:t>2.5</w:t>
      </w:r>
      <w:r w:rsidRPr="00994531">
        <w:t xml:space="preserve">), near the upper end of previous estimates. Similarly, we found the contribution of hot moments to cumulative agroecosystem emissions is near the upper range of previous estimates, at approximately 75% </w:t>
      </w:r>
      <w:r w:rsidRPr="00994531">
        <w:lastRenderedPageBreak/>
        <w:t>(</w:t>
      </w:r>
      <w:r w:rsidRPr="0062077D">
        <w:rPr>
          <w:b/>
          <w:bCs/>
        </w:rPr>
        <w:t xml:space="preserve">Table </w:t>
      </w:r>
      <w:r w:rsidR="0062077D">
        <w:rPr>
          <w:b/>
          <w:bCs/>
        </w:rPr>
        <w:t>2.5</w:t>
      </w:r>
      <w:r w:rsidRPr="00994531">
        <w:t>). However, this estimation may overrepresent hot moments</w:t>
      </w:r>
      <w:r w:rsidRPr="00994531" w:rsidDel="003E2B8F">
        <w:t xml:space="preserve"> </w:t>
      </w:r>
      <w:r w:rsidRPr="00994531">
        <w:t>since in general, field experiments heavily overrepresented the warmer growing season where hot moments are expected to be more common. Using a subset of year-round experiments, we found hot moments occurred during about 14-20% of the year and contributed 60-65% of cumulative agroecosystem emissions. Thus, the importance of hot moments on an annual basis was modestly smaller than that estimated from all experimental datasets of varying temporal resolution, but still considerably outsized, signifying the importance of their accurate identification and mitigation.</w:t>
      </w:r>
    </w:p>
    <w:p w14:paraId="7B4D1FF2" w14:textId="11D5B74C" w:rsidR="00EF23D4" w:rsidRPr="00994531" w:rsidRDefault="00EF23D4" w:rsidP="001B567A">
      <w:pPr>
        <w:spacing w:after="0" w:line="480" w:lineRule="auto"/>
      </w:pPr>
      <w:r w:rsidRPr="00994531">
        <w:t>We found the median background emission rate from agroecosystems estimated by context-informed labeled data, MAD, and MCD to range from 2.2-2.3 g N ha</w:t>
      </w:r>
      <w:r w:rsidRPr="00994531">
        <w:rPr>
          <w:vertAlign w:val="superscript"/>
        </w:rPr>
        <w:t>-1</w:t>
      </w:r>
      <w:r w:rsidRPr="00994531">
        <w:t xml:space="preserve"> day</w:t>
      </w:r>
      <w:r w:rsidRPr="00994531">
        <w:rPr>
          <w:vertAlign w:val="superscript"/>
        </w:rPr>
        <w:t xml:space="preserve">-1 </w:t>
      </w:r>
      <w:r w:rsidRPr="009000EC">
        <w:rPr>
          <w:b/>
        </w:rPr>
        <w:t xml:space="preserve">(Table </w:t>
      </w:r>
      <w:r w:rsidR="009000EC">
        <w:rPr>
          <w:b/>
          <w:bCs/>
        </w:rPr>
        <w:t>2.</w:t>
      </w:r>
      <w:r w:rsidR="00AD4176">
        <w:rPr>
          <w:b/>
          <w:bCs/>
        </w:rPr>
        <w:t>4</w:t>
      </w:r>
      <w:r w:rsidRPr="00994531">
        <w:t>), which is in agreement with the 2.2 g N ha</w:t>
      </w:r>
      <w:r w:rsidRPr="00994531">
        <w:rPr>
          <w:vertAlign w:val="superscript"/>
        </w:rPr>
        <w:t>-1</w:t>
      </w:r>
      <w:r w:rsidRPr="00994531">
        <w:t xml:space="preserve"> day</w:t>
      </w:r>
      <w:r w:rsidRPr="00994531">
        <w:rPr>
          <w:vertAlign w:val="superscript"/>
        </w:rPr>
        <w:t xml:space="preserve">-1 </w:t>
      </w:r>
      <w:r w:rsidRPr="00994531">
        <w:t>estimate proposed by Yin et al. (2022), whereas 1.5 IQR resulted in a ~14% higher estimation of 2.5 g N ha</w:t>
      </w:r>
      <w:r w:rsidRPr="00994531">
        <w:rPr>
          <w:vertAlign w:val="superscript"/>
        </w:rPr>
        <w:t>-1</w:t>
      </w:r>
      <w:r w:rsidRPr="00994531">
        <w:t xml:space="preserve"> day</w:t>
      </w:r>
      <w:r w:rsidRPr="00994531">
        <w:rPr>
          <w:vertAlign w:val="superscript"/>
        </w:rPr>
        <w:t>-1</w:t>
      </w:r>
      <w:r w:rsidRPr="00994531">
        <w:t>. While hot moment magnitudes widely vary due to confluence of factors, our global database showed a mean flux of ~60 g N ha</w:t>
      </w:r>
      <w:r w:rsidRPr="00994531">
        <w:rPr>
          <w:vertAlign w:val="superscript"/>
        </w:rPr>
        <w:t>-1</w:t>
      </w:r>
      <w:r w:rsidRPr="00994531">
        <w:t xml:space="preserve"> day</w:t>
      </w:r>
      <w:r w:rsidRPr="00994531">
        <w:rPr>
          <w:vertAlign w:val="superscript"/>
        </w:rPr>
        <w:t xml:space="preserve">-1 </w:t>
      </w:r>
      <w:r w:rsidRPr="00994531">
        <w:t>and a median flux of ~21-25 g N ha</w:t>
      </w:r>
      <w:r w:rsidRPr="00994531">
        <w:rPr>
          <w:vertAlign w:val="superscript"/>
        </w:rPr>
        <w:t>-1</w:t>
      </w:r>
      <w:r w:rsidRPr="00994531">
        <w:t xml:space="preserve"> day</w:t>
      </w:r>
      <w:r w:rsidRPr="00994531">
        <w:rPr>
          <w:vertAlign w:val="superscript"/>
        </w:rPr>
        <w:t>-1</w:t>
      </w:r>
      <w:r w:rsidRPr="00994531">
        <w:t xml:space="preserve">. This estimate is more than an order of magnitude higher than the estimated global background rates in our study and also in Yin et al. (2022). </w:t>
      </w:r>
    </w:p>
    <w:p w14:paraId="2E6AE59B" w14:textId="2E067D08" w:rsidR="00EF23D4" w:rsidRPr="00994531" w:rsidRDefault="00EF23D4" w:rsidP="001B567A">
      <w:pPr>
        <w:spacing w:after="0" w:line="480" w:lineRule="auto"/>
      </w:pPr>
      <w:r w:rsidRPr="00994531">
        <w:t>The similarity of estimates of hot moment prevalence, contributions, and flux magnitudes by MAD, MCD, and context-informed data labels indicates that the use of these statistical methods for hot moment identification did not lead to notable bias in estimating their ecological significance. In contrast, 1.5 IQR led to substantially lower estimates of the prevalence and contributions of hot moments across the complete dataset, indicating its underestimation of hot moments from spring and summer months (</w:t>
      </w:r>
      <w:r w:rsidRPr="00AD4176">
        <w:rPr>
          <w:b/>
        </w:rPr>
        <w:t xml:space="preserve">Figure </w:t>
      </w:r>
      <w:r w:rsidR="0081349E">
        <w:rPr>
          <w:b/>
          <w:bCs/>
        </w:rPr>
        <w:t>2.</w:t>
      </w:r>
      <w:r w:rsidRPr="00AD4176">
        <w:rPr>
          <w:b/>
        </w:rPr>
        <w:t>7</w:t>
      </w:r>
      <w:r w:rsidRPr="00994531">
        <w:t>) and in high-prevalence datasets (</w:t>
      </w:r>
      <w:r w:rsidRPr="00AD4176">
        <w:rPr>
          <w:b/>
        </w:rPr>
        <w:t xml:space="preserve">Figure </w:t>
      </w:r>
      <w:r w:rsidR="0081349E">
        <w:rPr>
          <w:b/>
          <w:bCs/>
        </w:rPr>
        <w:t>2.</w:t>
      </w:r>
      <w:r w:rsidRPr="00AD4176">
        <w:rPr>
          <w:b/>
        </w:rPr>
        <w:t>6</w:t>
      </w:r>
      <w:r w:rsidRPr="00994531">
        <w:t>). This underestimation impacted its ability to assess the environmental significance of hot moments. These results underscore the outsized impact that brief periods have on overall N</w:t>
      </w:r>
      <w:r w:rsidRPr="00994531">
        <w:rPr>
          <w:vertAlign w:val="subscript"/>
        </w:rPr>
        <w:t>2</w:t>
      </w:r>
      <w:r w:rsidRPr="00994531">
        <w:t xml:space="preserve">O </w:t>
      </w:r>
      <w:r w:rsidRPr="00994531">
        <w:lastRenderedPageBreak/>
        <w:t>emissions from agroecosystems which, by identifying reliable methods for their statistical identification, our analysis provides a step forward toward mitigating.</w:t>
      </w:r>
    </w:p>
    <w:p w14:paraId="55F74479" w14:textId="79B33567" w:rsidR="00EF23D4" w:rsidRPr="00994531" w:rsidRDefault="00EF23D4" w:rsidP="001B567A">
      <w:pPr>
        <w:pStyle w:val="Heading3"/>
      </w:pPr>
      <w:bookmarkStart w:id="60" w:name="_Toc204282757"/>
      <w:r w:rsidRPr="00994531">
        <w:t xml:space="preserve">Potential </w:t>
      </w:r>
      <w:r w:rsidR="00FB5951">
        <w:t>i</w:t>
      </w:r>
      <w:r w:rsidRPr="00994531">
        <w:t xml:space="preserve">mplications, </w:t>
      </w:r>
      <w:r w:rsidR="00FB5951">
        <w:t>l</w:t>
      </w:r>
      <w:r w:rsidRPr="00994531">
        <w:t xml:space="preserve">imitations, and </w:t>
      </w:r>
      <w:r w:rsidR="00FB5951">
        <w:t>f</w:t>
      </w:r>
      <w:r w:rsidRPr="00994531">
        <w:t xml:space="preserve">uture </w:t>
      </w:r>
      <w:r w:rsidR="00FB5951">
        <w:t>w</w:t>
      </w:r>
      <w:r w:rsidRPr="00994531">
        <w:t>ork</w:t>
      </w:r>
      <w:bookmarkEnd w:id="60"/>
    </w:p>
    <w:p w14:paraId="0A0AB5A5" w14:textId="77777777" w:rsidR="00EF23D4" w:rsidRPr="00994531" w:rsidRDefault="00EF23D4" w:rsidP="001B567A">
      <w:pPr>
        <w:pBdr>
          <w:top w:val="nil"/>
          <w:left w:val="nil"/>
          <w:bottom w:val="nil"/>
          <w:right w:val="nil"/>
          <w:between w:val="nil"/>
        </w:pBdr>
        <w:spacing w:after="0" w:line="480" w:lineRule="auto"/>
      </w:pPr>
      <w:r w:rsidRPr="00994531">
        <w:t>In this analysis, we highlighted the strengths and limitations of 14 statistical methods for N</w:t>
      </w:r>
      <w:r w:rsidRPr="00994531">
        <w:rPr>
          <w:vertAlign w:val="subscript"/>
        </w:rPr>
        <w:t>2</w:t>
      </w:r>
      <w:r w:rsidRPr="00994531">
        <w:t xml:space="preserve">O hot moment identification, providing insights relevant to the researchers with different priorities (e.g., maximum mitigation benefits, mechanistic understanding, etc.). While no single anomaly detection method is perfect for all cases, some methods’ strengths and limitations can complement each other. For example, MAD and IQR performed well overall but struggled with identifying local hot moments due to their inability to consider local context, while HBOS, KNN, and ARIMA excel in this regard but lacked top tier overall performance. Thus, an ensemble approach combining multiple methods may be capable of achieving the best of both approaches and is worthy of future investigation. </w:t>
      </w:r>
    </w:p>
    <w:p w14:paraId="2B731F10" w14:textId="7AF03603" w:rsidR="003A4BEB" w:rsidRPr="00994531" w:rsidRDefault="00EF23D4" w:rsidP="001B567A">
      <w:pPr>
        <w:pBdr>
          <w:top w:val="nil"/>
          <w:left w:val="nil"/>
          <w:bottom w:val="nil"/>
          <w:right w:val="nil"/>
          <w:between w:val="nil"/>
        </w:pBdr>
        <w:spacing w:after="0" w:line="480" w:lineRule="auto"/>
      </w:pPr>
      <w:r w:rsidRPr="00994531">
        <w:t>We acknowledge that our supervised approach to assess method performance, which is effective in similar fields, is not devoid of challenges. Defining anomalies as deviations from expected behavior introduces subjectivity, especially with inconsistent data distributions. Despite this, our method leveraged data patterns, context, underlying mechanisms, and environmental information to determine expectations. While this approach doesn’t eliminate subjectivity, we argue it offers a more reliable, defensible, and reproducible classification of "true" hot moments than alternative methods. Our estimates were similar to other global-scale estimates (e.g., Yin et al., 2022) which further underscores the robustness and validity of our approach.</w:t>
      </w:r>
    </w:p>
    <w:p w14:paraId="581E7A66" w14:textId="18B6DBB9" w:rsidR="00EF23D4" w:rsidRPr="00994531" w:rsidRDefault="00EF23D4" w:rsidP="001B567A">
      <w:pPr>
        <w:pStyle w:val="Heading2"/>
      </w:pPr>
      <w:bookmarkStart w:id="61" w:name="_Toc204282758"/>
      <w:r w:rsidRPr="00994531">
        <w:t>Conclusion</w:t>
      </w:r>
      <w:bookmarkEnd w:id="61"/>
    </w:p>
    <w:p w14:paraId="244A8707" w14:textId="77CF9DDF" w:rsidR="00EF23D4" w:rsidRPr="00994531" w:rsidRDefault="00EF23D4" w:rsidP="001B567A">
      <w:pPr>
        <w:spacing w:after="0" w:line="480" w:lineRule="auto"/>
      </w:pPr>
      <w:r w:rsidRPr="00994531">
        <w:t>This work advances the application of the “hot moment” in critically analyzing the significance of agricultural soil N</w:t>
      </w:r>
      <w:r w:rsidRPr="00994531">
        <w:rPr>
          <w:vertAlign w:val="subscript"/>
        </w:rPr>
        <w:t>2</w:t>
      </w:r>
      <w:r w:rsidRPr="00994531">
        <w:t>O emissions. A consistent method of identifying hot moments among N</w:t>
      </w:r>
      <w:r w:rsidRPr="00994531">
        <w:rPr>
          <w:vertAlign w:val="subscript"/>
        </w:rPr>
        <w:t>2</w:t>
      </w:r>
      <w:r w:rsidRPr="00994531">
        <w:t xml:space="preserve">O </w:t>
      </w:r>
      <w:r w:rsidRPr="00994531">
        <w:lastRenderedPageBreak/>
        <w:t>flux emissions measurements is essential to advance quantitative work on these phenomena, including modeling and understanding their ecological significance. While a few methods have previously been proposed for statistically identifying hot moments, their applicability considering specific strengths and limitations has remains largely unexplored, especially in the global context of the complexity and variability of soil N</w:t>
      </w:r>
      <w:r w:rsidRPr="00994531">
        <w:rPr>
          <w:vertAlign w:val="subscript"/>
        </w:rPr>
        <w:t>2</w:t>
      </w:r>
      <w:r w:rsidRPr="00994531">
        <w:t>O emissions. In this study, we have rigorously evaluated 14 statistical methods of identifying hot moments using a large, heterogeneous, and global dataset. We demonstrate</w:t>
      </w:r>
      <w:r w:rsidRPr="00994531" w:rsidDel="002546D2">
        <w:t xml:space="preserve"> </w:t>
      </w:r>
      <w:r w:rsidRPr="00994531">
        <w:t>the limitations of commonly used statistical methods, such as 1.5 IQR, for N</w:t>
      </w:r>
      <w:r w:rsidRPr="00994531">
        <w:rPr>
          <w:vertAlign w:val="subscript"/>
        </w:rPr>
        <w:t>2</w:t>
      </w:r>
      <w:r w:rsidRPr="00994531">
        <w:t>O hot moment identification, resulting in a low detection rate of hot moments and potentially inducing systematic bias when comparing across dissimilar datasets. In contrast</w:t>
      </w:r>
      <w:r w:rsidRPr="00994531" w:rsidDel="002546D2">
        <w:t xml:space="preserve">, </w:t>
      </w:r>
      <w:r w:rsidRPr="00994531">
        <w:t>two novel methods proposed in this study- MAD and MCD- consistently and effectively detected N</w:t>
      </w:r>
      <w:r w:rsidRPr="00994531">
        <w:rPr>
          <w:vertAlign w:val="subscript"/>
        </w:rPr>
        <w:t>2</w:t>
      </w:r>
      <w:r w:rsidRPr="00994531">
        <w:t>O hot moments across a diverse range of data characteristics, an expected behavior given the complexity of this biogeochemical process. We also provide further evidence and specificity to the outsized impact of these pulse events (~19% time of the year) on agriculture’s contribution to N</w:t>
      </w:r>
      <w:r w:rsidRPr="00994531">
        <w:rPr>
          <w:vertAlign w:val="subscript"/>
        </w:rPr>
        <w:t>2</w:t>
      </w:r>
      <w:r w:rsidRPr="00994531">
        <w:t>O emissions (~75% of the total emissions). We hope these findings will contribute to further research toward understanding, predicting, and ultimately mitigating N</w:t>
      </w:r>
      <w:r w:rsidRPr="00994531">
        <w:rPr>
          <w:vertAlign w:val="subscript"/>
        </w:rPr>
        <w:t>2</w:t>
      </w:r>
      <w:r w:rsidRPr="00994531">
        <w:t>O hot moments from agricultural soils.</w:t>
      </w:r>
    </w:p>
    <w:p w14:paraId="6CA5FFD7" w14:textId="77777777" w:rsidR="000728BC" w:rsidRPr="00994531" w:rsidRDefault="000728BC" w:rsidP="00EF23D4">
      <w:pPr>
        <w:spacing w:line="480" w:lineRule="auto"/>
      </w:pPr>
    </w:p>
    <w:p w14:paraId="241C87E9" w14:textId="77777777" w:rsidR="005E031B" w:rsidRPr="00994531" w:rsidRDefault="005E031B" w:rsidP="00EF23D4">
      <w:pPr>
        <w:spacing w:line="480" w:lineRule="auto"/>
        <w:sectPr w:rsidR="005E031B" w:rsidRPr="00994531" w:rsidSect="00F15019">
          <w:footerReference w:type="default" r:id="rId28"/>
          <w:pgSz w:w="12240" w:h="15840"/>
          <w:pgMar w:top="1440" w:right="1440" w:bottom="1440" w:left="1440" w:header="720" w:footer="720" w:gutter="0"/>
          <w:cols w:space="720"/>
          <w:docGrid w:linePitch="360"/>
        </w:sectPr>
      </w:pPr>
    </w:p>
    <w:p w14:paraId="0595FA7F" w14:textId="43BB1F5A" w:rsidR="00102210" w:rsidRPr="00994531" w:rsidRDefault="00B91328" w:rsidP="00BA6169">
      <w:pPr>
        <w:pStyle w:val="Heading1"/>
      </w:pPr>
      <w:bookmarkStart w:id="62" w:name="_Toc204282759"/>
      <w:r>
        <w:lastRenderedPageBreak/>
        <w:t xml:space="preserve">CHAPTER </w:t>
      </w:r>
      <w:r w:rsidR="007D35C3">
        <w:t>3:</w:t>
      </w:r>
      <w:r w:rsidR="005E4EDF">
        <w:t xml:space="preserve"> MACHINE LEARNING PREDICTS NITROUS OXIDE HOT MOMENTS ACROSS GLOBAL AGROECOSYSTEMS</w:t>
      </w:r>
      <w:bookmarkEnd w:id="62"/>
    </w:p>
    <w:p w14:paraId="595DA38F" w14:textId="78588694" w:rsidR="00EA4265" w:rsidRDefault="00EA4265">
      <w:r>
        <w:br w:type="page"/>
      </w:r>
    </w:p>
    <w:p w14:paraId="7BE009D0" w14:textId="504AFFCB" w:rsidR="00EA4265" w:rsidRDefault="00EA4265" w:rsidP="001B567A">
      <w:pPr>
        <w:pStyle w:val="Heading2"/>
      </w:pPr>
      <w:bookmarkStart w:id="63" w:name="_Toc204282760"/>
      <w:r>
        <w:lastRenderedPageBreak/>
        <w:t>Abstract</w:t>
      </w:r>
      <w:bookmarkEnd w:id="63"/>
    </w:p>
    <w:p w14:paraId="425E3147" w14:textId="77777777" w:rsidR="0010124D" w:rsidRPr="004F5745" w:rsidRDefault="004F5745" w:rsidP="001B567A">
      <w:pPr>
        <w:spacing w:after="0" w:line="480" w:lineRule="auto"/>
        <w:rPr>
          <w:rFonts w:eastAsia="Calibri" w:cs="Times New Roman"/>
          <w:kern w:val="0"/>
          <w:szCs w:val="24"/>
          <w14:ligatures w14:val="none"/>
        </w:rPr>
      </w:pPr>
      <w:r w:rsidRPr="0085558C">
        <w:rPr>
          <w:rFonts w:eastAsia="Calibri" w:cs="Times New Roman"/>
          <w:kern w:val="0"/>
          <w:szCs w:val="24"/>
          <w14:ligatures w14:val="none"/>
        </w:rPr>
        <w:t>Soil nitrous oxide (N</w:t>
      </w:r>
      <w:r w:rsidRPr="0085558C">
        <w:rPr>
          <w:rFonts w:eastAsia="Calibri" w:cs="Times New Roman"/>
          <w:kern w:val="0"/>
          <w:szCs w:val="24"/>
          <w:vertAlign w:val="subscript"/>
          <w14:ligatures w14:val="none"/>
        </w:rPr>
        <w:t>2</w:t>
      </w:r>
      <w:r w:rsidRPr="0085558C">
        <w:rPr>
          <w:rFonts w:eastAsia="Calibri" w:cs="Times New Roman"/>
          <w:kern w:val="0"/>
          <w:szCs w:val="24"/>
          <w14:ligatures w14:val="none"/>
        </w:rPr>
        <w:t>O) emissions</w:t>
      </w:r>
      <w:r>
        <w:rPr>
          <w:rFonts w:eastAsia="Calibri" w:cs="Times New Roman"/>
          <w:kern w:val="0"/>
          <w:szCs w:val="24"/>
          <w14:ligatures w14:val="none"/>
        </w:rPr>
        <w:t xml:space="preserve"> in agroecosystems</w:t>
      </w:r>
      <w:r w:rsidRPr="0085558C">
        <w:rPr>
          <w:rFonts w:eastAsia="Calibri" w:cs="Times New Roman"/>
          <w:kern w:val="0"/>
          <w:szCs w:val="24"/>
          <w14:ligatures w14:val="none"/>
        </w:rPr>
        <w:t xml:space="preserve"> are temporally variable</w:t>
      </w:r>
      <w:r>
        <w:rPr>
          <w:rFonts w:eastAsia="Calibri" w:cs="Times New Roman"/>
          <w:kern w:val="0"/>
          <w:szCs w:val="24"/>
          <w14:ligatures w14:val="none"/>
        </w:rPr>
        <w:t>. B</w:t>
      </w:r>
      <w:r w:rsidRPr="0085558C">
        <w:rPr>
          <w:rFonts w:eastAsia="Calibri" w:cs="Times New Roman"/>
          <w:kern w:val="0"/>
          <w:szCs w:val="24"/>
          <w14:ligatures w14:val="none"/>
        </w:rPr>
        <w:t xml:space="preserve">rief hot moments driven by </w:t>
      </w:r>
      <w:r>
        <w:rPr>
          <w:rFonts w:eastAsia="Calibri" w:cs="Times New Roman"/>
          <w:kern w:val="0"/>
          <w:szCs w:val="24"/>
          <w14:ligatures w14:val="none"/>
        </w:rPr>
        <w:t xml:space="preserve">abrupt changes in local climatic conditions and substrate availability </w:t>
      </w:r>
      <w:r w:rsidRPr="0085558C">
        <w:rPr>
          <w:rFonts w:eastAsia="Calibri" w:cs="Times New Roman"/>
          <w:kern w:val="0"/>
          <w:szCs w:val="24"/>
          <w14:ligatures w14:val="none"/>
        </w:rPr>
        <w:t>contribut</w:t>
      </w:r>
      <w:r>
        <w:rPr>
          <w:rFonts w:eastAsia="Calibri" w:cs="Times New Roman"/>
          <w:kern w:val="0"/>
          <w:szCs w:val="24"/>
          <w14:ligatures w14:val="none"/>
        </w:rPr>
        <w:t>e</w:t>
      </w:r>
      <w:r w:rsidRPr="0085558C">
        <w:rPr>
          <w:rFonts w:eastAsia="Calibri" w:cs="Times New Roman"/>
          <w:kern w:val="0"/>
          <w:szCs w:val="24"/>
          <w14:ligatures w14:val="none"/>
        </w:rPr>
        <w:t xml:space="preserve"> disproportionately to </w:t>
      </w:r>
      <w:r>
        <w:rPr>
          <w:rFonts w:eastAsia="Calibri" w:cs="Times New Roman"/>
          <w:kern w:val="0"/>
          <w:szCs w:val="24"/>
          <w14:ligatures w14:val="none"/>
        </w:rPr>
        <w:t>cumulative</w:t>
      </w:r>
      <w:r w:rsidRPr="0085558C">
        <w:rPr>
          <w:rFonts w:eastAsia="Calibri" w:cs="Times New Roman"/>
          <w:kern w:val="0"/>
          <w:szCs w:val="24"/>
          <w14:ligatures w14:val="none"/>
        </w:rPr>
        <w:t xml:space="preserve"> </w:t>
      </w:r>
      <w:r>
        <w:rPr>
          <w:rFonts w:eastAsia="Calibri" w:cs="Times New Roman"/>
          <w:kern w:val="0"/>
          <w:szCs w:val="24"/>
          <w14:ligatures w14:val="none"/>
        </w:rPr>
        <w:t>annual</w:t>
      </w:r>
      <w:r w:rsidRPr="0085558C">
        <w:rPr>
          <w:rFonts w:eastAsia="Calibri" w:cs="Times New Roman"/>
          <w:kern w:val="0"/>
          <w:szCs w:val="24"/>
          <w14:ligatures w14:val="none"/>
        </w:rPr>
        <w:t xml:space="preserve"> emissions.</w:t>
      </w:r>
      <w:r>
        <w:rPr>
          <w:rFonts w:eastAsia="Calibri" w:cs="Times New Roman"/>
          <w:kern w:val="0"/>
          <w:szCs w:val="24"/>
          <w14:ligatures w14:val="none"/>
        </w:rPr>
        <w:t xml:space="preserve"> The ability to accurately predict such temporal dynamics can help to concentrate mitigation efforts and improve hot moments representation in global models. </w:t>
      </w:r>
      <w:r w:rsidRPr="00633DDB">
        <w:rPr>
          <w:rFonts w:eastAsia="Calibri" w:cs="Times New Roman"/>
          <w:kern w:val="0"/>
          <w:szCs w:val="24"/>
          <w14:ligatures w14:val="none"/>
        </w:rPr>
        <w:t>Multiple machine learning models were evaluated for predicting daily hot moments using limited management, environmental, and climate data from 22 agricultural sites worldwide</w:t>
      </w:r>
      <w:r>
        <w:rPr>
          <w:rFonts w:eastAsia="Calibri" w:cs="Times New Roman"/>
          <w:kern w:val="0"/>
          <w:szCs w:val="24"/>
          <w14:ligatures w14:val="none"/>
        </w:rPr>
        <w:t>.</w:t>
      </w:r>
      <w:r w:rsidRPr="0085558C">
        <w:rPr>
          <w:rFonts w:eastAsia="Calibri" w:cs="Times New Roman"/>
          <w:kern w:val="0"/>
          <w:szCs w:val="24"/>
          <w14:ligatures w14:val="none"/>
        </w:rPr>
        <w:t xml:space="preserve"> </w:t>
      </w:r>
      <w:r>
        <w:rPr>
          <w:rFonts w:eastAsia="Calibri" w:cs="Times New Roman"/>
          <w:kern w:val="0"/>
          <w:szCs w:val="24"/>
          <w14:ligatures w14:val="none"/>
        </w:rPr>
        <w:t xml:space="preserve">The </w:t>
      </w:r>
      <w:r w:rsidRPr="0085558C">
        <w:rPr>
          <w:rFonts w:eastAsia="Calibri" w:cs="Times New Roman"/>
          <w:kern w:val="0"/>
          <w:szCs w:val="24"/>
          <w14:ligatures w14:val="none"/>
        </w:rPr>
        <w:t>XGBoost</w:t>
      </w:r>
      <w:r>
        <w:rPr>
          <w:rFonts w:eastAsia="Calibri" w:cs="Times New Roman"/>
          <w:kern w:val="0"/>
          <w:szCs w:val="24"/>
          <w14:ligatures w14:val="none"/>
        </w:rPr>
        <w:t xml:space="preserve"> model</w:t>
      </w:r>
      <w:r w:rsidRPr="0085558C">
        <w:rPr>
          <w:rFonts w:eastAsia="Calibri" w:cs="Times New Roman"/>
          <w:kern w:val="0"/>
          <w:szCs w:val="24"/>
          <w14:ligatures w14:val="none"/>
        </w:rPr>
        <w:t xml:space="preserve"> trained using data labels of N</w:t>
      </w:r>
      <w:r w:rsidRPr="0085558C">
        <w:rPr>
          <w:rFonts w:eastAsia="Calibri" w:cs="Times New Roman"/>
          <w:kern w:val="0"/>
          <w:szCs w:val="24"/>
          <w:vertAlign w:val="subscript"/>
          <w14:ligatures w14:val="none"/>
        </w:rPr>
        <w:t>2</w:t>
      </w:r>
      <w:r w:rsidRPr="0085558C">
        <w:rPr>
          <w:rFonts w:eastAsia="Calibri" w:cs="Times New Roman"/>
          <w:kern w:val="0"/>
          <w:szCs w:val="24"/>
          <w14:ligatures w14:val="none"/>
        </w:rPr>
        <w:t>O flux measurements generated through a context-informed hand labeling process produced the best overall performance (Matthews Correlation Coefficient, MCC: 0.69; Accuracy: 90%), with fewer errors made when flux was &lt;10 g N ha</w:t>
      </w:r>
      <w:r w:rsidRPr="0085558C">
        <w:rPr>
          <w:rFonts w:eastAsia="Calibri" w:cs="Times New Roman"/>
          <w:kern w:val="0"/>
          <w:szCs w:val="24"/>
          <w:vertAlign w:val="superscript"/>
          <w14:ligatures w14:val="none"/>
        </w:rPr>
        <w:t>-1</w:t>
      </w:r>
      <w:r w:rsidRPr="0085558C">
        <w:rPr>
          <w:rFonts w:eastAsia="Calibri" w:cs="Times New Roman"/>
          <w:kern w:val="0"/>
          <w:szCs w:val="24"/>
          <w14:ligatures w14:val="none"/>
        </w:rPr>
        <w:t xml:space="preserve"> d</w:t>
      </w:r>
      <w:r w:rsidRPr="0085558C">
        <w:rPr>
          <w:rFonts w:eastAsia="Calibri" w:cs="Times New Roman"/>
          <w:kern w:val="0"/>
          <w:szCs w:val="24"/>
          <w:vertAlign w:val="superscript"/>
          <w14:ligatures w14:val="none"/>
        </w:rPr>
        <w:t>-1</w:t>
      </w:r>
      <w:r w:rsidRPr="0085558C">
        <w:rPr>
          <w:rFonts w:eastAsia="Calibri" w:cs="Times New Roman"/>
          <w:kern w:val="0"/>
          <w:szCs w:val="24"/>
          <w14:ligatures w14:val="none"/>
        </w:rPr>
        <w:t xml:space="preserve"> or &gt;50 g N ha</w:t>
      </w:r>
      <w:r w:rsidRPr="0085558C">
        <w:rPr>
          <w:rFonts w:eastAsia="Calibri" w:cs="Times New Roman"/>
          <w:kern w:val="0"/>
          <w:szCs w:val="24"/>
          <w:vertAlign w:val="superscript"/>
          <w14:ligatures w14:val="none"/>
        </w:rPr>
        <w:t>-1</w:t>
      </w:r>
      <w:r w:rsidRPr="0085558C">
        <w:rPr>
          <w:rFonts w:eastAsia="Calibri" w:cs="Times New Roman"/>
          <w:kern w:val="0"/>
          <w:szCs w:val="24"/>
          <w14:ligatures w14:val="none"/>
        </w:rPr>
        <w:t xml:space="preserve"> d</w:t>
      </w:r>
      <w:r w:rsidRPr="0085558C">
        <w:rPr>
          <w:rFonts w:eastAsia="Calibri" w:cs="Times New Roman"/>
          <w:kern w:val="0"/>
          <w:szCs w:val="24"/>
          <w:vertAlign w:val="superscript"/>
          <w14:ligatures w14:val="none"/>
        </w:rPr>
        <w:t>-1</w:t>
      </w:r>
      <w:r w:rsidRPr="0085558C">
        <w:rPr>
          <w:rFonts w:eastAsia="Calibri" w:cs="Times New Roman"/>
          <w:kern w:val="0"/>
          <w:szCs w:val="24"/>
          <w14:ligatures w14:val="none"/>
        </w:rPr>
        <w:t xml:space="preserve">. </w:t>
      </w:r>
      <w:r w:rsidRPr="00633DDB">
        <w:rPr>
          <w:rFonts w:eastAsia="Calibri" w:cs="Times New Roman"/>
          <w:kern w:val="0"/>
          <w:szCs w:val="24"/>
          <w14:ligatures w14:val="none"/>
        </w:rPr>
        <w:t xml:space="preserve">The dataset </w:t>
      </w:r>
      <w:r>
        <w:rPr>
          <w:rFonts w:eastAsia="Calibri" w:cs="Times New Roman"/>
          <w:kern w:val="0"/>
          <w:szCs w:val="24"/>
          <w14:ligatures w14:val="none"/>
        </w:rPr>
        <w:t xml:space="preserve">used for the models training </w:t>
      </w:r>
      <w:r w:rsidRPr="00633DDB">
        <w:rPr>
          <w:rFonts w:eastAsia="Calibri" w:cs="Times New Roman"/>
          <w:kern w:val="0"/>
          <w:szCs w:val="24"/>
          <w14:ligatures w14:val="none"/>
        </w:rPr>
        <w:t>captured diverse conditions, and model behavior aligned with known drivers of nitrification and denitrification</w:t>
      </w:r>
      <w:r>
        <w:rPr>
          <w:rFonts w:eastAsia="Calibri" w:cs="Times New Roman"/>
          <w:kern w:val="0"/>
          <w:szCs w:val="24"/>
          <w14:ligatures w14:val="none"/>
        </w:rPr>
        <w:t xml:space="preserve">, </w:t>
      </w:r>
      <w:r w:rsidRPr="00633DDB">
        <w:rPr>
          <w:rFonts w:eastAsia="Calibri" w:cs="Times New Roman"/>
          <w:kern w:val="0"/>
          <w:szCs w:val="24"/>
          <w14:ligatures w14:val="none"/>
        </w:rPr>
        <w:t>and model behavior aligned with known drivers of nitrification and denitrification</w:t>
      </w:r>
      <w:r w:rsidRPr="0085558C">
        <w:rPr>
          <w:rFonts w:eastAsia="Calibri" w:cs="Times New Roman"/>
          <w:kern w:val="0"/>
          <w:szCs w:val="24"/>
          <w14:ligatures w14:val="none"/>
        </w:rPr>
        <w:t xml:space="preserve">. These results demonstrate a practical pathway toward applying machine learning to improve </w:t>
      </w:r>
      <w:r>
        <w:rPr>
          <w:rFonts w:eastAsia="Calibri" w:cs="Times New Roman"/>
          <w:kern w:val="0"/>
          <w:szCs w:val="24"/>
          <w14:ligatures w14:val="none"/>
        </w:rPr>
        <w:t xml:space="preserve">soil </w:t>
      </w:r>
      <w:r w:rsidRPr="0085558C">
        <w:rPr>
          <w:rFonts w:eastAsia="Calibri" w:cs="Times New Roman"/>
          <w:kern w:val="0"/>
          <w:szCs w:val="24"/>
          <w14:ligatures w14:val="none"/>
        </w:rPr>
        <w:t>N</w:t>
      </w:r>
      <w:r w:rsidRPr="0085558C">
        <w:rPr>
          <w:rFonts w:eastAsia="Calibri" w:cs="Times New Roman"/>
          <w:kern w:val="0"/>
          <w:szCs w:val="24"/>
          <w:vertAlign w:val="subscript"/>
          <w14:ligatures w14:val="none"/>
        </w:rPr>
        <w:t>2</w:t>
      </w:r>
      <w:r w:rsidRPr="0085558C">
        <w:rPr>
          <w:rFonts w:eastAsia="Calibri" w:cs="Times New Roman"/>
          <w:kern w:val="0"/>
          <w:szCs w:val="24"/>
          <w14:ligatures w14:val="none"/>
        </w:rPr>
        <w:t xml:space="preserve">O </w:t>
      </w:r>
      <w:r>
        <w:rPr>
          <w:rFonts w:eastAsia="Calibri" w:cs="Times New Roman"/>
          <w:kern w:val="0"/>
          <w:szCs w:val="24"/>
          <w14:ligatures w14:val="none"/>
        </w:rPr>
        <w:t xml:space="preserve">flux </w:t>
      </w:r>
      <w:r w:rsidRPr="0085558C">
        <w:rPr>
          <w:rFonts w:eastAsia="Calibri" w:cs="Times New Roman"/>
          <w:kern w:val="0"/>
          <w:szCs w:val="24"/>
          <w14:ligatures w14:val="none"/>
        </w:rPr>
        <w:t>predictions</w:t>
      </w:r>
      <w:r>
        <w:rPr>
          <w:rFonts w:eastAsia="Calibri" w:cs="Times New Roman"/>
          <w:kern w:val="0"/>
          <w:szCs w:val="24"/>
          <w14:ligatures w14:val="none"/>
        </w:rPr>
        <w:t>.</w:t>
      </w:r>
    </w:p>
    <w:p w14:paraId="5101DC43" w14:textId="38342422" w:rsidR="001154C0" w:rsidRPr="00994531" w:rsidRDefault="001154C0" w:rsidP="001B567A">
      <w:pPr>
        <w:pStyle w:val="Heading2"/>
      </w:pPr>
      <w:bookmarkStart w:id="64" w:name="_Toc204282761"/>
      <w:r w:rsidRPr="00994531">
        <w:t>Introduction</w:t>
      </w:r>
      <w:bookmarkEnd w:id="64"/>
    </w:p>
    <w:p w14:paraId="4F6BC5FD" w14:textId="7B2F046D" w:rsidR="001154C0" w:rsidRPr="00994531" w:rsidRDefault="00A32106" w:rsidP="001B567A">
      <w:pPr>
        <w:spacing w:after="0" w:line="480" w:lineRule="auto"/>
        <w:rPr>
          <w:rFonts w:eastAsia="Calibri" w:cs="Times New Roman"/>
          <w:kern w:val="0"/>
          <w:szCs w:val="24"/>
          <w:lang w:val="it-IT"/>
          <w14:ligatures w14:val="none"/>
        </w:rPr>
      </w:pPr>
      <w:r w:rsidRPr="0085558C">
        <w:rPr>
          <w:rFonts w:eastAsia="Calibri" w:cs="Times New Roman"/>
          <w:kern w:val="0"/>
          <w:szCs w:val="24"/>
          <w14:ligatures w14:val="none"/>
        </w:rPr>
        <w:t>In the past four decades, anthropogenic emissions of the potent greenhouse gas</w:t>
      </w:r>
      <w:r>
        <w:rPr>
          <w:rFonts w:eastAsia="Calibri" w:cs="Times New Roman"/>
          <w:kern w:val="0"/>
          <w:szCs w:val="24"/>
          <w14:ligatures w14:val="none"/>
        </w:rPr>
        <w:t xml:space="preserve"> (GHG)</w:t>
      </w:r>
      <w:r w:rsidRPr="0085558C">
        <w:rPr>
          <w:rFonts w:eastAsia="Calibri" w:cs="Times New Roman"/>
          <w:kern w:val="0"/>
          <w:szCs w:val="24"/>
          <w14:ligatures w14:val="none"/>
        </w:rPr>
        <w:t xml:space="preserve"> nitrous oxide (N</w:t>
      </w:r>
      <w:r w:rsidRPr="0085558C">
        <w:rPr>
          <w:rFonts w:eastAsia="Calibri" w:cs="Times New Roman"/>
          <w:kern w:val="0"/>
          <w:szCs w:val="24"/>
          <w:vertAlign w:val="subscript"/>
          <w14:ligatures w14:val="none"/>
        </w:rPr>
        <w:t>2</w:t>
      </w:r>
      <w:r w:rsidRPr="0085558C">
        <w:rPr>
          <w:rFonts w:eastAsia="Calibri" w:cs="Times New Roman"/>
          <w:kern w:val="0"/>
          <w:szCs w:val="24"/>
          <w14:ligatures w14:val="none"/>
        </w:rPr>
        <w:t>O) have risen 40% to 7.3 Tg N yr</w:t>
      </w:r>
      <w:r w:rsidRPr="0085558C">
        <w:rPr>
          <w:rFonts w:eastAsia="Calibri" w:cs="Times New Roman"/>
          <w:kern w:val="0"/>
          <w:szCs w:val="24"/>
          <w:vertAlign w:val="superscript"/>
          <w14:ligatures w14:val="none"/>
        </w:rPr>
        <w:t>-1</w:t>
      </w:r>
      <w:r w:rsidRPr="0085558C">
        <w:rPr>
          <w:rFonts w:eastAsia="Calibri" w:cs="Times New Roman"/>
          <w:kern w:val="0"/>
          <w:szCs w:val="24"/>
          <w14:ligatures w14:val="none"/>
        </w:rPr>
        <w:t xml:space="preserve">, with more than half of these attributed to agriculture </w:t>
      </w:r>
      <w:r w:rsidRPr="0085558C">
        <w:rPr>
          <w:rFonts w:eastAsia="Calibri" w:cs="Times New Roman"/>
          <w:kern w:val="0"/>
          <w:szCs w:val="24"/>
          <w14:ligatures w14:val="none"/>
        </w:rPr>
        <w:fldChar w:fldCharType="begin"/>
      </w:r>
      <w:r w:rsidR="00D74AD1">
        <w:rPr>
          <w:rFonts w:eastAsia="Calibri" w:cs="Times New Roman"/>
          <w:kern w:val="0"/>
          <w:szCs w:val="24"/>
          <w14:ligatures w14:val="none"/>
        </w:rPr>
        <w:instrText xml:space="preserve"> ADDIN ZOTERO_ITEM CSL_CITATION {"citationID":"msj0iXEb","properties":{"formattedCitation":"(Intergovernmental Panel on Climate Change (IPCC), 2023; Tian et al., 2019, 2020)","plainCitation":"(Intergovernmental Panel on Climate Change (IPCC), 2023; Tian et al., 2019, 2020)","dontUpdate":true,"noteIndex":0},"citationItems":[{"id":3283,"uris":["http://zotero.org/groups/4573874/items/CNNVUSSR"],"itemData":{"id":3283,"type":"chapter","archive":"Cambridge Core","container-title":"Climate Change 2021: The Physical Science Basis: Working Group I Contribution to the Sixth Assessment Report of the Intergovernmental Panel on Climate Change","event-place":"Cambridge","ISBN":"978-1-00-915788-9","note":"DOI: 10.1017/9781009157896.007","page":"673-816","publisher":"Cambridge University Press","publisher-place":"Cambridge","source":"Cambridge University Press","title":"Global Carbon and Other Biogeochemical Cycles and Feedbacks","URL":"https://www.cambridge.org/core/product/93DFD13E855AC1F1B502965CABE28B7F","editor":[{"literal":"Intergovernmental Panel on Climate Change (IPCC)"}],"issued":{"date-parts":[["2023"]]}}},{"id":1417,"uris":["http://zotero.org/groups/4573874/items/SYK9IFTN"],"itemData":{"id":1417,"type":"article-journal","abstract":"Our understanding and quantification of global soil nitrous oxide (N2O) emissions and the underlying processes remain largely uncertain. Here, we assessed the effects of multiple anthropogenic and natural factors, including nitrogen fertilizer (N) application, atmospheric N deposition, manure N application, land cover change, climate change, and rising atmospheric CO2 concentration, on global soil N2O emissions for the period 1861–2016 using a standard simulation protocol with seven process-based terrestrial biosphere models. Results suggest global soil N2O emissions have increased from 6.3 ± 1.1 Tg N2O-N/year in the preindustrial period (the 1860s) to 10.0 ± 2.0 Tg N2O-N/year in the recent decade (2007–2016). Cropland soil emissions increased from 0.3 Tg N2O-N/year to 3.3 Tg N2O-N/year over the same period, accounting for 82% of the total increase. Regionally, China, South Asia, and Southeast Asia underwent rapid increases in cropland N2O emissions since the 1970s. However, US cropland N2O emissions had been relatively flat in magnitude since the 1980s, and EU cropland N2O emissions appear to have decreased by 14%. Soil N2O emissions from predominantly natural ecosystems accounted for 67% of the global soil emissions in the recent decade but showed only a relatively small increase of 0.7 ± 0.5 Tg N2O-N/year (11%) since the 1860s. In the recent decade, N fertilizer application, N deposition, manure N application, and climate change contributed 54%, 26%, 15%, and 24%, respectively, to the total increase. Rising atmospheric CO2 concentration reduced soil N2O emissions by 10% through the enhanced plant N uptake, while land cover change played a minor role. Our estimation here does not account for indirect emissions from soils and the directed emissions from excreta of grazing livestock. To address uncertainties in estimating regional and global soil N2O emissions, this study recommends several critical strategies for improving the process-based simulations.","container-title":"Global Change Biology","DOI":"10.1111/gcb.14514","ISSN":"1365-2486","issue":"2","language":"en","license":"© 2018 John Wiley &amp; Sons Ltd","note":"_eprint: https://onlinelibrary.wiley.com/doi/pdf/10.1111/gcb.14514","page":"640-659","source":"Wiley Online Library","title":"Global soil nitrous oxide emissions since the preindustrial era estimated by an ensemble of terrestrial biosphere models: Magnitude, attribution, and uncertainty","title-short":"Global soil nitrous oxide emissions since the preindustrial era estimated by an ensemble of terrestrial biosphere models","volume":"25","author":[{"family":"Tian","given":"Hanqin"},{"family":"Yang","given":"Jia"},{"family":"Xu","given":"Rongting"},{"family":"Lu","given":"Chaoqun"},{"family":"Canadell","given":"Josep G."},{"family":"Davidson","given":"Eric A."},{"family":"Jackson","given":"Robert B."},{"family":"Arneth","given":"Almut"},{"family":"Chang","given":"Jinfeng"},{"family":"Ciais","given":"Philippe"},{"family":"Gerber","given":"Stefan"},{"family":"Ito","given":"Akihiko"},{"family":"Joos","given":"Fortunat"},{"family":"Lienert","given":"Sebastian"},{"family":"Messina","given":"Palmira"},{"family":"Olin","given":"Stefan"},{"family":"Pan","given":"Shufen"},{"family":"Peng","given":"Changhui"},{"family":"Saikawa","given":"Eri"},{"family":"Thompson","given":"Rona L."},{"family":"Vuichard","given":"Nicolas"},{"family":"Winiwarter","given":"Wilfried"},{"family":"Zaehle","given":"Sönke"},{"family":"Zhang","given":"Bowen"}],"issued":{"date-parts":[["2019"]]}}},{"id":3295,"uris":["http://zotero.org/groups/5704038/items/4Z7CUT6B"],"itemData":{"id":3295,"type":"article-journal","abstract":"Nitrous oxide (N2O), like carbon dioxide, is a long-lived greenhouse gas that accumulates in the atmosphere. Over the past 150 years, increasing atmospheric N2O concentrations have contributed to stratospheric ozone depletion1 and climate change2, with the current rate of increase estimated at 2 per cent per decade. Existing national inventories do not provide a full picture of N2O emissions, owing to their omission of natural sources and limitations in methodology for attributing anthropogenic sources. Here we present a global N2O inventory that incorporates both natural and anthropogenic sources and accounts for the interaction between nitrogen additions and the biochemical processes that control N2O emissions. We use bottom-up (inventory, statistical extrapolation of flux measurements, process-based land and ocean modelling) and top-down (atmospheric inversion) approaches to provide a comprehensive quantification of global N2O sources and sinks resulting from 21 natural and human sectors between 1980 and 2016. Global N2O emissions were 17.0 (minimum–maximum estimates: 12.2–23.5) teragrams of nitrogen per year (bottom-up) and 16.9 (15.9–17.7) teragrams of nitrogen per year (top-down) between 2007 and 2016. Global human-induced emissions, which are dominated by nitrogen additions to croplands, increased by 30% over the past four decades to 7.3 (4.2–11.4) teragrams of nitrogen per year. This increase was mainly responsible for the growth in the atmospheric burden. Our findings point to growing N2O emissions in emerging economies—particularly Brazil, China and India. Analysis of process-based model estimates reveals an emerging N2O–climate feedback resulting from interactions between nitrogen additions and climate change. The recent growth in N2O emissions exceeds some of the highest projected emission scenarios3,4, underscoring the urgency to mitigate N2O emissions.","container-title":"Nature","DOI":"10.1038/s41586-020-2780-0","ISSN":"1476-4687","issue":"7828","language":"en","license":"2020 The Author(s), under exclusive licence to Springer Nature Limited","note":"publisher: Nature Publishing Group","page":"248-256","source":"www.nature.com","title":"A comprehensive quantification of global nitrous oxide sources and sinks","volume":"586","author":[{"family":"Tian","given":"Hanqin"},{"family":"Xu","given":"Rongting"},{"family":"Canadell","given":"Josep G."},{"family":"Thompson","given":"Rona L."},{"family":"Winiwarter","given":"Wilfried"},{"family":"Suntharalingam","given":"Parvadha"},{"family":"Davidson","given":"Eric A."},{"family":"Ciais","given":"Philippe"},{"family":"Jackson","given":"Robert B."},{"family":"Janssens-Maenhout","given":"Greet"},{"family":"Prather","given":"Michael J."},{"family":"Regnier","given":"Pierre"},{"family":"Pan","given":"Naiqing"},{"family":"Pan","given":"Shufen"},{"family":"Peters","given":"Glen P."},{"family":"Shi","given":"Hao"},{"family":"Tubiello","given":"Francesco N."},{"family":"Zaehle","given":"Sönke"},{"family":"Zhou","given":"Feng"},{"family":"Arneth","given":"Almut"},{"family":"Battaglia","given":"Gianna"},{"family":"Berthet","given":"Sarah"},{"family":"Bopp","given":"Laurent"},{"family":"Bouwman","given":"Alexander F."},{"family":"Buitenhuis","given":"Erik T."},{"family":"Chang","given":"Jinfeng"},{"family":"Chipperfield","given":"Martyn P."},{"family":"Dangal","given":"Shree R. S."},{"family":"Dlugokencky","given":"Edward"},{"family":"Elkins","given":"James W."},{"family":"Eyre","given":"Bradley D."},{"family":"Fu","given":"Bojie"},{"family":"Hall","given":"Bradley"},{"family":"Ito","given":"Akihiko"},{"family":"Joos","given":"Fortunat"},{"family":"Krummel","given":"Paul B."},{"family":"Landolfi","given":"Angela"},{"family":"Laruelle","given":"Goulven G."},{"family":"Lauerwald","given":"Ronny"},{"family":"Li","given":"Wei"},{"family":"Lienert","given":"Sebastian"},{"family":"Maavara","given":"Taylor"},{"family":"MacLeod","given":"Michael"},{"family":"Millet","given":"Dylan B."},{"family":"Olin","given":"Stefan"},{"family":"Patra","given":"Prabir K."},{"family":"Prinn","given":"Ronald G."},{"family":"Raymond","given":"Peter A."},{"family":"Ruiz","given":"Daniel J."},{"family":"Werf","given":"Guido R.","non-dropping-particle":"van der"},{"family":"Vuichard","given":"Nicolas"},{"family":"Wang","given":"Junjie"},{"family":"Weiss","given":"Ray F."},{"family":"Wells","given":"Kelley C."},{"family":"Wilson","given":"Chris"},{"family":"Yang","given":"Jia"},{"family":"Yao","given":"Yuanzhi"}],"issued":{"date-parts":[["2020",10]]}}}],"schema":"https://github.com/citation-style-language/schema/raw/master/csl-citation.json"} </w:instrText>
      </w:r>
      <w:r w:rsidRPr="0085558C">
        <w:rPr>
          <w:rFonts w:eastAsia="Calibri" w:cs="Times New Roman"/>
          <w:kern w:val="0"/>
          <w:szCs w:val="24"/>
          <w14:ligatures w14:val="none"/>
        </w:rPr>
        <w:fldChar w:fldCharType="separate"/>
      </w:r>
      <w:r w:rsidRPr="0085558C">
        <w:rPr>
          <w:rFonts w:eastAsia="Calibri" w:cs="Times New Roman"/>
          <w:kern w:val="0"/>
          <w:szCs w:val="24"/>
          <w14:ligatures w14:val="none"/>
        </w:rPr>
        <w:t>(IPCC, 2023; Tian et al., 2019, 2020)</w:t>
      </w:r>
      <w:r w:rsidRPr="0085558C">
        <w:rPr>
          <w:rFonts w:eastAsia="Calibri" w:cs="Times New Roman"/>
          <w:kern w:val="0"/>
          <w:szCs w:val="24"/>
          <w14:ligatures w14:val="none"/>
        </w:rPr>
        <w:fldChar w:fldCharType="end"/>
      </w:r>
      <w:r w:rsidRPr="0085558C">
        <w:rPr>
          <w:rFonts w:eastAsia="Calibri" w:cs="Times New Roman"/>
          <w:kern w:val="0"/>
          <w:szCs w:val="24"/>
          <w14:ligatures w14:val="none"/>
        </w:rPr>
        <w:t>. N</w:t>
      </w:r>
      <w:r w:rsidRPr="0085558C">
        <w:rPr>
          <w:rFonts w:eastAsia="Calibri" w:cs="Times New Roman"/>
          <w:kern w:val="0"/>
          <w:szCs w:val="24"/>
          <w:vertAlign w:val="subscript"/>
          <w14:ligatures w14:val="none"/>
        </w:rPr>
        <w:t>2</w:t>
      </w:r>
      <w:r w:rsidRPr="0085558C">
        <w:rPr>
          <w:rFonts w:eastAsia="Calibri" w:cs="Times New Roman"/>
          <w:kern w:val="0"/>
          <w:szCs w:val="24"/>
          <w14:ligatures w14:val="none"/>
        </w:rPr>
        <w:t xml:space="preserve">O is produced in soil by a combination of complex biogeochemical processes which result in high spatial and temporal variability of emissions, making field-level monitoring methods expensive and arduous </w:t>
      </w:r>
      <w:r w:rsidRPr="0085558C">
        <w:rPr>
          <w:rFonts w:eastAsia="Calibri" w:cs="Times New Roman"/>
          <w:kern w:val="0"/>
          <w:szCs w:val="24"/>
          <w14:ligatures w14:val="none"/>
        </w:rPr>
        <w:fldChar w:fldCharType="begin"/>
      </w:r>
      <w:r w:rsidR="008752F6">
        <w:rPr>
          <w:rFonts w:eastAsia="Calibri" w:cs="Times New Roman"/>
          <w:kern w:val="0"/>
          <w:szCs w:val="24"/>
          <w14:ligatures w14:val="none"/>
        </w:rPr>
        <w:instrText xml:space="preserve"> ADDIN ZOTERO_ITEM CSL_CITATION {"citationID":"a129capo03f","properties":{"formattedCitation":"(P. Groffman et al., 2009; H\\uc0\\u233{}nault et al., 2012; Venterea et al., 2012)","plainCitation":"(P. Groffman et al., 2009; Hénault et al., 2012; Venterea et al., 2012)","dontUpdate":true,"noteIndex":0},"citationItems":[{"id":1331,"uris":["http://zotero.org/groups/4573874/items/EXZXMUGS"],"itemData":{"id":1331,"type":"article-journal","abstract":"Denitrification, the anaerobic reduction of nitrogen oxides to nitrogenous gases, is an extremely challenging process to measure and model. Much of this challenge arises from the fact that small areas (hotspots) and brief periods (hot moments) frequently account for a high percentage of the denitrification activity that occurs in both terrestrial and aquatic ecosystems. In this paper, we describe the prospects for incorporating hotspot and hot moment phenomena into denitrification models in terrestrial soils, the interface between terrestrial and aquatic ecosystems, and in aquatic ecosystems. Our analysis suggests that while our data needs are strongest for hot moments, the greatest modeling challenges are for hotspots. Given the increasing availability of high temporal frequency climate data, models are promising tools for evaluating the importance of hot moments such as freeze-thaw cycles and drying/rewetting events. Spatial hotspots are less tractable due to our inability to get high resolution spatial approximations of denitrification drivers such as carbon substrate. Investigators need to consider the types of hotspots and hot moments that might be occurring at small, medium, and large spatial scales in the particular ecosystem type they are working in before starting a study or developing a new model. New experimental design and heterogeneity quantification tools can then be applied from the outset and will result in better quantification and more robust and widely applicable denitrification models.","container-title":"Biogeochemistry","DOI":"10.1007/s10533-008-9277-5","ISSN":"1573-515X","issue":"1","journalAbbreviation":"Biogeochemistry","language":"en","page":"49-77","source":"Springer Link","title":"Challenges to incorporating spatially and temporally explicit phenomena (hotspots and hot moments) in denitrification models","volume":"93","author":[{"family":"Groffman","given":"Peter"},{"family":"Butterbach-Bahl","given":"Klaus"},{"family":"Fulweiler","given":"Robinson W."},{"family":"Gold","given":"Arthur J."},{"family":"Morse","given":"Jennifer L."},{"family":"Stander","given":"Emilie K."},{"family":"Tague","given":"Christina"},{"family":"Tonitto","given":"Christina"},{"family":"Vidon","given":"Philippe"}],"issued":{"date-parts":[["2009",3,1]]}}},{"id":1471,"uris":["http://zotero.org/groups/4573874/items/5V252IMA"],"itemData":{"id":1471,"type":"article-journal","abstract":"This short review deals with soils as an important source of the greenhouse gas N2O. The production and consumption of N2O in soils mainly involve biotic processes: the anaerobic process of denitrification and the aerobic process of nitrification. The factors that significantly influence agricultural N2O emissions mainly concern the agricultural practices (N application rate, crop type, fertilizer type) and soil conditions (soil moisture, soil organic C content, soil pH and texture). Large variability of N2O fluxes is known to occur both at different spatial and temporal scales. Currently new techniques could help to improve the capture of the spatial variability. Continuous measurement systems with automatic chambers could also help to capture temporal variability and consequently to improve quantification of N2O emissions by soils. Some attempts for mitigating soil N2O emissions, either by modifying agricultural practices or by managing soil microbial functioning taking into account the origin of the soil N2O emission variability, are reviewed.","collection-title":"Special Issue on Bioremediation of Contaminated Soil and Water","container-title":"Pedosphere","DOI":"10.1016/S1002-0160(12)60029-0","ISSN":"1002-0160","issue":"4","journalAbbreviation":"Pedosphere","page":"426-433","source":"ScienceDirect","title":"Nitrous Oxide Emission by Agricultural Soils: A Review of Spatial and Temporal Variability for Mitigation","title-short":"Nitrous Oxide Emission by Agricultural Soils","volume":"22","author":[{"family":"Hénault","given":"C."},{"family":"Grossel","given":"A."},{"family":"Mary","given":"B."},{"family":"Roussel","given":"M."},{"family":"Léonard","given":"J."}],"issued":{"date-parts":[["2012",8,1]]}}},{"id":662,"uris":["http://zotero.org/groups/4573874/items/CIL79WH5"],"itemData":{"id":662,"type":"article-journal","abstract":"Nitrous oxide (N2O) is often the largest single component of the greenhouse-gas budget of individual cropping systems, as well as for the US agricultural sector as a whole. Here, we highlight the factors that make mitigating N2O emissions from fertilized agroecosystems such a difficult challenge, and discuss how these factors limit the effectiveness of existing practices and therefore require new technologies and fresh ideas. Modification of the rate, source, placement, and/or timing of nitrogen fertilizer application has in some cases been an effective way to reduce N2O emissions. However, the efficacy of existing approaches to reducing N2O emissions while maintaining crop yields across locations and growing seasons is uncertain because of the interaction of multiple factors that regulate several different N2O-producing processes in soil. Although these processes have been well studied, our understanding of key aspects and our ability to manage them to mitigate N2O emissions remain limited.","container-title":"Frontiers in Ecology and the Environment","DOI":"10.1890/120062","ISSN":"1540-9309","issue":"10","language":"en","note":"_eprint: https://onlinelibrary.wiley.com/doi/pdf/10.1890/120062","page":"562-570","source":"Wiley Online Library","title":"Challenges and opportunities for mitigating nitrous oxide emissions from fertilized cropping systems","volume":"10","author":[{"family":"Venterea","given":"Rodney T"},{"family":"Halvorson","given":"Ardell D"},{"family":"Kitchen","given":"Newell"},{"family":"Liebig","given":"Mark A"},{"family":"Cavigelli","given":"Michel A"},{"family":"Grosso","given":"Stephen J Del"},{"family":"Motavalli","given":"Peter P"},{"family":"Nelson","given":"Kelly A"},{"family":"Spokas","given":"Kurt A"},{"family":"Singh","given":"Bhupinder Pal"},{"family":"Stewart","given":"Catherine E"},{"family":"Ranaivoson","given":"Andry"},{"family":"Strock","given":"Jeffrey"},{"family":"Collins","given":"Hal"}],"issued":{"date-parts":[["2012"]]}}}],"schema":"https://github.com/citation-style-language/schema/raw/master/csl-citation.json"} </w:instrText>
      </w:r>
      <w:r w:rsidRPr="0085558C">
        <w:rPr>
          <w:rFonts w:eastAsia="Calibri" w:cs="Times New Roman"/>
          <w:kern w:val="0"/>
          <w:szCs w:val="24"/>
          <w14:ligatures w14:val="none"/>
        </w:rPr>
        <w:fldChar w:fldCharType="separate"/>
      </w:r>
      <w:r w:rsidR="006D717C" w:rsidRPr="006D717C">
        <w:rPr>
          <w:rFonts w:cs="Times New Roman"/>
          <w:kern w:val="0"/>
        </w:rPr>
        <w:t>(Groffman et al., 2009; Hénault et al., 2012; Venterea et al., 2012)</w:t>
      </w:r>
      <w:r w:rsidRPr="0085558C">
        <w:rPr>
          <w:rFonts w:eastAsia="Calibri" w:cs="Times New Roman"/>
          <w:kern w:val="0"/>
          <w:szCs w:val="24"/>
          <w14:ligatures w14:val="none"/>
        </w:rPr>
        <w:fldChar w:fldCharType="end"/>
      </w:r>
      <w:r w:rsidRPr="0085558C">
        <w:rPr>
          <w:rFonts w:eastAsia="Calibri" w:cs="Times New Roman"/>
          <w:kern w:val="0"/>
          <w:szCs w:val="24"/>
          <w14:ligatures w14:val="none"/>
        </w:rPr>
        <w:t>. Reliable</w:t>
      </w:r>
      <w:r w:rsidR="001154C0" w:rsidRPr="00994531">
        <w:rPr>
          <w:rFonts w:eastAsia="Calibri" w:cs="Times New Roman"/>
          <w:kern w:val="0"/>
          <w:szCs w:val="24"/>
          <w14:ligatures w14:val="none"/>
        </w:rPr>
        <w:t xml:space="preserve"> models of N</w:t>
      </w:r>
      <w:r w:rsidR="001154C0" w:rsidRPr="00994531">
        <w:rPr>
          <w:rFonts w:eastAsia="Calibri" w:cs="Times New Roman"/>
          <w:kern w:val="0"/>
          <w:szCs w:val="24"/>
          <w:vertAlign w:val="subscript"/>
          <w14:ligatures w14:val="none"/>
        </w:rPr>
        <w:t>2</w:t>
      </w:r>
      <w:r w:rsidR="001154C0" w:rsidRPr="00994531">
        <w:rPr>
          <w:rFonts w:eastAsia="Calibri" w:cs="Times New Roman"/>
          <w:kern w:val="0"/>
          <w:szCs w:val="24"/>
          <w14:ligatures w14:val="none"/>
        </w:rPr>
        <w:t xml:space="preserve">O emissions are thus important on two fronts: first, they are essential for the work of researchers and policymakers </w:t>
      </w:r>
      <w:r w:rsidRPr="0085558C">
        <w:rPr>
          <w:rFonts w:eastAsia="Calibri" w:cs="Times New Roman"/>
          <w:kern w:val="0"/>
          <w:szCs w:val="24"/>
          <w14:ligatures w14:val="none"/>
        </w:rPr>
        <w:t xml:space="preserve">in </w:t>
      </w:r>
      <w:r w:rsidRPr="0085558C">
        <w:rPr>
          <w:rFonts w:eastAsia="Calibri" w:cs="Times New Roman"/>
          <w:kern w:val="0"/>
          <w:szCs w:val="24"/>
          <w14:ligatures w14:val="none"/>
        </w:rPr>
        <w:lastRenderedPageBreak/>
        <w:t>determining N</w:t>
      </w:r>
      <w:r w:rsidRPr="0085558C">
        <w:rPr>
          <w:rFonts w:eastAsia="Calibri" w:cs="Times New Roman"/>
          <w:kern w:val="0"/>
          <w:szCs w:val="24"/>
          <w:vertAlign w:val="subscript"/>
          <w14:ligatures w14:val="none"/>
        </w:rPr>
        <w:t>2</w:t>
      </w:r>
      <w:r w:rsidRPr="0085558C">
        <w:rPr>
          <w:rFonts w:eastAsia="Calibri" w:cs="Times New Roman"/>
          <w:kern w:val="0"/>
          <w:szCs w:val="24"/>
          <w14:ligatures w14:val="none"/>
        </w:rPr>
        <w:t xml:space="preserve">O budgets, trajectories, and potential contribution to radiative forcing and climate change </w:t>
      </w:r>
      <w:r w:rsidRPr="0085558C">
        <w:rPr>
          <w:rFonts w:eastAsia="Calibri" w:cs="Times New Roman"/>
          <w:kern w:val="0"/>
          <w:szCs w:val="24"/>
          <w14:ligatures w14:val="none"/>
        </w:rPr>
        <w:fldChar w:fldCharType="begin"/>
      </w:r>
      <w:r w:rsidR="00D74AD1">
        <w:rPr>
          <w:rFonts w:eastAsia="Calibri" w:cs="Times New Roman"/>
          <w:kern w:val="0"/>
          <w:szCs w:val="24"/>
          <w14:ligatures w14:val="none"/>
        </w:rPr>
        <w:instrText xml:space="preserve"> ADDIN ZOTERO_ITEM CSL_CITATION {"citationID":"fJzDiKl5","properties":{"formattedCitation":"(Del Grosso et al., 2008)","plainCitation":"(Del Grosso et al., 2008)","noteIndex":0},"citationItems":[{"id":788,"uris":["http://zotero.org/groups/4573874/items/RERQL4J7"],"itemData":{"id":788,"type":"article-journal","abstract":"Emissions of nitrous oxide (N2O), a potent greenhouse gas, tend to be underestimated by standard methods of quantifi cation provided by the Intergovernmental Panel on Climate Change (IPCC) [IPCC, 2006], recent research suggests. Better quantification of agricultural N2O emissions improves greenhouse gas inventories, allows for better evaluation of the environmental impacts of different cropping systems, and increases the understanding of the nitrogen (N) cycle in general. Proper quantifi cation of N2O emissions is particularly important in the context of calculating net greenhouse gas emissions from biofuel cropping systems because these emissions offset the greenhouse gas benefits of displacing fossil fuel and can even lead to biofuel systems being a net greenhouse gas source [Crutzen et al., 2008]. The global warming potential of N2O is approximately 300 times that of carbon dioxide, and N2O emissions represent approximately 6% of the global anthropogenic greenhouse gas source [IPCC, 2007]. N2O also contributes to stratospheric ozone destruction. N2O is produced in soils through the microbial processes of nitrifi cation and denitrification. Soil water content, temperature, texture, and carbon availability infl uence N2O emissions, but the strongest correlate is usually N inputs to the system, especially at large scales [Stehfest and Bouwman, 2006]. In addition to direct emissions, N inputs to agricultural soils also contribute to N2O emissions indirectly [IPCC, 2006] when nitrate that has leached or run off from soil is converted to N2O via aquatic denitrifi cation and when volatilized non-N2O N-oxides and ammonia are redeposited on soils and converted to N2O.","container-title":"Eos, Transactions American Geophysical Union","DOI":"10.1029/2008EO510001","ISSN":"2324-9250","issue":"51","language":"en","note":"_eprint: https://onlinelibrary.wiley.com/doi/pdf/10.1029/2008EO510001","page":"529-529","source":"Wiley Online Library","title":"Estimating Agricultural Nitrous Oxide Emissions","volume":"89","author":[{"family":"Del Grosso","given":"Stephen J."},{"family":"Wirth","given":"Tom"},{"family":"Ogle","given":"Stephen M."},{"family":"Parton","given":"William J."}],"issued":{"date-parts":[["2008"]]}}}],"schema":"https://github.com/citation-style-language/schema/raw/master/csl-citation.json"} </w:instrText>
      </w:r>
      <w:r w:rsidRPr="0085558C">
        <w:rPr>
          <w:rFonts w:eastAsia="Calibri" w:cs="Times New Roman"/>
          <w:kern w:val="0"/>
          <w:szCs w:val="24"/>
          <w14:ligatures w14:val="none"/>
        </w:rPr>
        <w:fldChar w:fldCharType="separate"/>
      </w:r>
      <w:r w:rsidRPr="0085558C">
        <w:rPr>
          <w:rFonts w:eastAsia="Calibri" w:cs="Times New Roman"/>
          <w:kern w:val="0"/>
          <w:szCs w:val="24"/>
          <w14:ligatures w14:val="none"/>
        </w:rPr>
        <w:t>(Del Grosso et al., 2008)</w:t>
      </w:r>
      <w:r w:rsidRPr="0085558C">
        <w:rPr>
          <w:rFonts w:eastAsia="Calibri" w:cs="Times New Roman"/>
          <w:kern w:val="0"/>
          <w:szCs w:val="24"/>
          <w14:ligatures w14:val="none"/>
        </w:rPr>
        <w:fldChar w:fldCharType="end"/>
      </w:r>
      <w:r w:rsidRPr="0085558C">
        <w:rPr>
          <w:rFonts w:eastAsia="Calibri" w:cs="Times New Roman"/>
          <w:kern w:val="0"/>
          <w:szCs w:val="24"/>
          <w14:ligatures w14:val="none"/>
        </w:rPr>
        <w:t xml:space="preserve">. Second, accurate models have the potential to aid mitigation efforts by estimating the timing and impact of </w:t>
      </w:r>
      <w:r>
        <w:rPr>
          <w:rFonts w:eastAsia="Calibri" w:cs="Times New Roman"/>
          <w:kern w:val="0"/>
          <w:szCs w:val="24"/>
          <w14:ligatures w14:val="none"/>
        </w:rPr>
        <w:t>specific</w:t>
      </w:r>
      <w:r w:rsidRPr="0085558C">
        <w:rPr>
          <w:rFonts w:eastAsia="Calibri" w:cs="Times New Roman"/>
          <w:kern w:val="0"/>
          <w:szCs w:val="24"/>
          <w14:ligatures w14:val="none"/>
        </w:rPr>
        <w:t xml:space="preserve"> events to overall emissions, reveal</w:t>
      </w:r>
      <w:r>
        <w:rPr>
          <w:rFonts w:eastAsia="Calibri" w:cs="Times New Roman"/>
          <w:kern w:val="0"/>
          <w:szCs w:val="24"/>
          <w14:ligatures w14:val="none"/>
        </w:rPr>
        <w:t>ing</w:t>
      </w:r>
      <w:r w:rsidRPr="0085558C">
        <w:rPr>
          <w:rFonts w:eastAsia="Calibri" w:cs="Times New Roman"/>
          <w:kern w:val="0"/>
          <w:szCs w:val="24"/>
          <w14:ligatures w14:val="none"/>
        </w:rPr>
        <w:t xml:space="preserve"> pathways to lower these emissions </w:t>
      </w:r>
      <w:r w:rsidRPr="0085558C">
        <w:rPr>
          <w:rFonts w:eastAsia="Calibri" w:cs="Times New Roman"/>
          <w:kern w:val="0"/>
          <w:szCs w:val="24"/>
          <w14:ligatures w14:val="none"/>
        </w:rPr>
        <w:fldChar w:fldCharType="begin"/>
      </w:r>
      <w:r w:rsidR="00D74AD1">
        <w:rPr>
          <w:rFonts w:eastAsia="Calibri" w:cs="Times New Roman"/>
          <w:kern w:val="0"/>
          <w:szCs w:val="24"/>
          <w14:ligatures w14:val="none"/>
        </w:rPr>
        <w:instrText xml:space="preserve"> ADDIN ZOTERO_ITEM CSL_CITATION {"citationID":"o6db3d7Y","properties":{"formattedCitation":"(Bastos et al., 2021; Venterea et al., 2012; Wagner-Riddle et al., 2020)","plainCitation":"(Bastos et al., 2021; Venterea et al., 2012; Wagner-Riddle et al., 2020)","noteIndex":0},"citationItems":[{"id":3109,"uris":["http://zotero.org/groups/4573874/items/AVE5WH6W"],"itemData":{"id":3109,"type":"article-journal","abstract":"Fertilizer N management can mitigate N2O emissions but complex soil-weather conditions modulate the mitigation potential. Conditional inference tree (CIT) is a machine learning method able to untangle complex interactions while providing an interpretable model. The goals of this study were (a) to assess the effect of N fertilizer on N2O emissions, and to use CIT to identify (b) the main soil-weather drivers of daily N2O hot moments and (c) fertilizer management options to mitigate them. The study was conducted in 2 yr in no-till corn (Zea mays L.) with seven combinations of N source and placement tested. Daily N2O emissions were measured with vented chambers, and soil temperature and water-filled pore space (WFPS) were measured near the chambers on the same days of gas sampling. Overall, 2013 was drier with lower N2O emissions than 2014. Cumulative N2O losses differed across treatments and years, with broadcast emitting more in 2014 than in 2013, and only subsurface-banded fertilizer with a nitrification inhibitor (NI) consistently abated N2O losses. The main hot moment conditions were within </w:instrText>
      </w:r>
      <w:r w:rsidR="00D74AD1">
        <w:rPr>
          <w:rFonts w:ascii="Cambria Math" w:eastAsia="Calibri" w:hAnsi="Cambria Math" w:cs="Cambria Math"/>
          <w:kern w:val="0"/>
          <w:szCs w:val="24"/>
          <w14:ligatures w14:val="none"/>
        </w:rPr>
        <w:instrText>∼</w:instrText>
      </w:r>
      <w:r w:rsidR="00D74AD1">
        <w:rPr>
          <w:rFonts w:eastAsia="Calibri" w:cs="Times New Roman"/>
          <w:kern w:val="0"/>
          <w:szCs w:val="24"/>
          <w14:ligatures w14:val="none"/>
        </w:rPr>
        <w:instrText xml:space="preserve">80 d of fertilizer application when soil temperature &gt;15 °C and WFPS &gt;57%. Under these conditions, NI abated losses by 50% compared with fertilizer alone. The machine learning approach used here could be used in larger datasets to elucidate environment-specific drivers of N2O hot moments and potential fertilizer mitigation practices under different soil, weather, and management conditions.","container-title":"Soil Science Society of America Journal","DOI":"10.1002/saj2.20292","ISSN":"1435-0661","issue":"5","language":"en","license":"© 2021 The Authors. Soil Science Society of America Journal published by Wiley Periodicals LLC on behalf of Soil Science Society of America","note":"_eprint: https://onlinelibrary.wiley.com/doi/pdf/10.1002/saj2.20292","page":"1437-1447","source":"Wiley Online Library","title":"Untangling soil-weather drivers of daily N2O emissions and fertilizer management mitigation strategies in no-till corn","volume":"85","author":[{"family":"Bastos","given":"Leonardo M."},{"family":"Rice","given":"Charles W."},{"family":"Tomlinson","given":"Peter J."},{"family":"Mengel","given":"David"}],"issued":{"date-parts":[["2021"]]}}},{"id":662,"uris":["http://zotero.org/groups/4573874/items/CIL79WH5"],"itemData":{"id":662,"type":"article-journal","abstract":"Nitrous oxide (N2O) is often the largest single component of the greenhouse-gas budget of individual cropping systems, as well as for the US agricultural sector as a whole. Here, we highlight the factors that make mitigating N2O emissions from fertilized agroecosystems such a difficult challenge, and discuss how these factors limit the effectiveness of existing practices and therefore require new technologies and fresh ideas. Modification of the rate, source, placement, and/or timing of nitrogen fertilizer application has in some cases been an effective way to reduce N2O emissions. However, the efficacy of existing approaches to reducing N2O emissions while maintaining crop yields across locations and growing seasons is uncertain because of the interaction of multiple factors that regulate several different N2O-producing processes in soil. Although these processes have been well studied, our understanding of key aspects and our ability to manage them to mitigate N2O emissions remain limited.","container-title":"Frontiers in Ecology and the Environment","DOI":"10.1890/120062","ISSN":"1540-9309","issue":"10","language":"en","note":"_eprint: https://onlinelibrary.wiley.com/doi/pdf/10.1890/120062","page":"562-570","source":"Wiley Online Library","title":"Challenges and opportunities for mitigating nitrous oxide emissions from fertilized cropping systems","volume":"10","author":[{"family":"Venterea","given":"Rodney T"},{"family":"Halvorson","given":"Ardell D"},{"family":"Kitchen","given":"Newell"},{"family":"Liebig","given":"Mark A"},{"family":"Cavigelli","given":"Michel A"},{"family":"Grosso","given":"Stephen J Del"},{"family":"Motavalli","given":"Peter P"},{"family":"Nelson","given":"Kelly A"},{"family":"Spokas","given":"Kurt A"},{"family":"Singh","given":"Bhupinder Pal"},{"family":"Stewart","given":"Catherine E"},{"family":"Ranaivoson","given":"Andry"},{"family":"Strock","given":"Jeffrey"},{"family":"Collins","given":"Hal"}],"issued":{"date-parts":[["2012"]]}}},{"id":738,"uris":["http://zotero.org/groups/4573874/items/ASMIL7DP"],"itemData":{"id":738,"type":"article-journal","abstract":"Across landscape and field scales, nitrogen (N) transformation rates are enhanced in hot spots (HS) and transient hot moments (HM), leading to losses of environmentally reactive N. Nitrous oxide (N2O) emission trends follow these spatial and temporal patterns. Consequently, landscape features can accelerate N2O emissions, and significant fractions of total annual emissions occur in these N2O emissions HS and HM. In agroecosystems, naturally occurring and management-induced HS and HM can be exacerbated or ameliorated through mitigation management practices. Although mitigation practices have been recommended for reduction of N2O emissions, these have not explicitly targeted HS and HM. Here we review, and synthesize, N2O mitigation practices with an emphasis on how they can be aligned to reduce the occurrence of HS and HM of N2O emission.","collection-title":"Climate Change, Reactive Nitrogen, Food Security and Sustainable Agriculture","container-title":"Current Opinion in Environmental Sustainability","DOI":"10.1016/j.cosust.2020.08.002","ISSN":"1877-3435","journalAbbreviation":"Current Opinion in Environmental Sustainability","language":"en","page":"46-53","source":"ScienceDirect","title":"Mitigation of nitrous oxide emissions in the context of nitrogen loss reduction from agroecosystems: managing hot spots and hot moments","title-short":"Mitigation of nitrous oxide emissions in the context of nitrogen loss reduction from agroecosystems","volume":"47","author":[{"family":"Wagner-Riddle","given":"Claudia"},{"family":"Baggs","given":"Elizabeth M"},{"family":"Clough","given":"Tim J"},{"family":"Fuchs","given":"Kathrin"},{"family":"Petersen","given":"Søren O"}],"issued":{"date-parts":[["2020",12,1]]}}}],"schema":"https://github.com/citation-style-language/schema/raw/master/csl-citation.json"} </w:instrText>
      </w:r>
      <w:r w:rsidRPr="0085558C">
        <w:rPr>
          <w:rFonts w:eastAsia="Calibri" w:cs="Times New Roman"/>
          <w:kern w:val="0"/>
          <w:szCs w:val="24"/>
          <w14:ligatures w14:val="none"/>
        </w:rPr>
        <w:fldChar w:fldCharType="separate"/>
      </w:r>
      <w:r w:rsidRPr="0085558C">
        <w:rPr>
          <w:rFonts w:eastAsia="Calibri" w:cs="Times New Roman"/>
          <w:kern w:val="0"/>
          <w:szCs w:val="24"/>
          <w:lang w:val="it-IT"/>
          <w14:ligatures w14:val="none"/>
        </w:rPr>
        <w:t>(Bastos et al., 2021; Venterea et al., 2012; Wagner-Riddle et al., 2020)</w:t>
      </w:r>
      <w:r w:rsidRPr="0085558C">
        <w:rPr>
          <w:rFonts w:eastAsia="Calibri" w:cs="Times New Roman"/>
          <w:kern w:val="0"/>
          <w:szCs w:val="24"/>
          <w14:ligatures w14:val="none"/>
        </w:rPr>
        <w:fldChar w:fldCharType="end"/>
      </w:r>
      <w:r w:rsidRPr="0085558C">
        <w:rPr>
          <w:rFonts w:eastAsia="Calibri" w:cs="Times New Roman"/>
          <w:kern w:val="0"/>
          <w:szCs w:val="24"/>
          <w:lang w:val="it-IT"/>
          <w14:ligatures w14:val="none"/>
        </w:rPr>
        <w:t xml:space="preserve">. </w:t>
      </w:r>
    </w:p>
    <w:p w14:paraId="714FEB02" w14:textId="24A14D34" w:rsidR="001154C0" w:rsidRPr="00994531" w:rsidRDefault="00A32106" w:rsidP="001B567A">
      <w:pPr>
        <w:spacing w:after="0" w:line="480" w:lineRule="auto"/>
        <w:rPr>
          <w:rFonts w:eastAsia="Calibri" w:cs="Times New Roman"/>
          <w:kern w:val="0"/>
          <w:szCs w:val="24"/>
          <w14:ligatures w14:val="none"/>
        </w:rPr>
      </w:pPr>
      <w:r>
        <w:rPr>
          <w:rFonts w:eastAsia="Calibri" w:cs="Times New Roman"/>
          <w:kern w:val="0"/>
          <w:szCs w:val="24"/>
          <w14:ligatures w14:val="none"/>
        </w:rPr>
        <w:t>P</w:t>
      </w:r>
      <w:r w:rsidRPr="0085558C">
        <w:rPr>
          <w:rFonts w:eastAsia="Calibri" w:cs="Times New Roman"/>
          <w:kern w:val="0"/>
          <w:szCs w:val="24"/>
          <w14:ligatures w14:val="none"/>
        </w:rPr>
        <w:t xml:space="preserve">eriods of anomalously high emissions (termed “hot moments”) have been proposed as targets for site-specific mitigation efforts </w:t>
      </w:r>
      <w:r w:rsidRPr="0085558C">
        <w:rPr>
          <w:rFonts w:eastAsia="Calibri" w:cs="Times New Roman"/>
          <w:kern w:val="0"/>
          <w:szCs w:val="24"/>
          <w14:ligatures w14:val="none"/>
        </w:rPr>
        <w:fldChar w:fldCharType="begin"/>
      </w:r>
      <w:r w:rsidR="00D74AD1">
        <w:rPr>
          <w:rFonts w:eastAsia="Calibri" w:cs="Times New Roman"/>
          <w:kern w:val="0"/>
          <w:szCs w:val="24"/>
          <w14:ligatures w14:val="none"/>
        </w:rPr>
        <w:instrText xml:space="preserve"> ADDIN ZOTERO_ITEM CSL_CITATION {"citationID":"dAyhuoS1","properties":{"formattedCitation":"(H\\uc0\\u233{}nault et al., 2012; Wagner-Riddle et al., 2020)","plainCitation":"(Hénault et al., 2012; Wagner-Riddle et al., 2020)","noteIndex":0},"citationItems":[{"id":1471,"uris":["http://zotero.org/groups/4573874/items/5V252IMA"],"itemData":{"id":1471,"type":"article-journal","abstract":"This short review deals with soils as an important source of the greenhouse gas N2O. The production and consumption of N2O in soils mainly involve biotic processes: the anaerobic process of denitrification and the aerobic process of nitrification. The factors that significantly influence agricultural N2O emissions mainly concern the agricultural practices (N application rate, crop type, fertilizer type) and soil conditions (soil moisture, soil organic C content, soil pH and texture). Large variability of N2O fluxes is known to occur both at different spatial and temporal scales. Currently new techniques could help to improve the capture of the spatial variability. Continuous measurement systems with automatic chambers could also help to capture temporal variability and consequently to improve quantification of N2O emissions by soils. Some attempts for mitigating soil N2O emissions, either by modifying agricultural practices or by managing soil microbial functioning taking into account the origin of the soil N2O emission variability, are reviewed.","collection-title":"Special Issue on Bioremediation of Contaminated Soil and Water","container-title":"Pedosphere","DOI":"10.1016/S1002-0160(12)60029-0","ISSN":"1002-0160","issue":"4","journalAbbreviation":"Pedosphere","page":"426-433","source":"ScienceDirect","title":"Nitrous Oxide Emission by Agricultural Soils: A Review of Spatial and Temporal Variability for Mitigation","title-short":"Nitrous Oxide Emission by Agricultural Soils","volume":"22","author":[{"family":"Hénault","given":"C."},{"family":"Grossel","given":"A."},{"family":"Mary","given":"B."},{"family":"Roussel","given":"M."},{"family":"Léonard","given":"J."}],"issued":{"date-parts":[["2012",8,1]]}}},{"id":738,"uris":["http://zotero.org/groups/4573874/items/ASMIL7DP"],"itemData":{"id":738,"type":"article-journal","abstract":"Across landscape and field scales, nitrogen (N) transformation rates are enhanced in hot spots (HS) and transient hot moments (HM), leading to losses of environmentally reactive N. Nitrous oxide (N2O) emission trends follow these spatial and temporal patterns. Consequently, landscape features can accelerate N2O emissions, and significant fractions of total annual emissions occur in these N2O emissions HS and HM. In agroecosystems, naturally occurring and management-induced HS and HM can be exacerbated or ameliorated through mitigation management practices. Although mitigation practices have been recommended for reduction of N2O emissions, these have not explicitly targeted HS and HM. Here we review, and synthesize, N2O mitigation practices with an emphasis on how they can be aligned to reduce the occurrence of HS and HM of N2O emission.","collection-title":"Climate Change, Reactive Nitrogen, Food Security and Sustainable Agriculture","container-title":"Current Opinion in Environmental Sustainability","DOI":"10.1016/j.cosust.2020.08.002","ISSN":"1877-3435","journalAbbreviation":"Current Opinion in Environmental Sustainability","language":"en","page":"46-53","source":"ScienceDirect","title":"Mitigation of nitrous oxide emissions in the context of nitrogen loss reduction from agroecosystems: managing hot spots and hot moments","title-short":"Mitigation of nitrous oxide emissions in the context of nitrogen loss reduction from agroecosystems","volume":"47","author":[{"family":"Wagner-Riddle","given":"Claudia"},{"family":"Baggs","given":"Elizabeth M"},{"family":"Clough","given":"Tim J"},{"family":"Fuchs","given":"Kathrin"},{"family":"Petersen","given":"Søren O"}],"issued":{"date-parts":[["2020",12,1]]}}}],"schema":"https://github.com/citation-style-language/schema/raw/master/csl-citation.json"} </w:instrText>
      </w:r>
      <w:r w:rsidRPr="0085558C">
        <w:rPr>
          <w:rFonts w:eastAsia="Calibri" w:cs="Times New Roman"/>
          <w:kern w:val="0"/>
          <w:szCs w:val="24"/>
          <w14:ligatures w14:val="none"/>
        </w:rPr>
        <w:fldChar w:fldCharType="separate"/>
      </w:r>
      <w:r w:rsidRPr="0085558C">
        <w:rPr>
          <w:rFonts w:eastAsia="Calibri" w:cs="Times New Roman"/>
          <w:kern w:val="0"/>
          <w:szCs w:val="24"/>
          <w14:ligatures w14:val="none"/>
        </w:rPr>
        <w:t>(Hénault et al., 2012; Wagner-Riddle et al., 2020)</w:t>
      </w:r>
      <w:r w:rsidRPr="0085558C">
        <w:rPr>
          <w:rFonts w:eastAsia="Calibri" w:cs="Times New Roman"/>
          <w:kern w:val="0"/>
          <w:szCs w:val="24"/>
          <w14:ligatures w14:val="none"/>
        </w:rPr>
        <w:fldChar w:fldCharType="end"/>
      </w:r>
      <w:r w:rsidRPr="0085558C">
        <w:rPr>
          <w:rFonts w:eastAsia="Calibri" w:cs="Times New Roman"/>
          <w:kern w:val="0"/>
          <w:szCs w:val="24"/>
          <w14:ligatures w14:val="none"/>
        </w:rPr>
        <w:t xml:space="preserve"> given their disproportionate contribution to the total emissions </w:t>
      </w:r>
      <w:r w:rsidRPr="0085558C">
        <w:rPr>
          <w:rFonts w:eastAsia="Calibri" w:cs="Times New Roman"/>
          <w:kern w:val="0"/>
          <w:szCs w:val="24"/>
          <w14:ligatures w14:val="none"/>
        </w:rPr>
        <w:fldChar w:fldCharType="begin"/>
      </w:r>
      <w:r w:rsidR="00D74AD1">
        <w:rPr>
          <w:rFonts w:eastAsia="Calibri" w:cs="Times New Roman"/>
          <w:kern w:val="0"/>
          <w:szCs w:val="24"/>
          <w14:ligatures w14:val="none"/>
        </w:rPr>
        <w:instrText xml:space="preserve"> ADDIN ZOTERO_ITEM CSL_CITATION {"citationID":"PbOivtHh","properties":{"formattedCitation":"(Anthony et al., 2023; Anthony &amp; Silver, 2024; Molodovskaya et al., 2012; Stuchiner et al., 2025)","plainCitation":"(Anthony et al., 2023; Anthony &amp; Silver, 2024; Molodovskaya et al., 2012; Stuchiner et al., 2025)","noteIndex":0},"citationItems":[{"id":795,"uris":["http://zotero.org/groups/4573874/items/75F6U62S"],"itemData":{"id":795,"type":"article-journal","abstract":"Alfalfa is the most widely grown forage crop worldwide and is thought to be a significant carbon sink due to high productivity, extensive root systems, and nitrogen-fixation. However, these conditions may increase nitrous oxide (N2O) emissions thus lowering the climate change mitigation potential. We used a suite of long-term automated instrumentation and satellite imagery to quantify patterns and drivers of greenhouse gas fluxes in a continuous alfalfa agroecosystem in California. We show that this continuous alfalfa system was a large N2O source (624 ± 28 mg N2O m2 y−1), offsetting the ecosystem carbon (carbon dioxide (CO2) and methane (CH4)) sink by up to 14% annually. Short-term N2O emissions events (i.e., hot moments) accounted for ≤1% of measurements but up to 57% of annual emissions. Seasonal and daily trends in rainfall and irrigation were the primary drivers of hot moments of N2O emissions. Significant coherence between satellite-derived photosynthetic activity and N2O fluxes suggested plant activity was an important driver of background emissions. Combined data show annual N2O emissions can significantly lower the carbon-sink potential of continuous alfalfa agriculture.","container-title":"Nature Communications","DOI":"10.1038/s41467-023-37391-2","ISSN":"2041-1723","issue":"1","journalAbbreviation":"Nat Commun","language":"en","license":"2023 The Author(s)","note":"number: 1\npublisher: Nature Publishing Group","page":"1926","source":"www.nature.com","title":"Carbon-sink potential of continuous alfalfa agriculture lowered by short-term nitrous oxide emission events","volume":"14","author":[{"family":"Anthony","given":"Tyler L."},{"family":"Szutu","given":"Daphne J."},{"family":"Verfaillie","given":"Joseph G."},{"family":"Baldocchi","given":"Dennis D."},{"family":"Silver","given":"Whendee L."}],"issued":{"date-parts":[["2023",4,6]]}}},{"id":3061,"uris":["http://zotero.org/groups/4573874/items/PNC6EQAQ"],"itemData":{"id":3061,"type":"article-journal","abstract":"Drained agricultural peatlands occupy only 1% of agricultural land but are estimated to be responsible for approximately one third of global cropland greenhouse gas emissions. However, recent studies show that greenhouse gases fluxes from agricultural peatlands can vary by orders of magnitude over time. The relationship between these hot moments (individual fluxes with disproportionate impact on annual budgets) of greenhouse gas emissions and individual chamber locations (i.e. hot spots with disproportionate observations of hot moments) is poorly understood, but may help elucidate patterns and drivers of high greenhouse gas emissions from agricultural peatland soils. We used continuous chamber-based flux measurements across three land uses (corn, alfalfa, and pasture) to quantify the spatiotemporal patterns of soil greenhouse gas emissions from temperate agricultural peatlands in the Sacramento-San Joaquin Delta of California. We found that the location of hot spots of emissions varied over time and were not consistent across annual timescales. Hot moments of nitrous oxide (N2O) and carbon dioxide (CO2) fluxes were more evenly distributed across space than methane (CH4). In the corn system, hot moments of CH4 flux were often isolated to a single location but locations were not consistent across years. Spatiotemporal variability in soil moisture, soil oxygen, and temperature helped explain patterns in N2O fluxes in the annual corn agroecosystem but were less informative for perennial alfalfa N2O fluxes or CH4 fluxes across ecosystems, potentially due to insufficient spatiotemporal resolution of the associated drivers. Overall, our results do not support the concept of persistent hot spots of soil CO2, CH4, and N2O emissions in these drained agricultural peatlands. Hot moments of high flux events generally varied in space and time and thus required high sample densities. Our results highlight the importance of constraining hot moments and their controls to better quantify ecosystem greenhouse gas budgets.","container-title":"Biogeochemistry","DOI":"10.1007/s10533-023-01095-y","ISSN":"1573-515X","issue":"4","journalAbbreviation":"Biogeochemistry","language":"en","page":"461-477","source":"Springer Link","title":"Hot spots and hot moments of greenhouse gas emissions in agricultural peatlands","volume":"167","author":[{"family":"Anthony","given":"Tyler L."},{"family":"Silver","given":"Whendee L."}],"issued":{"date-parts":[["2024",4,1]]}}},{"id":692,"uris":["http://zotero.org/groups/4573874/items/97DFR7GJ"],"itemData":{"id":692,"type":"article-journal","abstract":"Nitrous oxide (N2O) emissions were monitored using the micrometeorological eddy covariance technique from manure-fertilized cropland on a large dairy farm in New York State in 2006 to 2009. Nitrous oxide emissions demonstrated episodic behavior with intermittent short-duration peak fluxes up to 39.7 mg N2O-N m−2 d−1, whereas most of background fluxes during the annual agricultural cycle were below 6.5 mg N2O-N m−2 d−1. This paper discusses temporal variability of measured N2O emissions using a “hot moment” approach. To identify and quantify peak events as potential hot moments and to determine whether or not they could be treated statistically as outliers, N2O daily fluxes were analyzed by the box plot method using multiple thresholds. Peak events exceeding outlier thresholds contributed up to 51% of cumulative annual N2O emissions, although they represented &lt;7% of the total observation time. Individual N2O peaks were also categorized by their duration, as single day spikes and multiday events. The highest contributing instances were multiday N2O peaks during summer precipitation and early spring thaw, largely enhanced by manure fertilization. These high-intensity emission events demonstrated repetitive seasonal responses to a combination of environmental factors and were therefore identified as hot moments. Abrupt rises in both temperature and soil moisture appeared to trigger major hot moments, whereas the availability of manure N controlled their magnitude. In the absence of strong correlations between time-series of individual environmental factors and N2O emissions, the hot moment approach can be a promising tool for the integrated analysis of most significant N2O events in cultivated fields receiving manure applications.","container-title":"Soil Science Society of America Journal","DOI":"10.2136/sssaj2012.0039","ISSN":"1435-0661","issue":"5","language":"en","note":"_eprint: https://onlinelibrary.wiley.com/doi/pdf/10.2136/sssaj2012.0039","page":"1728-1740","source":"Wiley Online Library","title":"Temporal Variability of Nitrous Oxide from Fertilized Croplands: Hot Moment Analysis","title-short":"Temporal Variability of Nitrous Oxide from Fertilized Croplands","volume":"76","author":[{"family":"Molodovskaya","given":"Marina"},{"family":"Singurindy","given":"Olga"},{"family":"Richards","given":"Brian K."},{"family":"Warland","given":"Jon"},{"family":"Johnson","given":"Mark S."},{"family":"Steenhuis","given":"Tammo S."}],"issued":{"date-parts":[["2012"]]}}},{"id":3046,"uris":["http://zotero.org/groups/4573874/items/GYIWTSML"],"itemData":{"id":3046,"type":"article-journal","abstract":"Effectively quantifying hot moments of nitrous oxide (N2O) emissions from agricultural soils is critical for managing this potent greenhouse gas. However, we are challenged by a lack of standard approaches for identifying hot moments, including (a) determining thresholds above which emissions are considered hot moments, and (b) considering seasonal variation in the magnitude and frequency distribution of net N2O fluxes. We used one year of hourly N2O flux measurements from 16 autochambers that varied in flux magnitude and frequency distribution in a conventionally tilled maize field in central Illinois, USA, to compare three approaches to identify hot moment thresholds: standard deviations (SD) above the mean, 1.5x the interquartile range (IQR), and isolation forest (IF) identification of anomalous values. We also compared these approaches on seasonally subdivided data (early, late, and non-growing seasons) versus the whole year. Our analyses revealed that 1.5x IQR method best identified N2O hot moments. In contrast, using 2 or 4 SD both yielded hot moment threshold values too high, and IF yielded threshold values too low, leading to missed N2O hot moments or low net N2O fluxes mischaracterized as hot moments, respectively. Furthermore, seasonally subdividing the data set not only facilitated identification of smaller hot moments in the late- and non-growing seasons when N2O hot moments were generally smaller but it also increased hot moment threshold values in the early growing season when N2O hot moments were larger. Consequently, of the methods evaluated here, we recommend using the 1.5x IQR method on whole year data sets to identify N2O hot moments.","container-title":"Journal of Geophysical Research: Biogeosciences","DOI":"10.1029/2024JG008138","ISSN":"2169-8961","issue":"1","language":"en","license":"© 2024. The Author(s).","note":"_eprint: https://onlinelibrary.wiley.com/doi/pdf/10.1029/2024JG008138","page":"e2024JG008138","source":"Wiley Online Library","title":"Hot or Not? An Evaluation of Methods for Identifying Hot Moments of Nitrous Oxide Emissions From Soils","title-short":"Hot or Not?","volume":"130","author":[{"family":"Stuchiner","given":"Emily R."},{"family":"Xu","given":"Jiacheng"},{"family":"Eddy","given":"William C."},{"family":"DeLucia","given":"Evan H."},{"family":"Yang","given":"Wendy H."}],"issued":{"date-parts":[["2025"]]}}}],"schema":"https://github.com/citation-style-language/schema/raw/master/csl-citation.json"} </w:instrText>
      </w:r>
      <w:r w:rsidRPr="0085558C">
        <w:rPr>
          <w:rFonts w:eastAsia="Calibri" w:cs="Times New Roman"/>
          <w:kern w:val="0"/>
          <w:szCs w:val="24"/>
          <w14:ligatures w14:val="none"/>
        </w:rPr>
        <w:fldChar w:fldCharType="separate"/>
      </w:r>
      <w:r w:rsidRPr="0085558C">
        <w:rPr>
          <w:rFonts w:eastAsia="Calibri" w:cs="Times New Roman"/>
          <w:kern w:val="0"/>
          <w:szCs w:val="24"/>
          <w14:ligatures w14:val="none"/>
        </w:rPr>
        <w:t>(Anthony et al., 2023; Anthony &amp; Silver, 2024; Molodovskaya et al., 2012; Stuchiner et al., 2025)</w:t>
      </w:r>
      <w:r w:rsidRPr="0085558C">
        <w:rPr>
          <w:rFonts w:eastAsia="Calibri" w:cs="Times New Roman"/>
          <w:kern w:val="0"/>
          <w:szCs w:val="24"/>
          <w14:ligatures w14:val="none"/>
        </w:rPr>
        <w:fldChar w:fldCharType="end"/>
      </w:r>
      <w:r w:rsidRPr="0085558C">
        <w:rPr>
          <w:rFonts w:eastAsia="Calibri" w:cs="Times New Roman"/>
          <w:kern w:val="0"/>
          <w:szCs w:val="24"/>
          <w14:ligatures w14:val="none"/>
        </w:rPr>
        <w:t xml:space="preserve">. </w:t>
      </w:r>
      <w:r>
        <w:rPr>
          <w:rFonts w:eastAsia="Calibri" w:cs="Times New Roman"/>
          <w:kern w:val="0"/>
          <w:szCs w:val="24"/>
          <w14:ligatures w14:val="none"/>
        </w:rPr>
        <w:t>P</w:t>
      </w:r>
      <w:r w:rsidRPr="0085558C">
        <w:rPr>
          <w:rFonts w:eastAsia="Calibri" w:cs="Times New Roman"/>
          <w:kern w:val="0"/>
          <w:szCs w:val="24"/>
          <w14:ligatures w14:val="none"/>
        </w:rPr>
        <w:t xml:space="preserve">rocess-based </w:t>
      </w:r>
      <w:r w:rsidRPr="009D3138">
        <w:rPr>
          <w:rFonts w:eastAsia="Calibri" w:cs="Times New Roman"/>
          <w:kern w:val="0"/>
          <w:szCs w:val="24"/>
          <w14:ligatures w14:val="none"/>
        </w:rPr>
        <w:t>models</w:t>
      </w:r>
      <w:r w:rsidRPr="0085558C">
        <w:rPr>
          <w:rFonts w:eastAsia="Calibri" w:cs="Times New Roman"/>
          <w:kern w:val="0"/>
          <w:szCs w:val="24"/>
          <w14:ligatures w14:val="none"/>
        </w:rPr>
        <w:t xml:space="preserve"> predictions of daily fluxes are</w:t>
      </w:r>
      <w:r>
        <w:rPr>
          <w:rFonts w:eastAsia="Calibri" w:cs="Times New Roman"/>
          <w:kern w:val="0"/>
          <w:szCs w:val="24"/>
          <w14:ligatures w14:val="none"/>
        </w:rPr>
        <w:t xml:space="preserve"> often</w:t>
      </w:r>
      <w:r w:rsidRPr="0085558C">
        <w:rPr>
          <w:rFonts w:eastAsia="Calibri" w:cs="Times New Roman"/>
          <w:kern w:val="0"/>
          <w:szCs w:val="24"/>
          <w14:ligatures w14:val="none"/>
        </w:rPr>
        <w:t xml:space="preserve"> weakly correlated with measure</w:t>
      </w:r>
      <w:r>
        <w:rPr>
          <w:rFonts w:eastAsia="Calibri" w:cs="Times New Roman"/>
          <w:kern w:val="0"/>
          <w:szCs w:val="24"/>
          <w14:ligatures w14:val="none"/>
        </w:rPr>
        <w:t>ments,</w:t>
      </w:r>
      <w:r w:rsidRPr="0085558C">
        <w:rPr>
          <w:rFonts w:eastAsia="Calibri" w:cs="Times New Roman"/>
          <w:kern w:val="0"/>
          <w:szCs w:val="24"/>
          <w14:ligatures w14:val="none"/>
        </w:rPr>
        <w:t xml:space="preserve"> due </w:t>
      </w:r>
      <w:r>
        <w:rPr>
          <w:rFonts w:eastAsia="Calibri" w:cs="Times New Roman"/>
          <w:kern w:val="0"/>
          <w:szCs w:val="24"/>
          <w14:ligatures w14:val="none"/>
        </w:rPr>
        <w:t xml:space="preserve">in part </w:t>
      </w:r>
      <w:r w:rsidRPr="0085558C">
        <w:rPr>
          <w:rFonts w:eastAsia="Calibri" w:cs="Times New Roman"/>
          <w:kern w:val="0"/>
          <w:szCs w:val="24"/>
          <w14:ligatures w14:val="none"/>
        </w:rPr>
        <w:t xml:space="preserve">to systematic underestimation of hot moments </w:t>
      </w:r>
      <w:r w:rsidRPr="0085558C">
        <w:rPr>
          <w:rFonts w:eastAsia="Calibri" w:cs="Times New Roman"/>
          <w:kern w:val="0"/>
          <w:szCs w:val="24"/>
          <w14:ligatures w14:val="none"/>
        </w:rPr>
        <w:fldChar w:fldCharType="begin"/>
      </w:r>
      <w:r w:rsidR="00D74AD1">
        <w:rPr>
          <w:rFonts w:eastAsia="Calibri" w:cs="Times New Roman"/>
          <w:kern w:val="0"/>
          <w:szCs w:val="24"/>
          <w14:ligatures w14:val="none"/>
        </w:rPr>
        <w:instrText xml:space="preserve"> ADDIN ZOTERO_ITEM CSL_CITATION {"citationID":"oXZCQxqH","properties":{"formattedCitation":"(Brilli et al., 2017; Del Grosso et al., 2008; Fuchs et al., 2020; Gaillard et al., 2018; Jarecki et al., 2008; Parton et al., 2001; Zimmermann et al., 2018)","plainCitation":"(Brilli et al., 2017; Del Grosso et al., 2008; Fuchs et al., 2020; Gaillard et al., 2018; Jarecki et al., 2008; Parton et al., 2001; Zimmermann et al., 2018)","noteIndex":0},"citationItems":[{"id":2453,"uris":["http://zotero.org/groups/5631027/items/G7VJITSN"],"itemData":{"id":2453,"type":"article-journal","abstract":"Biogeochemical simulation models are important tools for describing and quantifying the contribution of agricultural systems to C sequestration and GHG source/sink status. The abundance of simulation tools developed over recent decades, however, creates a difficulty because predictions from different models show large variability. Discrepancies between the conclusions of different modelling studies are often ascribed to differences in the physical and biogeochemical processes incorporated in equations of C and N cycles and their interactions. Here we review the literature to determine the state-of-the-art in modelling agricultural (crop and grassland) systems. In order to carry out this study, we selected the range of biogeochemical models used by the CN-MIP consortium of FACCE-JPI (http://www.faccejpi.com): APSIM, CERES-EGC, DayCent, DNDC, DSSAT, EPIC, PaSim, RothC and STICS. In our analysis, these models were assessed for the quality and comprehensiveness of underlying processes related to pedo-climatic conditions and management practices, but also with respect to time and space of application, and for their accuracy in multiple contexts. Overall, it emerged that there is a possible impact of ill-defined pedo-climatic conditions in the unsatisfactory performance of the models (46.2%), followed by limitations in the algorithms simulating the effects of management practices (33.1%). The multiplicity of scales in both time and space is a fundamental feature, which explains the remaining weaknesses (i.e. 20.7%). Innovative aspects have been identified for future development of C and N models. They include the explicit representation of soil microbial biomass to drive soil organic matter turnover, the effect of N shortage on SOM decomposition, the improvements related to the production and consumption of gases and an adequate simulations of gas transport in soil. On these bases, the assessment of trends and gaps in the modelling approaches currently employed to represent biogeochemical cycles in crop and grassland systems appears an essential step for future research.","container-title":"Science of The Total Environment","DOI":"10.1016/j.scitotenv.2017.03.208","ISSN":"0048-9697","journalAbbreviation":"Science of The Total Environment","page":"445-470","source":"ScienceDirect","title":"Review and analysis of strengths and weaknesses of agro-ecosystem models for simulating C and N fluxes","volume":"598","author":[{"family":"Brilli","given":"Lorenzo"},{"family":"Bechini","given":"Luca"},{"family":"Bindi","given":"Marco"},{"family":"Carozzi","given":"Marco"},{"family":"Cavalli","given":"Daniele"},{"family":"Conant","given":"Richard"},{"family":"Dorich","given":"Cristopher D."},{"family":"Doro","given":"Luca"},{"family":"Ehrhardt","given":"Fiona"},{"family":"Farina","given":"Roberta"},{"family":"Ferrise","given":"Roberto"},{"family":"Fitton","given":"Nuala"},{"family":"Francaviglia","given":"Rosa"},{"family":"Grace","given":"Peter"},{"family":"Iocola","given":"Ileana"},{"family":"Klumpp","given":"Katja"},{"family":"Léonard","given":"Joël"},{"family":"Martin","given":"Raphaël"},{"family":"Massad","given":"Raia Silvia"},{"family":"Recous","given":"Sylvie"},{"family":"Seddaiu","given":"Giovanna"},{"family":"Sharp","given":"Joanna"},{"family":"Smith","given":"Pete"},{"family":"Smith","given":"Ward N."},{"family":"Soussana","given":"Jean-Francois"},{"family":"Bellocchi","given":"Gianni"}],"issued":{"date-parts":[["2017",11,15]]}}},{"id":788,"uris":["http://zotero.org/groups/4573874/items/RERQL4J7"],"itemData":{"id":788,"type":"article-journal","abstract":"Emissions of nitrous oxide (N2O), a potent greenhouse gas, tend to be underestimated by standard methods of quantifi cation provided by the Intergovernmental Panel on Climate Change (IPCC) [IPCC, 2006], recent research suggests. Better quantification of agricultural N2O emissions improves greenhouse gas inventories, allows for better evaluation of the environmental impacts of different cropping systems, and increases the understanding of the nitrogen (N) cycle in general. Proper quantifi cation of N2O emissions is particularly important in the context of calculating net greenhouse gas emissions from biofuel cropping systems because these emissions offset the greenhouse gas benefits of displacing fossil fuel and can even lead to biofuel systems being a net greenhouse gas source [Crutzen et al., 2008]. The global warming potential of N2O is approximately 300 times that of carbon dioxide, and N2O emissions represent approximately 6% of the global anthropogenic greenhouse gas source [IPCC, 2007]. N2O also contributes to stratospheric ozone destruction. N2O is produced in soils through the microbial processes of nitrifi cation and denitrification. Soil water content, temperature, texture, and carbon availability infl uence N2O emissions, but the strongest correlate is usually N inputs to the system, especially at large scales [Stehfest and Bouwman, 2006]. In addition to direct emissions, N inputs to agricultural soils also contribute to N2O emissions indirectly [IPCC, 2006] when nitrate that has leached or run off from soil is converted to N2O via aquatic denitrifi cation and when volatilized non-N2O N-oxides and ammonia are redeposited on soils and converted to N2O.","container-title":"Eos, Transactions American Geophysical Union","DOI":"10.1029/2008EO510001","ISSN":"2324-9250","issue":"51","language":"en","note":"_eprint: https://onlinelibrary.wiley.com/doi/pdf/10.1029/2008EO510001","page":"529-529","source":"Wiley Online Library","title":"Estimating Agricultural Nitrous Oxide Emissions","volume":"89","author":[{"family":"Del Grosso","given":"Stephen J."},{"family":"Wirth","given":"Tom"},{"family":"Ogle","given":"Stephen M."},{"family":"Parton","given":"William J."}],"issued":{"date-parts":[["2008"]]}}},{"id":1927,"uris":["http://zotero.org/groups/5631027/items/QL5HCKR9"],"itemData":{"id":1927,"type":"article-journal","abstract":"Process-based models are useful for assessing the impact of changing management practices and climate on yields and greenhouse gas (GHG) emissions from agricultural systems such as grasslands. They can be used to construct national GHG inventories using a Tier 3 approach. However, accurate simulations of nitrous oxide (N2O) fluxes remain challenging. Models are limited by our understanding of soil-plant-microbe interactions and the impact of uncertainty in measured input parameters on simulated outputs. To improve model performance, thorough evaluations against in situ measurements are needed. Experimental data of N2O emissions under two management practices (control with typical fertilization versus increased clover and no fertilization) were acquired in a Swiss field experiment. We conducted a multimodel evaluation with three commonly used biogeochemical models (DayCent in two variants, PaSim, APSIM in two variants) comparing four years of data. DayCent was the most accurate model for simulating N2O fluxes on annual timescales, while APSIM was most accurate for daily N2O fluxes. The multimodel ensemble average reduced the error in estimated annual fluxes by 41% compared to an estimate using the Intergovernmental Panel on Climate Change (IPCC)-derived method for the Swiss agricultural GHG inventory (IPCC-Swiss), but individual models were not systematically more accurate than IPCC-Swiss. The model ensemble overestimated the N2O mitigation effect of the clover-based treatment (measured: 39–45%; ensemble: 52–57%) but was more accurate than IPCC-Swiss (IPCC-Swiss: 72–81%). These results suggest that multimodel ensembles are valuable for estimating the impact of climate and management on N2O emissions.","container-title":"Journal of Geophysical Research: Biogeosciences","DOI":"10.1029/2019JG005261","ISSN":"2169-8961","issue":"1","language":"en","license":"©2019. The Authors.","note":"_eprint: https://onlinelibrary.wiley.com/doi/pdf/10.1029/2019JG005261","page":"e2019JG005261","source":"Wiley Online Library","title":"Multimodel Evaluation of Nitrous Oxide Emissions From an Intensively Managed Grassland","volume":"125","author":[{"family":"Fuchs","given":"Kathrin"},{"family":"Merbold","given":"Lutz"},{"family":"Buchmann","given":"Nina"},{"family":"Bretscher","given":"Daniel"},{"family":"Brilli","given":"Lorenzo"},{"family":"Fitton","given":"Nuala"},{"family":"Topp","given":"Cairistiona F. E."},{"family":"Klumpp","given":"Katja"},{"family":"Lieffering","given":"Mark"},{"family":"Martin","given":"Raphaël"},{"family":"Newton","given":"Paul C. D."},{"family":"Rees","given":"Robert M."},{"family":"Rolinski","given":"Susanne"},{"family":"Smith","given":"Pete"},{"family":"Snow","given":"Val"}],"issued":{"date-parts":[["2020"]]}}},{"id":2040,"uris":["http://zotero.org/groups/5631027/items/RQQ8EYSA"],"itemData":{"id":2040,"type":"article-journal","abstract":"Process-based models are increasingly used to study agroecosystem interactions and N2O emissions from agricultural fields. The widespread use of these models to conduct research and inform policy benefits from periodic model comparisons that assess the state of agroecosystem modeling and indicate areas for model improvement. This work provides an evaluation of simulated N2O flux from three process-based models: DayCent, DNDC, and EPIC. The models were calibrated and validated using data collected from two research sites over five years that represent cropping systems and nitrogen fertilizer management strategies common to dairy cropping systems. We also evaluated the use of a multi-model ensemble strategy, which inconsistently outperformed individual model estimations. Regression analysis indicated a cross-model bias to underestimate high magnitude daily and cumulative N2O flux. Model estimations of observed soil temperature and water content did not sufficiently explain model underestimations, and we found significant variation in model estimates of heterotrophic respiration, denitrification, soil NH4+, and soil NO3−, which may indicate that additional types of observed data are required to evaluate model performance and possible biases. Our results suggest a bias in the model estimation of N2O flux from agroecosystems that limits the extension of models beyond calibration and as instruments of policy development. This highlights a growing need for the modeling and measurement communities to collaborate in the collection and analysis of the data necessary to improve models and coordinate future development.","container-title":"Ecological Applications","DOI":"10.1002/eap.1674","ISSN":"1939-5582","issue":"3","language":"en","license":"© 2017 by the Ecological Society of America","note":"_eprint: https://onlinelibrary.wiley.com/doi/pdf/10.1002/eap.1674","page":"694-708","source":"Wiley Online Library","title":"Underestimation of N2O emissions in a comparison of the DayCent, DNDC, and EPIC models","volume":"28","author":[{"family":"Gaillard","given":"Richard K."},{"family":"Jones","given":"Curtis D."},{"family":"Ingraham","given":"Pete"},{"family":"Collier","given":"Sarah"},{"family":"Izaurralde","given":"Roberto Cesar"},{"family":"Jokela","given":"William"},{"family":"Osterholz","given":"William"},{"family":"Salas","given":"William"},{"family":"Vadas","given":"Peter"},{"family":"Ruark","given":"Matthew D."}],"issued":{"date-parts":[["2018"]]}}},{"id":1524,"uris":["http://zotero.org/groups/4573874/items/GRB4BFIE"],"itemData":{"id":1524,"type":"article-journal","abstract":"Accurate assessment of N2O emission from soil requires continuous year-round and spatially extensive monitoring or the use of simulation that accurately and precisely predict N2O fluxes based on climatic, soil, and agricultural system input data. DAYCENT is an ecosystem model that simulates, among other processes, N2O emissions from soils. The purpose of the study was to compare N2O fluxes predicted by the DAYCENT model to measured N2O fluxes from an experimental corn field in central Iowa. Soil water content temperature and inorganic N, simulated by DAYCENT were compared to measured values of these variables. Field N2O emissions were measured using four replicated automated chambers at 6-h intervals, from day of year (DOY) 42 through DOY 254 of 2006. We observed that DAYCENT generally accurately predicted soil temperature, with the exception of winter when predicted temperatures tended to be lower than measured values. Volumetric water contents predicted by DAYCENT were generally lower than measured values during most of the experimental period. Daily N2O emissions simulated by DAYCENT were significantly correlated to field measured fluxes; however, time series analyses indicate that the simulated fluxes were out of phase with the measured fluxes. Cumulative N2O emission calculated from the simulations (3.29 kg N2O-N ha−1) was in range of the measured cumulative N2O emission (4.26 ± 1.09 kg N2O-N ha−1).","container-title":"Journal of Environmental Quality","DOI":"10.2134/jeq2007.0614","ISSN":"1537-2537","issue":"5","language":"en","license":"© American Society of Agronomy, Crop Science Society of America, and Soil Science Society of America","note":"_eprint: https://onlinelibrary.wiley.com/doi/pdf/10.2134/jeq2007.0614","page":"1685-1690","source":"Wiley Online Library","title":"Comparison of DAYCENT-Simulated and Measured Nitrous Oxide Emissions from a Corn Field","volume":"37","author":[{"family":"Jarecki","given":"Marek K."},{"family":"Parkin","given":"Timothy B."},{"family":"Chan","given":"Alvarus S. K."},{"family":"Hatfield","given":"Jerry L."},{"family":"Jones","given":"Raymond"}],"issued":{"date-parts":[["2008"]]}}},{"id":1518,"uris":["http://zotero.org/groups/4573874/items/H24KLPW5"],"itemData":{"id":1518,"type":"article-journal","abstract":"We describe a submodel to simulate NOx and N2O emissions from soils and present comparisons of simulated NOx and N2O fluxes from the DAYCENT ecosystem model with observations from different soils. The N gas flux submodel assumes that nitrification and denitrification both contribute to N2O and NOx emissions but that NOx emissions are due mainly to nitrification. N2O emissions from nitrification are calculated as a function of modeled soil NH4+ concentration, water-filled pore space (WFPS), temperature, pH, and texture. N2O emissions from denitrification are a function of soil NO3− concentration, WFPS, heterotrophic respiration, and texture. NOx emissions are calculated by multiplying total N2O emissions by a NOx:N2O equation which is calculated as a function of soil parameters (bulk density, field capacity, and WFPS) that influence gas diffusivity. The NOx submodel also simulates NOx emission pulses initiated by rain events onto dry soils. The DAYCENT model was tested by comparing observed and simulated parameters in grassland soils across a range of soil textures and fertility levels. Simulated values of soil temperature, WFPS (during the non-winter months), and NOx gas flux agreed reasonably well with measured values (r2 = 0.79, 0.64, and 0.43, respectively). Winter season WFPS was poorly simulated (r2 = 0.27). Although the correlation between simulated and observed N2O flux was poor on a daily basis (r2 = 0.02), DAYCENT was able to reproduce soil textural and treatment differences and the observed seasonal patterns of gas flux emissions with r2 values of 0.26 and 0.27, for monthly and NOr flux rates, respectively.","container-title":"Journal of Geophysical Research: Atmospheres","DOI":"10.1029/2001JD900101","ISSN":"2156-2202","issue":"D15","language":"en","license":"Copyright 2001 by the American Geophysical Union.","note":"_eprint: https://onlinelibrary.wiley.com/doi/pdf/10.1029/2001JD900101","page":"17403-17419","source":"Wiley Online Library","title":"Generalized model for NO x and N2O emissions from soils","volume":"106","author":[{"family":"Parton","given":"W. J."},{"family":"Holland","given":"E. A."},{"family":"Del Grosso","given":"S. J."},{"family":"Hartman","given":"M. D."},{"family":"Martin","given":"R. E."},{"family":"Mosier","given":"A. R."},{"family":"Ojima","given":"D. S."},{"family":"Schimel","given":"D. S."}],"issued":{"date-parts":[["2001"]]}}},{"id":2172,"uris":["http://zotero.org/groups/5631027/items/L6M5AXBP"],"itemData":{"id":2172,"type":"article-journal","abstract":"Biogeochemical models have the potential to provide insights into the key drivers of greenhouse gas (GHG) dynamics, and may be used in Tier 2 and 3 GHG emission reporting. Modelling nitrous oxide (N2O) emissions from agriculture, however, is still subject to large uncertainties. In the present study we analysed the performance of the three semi-mechanistic models, DailyDayCent (DayCent), DeNitrification-DeComposition (DNDC 9.4 and 9.5), and ECOSSE when simulating N2O fluxes from two different land uses (simulated grazing and spring barley) under a range of fertiliser types and application rates. Model performance was assessed using linear regression analysis, root mean square error (RMSE), and relative error. Monte Carlo analysis was carried out to assess the sensitivity of DayCent and ECOSSE to changes in the timing of management events. The results show high variability in model performance. The performance of each model was dependent on both site and treatment, with no model showing consistently good performance. When averaged across all sites and treatments DayCent simulations produced the lowest number of significant total and relative errors. When looking at the relationship between modelled and measured N2O fluxes, ECOSSE performed best with a significant relationship in 61.8% of all simulations and an average r2 of 0.2. However, outputs from this model displayed the largest total and relative errors. Performance when simulating cumulative fluxes was generally poor. The Monte Carlo analysis showed that shifts in timing of management events by ±7 days lead to annual N2O fluxes varying by 5.6 ± 7.6% and 2.8 ± 4.2% for grassland and cropland, respectively. However the impact of the timing of single events can lead to much larger responses in N2O emissions. The large variation in model performance suggests that further development and calibration is required before using models in GHG reporting.","container-title":"Geoderma","DOI":"10.1016/j.geoderma.2018.06.004","ISSN":"0016-7061","journalAbbreviation":"Geoderma","page":"53-69","source":"ScienceDirect","title":"Assessing the performance of three frequently used biogeochemical models when simulating N2O emissions from a range of soil types and fertiliser treatments","volume":"331","author":[{"family":"Zimmermann","given":"J."},{"family":"Carolan","given":"R."},{"family":"Forrestal","given":"P."},{"family":"Harty","given":"M."},{"family":"Lanigan","given":"G."},{"family":"Richards","given":"K. G."},{"family":"Roche","given":"L."},{"family":"Whitfield","given":"M. G."},{"family":"Jones","given":"M. B."}],"issued":{"date-parts":[["2018",12,1]]}}}],"schema":"https://github.com/citation-style-language/schema/raw/master/csl-citation.json"} </w:instrText>
      </w:r>
      <w:r w:rsidRPr="0085558C">
        <w:rPr>
          <w:rFonts w:eastAsia="Calibri" w:cs="Times New Roman"/>
          <w:kern w:val="0"/>
          <w:szCs w:val="24"/>
          <w14:ligatures w14:val="none"/>
        </w:rPr>
        <w:fldChar w:fldCharType="separate"/>
      </w:r>
      <w:r w:rsidRPr="009D3138">
        <w:rPr>
          <w:rFonts w:cs="Times New Roman"/>
          <w:lang w:val="it-IT"/>
        </w:rPr>
        <w:t>(Brilli et al., 2017; Del Grosso et al., 2008; Fuchs et al., 2020; Gaillard et al., 2018; Jarecki et al., 2008; Parton et al., 2001; Zimmermann et al., 2018)</w:t>
      </w:r>
      <w:r w:rsidRPr="0085558C">
        <w:rPr>
          <w:rFonts w:eastAsia="Calibri" w:cs="Times New Roman"/>
          <w:kern w:val="0"/>
          <w:szCs w:val="24"/>
          <w14:ligatures w14:val="none"/>
        </w:rPr>
        <w:fldChar w:fldCharType="end"/>
      </w:r>
      <w:r w:rsidRPr="0085558C">
        <w:rPr>
          <w:rFonts w:eastAsia="Calibri" w:cs="Times New Roman"/>
          <w:kern w:val="0"/>
          <w:szCs w:val="24"/>
          <w:lang w:val="it-IT"/>
          <w14:ligatures w14:val="none"/>
        </w:rPr>
        <w:t xml:space="preserve">. </w:t>
      </w:r>
      <w:r>
        <w:rPr>
          <w:rFonts w:eastAsia="Calibri" w:cs="Times New Roman"/>
          <w:kern w:val="0"/>
          <w:szCs w:val="24"/>
          <w:lang w:val="it-IT"/>
          <w14:ligatures w14:val="none"/>
        </w:rPr>
        <w:t>Poor</w:t>
      </w:r>
      <w:r w:rsidRPr="0085558C">
        <w:rPr>
          <w:rFonts w:eastAsia="Calibri" w:cs="Times New Roman"/>
          <w:kern w:val="0"/>
          <w:szCs w:val="24"/>
          <w14:ligatures w14:val="none"/>
        </w:rPr>
        <w:t xml:space="preserve"> representation of the temporal dynamics of emissions </w:t>
      </w:r>
      <w:r>
        <w:rPr>
          <w:rFonts w:eastAsia="Calibri" w:cs="Times New Roman"/>
          <w:kern w:val="0"/>
          <w:szCs w:val="24"/>
          <w14:ligatures w14:val="none"/>
        </w:rPr>
        <w:t>and underestimation of peak events undercut the potential of process-based models to guide effective mitigation strategies</w:t>
      </w:r>
      <w:r w:rsidRPr="0085558C">
        <w:rPr>
          <w:rFonts w:eastAsia="Calibri" w:cs="Times New Roman"/>
          <w:kern w:val="0"/>
          <w:szCs w:val="24"/>
          <w14:ligatures w14:val="none"/>
        </w:rPr>
        <w:t xml:space="preserve"> </w:t>
      </w:r>
      <w:r w:rsidRPr="0085558C">
        <w:rPr>
          <w:rFonts w:eastAsia="Calibri" w:cs="Times New Roman"/>
          <w:kern w:val="0"/>
          <w:szCs w:val="24"/>
          <w14:ligatures w14:val="none"/>
        </w:rPr>
        <w:fldChar w:fldCharType="begin"/>
      </w:r>
      <w:r w:rsidR="00D74AD1">
        <w:rPr>
          <w:rFonts w:eastAsia="Calibri" w:cs="Times New Roman"/>
          <w:kern w:val="0"/>
          <w:szCs w:val="24"/>
          <w14:ligatures w14:val="none"/>
        </w:rPr>
        <w:instrText xml:space="preserve"> ADDIN ZOTERO_ITEM CSL_CITATION {"citationID":"5wDyCBQW","properties":{"formattedCitation":"(Vemuri, 2024)","plainCitation":"(Vemuri, 2024)","noteIndex":0},"citationItems":[{"id":2276,"uris":["http://zotero.org/groups/4573874/items/H9B2KYP3"],"itemData":{"id":2276,"type":"article-journal","abstract":"&lt;p&gt;Nitrous oxide (N2O) is one of the most significant contributors to greenhouse forcing and is the biggest contributor to ozone depletion in the 21st century, and roughly 70% of anthropogenic nitrous oxide emissions are from agriculture and soil management. Agricultural nitrous oxide emissions are shown to spike during hotspot events, and according to the data used in this study, over 78% of nitrous oxide flux occurred during just 15% of the recorded data points. Due to the complex biogeochemical processes governing nitrous oxide formation, machine learning and process-based models often fail to predict agricultural nitrous oxide flux. A novel informed neural network was developed that combined the trainability of neural networks with the rigorous differential equation-based framework of process-based models. Differential equations that explained the variability of various nitrogen-containing compounds in soil were derived, and integrated into the network loss. The informed model explained </w:instrText>
      </w:r>
      <w:r w:rsidR="00D74AD1">
        <w:rPr>
          <w:rFonts w:ascii="Cambria Math" w:eastAsia="Calibri" w:hAnsi="Cambria Math" w:cs="Cambria Math"/>
          <w:kern w:val="0"/>
          <w:szCs w:val="24"/>
          <w14:ligatures w14:val="none"/>
        </w:rPr>
        <w:instrText>∼</w:instrText>
      </w:r>
      <w:r w:rsidR="00D74AD1">
        <w:rPr>
          <w:rFonts w:eastAsia="Calibri" w:cs="Times New Roman"/>
          <w:kern w:val="0"/>
          <w:szCs w:val="24"/>
          <w14:ligatures w14:val="none"/>
        </w:rPr>
        <w:instrText xml:space="preserve">85% of variation in the data and had an F1 score of 0.75, a marked improvement over the classical model explaining </w:instrText>
      </w:r>
      <w:r w:rsidR="00D74AD1">
        <w:rPr>
          <w:rFonts w:ascii="Cambria Math" w:eastAsia="Calibri" w:hAnsi="Cambria Math" w:cs="Cambria Math"/>
          <w:kern w:val="0"/>
          <w:szCs w:val="24"/>
          <w14:ligatures w14:val="none"/>
        </w:rPr>
        <w:instrText>∼</w:instrText>
      </w:r>
      <w:r w:rsidR="00D74AD1">
        <w:rPr>
          <w:rFonts w:eastAsia="Calibri" w:cs="Times New Roman"/>
          <w:kern w:val="0"/>
          <w:szCs w:val="24"/>
          <w14:ligatures w14:val="none"/>
        </w:rPr>
        <w:instrText xml:space="preserve">30% of variation and having a score of 0.53. The informed network was also able to perform exceptionally well with only small subsets of the training data, having an F1 score of 0.41 with only 25% of training data. The model not only shows great promise in the remarkably accurate prediction of these hotspots but also serves as a potential new paradigm for physics-informed machine learning techniques in environmental and agricultural sciences.&lt;/p&gt;","container-title":"Frontiers in Environmental Science","DOI":"10.3389/fenvs.2024.1353049","ISSN":"2296-665X","journalAbbreviation":"Front. Environ. Sci.","language":"English","note":"publisher: Frontiers","source":"Frontiers","title":"Developing a hybrid data-driven and informed model for prediction and mitigation of agricultural nitrous oxide flux hotspots","URL":"https://www.frontiersin.org/journals/environmental-science/articles/10.3389/fenvs.2024.1353049/full","volume":"12","author":[{"family":"Vemuri","given":"Nikhil"}],"accessed":{"date-parts":[["2024",10,11]]},"issued":{"date-parts":[["2024",3,22]]}}}],"schema":"https://github.com/citation-style-language/schema/raw/master/csl-citation.json"} </w:instrText>
      </w:r>
      <w:r w:rsidRPr="0085558C">
        <w:rPr>
          <w:rFonts w:eastAsia="Calibri" w:cs="Times New Roman"/>
          <w:kern w:val="0"/>
          <w:szCs w:val="24"/>
          <w14:ligatures w14:val="none"/>
        </w:rPr>
        <w:fldChar w:fldCharType="separate"/>
      </w:r>
      <w:r w:rsidRPr="0085558C">
        <w:rPr>
          <w:rFonts w:eastAsia="Calibri" w:cs="Times New Roman"/>
          <w:kern w:val="0"/>
          <w:szCs w:val="24"/>
          <w14:ligatures w14:val="none"/>
        </w:rPr>
        <w:t>(Vemuri, 2024)</w:t>
      </w:r>
      <w:r w:rsidRPr="0085558C">
        <w:rPr>
          <w:rFonts w:eastAsia="Calibri" w:cs="Times New Roman"/>
          <w:kern w:val="0"/>
          <w:szCs w:val="24"/>
          <w14:ligatures w14:val="none"/>
        </w:rPr>
        <w:fldChar w:fldCharType="end"/>
      </w:r>
      <w:r w:rsidRPr="0085558C">
        <w:rPr>
          <w:rFonts w:eastAsia="Calibri" w:cs="Times New Roman"/>
          <w:kern w:val="0"/>
          <w:szCs w:val="24"/>
          <w14:ligatures w14:val="none"/>
        </w:rPr>
        <w:t>.</w:t>
      </w:r>
      <w:r>
        <w:rPr>
          <w:rFonts w:eastAsia="Calibri" w:cs="Times New Roman"/>
          <w:kern w:val="0"/>
          <w:szCs w:val="24"/>
          <w14:ligatures w14:val="none"/>
        </w:rPr>
        <w:t xml:space="preserve"> </w:t>
      </w:r>
    </w:p>
    <w:p w14:paraId="6D16B5DC" w14:textId="7DC6F654" w:rsidR="001154C0" w:rsidRPr="00994531" w:rsidRDefault="001154C0" w:rsidP="001B567A">
      <w:pPr>
        <w:spacing w:after="0" w:line="480" w:lineRule="auto"/>
        <w:rPr>
          <w:rFonts w:eastAsia="Calibri" w:cs="Times New Roman"/>
          <w:kern w:val="0"/>
          <w:szCs w:val="24"/>
          <w:lang w:val="it-IT"/>
          <w14:ligatures w14:val="none"/>
        </w:rPr>
      </w:pPr>
      <w:r w:rsidRPr="00994531">
        <w:rPr>
          <w:rFonts w:eastAsia="Calibri" w:cs="Times New Roman"/>
          <w:kern w:val="0"/>
          <w:szCs w:val="24"/>
          <w14:ligatures w14:val="none"/>
        </w:rPr>
        <w:t xml:space="preserve">Machine learning (ML) offers an alternative modeling approach with key advantages over process-based modeling. First, ML offers the potential to learn hidden relationships between variables without guidance by empirical knowledge- advantageous given the complexity of relevant biogeochemical processes- and can thus contribute to conceptual knowledge </w:t>
      </w:r>
      <w:r w:rsidR="00A32106" w:rsidRPr="0085558C">
        <w:rPr>
          <w:rFonts w:eastAsia="Calibri" w:cs="Times New Roman"/>
          <w:kern w:val="0"/>
          <w:szCs w:val="24"/>
          <w14:ligatures w14:val="none"/>
        </w:rPr>
        <w:fldChar w:fldCharType="begin"/>
      </w:r>
      <w:r w:rsidR="00D74AD1">
        <w:rPr>
          <w:rFonts w:eastAsia="Calibri" w:cs="Times New Roman"/>
          <w:kern w:val="0"/>
          <w:szCs w:val="24"/>
          <w14:ligatures w14:val="none"/>
        </w:rPr>
        <w:instrText xml:space="preserve"> ADDIN ZOTERO_ITEM CSL_CITATION {"citationID":"BXBSoF1M","properties":{"formattedCitation":"(Anthony &amp; Silver, 2024; Dhaliwal et al., 2025; Saha, Basso, et al., 2021)","plainCitation":"(Anthony &amp; Silver, 2024; Dhaliwal et al., 2025; Saha, Basso, et al., 2021)","dontUpdate":true,"noteIndex":0},"citationItems":[{"id":3061,"uris":["http://zotero.org/groups/4573874/items/PNC6EQAQ"],"itemData":{"id":3061,"type":"article-journal","abstract":"Drained agricultural peatlands occupy only 1% of agricultural land but are estimated to be responsible for approximately one third of global cropland greenhouse gas emissions. However, recent studies show that greenhouse gases fluxes from agricultural peatlands can vary by orders of magnitude over time. The relationship between these hot moments (individual fluxes with disproportionate impact on annual budgets) of greenhouse gas emissions and individual chamber locations (i.e. hot spots with disproportionate observations of hot moments) is poorly understood, but may help elucidate patterns and drivers of high greenhouse gas emissions from agricultural peatland soils. We used continuous chamber-based flux measurements across three land uses (corn, alfalfa, and pasture) to quantify the spatiotemporal patterns of soil greenhouse gas emissions from temperate agricultural peatlands in the Sacramento-San Joaquin Delta of California. We found that the location of hot spots of emissions varied over time and were not consistent across annual timescales. Hot moments of nitrous oxide (N2O) and carbon dioxide (CO2) fluxes were more evenly distributed across space than methane (CH4). In the corn system, hot moments of CH4 flux were often isolated to a single location but locations were not consistent across years. Spatiotemporal variability in soil moisture, soil oxygen, and temperature helped explain patterns in N2O fluxes in the annual corn agroecosystem but were less informative for perennial alfalfa N2O fluxes or CH4 fluxes across ecosystems, potentially due to insufficient spatiotemporal resolution of the associated drivers. Overall, our results do not support the concept of persistent hot spots of soil CO2, CH4, and N2O emissions in these drained agricultural peatlands. Hot moments of high flux events generally varied in space and time and thus required high sample densities. Our results highlight the importance of constraining hot moments and their controls to better quantify ecosystem greenhouse gas budgets.","container-title":"Biogeochemistry","DOI":"10.1007/s10533-023-01095-y","ISSN":"1573-515X","issue":"4","journalAbbreviation":"Biogeochemistry","language":"en","page":"461-477","source":"Springer Link","title":"Hot spots and hot moments of greenhouse gas emissions in agricultural peatlands","volume":"167","author":[{"family":"Anthony","given":"Tyler L."},{"family":"Silver","given":"Whendee L."}],"issued":{"date-parts":[["2024",4,1]]}}},{"id":3126,"uris":["http://zotero.org/groups/4573874/items/KXHMG4CM"],"itemData":{"id":3126,"type":"article-journal","abstract":"Soil nitrous oxide (N2O) emissions exhibit high variability in intensively managed cropping systems, which challenges our ability to understand their complex interactions with controlling factors. We leveraged 17 years (2003–2019) of measurements at the Kellogg Biological Station Long-Term Ecological Research (LTER)/Long-Term Agroecosystem Research (LTAR) site to better understand the controls of N2O emissions in four corn–soybean–winter wheat rotations employing conventional, no-till, reduced input, and biologically based/organic inputs. We used a random forest machine learning model to predict daily N2O fluxes, trained separately for each system with 70% of observations, using variables such as crop species, daily air temperature, cumulative 2-day precipitation, water-filled pore space, and soil nitrate and ammonium concentrations. The model explained 29%–42% of daily N2O flux variability in the test data, with greater predictability for the corn phase in each system. The long-term rotations showed different controlling factors and threshold conditions influencing N2O emissions. In the conventional system, the model identified ammonium (&gt;15 kg N ha−1) and daily air temperature (&gt;23°C) as the most influential variables; in the no-till system, climate variables such as precipitation and air temperature were important variables. In low-input and organic systems, where red clover (Trifolium repens L.; before corn) and cereal rye (Secale cereale L.; before soybean) cover crops were integrated, nitrate was the predominant predictor of N2O emissions, followed by precipitation and air temperature. In low-input and biologically based systems, red clover residues increased soil nitrogen availability to influence N2O emissions. Long-term data facilitated machine learning for predicting N2O emissions in response to differential controls and threshold responses to management, environmental, and biogeochemical drivers.","container-title":"Journal of Environmental Quality","DOI":"10.1002/jeq2.20637","ISSN":"1537-2537","issue":"1","language":"en","license":"© 2024 The Author(s). Journal of Environmental Quality published by Wiley Periodicals LLC on behalf of American Society of Agronomy, Crop Science Society of America, and Soil Science Society of America.","note":"_eprint: https://onlinelibrary.wiley.com/doi/pdf/10.1002/jeq2.20637","page":"132-146","source":"Wiley Online Library","title":"Machine learning reveals dynamic controls of soil nitrous oxide emissions from diverse long-term cropping systems","volume":"54","author":[{"family":"Dhaliwal","given":"Jashanjeet Kaur"},{"family":"Panday","given":"Dinesh"},{"family":"Robertson","given":"G. Philip"},{"family":"Saha","given":"Debasish"}],"issued":{"date-parts":[["2025"]]}}},{"id":1924,"uris":["http://zotero.org/groups/5631027/items/H3K3AIZ8"],"itemData":{"id":1924,"type":"article-journal","abstract":"The potent greenhouse gas nitrous oxide (N2O) is accumulating in the atmosphere at unprecedented rates largely due to agricultural intensification, and cultivated soils contribute </w:instrText>
      </w:r>
      <w:r w:rsidR="00D74AD1">
        <w:rPr>
          <w:rFonts w:ascii="Cambria Math" w:eastAsia="Calibri" w:hAnsi="Cambria Math" w:cs="Cambria Math"/>
          <w:kern w:val="0"/>
          <w:szCs w:val="24"/>
          <w14:ligatures w14:val="none"/>
        </w:rPr>
        <w:instrText>∼</w:instrText>
      </w:r>
      <w:r w:rsidR="00D74AD1">
        <w:rPr>
          <w:rFonts w:eastAsia="Calibri" w:cs="Times New Roman"/>
          <w:kern w:val="0"/>
          <w:szCs w:val="24"/>
          <w14:ligatures w14:val="none"/>
        </w:rPr>
        <w:instrText>60% of the agricultural flux. Empirical models of N2O fluxes for intensively managed cropping systems are confounded by highly variable fluxes and limited geographic coverage; process-based biogeochemical models are rarely able to predict daily to monthly emissions with &gt;20% accuracy even with site-specific calibration. Here we show the promise for machine learning (ML) to significantly improve field-level flux predictions, especially when coupled with a cropping systems model to simulate unmeasured soil parameters. We used sub-daily N2O flux data from six years of automated flux chambers installed in a continuous corn rotation at a site in the upper US Midwest (</w:instrText>
      </w:r>
      <w:r w:rsidR="00D74AD1">
        <w:rPr>
          <w:rFonts w:ascii="Cambria Math" w:eastAsia="Calibri" w:hAnsi="Cambria Math" w:cs="Cambria Math"/>
          <w:kern w:val="0"/>
          <w:szCs w:val="24"/>
          <w14:ligatures w14:val="none"/>
        </w:rPr>
        <w:instrText>∼</w:instrText>
      </w:r>
      <w:r w:rsidR="00D74AD1">
        <w:rPr>
          <w:rFonts w:eastAsia="Calibri" w:cs="Times New Roman"/>
          <w:kern w:val="0"/>
          <w:szCs w:val="24"/>
          <w14:ligatures w14:val="none"/>
        </w:rPr>
        <w:instrText>3000 sub-daily flux observations), supplemented with weekly to biweekly manual chamber measurements (</w:instrText>
      </w:r>
      <w:r w:rsidR="00D74AD1">
        <w:rPr>
          <w:rFonts w:ascii="Cambria Math" w:eastAsia="Calibri" w:hAnsi="Cambria Math" w:cs="Cambria Math"/>
          <w:kern w:val="0"/>
          <w:szCs w:val="24"/>
          <w14:ligatures w14:val="none"/>
        </w:rPr>
        <w:instrText>∼</w:instrText>
      </w:r>
      <w:r w:rsidR="00D74AD1">
        <w:rPr>
          <w:rFonts w:eastAsia="Calibri" w:cs="Times New Roman"/>
          <w:kern w:val="0"/>
          <w:szCs w:val="24"/>
          <w14:ligatures w14:val="none"/>
        </w:rPr>
        <w:instrText xml:space="preserve">1100 daily fluxes), to train an ML model that explained 65%–89% of daily flux variance with very few input variables—soil moisture, days after fertilization, soil texture, air temperature, soil carbon, precipitation, and nitrogen (N) fertilizer rate. When applied to a long-term test site not used to train the model, the model explained 38% of the variation observed in weekly to biweekly manual chamber measurements from corn, and 51% upon coupling the ML model with a cropping systems model that predicted daily soil N availability. This represents a two to three times improvement over conventional process-based models and with substantially fewer input requirements. This coupled approach offers promise for better predictions of agricultural N2O emissions and thus more precise global models and more effective agricultural mitigation interventions.","container-title":"Environmental Research Letters","DOI":"10.1088/1748-9326/abd2f3","ISSN":"1748-9326","issue":"2","journalAbbreviation":"Environ. Res. Lett.","language":"en","note":"publisher: IOP Publishing","page":"024004","source":"Institute of Physics","title":"Machine learning improves predictions of agricultural nitrous oxide (N2O) emissions from intensively managed cropping systems","volume":"16","author":[{"family":"Saha","given":"Debasish"},{"family":"Basso","given":"Bruno"},{"family":"Robertson","given":"G. Philip"}],"issued":{"date-parts":[["2021",1]]}}}],"schema":"https://github.com/citation-style-language/schema/raw/master/csl-citation.json"} </w:instrText>
      </w:r>
      <w:r w:rsidR="00A32106" w:rsidRPr="0085558C">
        <w:rPr>
          <w:rFonts w:eastAsia="Calibri" w:cs="Times New Roman"/>
          <w:kern w:val="0"/>
          <w:szCs w:val="24"/>
          <w14:ligatures w14:val="none"/>
        </w:rPr>
        <w:fldChar w:fldCharType="separate"/>
      </w:r>
      <w:r w:rsidR="00A32106" w:rsidRPr="0085558C">
        <w:rPr>
          <w:rFonts w:eastAsia="Calibri" w:cs="Times New Roman"/>
          <w:kern w:val="0"/>
          <w:szCs w:val="24"/>
          <w14:ligatures w14:val="none"/>
        </w:rPr>
        <w:t>(Anthony &amp; Silver, 2024; Dhaliwal et al., 2025; Saha et al., 2021</w:t>
      </w:r>
      <w:r w:rsidR="00C45B10">
        <w:rPr>
          <w:rFonts w:eastAsia="Calibri" w:cs="Times New Roman"/>
          <w:kern w:val="0"/>
          <w:szCs w:val="24"/>
          <w14:ligatures w14:val="none"/>
        </w:rPr>
        <w:t>a</w:t>
      </w:r>
      <w:r w:rsidR="00A32106" w:rsidRPr="0085558C">
        <w:rPr>
          <w:rFonts w:eastAsia="Calibri" w:cs="Times New Roman"/>
          <w:kern w:val="0"/>
          <w:szCs w:val="24"/>
          <w14:ligatures w14:val="none"/>
        </w:rPr>
        <w:t>)</w:t>
      </w:r>
      <w:r w:rsidR="00A32106" w:rsidRPr="0085558C">
        <w:rPr>
          <w:rFonts w:eastAsia="Calibri" w:cs="Times New Roman"/>
          <w:kern w:val="0"/>
          <w:szCs w:val="24"/>
          <w14:ligatures w14:val="none"/>
        </w:rPr>
        <w:fldChar w:fldCharType="end"/>
      </w:r>
      <w:r w:rsidR="00A32106" w:rsidRPr="0085558C">
        <w:rPr>
          <w:rFonts w:eastAsia="Calibri" w:cs="Times New Roman"/>
          <w:kern w:val="0"/>
          <w:szCs w:val="24"/>
          <w14:ligatures w14:val="none"/>
        </w:rPr>
        <w:t xml:space="preserve">. Second, ML can harness the growing accessibility of data to improve </w:t>
      </w:r>
      <w:r w:rsidR="00A32106">
        <w:rPr>
          <w:rFonts w:eastAsia="Calibri" w:cs="Times New Roman"/>
          <w:kern w:val="0"/>
          <w:szCs w:val="24"/>
          <w14:ligatures w14:val="none"/>
        </w:rPr>
        <w:t>model</w:t>
      </w:r>
      <w:r w:rsidR="00A32106" w:rsidRPr="0085558C">
        <w:rPr>
          <w:rFonts w:eastAsia="Calibri" w:cs="Times New Roman"/>
          <w:kern w:val="0"/>
          <w:szCs w:val="24"/>
          <w14:ligatures w14:val="none"/>
        </w:rPr>
        <w:t xml:space="preserve"> accuracy, breadth, and generalizability in more labor-efficient ways than process-based models </w:t>
      </w:r>
      <w:r w:rsidR="00A32106">
        <w:rPr>
          <w:rFonts w:eastAsia="Calibri" w:cs="Times New Roman"/>
          <w:kern w:val="0"/>
          <w:szCs w:val="24"/>
          <w14:ligatures w14:val="none"/>
        </w:rPr>
        <w:t>which necessitate</w:t>
      </w:r>
      <w:r w:rsidR="00A32106" w:rsidRPr="0085558C">
        <w:rPr>
          <w:rFonts w:eastAsia="Calibri" w:cs="Times New Roman"/>
          <w:kern w:val="0"/>
          <w:szCs w:val="24"/>
          <w14:ligatures w14:val="none"/>
        </w:rPr>
        <w:t xml:space="preserve"> site-specific calibration and parameterization </w:t>
      </w:r>
      <w:r w:rsidR="00A32106" w:rsidRPr="0085558C">
        <w:rPr>
          <w:rFonts w:eastAsia="Calibri" w:cs="Times New Roman"/>
          <w:kern w:val="0"/>
          <w:szCs w:val="24"/>
          <w14:ligatures w14:val="none"/>
        </w:rPr>
        <w:fldChar w:fldCharType="begin"/>
      </w:r>
      <w:r w:rsidR="00D74AD1">
        <w:rPr>
          <w:rFonts w:eastAsia="Calibri" w:cs="Times New Roman"/>
          <w:kern w:val="0"/>
          <w:szCs w:val="24"/>
          <w14:ligatures w14:val="none"/>
        </w:rPr>
        <w:instrText xml:space="preserve"> ADDIN ZOTERO_ITEM CSL_CITATION {"citationID":"BOEOkT6n","properties":{"formattedCitation":"(Dhaliwal et al., 2025; Dorich et al., 2020; Fuchs et al., 2020; Kotlar et al., 2022a; Saha, Basso, et al., 2021)","plainCitation":"(Dhaliwal et al., 2025; Dorich et al., 2020; Fuchs et al., 2020; Kotlar et al., 2022a; Saha, Basso, et al., 2021)","dontUpdate":true,"noteIndex":0},"citationItems":[{"id":3126,"uris":["http://zotero.org/groups/4573874/items/KXHMG4CM"],"itemData":{"id":3126,"type":"article-journal","abstract":"Soil nitrous oxide (N2O) emissions exhibit high variability in intensively managed cropping systems, which challenges our ability to understand their complex interactions with controlling factors. We leveraged 17 years (2003–2019) of measurements at the Kellogg Biological Station Long-Term Ecological Research (LTER)/Long-Term Agroecosystem Research (LTAR) site to better understand the controls of N2O emissions in four corn–soybean–winter wheat rotations employing conventional, no-till, reduced input, and biologically based/organic inputs. We used a random forest machine learning model to predict daily N2O fluxes, trained separately for each system with 70% of observations, using variables such as crop species, daily air temperature, cumulative 2-day precipitation, water-filled pore space, and soil nitrate and ammonium concentrations. The model explained 29%–42% of daily N2O flux variability in the test data, with greater predictability for the corn phase in each system. The long-term rotations showed different controlling factors and threshold conditions influencing N2O emissions. In the conventional system, the model identified ammonium (&gt;15 kg N ha−1) and daily air temperature (&gt;23°C) as the most influential variables; in the no-till system, climate variables such as precipitation and air temperature were important variables. In low-input and organic systems, where red clover (Trifolium repens L.; before corn) and cereal rye (Secale cereale L.; before soybean) cover crops were integrated, nitrate was the predominant predictor of N2O emissions, followed by precipitation and air temperature. In low-input and biologically based systems, red clover residues increased soil nitrogen availability to influence N2O emissions. Long-term data facilitated machine learning for predicting N2O emissions in response to differential controls and threshold responses to management, environmental, and biogeochemical drivers.","container-title":"Journal of Environmental Quality","DOI":"10.1002/jeq2.20637","ISSN":"1537-2537","issue":"1","language":"en","license":"© 2024 The Author(s). Journal of Environmental Quality published by Wiley Periodicals LLC on behalf of American Society of Agronomy, Crop Science Society of America, and Soil Science Society of America.","note":"_eprint: https://onlinelibrary.wiley.com/doi/pdf/10.1002/jeq2.20637","page":"132-146","source":"Wiley Online Library","title":"Machine learning reveals dynamic controls of soil nitrous oxide emissions from diverse long-term cropping systems","volume":"54","author":[{"family":"Dhaliwal","given":"Jashanjeet Kaur"},{"family":"Panday","given":"Dinesh"},{"family":"Robertson","given":"G. Philip"},{"family":"Saha","given":"Debasish"}],"issued":{"date-parts":[["2025"]]}}},{"id":792,"uris":["http://zotero.org/groups/4573874/items/MGKWSRLH"],"itemData":{"id":792,"type":"article-journal","abstract":"Climate change will have dire consequences and collaborative efforts are required to quickly develop and assess mitigation solutions. Agriculture is the primary source of the powerful greenhouse gas (GHG) nitrous oxide (N2O) and an important source of GHG emissions. Due to sampling limitations, N2O measurements have traditionally been sparse; approximately 75% of sites we reviewed sampled for fewer than 50 days within a year. Nitrous oxide emissions are highly variable and short-lived peak emission periods may contribute more than 50% to annual emissions. Gap filling around these peaks, if measured at all, can result in poor estimations under the standard practice using area under the curve. Improved gap filling methods that reflect covariate data will likely reduce uncertainty and improve annual N2O estimates. The Global N2O Database was created to serve as a repository for these datasets as well as become a resource for publicly available data and analytical advances.","collection-title":"Climate Change, Reactive Nitrogen, Food Security and Sustainable Agriculture","container-title":"Current Opinion in Environmental Sustainability","DOI":"10.1016/j.cosust.2020.04.006","ISSN":"1877-3435","journalAbbreviation":"Current Opinion in Environmental Sustainability","language":"en","page":"13-20","source":"ScienceDirect","title":"Improving N2O emission estimates with the global N2O database","volume":"47","author":[{"family":"Dorich","given":"Christopher D"},{"family":"Conant","given":"Richard T"},{"family":"Albanito","given":"Fabrizio"},{"family":"Butterbach-Bahl","given":"Klaus"},{"family":"Grace","given":"Peter"},{"family":"Scheer","given":"Clemens"},{"family":"Snow","given":"Val O"},{"family":"Vogeler","given":"Iris"},{"family":"Weerden","given":"Tony J","non-dropping-particle":"van der"}],"issued":{"date-parts":[["2020",12,1]]}}},{"id":1927,"uris":["http://zotero.org/groups/5631027/items/QL5HCKR9"],"itemData":{"id":1927,"type":"article-journal","abstract":"Process-based models are useful for assessing the impact of changing management practices and climate on yields and greenhouse gas (GHG) emissions from agricultural systems such as grasslands. They can be used to construct national GHG inventories using a Tier 3 approach. However, accurate simulations of nitrous oxide (N2O) fluxes remain challenging. Models are limited by our understanding of soil-plant-microbe interactions and the impact of uncertainty in measured input parameters on simulated outputs. To improve model performance, thorough evaluations against in situ measurements are needed. Experimental data of N2O emissions under two management practices (control with typical fertilization versus increased clover and no fertilization) were acquired in a Swiss field experiment. We conducted a multimodel evaluation with three commonly used biogeochemical models (DayCent in two variants, PaSim, APSIM in two variants) comparing four years of data. DayCent was the most accurate model for simulating N2O fluxes on annual timescales, while APSIM was most accurate for daily N2O fluxes. The multimodel ensemble average reduced the error in estimated annual fluxes by 41% compared to an estimate using the Intergovernmental Panel on Climate Change (IPCC)-derived method for the Swiss agricultural GHG inventory (IPCC-Swiss), but individual models were not systematically more accurate than IPCC-Swiss. The model ensemble overestimated the N2O mitigation effect of the clover-based treatment (measured: 39–45%; ensemble: 52–57%) but was more accurate than IPCC-Swiss (IPCC-Swiss: 72–81%). These results suggest that multimodel ensembles are valuable for estimating the impact of climate and management on N2O emissions.","container-title":"Journal of Geophysical Research: Biogeosciences","DOI":"10.1029/2019JG005261","ISSN":"2169-8961","issue":"1","language":"en","license":"©2019. The Authors.","note":"_eprint: https://onlinelibrary.wiley.com/doi/pdf/10.1029/2019JG005261","page":"e2019JG005261","source":"Wiley Online Library","title":"Multimodel Evaluation of Nitrous Oxide Emissions From an Intensively Managed Grassland","volume":"125","author":[{"family":"Fuchs","given":"Kathrin"},{"family":"Merbold","given":"Lutz"},{"family":"Buchmann","given":"Nina"},{"family":"Bretscher","given":"Daniel"},{"family":"Brilli","given":"Lorenzo"},{"family":"Fitton","given":"Nuala"},{"family":"Topp","given":"Cairistiona F. E."},{"family":"Klumpp","given":"Katja"},{"family":"Lieffering","given":"Mark"},{"family":"Martin","given":"Raphaël"},{"family":"Newton","given":"Paul C. D."},{"family":"Rees","given":"Robert M."},{"family":"Rolinski","given":"Susanne"},{"family":"Smith","given":"Pete"},{"family":"Snow","given":"Val"}],"issued":{"date-parts":[["2020"]]}}},{"id":3122,"uris":["http://zotero.org/groups/4573874/items/IPYPH87V"],"itemData":{"id":3122,"type":"article-journal","container-title":"Soil Science Society of America Journal","ISSN":"0361-5995","issue":"5","journalAbbreviation":"Soil Science Society of America Journal","note":"publisher: Wiley Online Library","page":"1227-1240","title":"Prediction of greenhouse gas emissions from agricultural fields with and without cover crops","volume":"86","author":[{"family":"Kotlar","given":"Ali Mehmandoost"},{"family":"Singh","given":"Jasdeep"},{"family":"Kumar","given":"Sandeep"}],"issued":{"date-parts":[["2022"]]}}},{"id":1924,"uris":["http://zotero.org/groups/5631027/items/H3K3AIZ8"],"itemData":{"id":1924,"type":"article-journal","abstract":"The potent greenhouse gas nitrous oxide (N2O) is accumulating in the atmosphere at unprecedented rates largely due to agricultural intensification, and cultivated soils contribute </w:instrText>
      </w:r>
      <w:r w:rsidR="00D74AD1">
        <w:rPr>
          <w:rFonts w:ascii="Cambria Math" w:eastAsia="Calibri" w:hAnsi="Cambria Math" w:cs="Cambria Math"/>
          <w:kern w:val="0"/>
          <w:szCs w:val="24"/>
          <w14:ligatures w14:val="none"/>
        </w:rPr>
        <w:instrText>∼</w:instrText>
      </w:r>
      <w:r w:rsidR="00D74AD1">
        <w:rPr>
          <w:rFonts w:eastAsia="Calibri" w:cs="Times New Roman"/>
          <w:kern w:val="0"/>
          <w:szCs w:val="24"/>
          <w14:ligatures w14:val="none"/>
        </w:rPr>
        <w:instrText>60% of the agricultural flux. Empirical models of N2O fluxes for intensively managed cropping systems are confounded by highly variable fluxes and limited geographic coverage; process-based biogeochemical models are rarely able to predict daily to monthly emissions with &gt;20% accuracy even with site-specific calibration. Here we show the promise for machine learning (ML) to significantly improve field-level flux predictions, especially when coupled with a cropping systems model to simulate unmeasured soil parameters. We used sub-daily N2O flux data from six years of automated flux chambers installed in a continuous corn rotation at a site in the upper US Midwest (</w:instrText>
      </w:r>
      <w:r w:rsidR="00D74AD1">
        <w:rPr>
          <w:rFonts w:ascii="Cambria Math" w:eastAsia="Calibri" w:hAnsi="Cambria Math" w:cs="Cambria Math"/>
          <w:kern w:val="0"/>
          <w:szCs w:val="24"/>
          <w14:ligatures w14:val="none"/>
        </w:rPr>
        <w:instrText>∼</w:instrText>
      </w:r>
      <w:r w:rsidR="00D74AD1">
        <w:rPr>
          <w:rFonts w:eastAsia="Calibri" w:cs="Times New Roman"/>
          <w:kern w:val="0"/>
          <w:szCs w:val="24"/>
          <w14:ligatures w14:val="none"/>
        </w:rPr>
        <w:instrText>3000 sub-daily flux observations), supplemented with weekly to biweekly manual chamber measurements (</w:instrText>
      </w:r>
      <w:r w:rsidR="00D74AD1">
        <w:rPr>
          <w:rFonts w:ascii="Cambria Math" w:eastAsia="Calibri" w:hAnsi="Cambria Math" w:cs="Cambria Math"/>
          <w:kern w:val="0"/>
          <w:szCs w:val="24"/>
          <w14:ligatures w14:val="none"/>
        </w:rPr>
        <w:instrText>∼</w:instrText>
      </w:r>
      <w:r w:rsidR="00D74AD1">
        <w:rPr>
          <w:rFonts w:eastAsia="Calibri" w:cs="Times New Roman"/>
          <w:kern w:val="0"/>
          <w:szCs w:val="24"/>
          <w14:ligatures w14:val="none"/>
        </w:rPr>
        <w:instrText xml:space="preserve">1100 daily fluxes), to train an ML model that explained 65%–89% of daily flux variance with very few input variables—soil moisture, days after fertilization, soil texture, air temperature, soil carbon, precipitation, and nitrogen (N) fertilizer rate. When applied to a long-term test site not used to train the model, the model explained 38% of the variation observed in weekly to biweekly manual chamber measurements from corn, and 51% upon coupling the ML model with a cropping systems model that predicted daily soil N availability. This represents a two to three times improvement over conventional process-based models and with substantially fewer input requirements. This coupled approach offers promise for better predictions of agricultural N2O emissions and thus more precise global models and more effective agricultural mitigation interventions.","container-title":"Environmental Research Letters","DOI":"10.1088/1748-9326/abd2f3","ISSN":"1748-9326","issue":"2","journalAbbreviation":"Environ. Res. Lett.","language":"en","note":"publisher: IOP Publishing","page":"024004","source":"Institute of Physics","title":"Machine learning improves predictions of agricultural nitrous oxide (N2O) emissions from intensively managed cropping systems","volume":"16","author":[{"family":"Saha","given":"Debasish"},{"family":"Basso","given":"Bruno"},{"family":"Robertson","given":"G. Philip"}],"issued":{"date-parts":[["2021",1]]}}}],"schema":"https://github.com/citation-style-language/schema/raw/master/csl-citation.json"} </w:instrText>
      </w:r>
      <w:r w:rsidR="00A32106" w:rsidRPr="0085558C">
        <w:rPr>
          <w:rFonts w:eastAsia="Calibri" w:cs="Times New Roman"/>
          <w:kern w:val="0"/>
          <w:szCs w:val="24"/>
          <w14:ligatures w14:val="none"/>
        </w:rPr>
        <w:fldChar w:fldCharType="separate"/>
      </w:r>
      <w:r w:rsidR="00A32106" w:rsidRPr="0085558C">
        <w:rPr>
          <w:rFonts w:eastAsia="Calibri" w:cs="Times New Roman"/>
          <w:kern w:val="0"/>
          <w:szCs w:val="24"/>
          <w14:ligatures w14:val="none"/>
        </w:rPr>
        <w:t xml:space="preserve">(Dhaliwal et al., 2025; Dorich et al., 2020; Fuchs et al., 2020; Kotlar et al., </w:t>
      </w:r>
      <w:r w:rsidR="00C45B10">
        <w:rPr>
          <w:rFonts w:eastAsia="Calibri" w:cs="Times New Roman"/>
          <w:kern w:val="0"/>
          <w:szCs w:val="24"/>
          <w14:ligatures w14:val="none"/>
        </w:rPr>
        <w:lastRenderedPageBreak/>
        <w:t>2022</w:t>
      </w:r>
      <w:r w:rsidR="00A32106" w:rsidRPr="0085558C">
        <w:rPr>
          <w:rFonts w:eastAsia="Calibri" w:cs="Times New Roman"/>
          <w:kern w:val="0"/>
          <w:szCs w:val="24"/>
          <w14:ligatures w14:val="none"/>
        </w:rPr>
        <w:t>; Saha et al., 2021</w:t>
      </w:r>
      <w:r w:rsidR="00C45B10">
        <w:rPr>
          <w:rFonts w:eastAsia="Calibri" w:cs="Times New Roman"/>
          <w:kern w:val="0"/>
          <w:szCs w:val="24"/>
          <w14:ligatures w14:val="none"/>
        </w:rPr>
        <w:t>a</w:t>
      </w:r>
      <w:r w:rsidR="00A32106" w:rsidRPr="0085558C">
        <w:rPr>
          <w:rFonts w:eastAsia="Calibri" w:cs="Times New Roman"/>
          <w:kern w:val="0"/>
          <w:szCs w:val="24"/>
          <w14:ligatures w14:val="none"/>
        </w:rPr>
        <w:t>)</w:t>
      </w:r>
      <w:r w:rsidR="00A32106" w:rsidRPr="0085558C">
        <w:rPr>
          <w:rFonts w:eastAsia="Calibri" w:cs="Times New Roman"/>
          <w:kern w:val="0"/>
          <w:szCs w:val="24"/>
          <w14:ligatures w14:val="none"/>
        </w:rPr>
        <w:fldChar w:fldCharType="end"/>
      </w:r>
      <w:r w:rsidR="00A32106" w:rsidRPr="0085558C">
        <w:rPr>
          <w:rFonts w:eastAsia="Calibri" w:cs="Times New Roman"/>
          <w:kern w:val="0"/>
          <w:szCs w:val="24"/>
          <w14:ligatures w14:val="none"/>
        </w:rPr>
        <w:t xml:space="preserve">. With these strengths, ML models have been shown to outperform process-based models in </w:t>
      </w:r>
      <w:r w:rsidR="00A32106">
        <w:rPr>
          <w:rFonts w:eastAsia="Calibri" w:cs="Times New Roman"/>
          <w:kern w:val="0"/>
          <w:szCs w:val="24"/>
          <w14:ligatures w14:val="none"/>
        </w:rPr>
        <w:t>some studies</w:t>
      </w:r>
      <w:r w:rsidR="00A32106" w:rsidRPr="0085558C">
        <w:rPr>
          <w:rFonts w:eastAsia="Calibri" w:cs="Times New Roman"/>
          <w:kern w:val="0"/>
          <w:szCs w:val="24"/>
          <w14:ligatures w14:val="none"/>
        </w:rPr>
        <w:t xml:space="preserve"> </w:t>
      </w:r>
      <w:r w:rsidR="00A32106" w:rsidRPr="0085558C">
        <w:rPr>
          <w:rFonts w:eastAsia="Calibri" w:cs="Times New Roman"/>
          <w:kern w:val="0"/>
          <w:szCs w:val="24"/>
          <w14:ligatures w14:val="none"/>
        </w:rPr>
        <w:fldChar w:fldCharType="begin"/>
      </w:r>
      <w:r w:rsidR="00D74AD1">
        <w:rPr>
          <w:rFonts w:eastAsia="Calibri" w:cs="Times New Roman"/>
          <w:kern w:val="0"/>
          <w:szCs w:val="24"/>
          <w14:ligatures w14:val="none"/>
        </w:rPr>
        <w:instrText xml:space="preserve"> ADDIN ZOTERO_ITEM CSL_CITATION {"citationID":"PMDhbt0U","properties":{"formattedCitation":"(Hamrani et al., 2020; Liu et al., 2022; Saha, Basso, et al., 2021)","plainCitation":"(Hamrani et al., 2020; Liu et al., 2022; Saha, Basso, et al., 2021)","dontUpdate":true,"noteIndex":0},"citationItems":[{"id":678,"uris":["http://zotero.org/groups/4573874/items/G6D3PW7Q"],"itemData":{"id":678,"type":"article-journal","abstract":"Machine learning (ML) models are increasingly used to study complex environmental phenomena with high variability in time and space. In this study, the potential of exploiting three categories of ML regression models, including classical regression, shallow learning and deep learning for predicting soil greenhouse gas (GHG) emissions from an agricultural field was explored. Carbon dioxide (CO2) and nitrous oxide (N2O) fluxes, as well as various environmental, agronomic and soil data were measured at the site over a five-year period in Quebec, Canada. The rigorous analysis, which included statistical comparison and cross-validation for the prediction of CO2 and N2O fluxes, confirmed that the LSTM model performed the best among the considered ML models with the highest R coefficient and the lowest root mean squared error (RMSE) values (R = 0.87 and RMSE = 30.3 mg·m−2·hr−1 for CO2 flux prediction and R = 0.86 and RMSE = 0.19 mg·m−2·hr−1 for N2O flux prediction). The predictive performances of LSTM were more accurate than those simulated in a previous study conducted by a biophysical-based Root Zone Water Quality Model (RZWQM2). The classical regression models (namely RF, SVM and LASSO) satisfactorily simulated cyclical and seasonal variations of CO2 fluxes (R = 0.75, 0.71 and 0.68, respectively); however, they failed to reasonably predict the peak values of N2O fluxes (R &lt; 0.25). Shallow ML was found to be less effective in predicting GHG fluxes than other considered ML models (R &lt; 0.7 for CO2 flux and R &lt; 0.3 for estimating N2O fluxes) and was the most sensitive to hyperparameter tuning. Based on this comprehensive comparison study, it was elicited that the LSTM model can be employed successfully in simulating GHG emissions from agricultural soils, providing a new perspective on the application of machine learning modeling for predicting GHG emissions to the environment.","container-title":"Science of The Total Environment","DOI":"10.1016/j.scitotenv.2020.140338","ISSN":"0048-9697","journalAbbreviation":"Science of The Total Environment","language":"en","page":"140338","source":"ScienceDirect","title":"Machine learning for predicting greenhouse gas emissions from agricultural soils","volume":"741","author":[{"family":"Hamrani","given":"Abderrachid"},{"family":"Akbarzadeh","given":"Abdolhamid"},{"family":"Madramootoo","given":"Chandra A."}],"issued":{"date-parts":[["2020",11,1]]}}},{"id":2449,"uris":["http://zotero.org/groups/5631027/items/RNCJBXYT"],"itemData":{"id":2449,"type":"article-journal","abstract":"Agricultural nitrous oxide (N2O) emission accounts for a non-trivial fraction of global greenhouse gas (GHG) budget. To date, estimating N2O fluxes from cropland remains a challenging task because the related microbial processes (e.g., nitrification and denitrification) are controlled by complex interactions among climate, soil, plant and human activities. Existing approaches such as process-based (PB) models have well-known limitations due to insufficient representations of the processes or uncertainties of model parameters, and due to leverage recent advances in machine learning (ML) a new method is needed to unlock the “black box” to overcome its limitations such as low interpretability, out-of-sample failure and massive data demand. In this study, we developed a first-of-its-kind knowledge-guided machine learning model for agroecosystems (KGML-ag) by incorporating biogeophysical and chemical domain knowledge from an advanced PB model, ecosys, and tested it by comparing simulating daily N2O fluxes with real observed data from mesocosm experiments. The gated recurrent unit (GRU) was used as the basis to build the model structure. To optimize the model performance, we have investigated a range of ideas, including (1) using initial values of intermediate variables (IMVs) instead of time series as model input to reduce data demand; (2) building hierarchical structures to explicitly estimate IMVs for further N2O prediction; (3) using multi-task learning to balance the simultaneous training on multiple variables; and (4) pre-training with millions of synthetic data generated from ecosys and fine-tuning with mesocosm observations. Six other pure ML models were developed using the same mesocosm data to serve as the benchmark for the KGML-ag model. Results show that KGML-ag did an excellent job in reproducing the mesocosm N2O fluxes (overall r2=0.81, and RMSE=3.6 mgNm-2d-1 from cross validation). Importantly, KGML-ag always outperforms the PB model and ML models in predicting N2O fluxes, especially for complex temporal dynamics and emission peaks. Besides, KGML-ag goes beyond the pure ML models by providing more interpretable predictions as well as pinpointing desired new knowledge and data to further empower the current KGML-ag. We believe the KGML-ag development in this study will stimulate a new body of research on interpretable ML for biogeochemistry and other related geoscience processes.","container-title":"Geoscientific Model Development","DOI":"10.5194/gmd-15-2839-2022","ISSN":"1991-959X","issue":"7","language":"English","note":"publisher: Copernicus GmbH","page":"2839-2858","source":"Copernicus Online Journals","title":"KGML-ag: a modeling framework of knowledge-guided machine learning to simulate agroecosystems: a case study of estimating N&lt;sub&gt;2&lt;/sub&gt;O emission using data from mesocosm experiments","title-short":"KGML-ag","volume":"15","author":[{"family":"Liu","given":"Licheng"},{"family":"Xu","given":"Shaoming"},{"family":"Tang","given":"Jinyun"},{"family":"Guan","given":"Kaiyu"},{"family":"Griffis","given":"Timothy J."},{"family":"Erickson","given":"Matthew D."},{"family":"Frie","given":"Alexander L."},{"family":"Jia","given":"Xiaowei"},{"family":"Kim","given":"Taegon"},{"family":"Miller","given":"Lee T."},{"family":"Peng","given":"Bin"},{"family":"Wu","given":"Shaowei"},{"family":"Yang","given":"Yufeng"},{"family":"Zhou","given":"Wang"},{"family":"Kumar","given":"Vipin"},{"family":"Jin","given":"Zhenong"}],"issued":{"date-parts":[["2022",4,7]]}}},{"id":1924,"uris":["http://zotero.org/groups/5631027/items/H3K3AIZ8"],"itemData":{"id":1924,"type":"article-journal","abstract":"The potent greenhouse gas nitrous oxide (N2O) is accumulating in the atmosphere at unprecedented rates largely due to agricultural intensification, and cultivated soils contribute </w:instrText>
      </w:r>
      <w:r w:rsidR="00D74AD1">
        <w:rPr>
          <w:rFonts w:ascii="Cambria Math" w:eastAsia="Calibri" w:hAnsi="Cambria Math" w:cs="Cambria Math"/>
          <w:kern w:val="0"/>
          <w:szCs w:val="24"/>
          <w14:ligatures w14:val="none"/>
        </w:rPr>
        <w:instrText>∼</w:instrText>
      </w:r>
      <w:r w:rsidR="00D74AD1">
        <w:rPr>
          <w:rFonts w:eastAsia="Calibri" w:cs="Times New Roman"/>
          <w:kern w:val="0"/>
          <w:szCs w:val="24"/>
          <w14:ligatures w14:val="none"/>
        </w:rPr>
        <w:instrText>60% of the agricultural flux. Empirical models of N2O fluxes for intensively managed cropping systems are confounded by highly variable fluxes and limited geographic coverage; process-based biogeochemical models are rarely able to predict daily to monthly emissions with &gt;20% accuracy even with site-specific calibration. Here we show the promise for machine learning (ML) to significantly improve field-level flux predictions, especially when coupled with a cropping systems model to simulate unmeasured soil parameters. We used sub-daily N2O flux data from six years of automated flux chambers installed in a continuous corn rotation at a site in the upper US Midwest (</w:instrText>
      </w:r>
      <w:r w:rsidR="00D74AD1">
        <w:rPr>
          <w:rFonts w:ascii="Cambria Math" w:eastAsia="Calibri" w:hAnsi="Cambria Math" w:cs="Cambria Math"/>
          <w:kern w:val="0"/>
          <w:szCs w:val="24"/>
          <w14:ligatures w14:val="none"/>
        </w:rPr>
        <w:instrText>∼</w:instrText>
      </w:r>
      <w:r w:rsidR="00D74AD1">
        <w:rPr>
          <w:rFonts w:eastAsia="Calibri" w:cs="Times New Roman"/>
          <w:kern w:val="0"/>
          <w:szCs w:val="24"/>
          <w14:ligatures w14:val="none"/>
        </w:rPr>
        <w:instrText>3000 sub-daily flux observations), supplemented with weekly to biweekly manual chamber measurements (</w:instrText>
      </w:r>
      <w:r w:rsidR="00D74AD1">
        <w:rPr>
          <w:rFonts w:ascii="Cambria Math" w:eastAsia="Calibri" w:hAnsi="Cambria Math" w:cs="Cambria Math"/>
          <w:kern w:val="0"/>
          <w:szCs w:val="24"/>
          <w14:ligatures w14:val="none"/>
        </w:rPr>
        <w:instrText>∼</w:instrText>
      </w:r>
      <w:r w:rsidR="00D74AD1">
        <w:rPr>
          <w:rFonts w:eastAsia="Calibri" w:cs="Times New Roman"/>
          <w:kern w:val="0"/>
          <w:szCs w:val="24"/>
          <w14:ligatures w14:val="none"/>
        </w:rPr>
        <w:instrText xml:space="preserve">1100 daily fluxes), to train an ML model that explained 65%–89% of daily flux variance with very few input variables—soil moisture, days after fertilization, soil texture, air temperature, soil carbon, precipitation, and nitrogen (N) fertilizer rate. When applied to a long-term test site not used to train the model, the model explained 38% of the variation observed in weekly to biweekly manual chamber measurements from corn, and 51% upon coupling the ML model with a cropping systems model that predicted daily soil N availability. This represents a two to three times improvement over conventional process-based models and with substantially fewer input requirements. This coupled approach offers promise for better predictions of agricultural N2O emissions and thus more precise global models and more effective agricultural mitigation interventions.","container-title":"Environmental Research Letters","DOI":"10.1088/1748-9326/abd2f3","ISSN":"1748-9326","issue":"2","journalAbbreviation":"Environ. Res. Lett.","language":"en","note":"publisher: IOP Publishing","page":"024004","source":"Institute of Physics","title":"Machine learning improves predictions of agricultural nitrous oxide (N2O) emissions from intensively managed cropping systems","volume":"16","author":[{"family":"Saha","given":"Debasish"},{"family":"Basso","given":"Bruno"},{"family":"Robertson","given":"G. Philip"}],"issued":{"date-parts":[["2021",1]]}}}],"schema":"https://github.com/citation-style-language/schema/raw/master/csl-citation.json"} </w:instrText>
      </w:r>
      <w:r w:rsidR="00A32106" w:rsidRPr="0085558C">
        <w:rPr>
          <w:rFonts w:eastAsia="Calibri" w:cs="Times New Roman"/>
          <w:kern w:val="0"/>
          <w:szCs w:val="24"/>
          <w14:ligatures w14:val="none"/>
        </w:rPr>
        <w:fldChar w:fldCharType="separate"/>
      </w:r>
      <w:r w:rsidR="00A32106" w:rsidRPr="0085558C">
        <w:rPr>
          <w:rFonts w:eastAsia="Calibri" w:cs="Times New Roman"/>
          <w:kern w:val="0"/>
          <w:szCs w:val="24"/>
          <w:lang w:val="it-IT"/>
          <w14:ligatures w14:val="none"/>
        </w:rPr>
        <w:t>(Hamrani et al., 2020; Liu et al., 2022; Saha et al., 2021</w:t>
      </w:r>
      <w:r w:rsidR="00C45B10">
        <w:rPr>
          <w:rFonts w:eastAsia="Calibri" w:cs="Times New Roman"/>
          <w:kern w:val="0"/>
          <w:szCs w:val="24"/>
          <w:lang w:val="it-IT"/>
          <w14:ligatures w14:val="none"/>
        </w:rPr>
        <w:t>a</w:t>
      </w:r>
      <w:r w:rsidR="00A32106" w:rsidRPr="0085558C">
        <w:rPr>
          <w:rFonts w:eastAsia="Calibri" w:cs="Times New Roman"/>
          <w:kern w:val="0"/>
          <w:szCs w:val="24"/>
          <w:lang w:val="it-IT"/>
          <w14:ligatures w14:val="none"/>
        </w:rPr>
        <w:t>)</w:t>
      </w:r>
      <w:r w:rsidR="00A32106" w:rsidRPr="0085558C">
        <w:rPr>
          <w:rFonts w:eastAsia="Calibri" w:cs="Times New Roman"/>
          <w:kern w:val="0"/>
          <w:szCs w:val="24"/>
          <w14:ligatures w14:val="none"/>
        </w:rPr>
        <w:fldChar w:fldCharType="end"/>
      </w:r>
      <w:r w:rsidR="00A32106" w:rsidRPr="0085558C">
        <w:rPr>
          <w:rFonts w:eastAsia="Calibri" w:cs="Times New Roman"/>
          <w:kern w:val="0"/>
          <w:szCs w:val="24"/>
          <w:lang w:val="it-IT"/>
          <w14:ligatures w14:val="none"/>
        </w:rPr>
        <w:t>.</w:t>
      </w:r>
    </w:p>
    <w:p w14:paraId="1B4BA100" w14:textId="4860084D" w:rsidR="001154C0" w:rsidRPr="00D91B98" w:rsidRDefault="00A32106" w:rsidP="001B567A">
      <w:pPr>
        <w:spacing w:after="0" w:line="480" w:lineRule="auto"/>
        <w:rPr>
          <w:rFonts w:eastAsia="Calibri" w:cs="Times New Roman"/>
          <w:kern w:val="0"/>
          <w:szCs w:val="24"/>
          <w:lang w:val="it-IT"/>
          <w14:ligatures w14:val="none"/>
        </w:rPr>
      </w:pPr>
      <w:r w:rsidRPr="0085558C">
        <w:rPr>
          <w:rFonts w:eastAsia="Calibri" w:cs="Times New Roman"/>
          <w:kern w:val="0"/>
          <w:szCs w:val="24"/>
          <w14:ligatures w14:val="none"/>
        </w:rPr>
        <w:t xml:space="preserve">Yet much of the promise offered by ML within this domain is yet latent. The </w:t>
      </w:r>
      <w:r>
        <w:rPr>
          <w:rFonts w:eastAsia="Calibri" w:cs="Times New Roman"/>
          <w:kern w:val="0"/>
          <w:szCs w:val="24"/>
          <w14:ligatures w14:val="none"/>
        </w:rPr>
        <w:t>ideal</w:t>
      </w:r>
      <w:r w:rsidRPr="0085558C">
        <w:rPr>
          <w:rFonts w:eastAsia="Calibri" w:cs="Times New Roman"/>
          <w:kern w:val="0"/>
          <w:szCs w:val="24"/>
          <w14:ligatures w14:val="none"/>
        </w:rPr>
        <w:t xml:space="preserve"> model is one that is broadly applicable, highly accessible in terms of input requirements, and accurate</w:t>
      </w:r>
      <w:r>
        <w:rPr>
          <w:rFonts w:eastAsia="Calibri" w:cs="Times New Roman"/>
          <w:kern w:val="0"/>
          <w:szCs w:val="24"/>
          <w14:ligatures w14:val="none"/>
        </w:rPr>
        <w:t>.</w:t>
      </w:r>
      <w:r w:rsidRPr="0085558C">
        <w:rPr>
          <w:rFonts w:eastAsia="Calibri" w:cs="Times New Roman"/>
          <w:kern w:val="0"/>
          <w:szCs w:val="24"/>
          <w14:ligatures w14:val="none"/>
        </w:rPr>
        <w:t xml:space="preserve"> </w:t>
      </w:r>
      <w:r>
        <w:rPr>
          <w:rFonts w:eastAsia="Calibri" w:cs="Times New Roman"/>
          <w:kern w:val="0"/>
          <w:szCs w:val="24"/>
          <w14:ligatures w14:val="none"/>
        </w:rPr>
        <w:t>However,</w:t>
      </w:r>
      <w:r w:rsidRPr="0085558C">
        <w:rPr>
          <w:rFonts w:eastAsia="Calibri" w:cs="Times New Roman"/>
          <w:kern w:val="0"/>
          <w:szCs w:val="24"/>
          <w14:ligatures w14:val="none"/>
        </w:rPr>
        <w:t xml:space="preserve"> we have identified no ML model of daily N</w:t>
      </w:r>
      <w:r w:rsidRPr="0085558C">
        <w:rPr>
          <w:rFonts w:eastAsia="Calibri" w:cs="Times New Roman"/>
          <w:kern w:val="0"/>
          <w:szCs w:val="24"/>
          <w:vertAlign w:val="subscript"/>
          <w14:ligatures w14:val="none"/>
        </w:rPr>
        <w:t>2</w:t>
      </w:r>
      <w:r w:rsidRPr="0085558C">
        <w:rPr>
          <w:rFonts w:eastAsia="Calibri" w:cs="Times New Roman"/>
          <w:kern w:val="0"/>
          <w:szCs w:val="24"/>
          <w14:ligatures w14:val="none"/>
        </w:rPr>
        <w:t xml:space="preserve">O flux which satisfies each of these conditions simultaneously. Many ML models substitute the complex parameterization of process-based models with </w:t>
      </w:r>
      <w:r>
        <w:rPr>
          <w:rFonts w:eastAsia="Calibri" w:cs="Times New Roman"/>
          <w:kern w:val="0"/>
          <w:szCs w:val="24"/>
          <w14:ligatures w14:val="none"/>
        </w:rPr>
        <w:t xml:space="preserve">laborious and time-intensive </w:t>
      </w:r>
      <w:r w:rsidRPr="0085558C">
        <w:rPr>
          <w:rFonts w:eastAsia="Calibri" w:cs="Times New Roman"/>
          <w:kern w:val="0"/>
          <w:szCs w:val="24"/>
          <w14:ligatures w14:val="none"/>
        </w:rPr>
        <w:t>data input requirements, such as determination of high resolution soil mineral nitrogen</w:t>
      </w:r>
      <w:r>
        <w:rPr>
          <w:rFonts w:eastAsia="Calibri" w:cs="Times New Roman"/>
          <w:kern w:val="0"/>
          <w:szCs w:val="24"/>
          <w14:ligatures w14:val="none"/>
        </w:rPr>
        <w:t xml:space="preserve"> (N)</w:t>
      </w:r>
      <w:r w:rsidRPr="0085558C">
        <w:rPr>
          <w:rFonts w:eastAsia="Calibri" w:cs="Times New Roman"/>
          <w:kern w:val="0"/>
          <w:szCs w:val="24"/>
          <w14:ligatures w14:val="none"/>
        </w:rPr>
        <w:t xml:space="preserve"> dynamics– a key N</w:t>
      </w:r>
      <w:r w:rsidRPr="0085558C">
        <w:rPr>
          <w:rFonts w:eastAsia="Calibri" w:cs="Times New Roman"/>
          <w:kern w:val="0"/>
          <w:szCs w:val="24"/>
          <w:vertAlign w:val="subscript"/>
          <w14:ligatures w14:val="none"/>
        </w:rPr>
        <w:t>2</w:t>
      </w:r>
      <w:r w:rsidRPr="0085558C">
        <w:rPr>
          <w:rFonts w:eastAsia="Calibri" w:cs="Times New Roman"/>
          <w:kern w:val="0"/>
          <w:szCs w:val="24"/>
          <w14:ligatures w14:val="none"/>
        </w:rPr>
        <w:t>O driver – using destructive sampling, which limit their accessibility</w:t>
      </w:r>
      <w:r w:rsidRPr="009D3138">
        <w:rPr>
          <w:rFonts w:eastAsia="Calibri" w:cs="Times New Roman"/>
          <w:kern w:val="0"/>
          <w:szCs w:val="24"/>
          <w14:ligatures w14:val="none"/>
        </w:rPr>
        <w:t xml:space="preserve"> </w:t>
      </w:r>
      <w:r w:rsidRPr="0085558C">
        <w:rPr>
          <w:rFonts w:eastAsia="Calibri" w:cs="Times New Roman"/>
          <w:kern w:val="0"/>
          <w:szCs w:val="24"/>
          <w14:ligatures w14:val="none"/>
        </w:rPr>
        <w:fldChar w:fldCharType="begin"/>
      </w:r>
      <w:r w:rsidR="00D74AD1">
        <w:rPr>
          <w:rFonts w:eastAsia="Calibri" w:cs="Times New Roman"/>
          <w:kern w:val="0"/>
          <w:szCs w:val="24"/>
          <w14:ligatures w14:val="none"/>
        </w:rPr>
        <w:instrText xml:space="preserve"> ADDIN ZOTERO_ITEM CSL_CITATION {"citationID":"DcKPDp79","properties":{"formattedCitation":"(Chiaravalloti et al., 2023; Dhaliwal et al., 2025; Glenn et al., 2021; Liu et al., 2022; Wang et al., 2024)","plainCitation":"(Chiaravalloti et al., 2023; Dhaliwal et al., 2025; Glenn et al., 2021; Liu et al., 2022; Wang et al., 2024)","dontUpdate":true,"noteIndex":0},"citationItems":[{"id":3112,"uris":["http://zotero.org/groups/4573874/items/4ZP7MW4Q"],"itemData":{"id":3112,"type":"article-journal","abstract":"Nitrous oxide (N2O) is a potent and long-lived greenhouse gas that accounts for roughly 6% of global anthropogenic greenhouse gas emissions, and it has risen from its preindustrial concentration of 270 ppb N2O to 332 ppb N2O as a result of human activities. The majority of anthropogenic N2O emissions (52–80%) come from agricultural settings due to high rates of reactive nitrogen fertilizer application. Amending soils with fine-grained basalt is gaining traction as a carbon dioxide removal (CDR) pathway, and model simulations suggest that this process may also significantly decrease soil N2O emissions. Here, we continuously measure N2O fluxes from large-scale maize mesocosms in a greenhouse setting and use a machine learning framework to assess the relative importance of the levers on N2O fluxes. We observe significant decreases in cumulative N2O emissions (between 29–32%) from mesocosm systems with basalt addition. We find that basalt application rate, soil pH, and surface soil moisture are the strongest levers on N2O emissions depending on the system settings. These results provide empirical support for a potentially significant co-benefit of deploying enhanced rock weathering of silicates (ERW) on managed lands, particularly those subject to elevated rates of reactive nitrogen input.","container-title":"Frontiers in Climate","DOI":"10.3389/fclim.2023.1203043","ISSN":"2624-9553","journalAbbreviation":"Front. Clim.","language":"English","note":"publisher: Frontiers","source":"Frontiers","title":"Mitigation of soil nitrous oxide emissions during maize production with basalt amendments","URL":"https://www.frontiersin.orghttps://www.frontiersin.org/journals/climate/articles/10.3389/fclim.2023.1203043/full","volume":"5","author":[{"family":"Chiaravalloti","given":"Isabella"},{"family":"Theunissen","given":"Nicolas"},{"family":"Zhang","given":"Shuang"},{"family":"Wang","given":"Jiuyuan"},{"family":"Sun","given":"Fengchao"},{"family":"Ahmed","given":"Ayesha A."},{"family":"Pihlap","given":"Evelin"},{"family":"Reinhard","given":"Christopher T."},{"family":"Planavsky","given":"Noah J."}],"accessed":{"date-parts":[["2025",4,14]]},"issued":{"date-parts":[["2023",6,22]]}}},{"id":3126,"uris":["http://zotero.org/groups/4573874/items/KXHMG4CM"],"itemData":{"id":3126,"type":"article-journal","abstract":"Soil nitrous oxide (N2O) emissions exhibit high variability in intensively managed cropping systems, which challenges our ability to understand their complex interactions with controlling factors. We leveraged 17 years (2003–2019) of measurements at the Kellogg Biological Station Long-Term Ecological Research (LTER)/Long-Term Agroecosystem Research (LTAR) site to better understand the controls of N2O emissions in four corn–soybean–winter wheat rotations employing conventional, no-till, reduced input, and biologically based/organic inputs. We used a random forest machine learning model to predict daily N2O fluxes, trained separately for each system with 70% of observations, using variables such as crop species, daily air temperature, cumulative 2-day precipitation, water-filled pore space, and soil nitrate and ammonium concentrations. The model explained 29%–42% of daily N2O flux variability in the test data, with greater predictability for the corn phase in each system. The long-term rotations showed different controlling factors and threshold conditions influencing N2O emissions. In the conventional system, the model identified ammonium (&gt;15 kg N ha−1) and daily air temperature (&gt;23°C) as the most influential variables; in the no-till system, climate variables such as precipitation and air temperature were important variables. In low-input and organic systems, where red clover (Trifolium repens L.; before corn) and cereal rye (Secale cereale L.; before soybean) cover crops were integrated, nitrate was the predominant predictor of N2O emissions, followed by precipitation and air temperature. In low-input and biologically based systems, red clover residues increased soil nitrogen availability to influence N2O emissions. Long-term data facilitated machine learning for predicting N2O emissions in response to differential controls and threshold responses to management, environmental, and biogeochemical drivers.","container-title":"Journal of Environmental Quality","DOI":"10.1002/jeq2.20637","ISSN":"1537-2537","issue":"1","language":"en","license":"© 2024 The Author(s). Journal of Environmental Quality published by Wiley Periodicals LLC on behalf of American Society of Agronomy, Crop Science Society of America, and Soil Science Society of America.","note":"_eprint: https://onlinelibrary.wiley.com/doi/pdf/10.1002/jeq2.20637","page":"132-146","source":"Wiley Online Library","title":"Machine learning reveals dynamic controls of soil nitrous oxide emissions from diverse long-term cropping systems","volume":"54","author":[{"family":"Dhaliwal","given":"Jashanjeet Kaur"},{"family":"Panday","given":"Dinesh"},{"family":"Robertson","given":"G. Philip"},{"family":"Saha","given":"Debasish"}],"issued":{"date-parts":[["2025"]]}}},{"id":3107,"uris":["http://zotero.org/groups/4573874/items/2C6NS88G"],"itemData":{"id":3107,"type":"article-journal","abstract":"Precision farming methods such as variable rate or site-specific nitrogen (N) fertilizer application based on field management zones may represent a mechanism to mitigate soil nitrous oxide (N2O) emissions. To investigate the impact of site-specific N fertilization on soil N2O fluxes a study was conducted from spring 2013 through summer 2015 on no-till cropland under canola (Brassica napus) production near Brandon, Manitoba, Canada. The static chamber method was used to measure soil N2O fluxes across three management zones (low yield, average yield, and high yield) with three N application rates (50%, 100%, and 150% of target seed yields for each management zone) and unfertilized control treatments. A machine-learning approach (random forest analysis) for analyzing soil N2O fluxes confirmed conditions related to soil temperature, moisture, and nitrate availability were the most important predictors of individual flux events. Similarly, soil N availability and moisture content were found to be the most important variables in regression models of cumulative growing season emissions. Nitrogen fertilizer-induced N2O emission factors were lower for the high yield management zone (≈0.1% both growing seasons) compared to the low yield management zone (0.9% in 2013 and 0.2% in 2015) confirming that variable rate application can mitigate N2O fluxes from cropland soils. The high yield zones had the lowest emission factors despite receiving 50% more fertilizer than field average target yields suggesting more efficient crop N use in these areas with greater production potential. Conversely, the low yield zones had higher emission factors despite receiving 50% less fertilizer than field average target yields indicating a greater environmental burden associated with annual cropping these portions of the agricultural landscape. More studies are required to investigate the generality of these findings for different crops, soils and climatic conditions.","container-title":"Geoderma","DOI":"10.1016/j.geoderma.2020.114857","ISSN":"0016-7061","journalAbbreviation":"Geoderma","page":"114857","source":"ScienceDirect","title":"Soil nitrous oxide emissions from no-till canola production under variable rate nitrogen fertilizer management","volume":"385","author":[{"family":"Glenn","given":"Aaron J."},{"family":"Moulin","given":"Alan P."},{"family":"Roy","given":"Amal K."},{"family":"Wilson","given":"Henry F."}],"issued":{"date-parts":[["2021",3,1]]}}},{"id":2449,"uris":["http://zotero.org/groups/5631027/items/RNCJBXYT"],"itemData":{"id":2449,"type":"article-journal","abstract":"Agricultural nitrous oxide (N2O) emission accounts for a non-trivial fraction of global greenhouse gas (GHG) budget. To date, estimating N2O fluxes from cropland remains a challenging task because the related microbial processes (e.g., nitrification and denitrification) are controlled by complex interactions among climate, soil, plant and human activities. Existing approaches such as process-based (PB) models have well-known limitations due to insufficient representations of the processes or uncertainties of model parameters, and due to leverage recent advances in machine learning (ML) a new method is needed to unlock the “black box” to overcome its limitations such as low interpretability, out-of-sample failure and massive data demand. In this study, we developed a first-of-its-kind knowledge-guided machine learning model for agroecosystems (KGML-ag) by incorporating biogeophysical and chemical domain knowledge from an advanced PB model, ecosys, and tested it by comparing simulating daily N2O fluxes with real observed data from mesocosm experiments. The gated recurrent unit (GRU) was used as the basis to build the model structure. To optimize the model performance, we have investigated a range of ideas, including (1) using initial values of intermediate variables (IMVs) instead of time series as model input to reduce data demand; (2) building hierarchical structures to explicitly estimate IMVs for further N2O prediction; (3) using multi-task learning to balance the simultaneous training on multiple variables; and (4) pre-training with millions of synthetic data generated from ecosys and fine-tuning with mesocosm observations. Six other pure ML models were developed using the same mesocosm data to serve as the benchmark for the KGML-ag model. Results show that KGML-ag did an excellent job in reproducing the mesocosm N2O fluxes (overall r2=0.81, and RMSE=3.6 mgNm-2d-1 from cross validation). Importantly, KGML-ag always outperforms the PB model and ML models in predicting N2O fluxes, especially for complex temporal dynamics and emission peaks. Besides, KGML-ag goes beyond the pure ML models by providing more interpretable predictions as well as pinpointing desired new knowledge and data to further empower the current KGML-ag. We believe the KGML-ag development in this study will stimulate a new body of research on interpretable ML for biogeochemistry and other related geoscience processes.","container-title":"Geoscientific Model Development","DOI":"10.5194/gmd-15-2839-2022","ISSN":"1991-959X","issue":"7","language":"English","note":"publisher: Copernicus GmbH","page":"2839-2858","source":"Copernicus Online Journals","title":"KGML-ag: a modeling framework of knowledge-guided machine learning to simulate agroecosystems: a case study of estimating N&lt;sub&gt;2&lt;/sub&gt;O emission using data from mesocosm experiments","title-short":"KGML-ag","volume":"15","author":[{"family":"Liu","given":"Licheng"},{"family":"Xu","given":"Shaoming"},{"family":"Tang","given":"Jinyun"},{"family":"Guan","given":"Kaiyu"},{"family":"Griffis","given":"Timothy J."},{"family":"Erickson","given":"Matthew D."},{"family":"Frie","given":"Alexander L."},{"family":"Jia","given":"Xiaowei"},{"family":"Kim","given":"Taegon"},{"family":"Miller","given":"Lee T."},{"family":"Peng","given":"Bin"},{"family":"Wu","given":"Shaowei"},{"family":"Yang","given":"Yufeng"},{"family":"Zhou","given":"Wang"},{"family":"Kumar","given":"Vipin"},{"family":"Jin","given":"Zhenong"}],"issued":{"date-parts":[["2022",4,7]]}}},{"id":3136,"uris":["http://zotero.org/groups/4573874/items/7VD7GT3G"],"itemData":{"id":3136,"type":"article-journal","abstract":"Biochar effects on agricultural soils change over time as biochar ages. To better understand the long-term impacts of biochar application on climate change mitigation, the effect of biochar aging on nitrous oxide (N2O) emissions has been widely investigated in field experiments. However, the underlying relationship of N2O emissions with biochar properties, fertilization practices, soil properties, and weather conditions is poorly understood. We collected data from 30 peer-reviewed publications with 279 observations and used machine learning (ML) to model and explore critical factors affecting daily N2O fluxes. We established and compared models constructed using neural networks (NN), support vector regression (SVR), random forest (RF), and extreme gradient boosting (XGB). We found that the gradient boosting regression (GBR) model was the optimal algorithm for predicting daily N2O fluxes (R2 &gt; 0.90). The importance of factors driving daily N2O fluxes is as follows: fertilization practices (44%) &gt; weather conditions (30%) &gt; soil properties (21%) &gt; biochar properties (5%). In addition, the aging time of biochar, potassium application rate, soil clay fraction, and mean air temperature were critical factors affecting the daily N2O fluxes. When biochar is initially applied, it can reduce N2O emissions; however, it has no long-term effects in reducing N2O emissions. The accurate prediction and insights from the ML model benefit the assessment of the long-term effects of biochar aging on N2O emissions from agricultural soils.","container-title":"ACS Agricultural Science &amp; Technology","DOI":"10.1021/acsagscitech.4c00114","issue":"9","journalAbbreviation":"ACS Agric. Sci. Technol.","note":"publisher: American Chemical Society","page":"888-898","source":"ACS Publications","title":"Machine Learning Predicts Biochar Aging Effects on Nitrous Oxide Emissions from Agricultural Soils","volume":"4","author":[{"family":"Wang","given":"Shujun"},{"family":"Li","given":"Jie"},{"family":"Yuan","given":"Xiangzhou"},{"family":"Senadheera","given":"Sachini Supunsala"},{"family":"Chang","given":"Scott X."},{"family":"Wang","given":"Xiaonan"},{"family":"Ok","given":"Yong Sik"}],"issued":{"date-parts":[["2024",9,16]]}}}],"schema":"https://github.com/citation-style-language/schema/raw/master/csl-citation.json"} </w:instrText>
      </w:r>
      <w:r w:rsidRPr="0085558C">
        <w:rPr>
          <w:rFonts w:eastAsia="Calibri" w:cs="Times New Roman"/>
          <w:kern w:val="0"/>
          <w:szCs w:val="24"/>
          <w14:ligatures w14:val="none"/>
        </w:rPr>
        <w:fldChar w:fldCharType="separate"/>
      </w:r>
      <w:r w:rsidRPr="0085558C">
        <w:rPr>
          <w:rFonts w:eastAsia="Calibri" w:cs="Times New Roman"/>
          <w:kern w:val="0"/>
          <w:szCs w:val="24"/>
          <w:lang w:val="it-IT"/>
          <w14:ligatures w14:val="none"/>
        </w:rPr>
        <w:t>(Chiaravalloti et al., 2023; Dhaliwal et al., 2025; Glenn et al., 2021; Saha et al., ; Liu et al., 2022; Wang et al., 2024)</w:t>
      </w:r>
      <w:r w:rsidRPr="0085558C">
        <w:rPr>
          <w:rFonts w:eastAsia="Calibri" w:cs="Times New Roman"/>
          <w:kern w:val="0"/>
          <w:szCs w:val="24"/>
          <w14:ligatures w14:val="none"/>
        </w:rPr>
        <w:fldChar w:fldCharType="end"/>
      </w:r>
      <w:r w:rsidRPr="0085558C">
        <w:rPr>
          <w:rFonts w:eastAsia="Calibri" w:cs="Times New Roman"/>
          <w:kern w:val="0"/>
          <w:szCs w:val="24"/>
          <w:lang w:val="it-IT"/>
          <w14:ligatures w14:val="none"/>
        </w:rPr>
        <w:t xml:space="preserve">. </w:t>
      </w:r>
      <w:r>
        <w:rPr>
          <w:rFonts w:eastAsia="Calibri" w:cs="Times New Roman"/>
          <w:kern w:val="0"/>
          <w:szCs w:val="24"/>
          <w:lang w:val="it-IT"/>
          <w14:ligatures w14:val="none"/>
        </w:rPr>
        <w:t xml:space="preserve">Furthermore, the correlative nature of </w:t>
      </w:r>
      <w:r w:rsidRPr="0085558C">
        <w:rPr>
          <w:rFonts w:eastAsia="Calibri" w:cs="Times New Roman"/>
          <w:kern w:val="0"/>
          <w:szCs w:val="24"/>
          <w14:ligatures w14:val="none"/>
        </w:rPr>
        <w:t>ML lead</w:t>
      </w:r>
      <w:r>
        <w:rPr>
          <w:rFonts w:eastAsia="Calibri" w:cs="Times New Roman"/>
          <w:kern w:val="0"/>
          <w:szCs w:val="24"/>
          <w14:ligatures w14:val="none"/>
        </w:rPr>
        <w:t>s</w:t>
      </w:r>
      <w:r w:rsidRPr="0085558C">
        <w:rPr>
          <w:rFonts w:eastAsia="Calibri" w:cs="Times New Roman"/>
          <w:kern w:val="0"/>
          <w:szCs w:val="24"/>
          <w14:ligatures w14:val="none"/>
        </w:rPr>
        <w:t xml:space="preserve"> models to struggle </w:t>
      </w:r>
      <w:r>
        <w:rPr>
          <w:rFonts w:eastAsia="Calibri" w:cs="Times New Roman"/>
          <w:kern w:val="0"/>
          <w:szCs w:val="24"/>
          <w14:ligatures w14:val="none"/>
        </w:rPr>
        <w:t xml:space="preserve">when applied </w:t>
      </w:r>
      <w:r w:rsidRPr="0085558C">
        <w:rPr>
          <w:rFonts w:eastAsia="Calibri" w:cs="Times New Roman"/>
          <w:kern w:val="0"/>
          <w:szCs w:val="24"/>
          <w14:ligatures w14:val="none"/>
        </w:rPr>
        <w:t xml:space="preserve">outside the data characteristics used to train them </w:t>
      </w:r>
      <w:r w:rsidRPr="0085558C">
        <w:rPr>
          <w:rFonts w:eastAsia="Calibri" w:cs="Times New Roman"/>
          <w:kern w:val="0"/>
          <w:szCs w:val="24"/>
          <w14:ligatures w14:val="none"/>
        </w:rPr>
        <w:fldChar w:fldCharType="begin"/>
      </w:r>
      <w:r w:rsidR="00D74AD1">
        <w:rPr>
          <w:rFonts w:eastAsia="Calibri" w:cs="Times New Roman"/>
          <w:kern w:val="0"/>
          <w:szCs w:val="24"/>
          <w14:ligatures w14:val="none"/>
        </w:rPr>
        <w:instrText xml:space="preserve"> ADDIN ZOTERO_ITEM CSL_CITATION {"citationID":"CAuPRoTA","properties":{"formattedCitation":"(Saha, Basso, et al., 2021)","plainCitation":"(Saha, Basso, et al., 2021)","dontUpdate":true,"noteIndex":0},"citationItems":[{"id":1924,"uris":["http://zotero.org/groups/5631027/items/H3K3AIZ8"],"itemData":{"id":1924,"type":"article-journal","abstract":"The potent greenhouse gas nitrous oxide (N2O) is accumulating in the atmosphere at unprecedented rates largely due to agricultural intensification, and cultivated soils contribute </w:instrText>
      </w:r>
      <w:r w:rsidR="00D74AD1">
        <w:rPr>
          <w:rFonts w:ascii="Cambria Math" w:eastAsia="Calibri" w:hAnsi="Cambria Math" w:cs="Cambria Math"/>
          <w:kern w:val="0"/>
          <w:szCs w:val="24"/>
          <w14:ligatures w14:val="none"/>
        </w:rPr>
        <w:instrText>∼</w:instrText>
      </w:r>
      <w:r w:rsidR="00D74AD1">
        <w:rPr>
          <w:rFonts w:eastAsia="Calibri" w:cs="Times New Roman"/>
          <w:kern w:val="0"/>
          <w:szCs w:val="24"/>
          <w14:ligatures w14:val="none"/>
        </w:rPr>
        <w:instrText>60% of the agricultural flux. Empirical models of N2O fluxes for intensively managed cropping systems are confounded by highly variable fluxes and limited geographic coverage; process-based biogeochemical models are rarely able to predict daily to monthly emissions with &gt;20% accuracy even with site-specific calibration. Here we show the promise for machine learning (ML) to significantly improve field-level flux predictions, especially when coupled with a cropping systems model to simulate unmeasured soil parameters. We used sub-daily N2O flux data from six years of automated flux chambers installed in a continuous corn rotation at a site in the upper US Midwest (</w:instrText>
      </w:r>
      <w:r w:rsidR="00D74AD1">
        <w:rPr>
          <w:rFonts w:ascii="Cambria Math" w:eastAsia="Calibri" w:hAnsi="Cambria Math" w:cs="Cambria Math"/>
          <w:kern w:val="0"/>
          <w:szCs w:val="24"/>
          <w14:ligatures w14:val="none"/>
        </w:rPr>
        <w:instrText>∼</w:instrText>
      </w:r>
      <w:r w:rsidR="00D74AD1">
        <w:rPr>
          <w:rFonts w:eastAsia="Calibri" w:cs="Times New Roman"/>
          <w:kern w:val="0"/>
          <w:szCs w:val="24"/>
          <w14:ligatures w14:val="none"/>
        </w:rPr>
        <w:instrText>3000 sub-daily flux observations), supplemented with weekly to biweekly manual chamber measurements (</w:instrText>
      </w:r>
      <w:r w:rsidR="00D74AD1">
        <w:rPr>
          <w:rFonts w:ascii="Cambria Math" w:eastAsia="Calibri" w:hAnsi="Cambria Math" w:cs="Cambria Math"/>
          <w:kern w:val="0"/>
          <w:szCs w:val="24"/>
          <w14:ligatures w14:val="none"/>
        </w:rPr>
        <w:instrText>∼</w:instrText>
      </w:r>
      <w:r w:rsidR="00D74AD1">
        <w:rPr>
          <w:rFonts w:eastAsia="Calibri" w:cs="Times New Roman"/>
          <w:kern w:val="0"/>
          <w:szCs w:val="24"/>
          <w14:ligatures w14:val="none"/>
        </w:rPr>
        <w:instrText xml:space="preserve">1100 daily fluxes), to train an ML model that explained 65%–89% of daily flux variance with very few input variables—soil moisture, days after fertilization, soil texture, air temperature, soil carbon, precipitation, and nitrogen (N) fertilizer rate. When applied to a long-term test site not used to train the model, the model explained 38% of the variation observed in weekly to biweekly manual chamber measurements from corn, and 51% upon coupling the ML model with a cropping systems model that predicted daily soil N availability. This represents a two to three times improvement over conventional process-based models and with substantially fewer input requirements. This coupled approach offers promise for better predictions of agricultural N2O emissions and thus more precise global models and more effective agricultural mitigation interventions.","container-title":"Environmental Research Letters","DOI":"10.1088/1748-9326/abd2f3","ISSN":"1748-9326","issue":"2","journalAbbreviation":"Environ. Res. Lett.","language":"en","note":"publisher: IOP Publishing","page":"024004","source":"Institute of Physics","title":"Machine learning improves predictions of agricultural nitrous oxide (N2O) emissions from intensively managed cropping systems","volume":"16","author":[{"family":"Saha","given":"Debasish"},{"family":"Basso","given":"Bruno"},{"family":"Robertson","given":"G. Philip"}],"issued":{"date-parts":[["2021",1]]}}}],"schema":"https://github.com/citation-style-language/schema/raw/master/csl-citation.json"} </w:instrText>
      </w:r>
      <w:r w:rsidRPr="0085558C">
        <w:rPr>
          <w:rFonts w:eastAsia="Calibri" w:cs="Times New Roman"/>
          <w:kern w:val="0"/>
          <w:szCs w:val="24"/>
          <w14:ligatures w14:val="none"/>
        </w:rPr>
        <w:fldChar w:fldCharType="separate"/>
      </w:r>
      <w:r w:rsidRPr="0085558C">
        <w:rPr>
          <w:rFonts w:eastAsia="Calibri" w:cs="Times New Roman"/>
          <w:kern w:val="0"/>
          <w:szCs w:val="24"/>
          <w14:ligatures w14:val="none"/>
        </w:rPr>
        <w:t>(Saha et al., )</w:t>
      </w:r>
      <w:r w:rsidRPr="0085558C">
        <w:rPr>
          <w:rFonts w:eastAsia="Calibri" w:cs="Times New Roman"/>
          <w:kern w:val="0"/>
          <w:szCs w:val="24"/>
          <w14:ligatures w14:val="none"/>
        </w:rPr>
        <w:fldChar w:fldCharType="end"/>
      </w:r>
      <w:r w:rsidRPr="0085558C">
        <w:rPr>
          <w:rFonts w:eastAsia="Calibri" w:cs="Times New Roman"/>
          <w:kern w:val="0"/>
          <w:szCs w:val="24"/>
          <w14:ligatures w14:val="none"/>
        </w:rPr>
        <w:t>, yet nearly every N</w:t>
      </w:r>
      <w:r w:rsidRPr="0085558C">
        <w:rPr>
          <w:rFonts w:eastAsia="Calibri" w:cs="Times New Roman"/>
          <w:kern w:val="0"/>
          <w:szCs w:val="24"/>
          <w:vertAlign w:val="subscript"/>
          <w14:ligatures w14:val="none"/>
        </w:rPr>
        <w:t>2</w:t>
      </w:r>
      <w:r w:rsidRPr="0085558C">
        <w:rPr>
          <w:rFonts w:eastAsia="Calibri" w:cs="Times New Roman"/>
          <w:kern w:val="0"/>
          <w:szCs w:val="24"/>
          <w14:ligatures w14:val="none"/>
        </w:rPr>
        <w:t xml:space="preserve">O ML model </w:t>
      </w:r>
      <w:r>
        <w:rPr>
          <w:rFonts w:eastAsia="Calibri" w:cs="Times New Roman"/>
          <w:kern w:val="0"/>
          <w:szCs w:val="24"/>
          <w14:ligatures w14:val="none"/>
        </w:rPr>
        <w:t>until now</w:t>
      </w:r>
      <w:r w:rsidRPr="0085558C">
        <w:rPr>
          <w:rFonts w:eastAsia="Calibri" w:cs="Times New Roman"/>
          <w:kern w:val="0"/>
          <w:szCs w:val="24"/>
          <w14:ligatures w14:val="none"/>
        </w:rPr>
        <w:t xml:space="preserve"> has </w:t>
      </w:r>
      <w:r>
        <w:rPr>
          <w:rFonts w:eastAsia="Calibri" w:cs="Times New Roman"/>
          <w:kern w:val="0"/>
          <w:szCs w:val="24"/>
          <w14:ligatures w14:val="none"/>
        </w:rPr>
        <w:t>used</w:t>
      </w:r>
      <w:r w:rsidRPr="0085558C">
        <w:rPr>
          <w:rFonts w:eastAsia="Calibri" w:cs="Times New Roman"/>
          <w:kern w:val="0"/>
          <w:szCs w:val="24"/>
          <w14:ligatures w14:val="none"/>
        </w:rPr>
        <w:t xml:space="preserve"> data from one or two sites </w:t>
      </w:r>
      <w:r w:rsidRPr="0085558C">
        <w:rPr>
          <w:rFonts w:eastAsia="Calibri" w:cs="Times New Roman"/>
          <w:kern w:val="0"/>
          <w:szCs w:val="24"/>
          <w14:ligatures w14:val="none"/>
        </w:rPr>
        <w:fldChar w:fldCharType="begin"/>
      </w:r>
      <w:r w:rsidR="00D74AD1">
        <w:rPr>
          <w:rFonts w:eastAsia="Calibri" w:cs="Times New Roman"/>
          <w:kern w:val="0"/>
          <w:szCs w:val="24"/>
          <w14:ligatures w14:val="none"/>
        </w:rPr>
        <w:instrText xml:space="preserve"> ADDIN ZOTERO_ITEM CSL_CITATION {"citationID":"40zw2B4U","properties":{"formattedCitation":"(Adler et al., 2024; Anthony &amp; Silver, 2024; Bastos et al., 2021; Chiaravalloti et al., 2023; Dhaliwal et al., 2025; Glenn et al., 2021; Hamrani et al., 2020; Joshi et al., 2024; Kotlar et al., 2022a; Liu et al., 2022; Saha, Basso, et al., 2021)","plainCitation":"(Adler et al., 2024; Anthony &amp; Silver, 2024; Bastos et al., 2021; Chiaravalloti et al., 2023; Dhaliwal et al., 2025; Glenn et al., 2021; Hamrani et al., 2020; Joshi et al., 2024; Kotlar et al., 2022a; Liu et al., 2022; Saha, Basso, et al., 2021)","dontUpdate":true,"noteIndex":0},"citationItems":[{"id":3130,"uris":["http://zotero.org/groups/4573874/items/MNR4D4SQ"],"itemData":{"id":3130,"type":"article-journal","abstract":"Nitrous oxide is the largest source of greenhouse gas emissions from crop production. There is significant interest in targeting marginal lands for growing biomass crops, however little information is available on how this will affect N2O emissions from these crops. Furthermore, to characterize N2O emission at the farm level to quantify mitigation using measurements is time intensive, costly, and impractical. We selected a highly diverse watershed varying in soil texture and topography to compare two approaches for modeling soil N2O emissions using machine learning, intensive measurements of soil environment and climate variables, with the other only using remotely sensed variables. We confirmed that soil nitrogen was the most important variable followed by soil environment as influence by soil characteristic, topography, and climate. We also found that the machine learning model built on remotely sensed variables performed as well as when direct site level measurements were available. This finding supports the potential of using remotely sensed data to build machine learning models to characterize soil N2O emissions without the need for intensive soil measurements for entity level assessments.","container-title":"Environmental Research Communications","DOI":"10.1088/2515-7620/ad707c","ISSN":"2515-7620","issue":"9","journalAbbreviation":"Environ. Res. Commun.","language":"en","note":"publisher: IOP Publishing","page":"091004","source":"Institute of Physics","title":"Modeling N2O emissions with remotely sensed variables using machine learning","volume":"6","author":[{"family":"Adler","given":"Paul R"},{"family":"Nguyen","given":"Hai"},{"family":"Rau","given":"Benjamin M"},{"family":"Dell","given":"Curtis J"}],"issued":{"date-parts":[["2024",9]]}}},{"id":3061,"uris":["http://zotero.org/groups/4573874/items/PNC6EQAQ"],"itemData":{"id":3061,"type":"article-journal","abstract":"Drained agricultural peatlands occupy only 1% of agricultural land but are estimated to be responsible for approximately one third of global cropland greenhouse gas emissions. However, recent studies show that greenhouse gases fluxes from agricultural peatlands can vary by orders of magnitude over time. The relationship between these hot moments (individual fluxes with disproportionate impact on annual budgets) of greenhouse gas emissions and individual chamber locations (i.e. hot spots with disproportionate observations of hot moments) is poorly understood, but may help elucidate patterns and drivers of high greenhouse gas emissions from agricultural peatland soils. We used continuous chamber-based flux measurements across three land uses (corn, alfalfa, and pasture) to quantify the spatiotemporal patterns of soil greenhouse gas emissions from temperate agricultural peatlands in the Sacramento-San Joaquin Delta of California. We found that the location of hot spots of emissions varied over time and were not consistent across annual timescales. Hot moments of nitrous oxide (N2O) and carbon dioxide (CO2) fluxes were more evenly distributed across space than methane (CH4). In the corn system, hot moments of CH4 flux were often isolated to a single location but locations were not consistent across years. Spatiotemporal variability in soil moisture, soil oxygen, and temperature helped explain patterns in N2O fluxes in the annual corn agroecosystem but were less informative for perennial alfalfa N2O fluxes or CH4 fluxes across ecosystems, potentially due to insufficient spatiotemporal resolution of the associated drivers. Overall, our results do not support the concept of persistent hot spots of soil CO2, CH4, and N2O emissions in these drained agricultural peatlands. Hot moments of high flux events generally varied in space and time and thus required high sample densities. Our results highlight the importance of constraining hot moments and their controls to better quantify ecosystem greenhouse gas budgets.","container-title":"Biogeochemistry","DOI":"10.1007/s10533-023-01095-y","ISSN":"1573-515X","issue":"4","journalAbbreviation":"Biogeochemistry","language":"en","page":"461-477","source":"Springer Link","title":"Hot spots and hot moments of greenhouse gas emissions in agricultural peatlands","volume":"167","author":[{"family":"Anthony","given":"Tyler L."},{"family":"Silver","given":"Whendee L."}],"issued":{"date-parts":[["2024",4,1]]}}},{"id":3109,"uris":["http://zotero.org/groups/4573874/items/AVE5WH6W"],"itemData":{"id":3109,"type":"article-journal","abstract":"Fertilizer N management can mitigate N2O emissions but complex soil-weather conditions modulate the mitigation potential. Conditional inference tree (CIT) is a machine learning method able to untangle complex interactions while providing an interpretable model. The goals of this study were (a) to assess the effect of N fertilizer on N2O emissions, and to use CIT to identify (b) the main soil-weather drivers of daily N2O hot moments and (c) fertilizer management options to mitigate them. The study was conducted in 2 yr in no-till corn (Zea mays L.) with seven combinations of N source and placement tested. Daily N2O emissions were measured with vented chambers, and soil temperature and water-filled pore space (WFPS) were measured near the chambers on the same days of gas sampling. Overall, 2013 was drier with lower N2O emissions than 2014. Cumulative N2O losses differed across treatments and years, with broadcast emitting more in 2014 than in 2013, and only subsurface-banded fertilizer with a nitrification inhibitor (NI) consistently abated N2O losses. The main hot moment conditions were within </w:instrText>
      </w:r>
      <w:r w:rsidR="00D74AD1">
        <w:rPr>
          <w:rFonts w:ascii="Cambria Math" w:eastAsia="Calibri" w:hAnsi="Cambria Math" w:cs="Cambria Math"/>
          <w:kern w:val="0"/>
          <w:szCs w:val="24"/>
          <w14:ligatures w14:val="none"/>
        </w:rPr>
        <w:instrText>∼</w:instrText>
      </w:r>
      <w:r w:rsidR="00D74AD1">
        <w:rPr>
          <w:rFonts w:eastAsia="Calibri" w:cs="Times New Roman"/>
          <w:kern w:val="0"/>
          <w:szCs w:val="24"/>
          <w14:ligatures w14:val="none"/>
        </w:rPr>
        <w:instrText xml:space="preserve">80 d of fertilizer application when soil temperature &gt;15 °C and WFPS &gt;57%. Under these conditions, NI abated losses by 50% compared with fertilizer alone. The machine learning approach used here could be used in larger datasets to elucidate environment-specific drivers of N2O hot moments and potential fertilizer mitigation practices under different soil, weather, and management conditions.","container-title":"Soil Science Society of America Journal","DOI":"10.1002/saj2.20292","ISSN":"1435-0661","issue":"5","language":"en","license":"© 2021 The Authors. Soil Science Society of America Journal published by Wiley Periodicals LLC on behalf of Soil Science Society of America","note":"_eprint: https://onlinelibrary.wiley.com/doi/pdf/10.1002/saj2.20292","page":"1437-1447","source":"Wiley Online Library","title":"Untangling soil-weather drivers of daily N2O emissions and fertilizer management mitigation strategies in no-till corn","volume":"85","author":[{"family":"Bastos","given":"Leonardo M."},{"family":"Rice","given":"Charles W."},{"family":"Tomlinson","given":"Peter J."},{"family":"Mengel","given":"David"}],"issued":{"date-parts":[["2021"]]}}},{"id":3112,"uris":["http://zotero.org/groups/4573874/items/4ZP7MW4Q"],"itemData":{"id":3112,"type":"article-journal","abstract":"Nitrous oxide (N2O) is a potent and long-lived greenhouse gas that accounts for roughly 6% of global anthropogenic greenhouse gas emissions, and it has risen from its preindustrial concentration of 270 ppb N2O to 332 ppb N2O as a result of human activities. The majority of anthropogenic N2O emissions (52–80%) come from agricultural settings due to high rates of reactive nitrogen fertilizer application. Amending soils with fine-grained basalt is gaining traction as a carbon dioxide removal (CDR) pathway, and model simulations suggest that this process may also significantly decrease soil N2O emissions. Here, we continuously measure N2O fluxes from large-scale maize mesocosms in a greenhouse setting and use a machine learning framework to assess the relative importance of the levers on N2O fluxes. We observe significant decreases in cumulative N2O emissions (between 29–32%) from mesocosm systems with basalt addition. We find that basalt application rate, soil pH, and surface soil moisture are the strongest levers on N2O emissions depending on the system settings. These results provide empirical support for a potentially significant co-benefit of deploying enhanced rock weathering of silicates (ERW) on managed lands, particularly those subject to elevated rates of reactive nitrogen input.","container-title":"Frontiers in Climate","DOI":"10.3389/fclim.2023.1203043","ISSN":"2624-9553","journalAbbreviation":"Front. Clim.","language":"English","note":"publisher: Frontiers","source":"Frontiers","title":"Mitigation of soil nitrous oxide emissions during maize production with basalt amendments","URL":"https://www.frontiersin.orghttps://www.frontiersin.org/journals/climate/articles/10.3389/fclim.2023.1203043/full","volume":"5","author":[{"family":"Chiaravalloti","given":"Isabella"},{"family":"Theunissen","given":"Nicolas"},{"family":"Zhang","given":"Shuang"},{"family":"Wang","given":"Jiuyuan"},{"family":"Sun","given":"Fengchao"},{"family":"Ahmed","given":"Ayesha A."},{"family":"Pihlap","given":"Evelin"},{"family":"Reinhard","given":"Christopher T."},{"family":"Planavsky","given":"Noah J."}],"accessed":{"date-parts":[["2025",4,14]]},"issued":{"date-parts":[["2023",6,22]]}}},{"id":3126,"uris":["http://zotero.org/groups/4573874/items/KXHMG4CM"],"itemData":{"id":3126,"type":"article-journal","abstract":"Soil nitrous oxide (N2O) emissions exhibit high variability in intensively managed cropping systems, which challenges our ability to understand their complex interactions with controlling factors. We leveraged 17 years (2003–2019) of measurements at the Kellogg Biological Station Long-Term Ecological Research (LTER)/Long-Term Agroecosystem Research (LTAR) site to better understand the controls of N2O emissions in four corn–soybean–winter wheat rotations employing conventional, no-till, reduced input, and biologically based/organic inputs. We used a random forest machine learning model to predict daily N2O fluxes, trained separately for each system with 70% of observations, using variables such as crop species, daily air temperature, cumulative 2-day precipitation, water-filled pore space, and soil nitrate and ammonium concentrations. The model explained 29%–42% of daily N2O flux variability in the test data, with greater predictability for the corn phase in each system. The long-term rotations showed different controlling factors and threshold conditions influencing N2O emissions. In the conventional system, the model identified ammonium (&gt;15 kg N ha−1) and daily air temperature (&gt;23°C) as the most influential variables; in the no-till system, climate variables such as precipitation and air temperature were important variables. In low-input and organic systems, where red clover (Trifolium repens L.; before corn) and cereal rye (Secale cereale L.; before soybean) cover crops were integrated, nitrate was the predominant predictor of N2O emissions, followed by precipitation and air temperature. In low-input and biologically based systems, red clover residues increased soil nitrogen availability to influence N2O emissions. Long-term data facilitated machine learning for predicting N2O emissions in response to differential controls and threshold responses to management, environmental, and biogeochemical drivers.","container-title":"Journal of Environmental Quality","DOI":"10.1002/jeq2.20637","ISSN":"1537-2537","issue":"1","language":"en","license":"© 2024 The Author(s). Journal of Environmental Quality published by Wiley Periodicals LLC on behalf of American Society of Agronomy, Crop Science Society of America, and Soil Science Society of America.","note":"_eprint: https://onlinelibrary.wiley.com/doi/pdf/10.1002/jeq2.20637","page":"132-146","source":"Wiley Online Library","title":"Machine learning reveals dynamic controls of soil nitrous oxide emissions from diverse long-term cropping systems","volume":"54","author":[{"family":"Dhaliwal","given":"Jashanjeet Kaur"},{"family":"Panday","given":"Dinesh"},{"family":"Robertson","given":"G. Philip"},{"family":"Saha","given":"Debasish"}],"issued":{"date-parts":[["2025"]]}}},{"id":3107,"uris":["http://zotero.org/groups/4573874/items/2C6NS88G"],"itemData":{"id":3107,"type":"article-journal","abstract":"Precision farming methods such as variable rate or site-specific nitrogen (N) fertilizer application based on field management zones may represent a mechanism to mitigate soil nitrous oxide (N2O) emissions. To investigate the impact of site-specific N fertilization on soil N2O fluxes a study was conducted from spring 2013 through summer 2015 on no-till cropland under canola (Brassica napus) production near Brandon, Manitoba, Canada. The static chamber method was used to measure soil N2O fluxes across three management zones (low yield, average yield, and high yield) with three N application rates (50%, 100%, and 150% of target seed yields for each management zone) and unfertilized control treatments. A machine-learning approach (random forest analysis) for analyzing soil N2O fluxes confirmed conditions related to soil temperature, moisture, and nitrate availability were the most important predictors of individual flux events. Similarly, soil N availability and moisture content were found to be the most important variables in regression models of cumulative growing season emissions. Nitrogen fertilizer-induced N2O emission factors were lower for the high yield management zone (≈0.1% both growing seasons) compared to the low yield management zone (0.9% in 2013 and 0.2% in 2015) confirming that variable rate application can mitigate N2O fluxes from cropland soils. The high yield zones had the lowest emission factors despite receiving 50% more fertilizer than field average target yields suggesting more efficient crop N use in these areas with greater production potential. Conversely, the low yield zones had higher emission factors despite receiving 50% less fertilizer than field average target yields indicating a greater environmental burden associated with annual cropping these portions of the agricultural landscape. More studies are required to investigate the generality of these findings for different crops, soils and climatic conditions.","container-title":"Geoderma","DOI":"10.1016/j.geoderma.2020.114857","ISSN":"0016-7061","journalAbbreviation":"Geoderma","page":"114857","source":"ScienceDirect","title":"Soil nitrous oxide emissions from no-till canola production under variable rate nitrogen fertilizer management","volume":"385","author":[{"family":"Glenn","given":"Aaron J."},{"family":"Moulin","given":"Alan P."},{"family":"Roy","given":"Amal K."},{"family":"Wilson","given":"Henry F."}],"issued":{"date-parts":[["2021",3,1]]}}},{"id":678,"uris":["http://zotero.org/groups/4573874/items/G6D3PW7Q"],"itemData":{"id":678,"type":"article-journal","abstract":"Machine learning (ML) models are increasingly used to study complex environmental phenomena with high variability in time and space. In this study, the potential of exploiting three categories of ML regression models, including classical regression, shallow learning and deep learning for predicting soil greenhouse gas (GHG) emissions from an agricultural field was explored. Carbon dioxide (CO2) and nitrous oxide (N2O) fluxes, as well as various environmental, agronomic and soil data were measured at the site over a five-year period in Quebec, Canada. The rigorous analysis, which included statistical comparison and cross-validation for the prediction of CO2 and N2O fluxes, confirmed that the LSTM model performed the best among the considered ML models with the highest R coefficient and the lowest root mean squared error (RMSE) values (R = 0.87 and RMSE = 30.3 mg·m−2·hr−1 for CO2 flux prediction and R = 0.86 and RMSE = 0.19 mg·m−2·hr−1 for N2O flux prediction). The predictive performances of LSTM were more accurate than those simulated in a previous study conducted by a biophysical-based Root Zone Water Quality Model (RZWQM2). The classical regression models (namely RF, SVM and LASSO) satisfactorily simulated cyclical and seasonal variations of CO2 fluxes (R = 0.75, 0.71 and 0.68, respectively); however, they failed to reasonably predict the peak values of N2O fluxes (R &lt; 0.25). Shallow ML was found to be less effective in predicting GHG fluxes than other considered ML models (R &lt; 0.7 for CO2 flux and R &lt; 0.3 for estimating N2O fluxes) and was the most sensitive to hyperparameter tuning. Based on this comprehensive comparison study, it was elicited that the LSTM model can be employed successfully in simulating GHG emissions from agricultural soils, providing a new perspective on the application of machine learning modeling for predicting GHG emissions to the environment.","container-title":"Science of The Total Environment","DOI":"10.1016/j.scitotenv.2020.140338","ISSN":"0048-9697","journalAbbreviation":"Science of The Total Environment","language":"en","page":"140338","source":"ScienceDirect","title":"Machine learning for predicting greenhouse gas emissions from agricultural soils","volume":"741","author":[{"family":"Hamrani","given":"Abderrachid"},{"family":"Akbarzadeh","given":"Abdolhamid"},{"family":"Madramootoo","given":"Chandra A."}],"issued":{"date-parts":[["2020",11,1]]}}},{"id":3116,"uris":["http://zotero.org/groups/4573874/items/ASSALIBK"],"itemData":{"id":3116,"type":"article-journal","abstract":"Cover crops improve soil health and reduce the risk of soil erosion. However, their impact on the carbon dioxide equivalence (CO2e) is unknown. Therefore, the objective of this 2-yr study was to quantify the effect of cover crop-induced differences in soil moisture, temperature, organic C, and microorganisms on CO2e, and to develop machine learning algorithms that predict daily N2O–N and CO2–C emissions. The prediction models tested were multiple linear regression, partial least square regression, support vector machine, random forest (RF), and artificial neural network. Models’ performance was accessed using R2, RMSE and mean of absolute value of error. Rye (Secale cereale L.) was dormant seeded in mid-October, and in the following spring it was terminated at corn's (Zea mays L.) V4 growth stage. Soil temperature, moisture, and N2O–N and CO2–C emissions were measured near continuously from soil thaw to harvest in 2019 and 2020. Prior to termination, the cover crop decreased N2O–N emissions by 34% (p = .05), and over the entire season, N2O–N emissions from cover crop and no cover crop treatments were similar (p = .71). Based on N2O–N and CO2–C emissions over the entire season and the estimated fixed cover crop-C remaining in the soil, the partial CO2e were −1,061 and 496 kg CO2e ha–1 in the cover crop and no cover crop treatments, respectively. The RF algorithm explained more of the daily N2O–N (73%) and CO2–C (85%) emissions variability during validation than the other models. Across models, the most important variables were temperature and the amount of cover crop-C added to the soil.","container-title":"Agronomy Journal","DOI":"10.1002/agj2.21185","ISSN":"1435-0645","issue":"3","language":"en","license":"© 2022 The Authors. Agronomy Journal published by Wiley Periodicals LLC on behalf of American Society of Agronomy.","note":"_eprint: https://onlinelibrary.wiley.com/doi/pdf/10.1002/agj2.21185","page":"795-809","source":"Wiley Online Library","title":"Quantification and machine learning based N2O–N and CO2–C emissions predictions from a decomposing rye cover crop","volume":"116","author":[{"family":"Joshi","given":"Deepak R."},{"family":"Clay","given":"David E."},{"family":"Clay","given":"Sharon A."},{"family":"Moriles-Miller","given":"Janet"},{"family":"Daigh","given":"Aaron L. M."},{"family":"Reicks","given":"Graig"},{"family":"Westhoff","given":"Shaina"}],"issued":{"date-parts":[["2024"]]}}},{"id":2449,"uris":["http://zotero.org/groups/5631027/items/RNCJBXYT"],"itemData":{"id":2449,"type":"article-journal","abstract":"Agricultural nitrous oxide (N2O) emission accounts for a non-trivial fraction of global greenhouse gas (GHG) budget. To date, estimating N2O fluxes from cropland remains a challenging task because the related microbial processes (e.g., nitrification and denitrification) are controlled by complex interactions among climate, soil, plant and human activities. Existing approaches such as process-based (PB) models have well-known limitations due to insufficient representations of the processes or uncertainties of model parameters, and due to leverage recent advances in machine learning (ML) a new method is needed to unlock the “black box” to overcome its limitations such as low interpretability, out-of-sample failure and massive data demand. In this study, we developed a first-of-its-kind knowledge-guided machine learning model for agroecosystems (KGML-ag) by incorporating biogeophysical and chemical domain knowledge from an advanced PB model, ecosys, and tested it by comparing simulating daily N2O fluxes with real observed data from mesocosm experiments. The gated recurrent unit (GRU) was used as the basis to build the model structure. To optimize the model performance, we have investigated a range of ideas, including (1) using initial values of intermediate variables (IMVs) instead of time series as model input to reduce data demand; (2) building hierarchical structures to explicitly estimate IMVs for further N2O prediction; (3) using multi-task learning to balance the simultaneous training on multiple variables; and (4) pre-training with millions of synthetic data generated from ecosys and fine-tuning with mesocosm observations. Six other pure ML models were developed using the same mesocosm data to serve as the benchmark for the KGML-ag model. Results show that KGML-ag did an excellent job in reproducing the mesocosm N2O fluxes (overall r2=0.81, and RMSE=3.6 mgNm-2d-1 from cross validation). Importantly, KGML-ag always outperforms the PB model and ML models in predicting N2O fluxes, especially for complex temporal dynamics and emission peaks. Besides, KGML-ag goes beyond the pure ML models by providing more interpretable predictions as well as pinpointing desired new knowledge and data to further empower the current KGML-ag. We believe the KGML-ag development in this study will stimulate a new body of research on interpretable ML for biogeochemistry and other related geoscience processes.","container-title":"Geoscientific Model Development","DOI":"10.5194/gmd-15-2839-2022","ISSN":"1991-959X","issue":"7","language":"English","note":"publisher: Copernicus GmbH","page":"2839-2858","source":"Copernicus Online Journals","title":"KGML-ag: a modeling framework of knowledge-guided machine learning to simulate agroecosystems: a case study of estimating N&lt;sub&gt;2&lt;/sub&gt;O emission using data from mesocosm experiments","title-short":"KGML-ag","volume":"15","author":[{"family":"Liu","given":"Licheng"},{"family":"Xu","given":"Shaoming"},{"family":"Tang","given":"Jinyun"},{"family":"Guan","given":"Kaiyu"},{"family":"Griffis","given":"Timothy J."},{"family":"Erickson","given":"Matthew D."},{"family":"Frie","given":"Alexander L."},{"family":"Jia","given":"Xiaowei"},{"family":"Kim","given":"Taegon"},{"family":"Miller","given":"Lee T."},{"family":"Peng","given":"Bin"},{"family":"Wu","given":"Shaowei"},{"family":"Yang","given":"Yufeng"},{"family":"Zhou","given":"Wang"},{"family":"Kumar","given":"Vipin"},{"family":"Jin","given":"Zhenong"}],"issued":{"date-parts":[["2022",4,7]]}}},{"id":3122,"uris":["http://zotero.org/groups/4573874/items/IPYPH87V"],"itemData":{"id":3122,"type":"article-journal","container-title":"Soil Science Society of America Journal","ISSN":"0361-5995","issue":"5","journalAbbreviation":"Soil Science Society of America Journal","note":"publisher: Wiley Online Library","page":"1227-1240","title":"Prediction of greenhouse gas emissions from agricultural fields with and without cover crops","volume":"86","author":[{"family":"Kotlar","given":"Ali Mehmandoost"},{"family":"Singh","given":"Jasdeep"},{"family":"Kumar","given":"Sandeep"}],"issued":{"date-parts":[["2022"]]}}},{"id":1924,"uris":["http://zotero.org/groups/5631027/items/H3K3AIZ8"],"itemData":{"id":1924,"type":"article-journal","abstract":"The potent greenhouse gas nitrous oxide (N2O) is accumulating in the atmosphere at unprecedented rates largely due to agricultural intensification, and cultivated soils contribute </w:instrText>
      </w:r>
      <w:r w:rsidR="00D74AD1">
        <w:rPr>
          <w:rFonts w:ascii="Cambria Math" w:eastAsia="Calibri" w:hAnsi="Cambria Math" w:cs="Cambria Math"/>
          <w:kern w:val="0"/>
          <w:szCs w:val="24"/>
          <w14:ligatures w14:val="none"/>
        </w:rPr>
        <w:instrText>∼</w:instrText>
      </w:r>
      <w:r w:rsidR="00D74AD1">
        <w:rPr>
          <w:rFonts w:eastAsia="Calibri" w:cs="Times New Roman"/>
          <w:kern w:val="0"/>
          <w:szCs w:val="24"/>
          <w14:ligatures w14:val="none"/>
        </w:rPr>
        <w:instrText>60% of the agricultural flux. Empirical models of N2O fluxes for intensively managed cropping systems are confounded by highly variable fluxes and limited geographic coverage; process-based biogeochemical models are rarely able to predict daily to monthly emissions with &gt;20% accuracy even with site-specific calibration. Here we show the promise for machine learning (ML) to significantly improve field-level flux predictions, especially when coupled with a cropping systems model to simulate unmeasured soil parameters. We used sub-daily N2O flux data from six years of automated flux chambers installed in a continuous corn rotation at a site in the upper US Midwest (</w:instrText>
      </w:r>
      <w:r w:rsidR="00D74AD1">
        <w:rPr>
          <w:rFonts w:ascii="Cambria Math" w:eastAsia="Calibri" w:hAnsi="Cambria Math" w:cs="Cambria Math"/>
          <w:kern w:val="0"/>
          <w:szCs w:val="24"/>
          <w14:ligatures w14:val="none"/>
        </w:rPr>
        <w:instrText>∼</w:instrText>
      </w:r>
      <w:r w:rsidR="00D74AD1">
        <w:rPr>
          <w:rFonts w:eastAsia="Calibri" w:cs="Times New Roman"/>
          <w:kern w:val="0"/>
          <w:szCs w:val="24"/>
          <w14:ligatures w14:val="none"/>
        </w:rPr>
        <w:instrText>3000 sub-daily flux observations), supplemented with weekly to biweekly manual chamber measurements (</w:instrText>
      </w:r>
      <w:r w:rsidR="00D74AD1">
        <w:rPr>
          <w:rFonts w:ascii="Cambria Math" w:eastAsia="Calibri" w:hAnsi="Cambria Math" w:cs="Cambria Math"/>
          <w:kern w:val="0"/>
          <w:szCs w:val="24"/>
          <w14:ligatures w14:val="none"/>
        </w:rPr>
        <w:instrText>∼</w:instrText>
      </w:r>
      <w:r w:rsidR="00D74AD1">
        <w:rPr>
          <w:rFonts w:eastAsia="Calibri" w:cs="Times New Roman"/>
          <w:kern w:val="0"/>
          <w:szCs w:val="24"/>
          <w14:ligatures w14:val="none"/>
        </w:rPr>
        <w:instrText xml:space="preserve">1100 daily fluxes), to train an ML model that explained 65%–89% of daily flux variance with very few input variables—soil moisture, days after fertilization, soil texture, air temperature, soil carbon, precipitation, and nitrogen (N) fertilizer rate. When applied to a long-term test site not used to train the model, the model explained 38% of the variation observed in weekly to biweekly manual chamber measurements from corn, and 51% upon coupling the ML model with a cropping systems model that predicted daily soil N availability. This represents a two to three times improvement over conventional process-based models and with substantially fewer input requirements. This coupled approach offers promise for better predictions of agricultural N2O emissions and thus more precise global models and more effective agricultural mitigation interventions.","container-title":"Environmental Research Letters","DOI":"10.1088/1748-9326/abd2f3","ISSN":"1748-9326","issue":"2","journalAbbreviation":"Environ. Res. Lett.","language":"en","note":"publisher: IOP Publishing","page":"024004","source":"Institute of Physics","title":"Machine learning improves predictions of agricultural nitrous oxide (N2O) emissions from intensively managed cropping systems","volume":"16","author":[{"family":"Saha","given":"Debasish"},{"family":"Basso","given":"Bruno"},{"family":"Robertson","given":"G. Philip"}],"issued":{"date-parts":[["2021",1]]}}}],"schema":"https://github.com/citation-style-language/schema/raw/master/csl-citation.json"} </w:instrText>
      </w:r>
      <w:r w:rsidRPr="0085558C">
        <w:rPr>
          <w:rFonts w:eastAsia="Calibri" w:cs="Times New Roman"/>
          <w:kern w:val="0"/>
          <w:szCs w:val="24"/>
          <w14:ligatures w14:val="none"/>
        </w:rPr>
        <w:fldChar w:fldCharType="separate"/>
      </w:r>
      <w:r w:rsidRPr="0085558C">
        <w:rPr>
          <w:rFonts w:eastAsia="Calibri" w:cs="Times New Roman"/>
          <w:kern w:val="0"/>
          <w:szCs w:val="24"/>
          <w:lang w:val="it-IT"/>
          <w14:ligatures w14:val="none"/>
        </w:rPr>
        <w:t xml:space="preserve">(Adler et al., 2024; Anthony &amp; Silver, 2024; Bastos et al., 2021; Chiaravalloti et al., 2023; Dhaliwal et al., 2025; Glenn et al., 2021; Hamrani et al., 2020; Joshi et al., 2024; Kotlar et al., </w:t>
      </w:r>
      <w:r w:rsidR="00C45B10">
        <w:rPr>
          <w:rFonts w:eastAsia="Calibri" w:cs="Times New Roman"/>
          <w:kern w:val="0"/>
          <w:szCs w:val="24"/>
          <w:lang w:val="it-IT"/>
          <w14:ligatures w14:val="none"/>
        </w:rPr>
        <w:t>2022</w:t>
      </w:r>
      <w:r w:rsidRPr="0085558C">
        <w:rPr>
          <w:rFonts w:eastAsia="Calibri" w:cs="Times New Roman"/>
          <w:kern w:val="0"/>
          <w:szCs w:val="24"/>
          <w:lang w:val="it-IT"/>
          <w14:ligatures w14:val="none"/>
        </w:rPr>
        <w:t>; Liu et al., 2022; Saha et al., 2021</w:t>
      </w:r>
      <w:r w:rsidR="00C45B10">
        <w:rPr>
          <w:rFonts w:eastAsia="Calibri" w:cs="Times New Roman"/>
          <w:kern w:val="0"/>
          <w:szCs w:val="24"/>
          <w:lang w:val="it-IT"/>
          <w14:ligatures w14:val="none"/>
        </w:rPr>
        <w:t>a</w:t>
      </w:r>
      <w:r w:rsidRPr="0085558C">
        <w:rPr>
          <w:rFonts w:eastAsia="Calibri" w:cs="Times New Roman"/>
          <w:kern w:val="0"/>
          <w:szCs w:val="24"/>
          <w:lang w:val="it-IT"/>
          <w14:ligatures w14:val="none"/>
        </w:rPr>
        <w:t>)</w:t>
      </w:r>
      <w:r w:rsidRPr="0085558C">
        <w:rPr>
          <w:rFonts w:eastAsia="Calibri" w:cs="Times New Roman"/>
          <w:kern w:val="0"/>
          <w:szCs w:val="24"/>
          <w14:ligatures w14:val="none"/>
        </w:rPr>
        <w:fldChar w:fldCharType="end"/>
      </w:r>
      <w:r w:rsidRPr="0085558C">
        <w:rPr>
          <w:rFonts w:eastAsia="Calibri" w:cs="Times New Roman"/>
          <w:kern w:val="0"/>
          <w:szCs w:val="24"/>
          <w:lang w:val="it-IT"/>
          <w14:ligatures w14:val="none"/>
        </w:rPr>
        <w:t xml:space="preserve">. </w:t>
      </w:r>
      <w:r w:rsidRPr="0085558C">
        <w:rPr>
          <w:rFonts w:eastAsia="Calibri" w:cs="Times New Roman"/>
          <w:kern w:val="0"/>
          <w:szCs w:val="24"/>
          <w14:ligatures w14:val="none"/>
        </w:rPr>
        <w:t xml:space="preserve">This not only precludes the generalizability of these models, but also gives optimistic evaluations of model performances by maintaining a constancy of environmental drivers likely to change with geography. </w:t>
      </w:r>
      <w:r>
        <w:rPr>
          <w:rFonts w:eastAsia="Calibri" w:cs="Times New Roman"/>
          <w:kern w:val="0"/>
          <w:szCs w:val="24"/>
          <w14:ligatures w14:val="none"/>
        </w:rPr>
        <w:t>Because hot moments</w:t>
      </w:r>
      <w:r w:rsidRPr="0085558C">
        <w:rPr>
          <w:rFonts w:eastAsia="Calibri" w:cs="Times New Roman"/>
          <w:kern w:val="0"/>
          <w:szCs w:val="24"/>
          <w14:ligatures w14:val="none"/>
        </w:rPr>
        <w:t xml:space="preserve"> are </w:t>
      </w:r>
      <w:r>
        <w:rPr>
          <w:rFonts w:eastAsia="Calibri" w:cs="Times New Roman"/>
          <w:kern w:val="0"/>
          <w:szCs w:val="24"/>
          <w14:ligatures w14:val="none"/>
        </w:rPr>
        <w:t>uncommon</w:t>
      </w:r>
      <w:r w:rsidRPr="0085558C">
        <w:rPr>
          <w:rFonts w:eastAsia="Calibri" w:cs="Times New Roman"/>
          <w:kern w:val="0"/>
          <w:szCs w:val="24"/>
          <w14:ligatures w14:val="none"/>
        </w:rPr>
        <w:t>,</w:t>
      </w:r>
      <w:r>
        <w:rPr>
          <w:rFonts w:eastAsia="Calibri" w:cs="Times New Roman"/>
          <w:kern w:val="0"/>
          <w:szCs w:val="24"/>
          <w14:ligatures w14:val="none"/>
        </w:rPr>
        <w:t xml:space="preserve"> </w:t>
      </w:r>
      <w:r w:rsidRPr="0085558C">
        <w:rPr>
          <w:rFonts w:eastAsia="Calibri" w:cs="Times New Roman"/>
          <w:kern w:val="0"/>
          <w:szCs w:val="24"/>
          <w14:ligatures w14:val="none"/>
        </w:rPr>
        <w:t xml:space="preserve">ML models </w:t>
      </w:r>
      <w:r>
        <w:rPr>
          <w:rFonts w:eastAsia="Calibri" w:cs="Times New Roman"/>
          <w:kern w:val="0"/>
          <w:szCs w:val="24"/>
          <w14:ligatures w14:val="none"/>
        </w:rPr>
        <w:t>must</w:t>
      </w:r>
      <w:r w:rsidRPr="0085558C">
        <w:rPr>
          <w:rFonts w:eastAsia="Calibri" w:cs="Times New Roman"/>
          <w:kern w:val="0"/>
          <w:szCs w:val="24"/>
          <w14:ligatures w14:val="none"/>
        </w:rPr>
        <w:t xml:space="preserve"> infer the most complex relationships from a small portion of </w:t>
      </w:r>
      <w:r>
        <w:rPr>
          <w:rFonts w:eastAsia="Calibri" w:cs="Times New Roman"/>
          <w:kern w:val="0"/>
          <w:szCs w:val="24"/>
          <w14:ligatures w14:val="none"/>
        </w:rPr>
        <w:t>training data, leading them to</w:t>
      </w:r>
      <w:r w:rsidRPr="0085558C">
        <w:rPr>
          <w:rFonts w:eastAsia="Calibri" w:cs="Times New Roman"/>
          <w:kern w:val="0"/>
          <w:szCs w:val="24"/>
          <w14:ligatures w14:val="none"/>
        </w:rPr>
        <w:t xml:space="preserve"> often systematically underestimating hot moments </w:t>
      </w:r>
      <w:r w:rsidRPr="0085558C">
        <w:rPr>
          <w:rFonts w:eastAsia="Calibri" w:cs="Times New Roman"/>
          <w:kern w:val="0"/>
          <w:szCs w:val="24"/>
          <w14:ligatures w14:val="none"/>
        </w:rPr>
        <w:fldChar w:fldCharType="begin"/>
      </w:r>
      <w:r w:rsidR="00FB5341">
        <w:rPr>
          <w:rFonts w:eastAsia="Calibri" w:cs="Times New Roman"/>
          <w:kern w:val="0"/>
          <w:szCs w:val="24"/>
          <w14:ligatures w14:val="none"/>
        </w:rPr>
        <w:instrText xml:space="preserve"> ADDIN ZOTERO_ITEM CSL_CITATION {"citationID":"i8PkxiSL","properties":{"formattedCitation":"(Adler et al., 2024; Anthony &amp; Silver, 2024; Chiaravalloti et al., 2023; Dhaliwal et al., 2025; Hamrani et al., 2020; Joshi et al., 2024; Kotlar et al., 2022)","plainCitation":"(Adler et al., 2024; Anthony &amp; Silver, 2024; Chiaravalloti et al., 2023; Dhaliwal et al., 2025; Hamrani et al., 2020; Joshi et al., 2024; Kotlar et al., 2022)","noteIndex":0},"citationItems":[{"id":3130,"uris":["http://zotero.org/groups/4573874/items/MNR4D4SQ"],"itemData":{"id":3130,"type":"article-journal","abstract":"Nitrous oxide is the largest source of greenhouse gas emissions from crop production. There is significant interest in targeting marginal lands for growing biomass crops, however little information is available on how this will affect N2O emissions from these crops. Furthermore, to characterize N2O emission at the farm level to quantify mitigation using measurements is time intensive, costly, and impractical. We selected a highly diverse watershed varying in soil texture and topography to compare two approaches for modeling soil N2O emissions using machine learning, intensive measurements of soil environment and climate variables, with the other only using remotely sensed variables. We confirmed that soil nitrogen was the most important variable followed by soil environment as influence by soil characteristic, topography, and climate. We also found that the machine learning model built on remotely sensed variables performed as well as when direct site level measurements were available. This finding supports the potential of using remotely sensed data to build machine learning models to characterize soil N2O emissions without the need for intensive soil measurements for entity level assessments.","container-title":"Environmental Research Communications","DOI":"10.1088/2515-7620/ad707c","ISSN":"2515-7620","issue":"9","journalAbbreviation":"Environ. Res. Commun.","language":"en","note":"publisher: IOP Publishing","page":"091004","source":"Institute of Physics","title":"Modeling N2O emissions with remotely sensed variables using machine learning","volume":"6","author":[{"family":"Adler","given":"Paul R"},{"family":"Nguyen","given":"Hai"},{"family":"Rau","given":"Benjamin M"},{"family":"Dell","given":"Curtis J"}],"issued":{"date-parts":[["2024",9]]}}},{"id":3061,"uris":["http://zotero.org/groups/4573874/items/PNC6EQAQ"],"itemData":{"id":3061,"type":"article-journal","abstract":"Drained agricultural peatlands occupy only 1% of agricultural land but are estimated to be responsible for approximately one third of global cropland greenhouse gas emissions. However, recent studies show that greenhouse gases fluxes from agricultural peatlands can vary by orders of magnitude over time. The relationship between these hot moments (individual fluxes with disproportionate impact on annual budgets) of greenhouse gas emissions and individual chamber locations (i.e. hot spots with disproportionate observations of hot moments) is poorly understood, but may help elucidate patterns and drivers of high greenhouse gas emissions from agricultural peatland soils. We used continuous chamber-based flux measurements across three land uses (corn, alfalfa, and pasture) to quantify the spatiotemporal patterns of soil greenhouse gas emissions from temperate agricultural peatlands in the Sacramento-San Joaquin Delta of California. We found that the location of hot spots of emissions varied over time and were not consistent across annual timescales. Hot moments of nitrous oxide (N2O) and carbon dioxide (CO2) fluxes were more evenly distributed across space than methane (CH4). In the corn system, hot moments of CH4 flux were often isolated to a single location but locations were not consistent across years. Spatiotemporal variability in soil moisture, soil oxygen, and temperature helped explain patterns in N2O fluxes in the annual corn agroecosystem but were less informative for perennial alfalfa N2O fluxes or CH4 fluxes across ecosystems, potentially due to insufficient spatiotemporal resolution of the associated drivers. Overall, our results do not support the concept of persistent hot spots of soil CO2, CH4, and N2O emissions in these drained agricultural peatlands. Hot moments of high flux events generally varied in space and time and thus required high sample densities. Our results highlight the importance of constraining hot moments and their controls to better quantify ecosystem greenhouse gas budgets.","container-title":"Biogeochemistry","DOI":"10.1007/s10533-023-01095-y","ISSN":"1573-515X","issue":"4","journalAbbreviation":"Biogeochemistry","language":"en","page":"461-477","source":"Springer Link","title":"Hot spots and hot moments of greenhouse gas emissions in agricultural peatlands","volume":"167","author":[{"family":"Anthony","given":"Tyler L."},{"family":"Silver","given":"Whendee L."}],"issued":{"date-parts":[["2024",4,1]]}}},{"id":3112,"uris":["http://zotero.org/groups/4573874/items/4ZP7MW4Q"],"itemData":{"id":3112,"type":"article-journal","abstract":"Nitrous oxide (N2O) is a potent and long-lived greenhouse gas that accounts for roughly 6% of global anthropogenic greenhouse gas emissions, and it has risen from its preindustrial concentration of 270 ppb N2O to 332 ppb N2O as a result of human activities. The majority of anthropogenic N2O emissions (52–80%) come from agricultural settings due to high rates of reactive nitrogen fertilizer application. Amending soils with fine-grained basalt is gaining traction as a carbon dioxide removal (CDR) pathway, and model simulations suggest that this process may also significantly decrease soil N2O emissions. Here, we continuously measure N2O fluxes from large-scale maize mesocosms in a greenhouse setting and use a machine learning framework to assess the relative importance of the levers on N2O fluxes. We observe significant decreases in cumulative N2O emissions (between 29–32%) from mesocosm systems with basalt addition. We find that basalt application rate, soil pH, and surface soil moisture are the strongest levers on N2O emissions depending on the system settings. These results provide empirical support for a potentially significant co-benefit of deploying enhanced rock weathering of silicates (ERW) on managed lands, particularly those subject to elevated rates of reactive nitrogen input.","container-title":"Frontiers in Climate","DOI":"10.3389/fclim.2023.1203043","ISSN":"2624-9553","journalAbbreviation":"Front. Clim.","language":"English","note":"publisher: Frontiers","source":"Frontiers","title":"Mitigation of soil nitrous oxide emissions during maize production with basalt amendments","URL":"https://www.frontiersin.orghttps://www.frontiersin.org/journals/climate/articles/10.3389/fclim.2023.1203043/full","volume":"5","author":[{"family":"Chiaravalloti","given":"Isabella"},{"family":"Theunissen","given":"Nicolas"},{"family":"Zhang","given":"Shuang"},{"family":"Wang","given":"Jiuyuan"},{"family":"Sun","given":"Fengchao"},{"family":"Ahmed","given":"Ayesha A."},{"family":"Pihlap","given":"Evelin"},{"family":"Reinhard","given":"Christopher T."},{"family":"Planavsky","given":"Noah J."}],"accessed":{"date-parts":[["2025",4,14]]},"issued":{"date-parts":[["2023",6,22]]}}},{"id":3126,"uris":["http://zotero.org/groups/4573874/items/KXHMG4CM"],"itemData":{"id":3126,"type":"article-journal","abstract":"Soil nitrous oxide (N2O) emissions exhibit high variability in intensively managed cropping systems, which challenges our ability to understand their complex interactions with controlling factors. We leveraged 17 years (2003–2019) of measurements at the Kellogg Biological Station Long-Term Ecological Research (LTER)/Long-Term Agroecosystem Research (LTAR) site to better understand the controls of N2O emissions in four corn–soybean–winter wheat rotations employing conventional, no-till, reduced input, and biologically based/organic inputs. We used a random forest machine learning model to predict daily N2O fluxes, trained separately for each system with 70% of observations, using variables such as crop species, daily air temperature, cumulative 2-day precipitation, water-filled pore space, and soil nitrate and ammonium concentrations. The model explained 29%–42% of daily N2O flux variability in the test data, with greater predictability for the corn phase in each system. The long-term rotations showed different controlling factors and threshold conditions influencing N2O emissions. In the conventional system, the model identified ammonium (&gt;15 kg N ha−1) and daily air temperature (&gt;23°C) as the most influential variables; in the no-till system, climate variables such as precipitation and air temperature were important variables. In low-input and organic systems, where red clover (Trifolium repens L.; before corn) and cereal rye (Secale cereale L.; before soybean) cover crops were integrated, nitrate was the predominant predictor of N2O emissions, followed by precipitation and air temperature. In low-input and biologically based systems, red clover residues increased soil nitrogen availability to influence N2O emissions. Long-term data facilitated machine learning for predicting N2O emissions in response to differential controls and threshold responses to management, environmental, and biogeochemical drivers.","container-title":"Journal of Environmental Quality","DOI":"10.1002/jeq2.20637","ISSN":"1537-2537","issue":"1","language":"en","license":"© 2024 The Author(s). Journal of Environmental Quality published by Wiley Periodicals LLC on behalf of American Society of Agronomy, Crop Science Society of America, and Soil Science Society of America.","note":"_eprint: https://onlinelibrary.wiley.com/doi/pdf/10.1002/jeq2.20637","page":"132-146","source":"Wiley Online Library","title":"Machine learning reveals dynamic controls of soil nitrous oxide emissions from diverse long-term cropping systems","volume":"54","author":[{"family":"Dhaliwal","given":"Jashanjeet Kaur"},{"family":"Panday","given":"Dinesh"},{"family":"Robertson","given":"G. Philip"},{"family":"Saha","given":"Debasish"}],"issued":{"date-parts":[["2025"]]}}},{"id":678,"uris":["http://zotero.org/groups/4573874/items/G6D3PW7Q"],"itemData":{"id":678,"type":"article-journal","abstract":"Machine learning (ML) models are increasingly used to study complex environmental phenomena with high variability in time and space. In this study, the potential of exploiting three categories of ML regression models, including classical regression, shallow learning and deep learning for predicting soil greenhouse gas (GHG) emissions from an agricultural field was explored. Carbon dioxide (CO2) and nitrous oxide (N2O) fluxes, as well as various environmental, agronomic and soil data were measured at the site over a five-year period in Quebec, Canada. The rigorous analysis, which included statistical comparison and cross-validation for the prediction of CO2 and N2O fluxes, confirmed that the LSTM model performed the best among the considered ML models with the highest R coefficient and the lowest root mean squared error (RMSE) values (R = 0.87 and RMSE = 30.3 mg·m−2·hr−1 for CO2 flux prediction and R = 0.86 and RMSE = 0.19 mg·m−2·hr−1 for N2O flux prediction). The predictive performances of LSTM were more accurate than those simulated in a previous study conducted by a biophysical-based Root Zone Water Quality Model (RZWQM2). The classical regression models (namely RF, SVM and LASSO) satisfactorily simulated cyclical and seasonal variations of CO2 fluxes (R = 0.75, 0.71 and 0.68, respectively); however, they failed to reasonably predict the peak values of N2O fluxes (R &lt; 0.25). Shallow ML was found to be less effective in predicting GHG fluxes than other considered ML models (R &lt; 0.7 for CO2 flux and R &lt; 0.3 for estimating N2O fluxes) and was the most sensitive to hyperparameter tuning. Based on this comprehensive comparison study, it was elicited that the LSTM model can be employed successfully in simulating GHG emissions from agricultural soils, providing a new perspective on the application of machine learning modeling for predicting GHG emissions to the environment.","container-title":"Science of The Total Environment","DOI":"10.1016/j.scitotenv.2020.140338","ISSN":"0048-9697","journalAbbreviation":"Science of The Total Environment","language":"en","page":"140338","source":"ScienceDirect","title":"Machine learning for predicting greenhouse gas emissions from agricultural soils","volume":"741","author":[{"family":"Hamrani","given":"Abderrachid"},{"family":"Akbarzadeh","given":"Abdolhamid"},{"family":"Madramootoo","given":"Chandra A."}],"issued":{"date-parts":[["2020",11,1]]}}},{"id":3116,"uris":["http://zotero.org/groups/4573874/items/ASSALIBK"],"itemData":{"id":3116,"type":"article-journal","abstract":"Cover crops improve soil health and reduce the risk of soil erosion. However, their impact on the carbon dioxide equivalence (CO2e) is unknown. Therefore, the objective of this 2-yr study was to quantify the effect of cover crop-induced differences in soil moisture, temperature, organic C, and microorganisms on CO2e, and to develop machine learning algorithms that predict daily N2O–N and CO2–C emissions. The prediction models tested were multiple linear regression, partial least square regression, support vector machine, random forest (RF), and artificial neural network. Models’ performance was accessed using R2, RMSE and mean of absolute value of error. Rye (Secale cereale L.) was dormant seeded in mid-October, and in the following spring it was terminated at corn's (Zea mays L.) V4 growth stage. Soil temperature, moisture, and N2O–N and CO2–C emissions were measured near continuously from soil thaw to harvest in 2019 and 2020. Prior to termination, the cover crop decreased N2O–N emissions by 34% (p = .05), and over the entire season, N2O–N emissions from cover crop and no cover crop treatments were similar (p = .71). Based on N2O–N and CO2–C emissions over the entire season and the estimated fixed cover crop-C remaining in the soil, the partial CO2e were −1,061 and 496 kg CO2e ha–1 in the cover crop and no cover crop treatments, respectively. The RF algorithm explained more of the daily N2O–N (73%) and CO2–C (85%) emissions variability during validation than the other models. Across models, the most important variables were temperature and the amount of cover crop-C added to the soil.","container-title":"Agronomy Journal","DOI":"10.1002/agj2.21185","ISSN":"1435-0645","issue":"3","language":"en","license":"© 2022 The Authors. Agronomy Journal published by Wiley Periodicals LLC on behalf of American Society of Agronomy.","note":"_eprint: https://onlinelibrary.wiley.com/doi/pdf/10.1002/agj2.21185","page":"795-809","source":"Wiley Online Library","title":"Quantification and machine learning based N2O–N and CO2–C emissions predictions from a decomposing rye cover crop","volume":"116","author":[{"family":"Joshi","given":"Deepak R."},{"family":"Clay","given":"David E."},{"family":"Clay","given":"Sharon A."},{"family":"Moriles-Miller","given":"Janet"},{"family":"Daigh","given":"Aaron L. M."},{"family":"Reicks","given":"Graig"},{"family":"Westhoff","given":"Shaina"}],"issued":{"date-parts":[["2024"]]}}},{"id":3122,"uris":["http://zotero.org/groups/4573874/items/IPYPH87V"],"itemData":{"id":3122,"type":"article-journal","container-title":"Soil Science Society of America Journal","ISSN":"0361-5995","issue":"5","journalAbbreviation":"Soil Science Society of America Journal","note":"publisher: Wiley Online Library","page":"1227-1240","title":"Prediction of greenhouse gas emissions from agricultural fields with and without cover crops","volume":"86","author":[{"family":"Kotlar","given":"Ali Mehmandoost"},{"family":"Singh","given":"Jasdeep"},{"family":"Kumar","given":"Sandeep"}],"issued":{"date-parts":[["2022"]]}}}],"schema":"https://github.com/citation-style-language/schema/raw/master/csl-citation.json"} </w:instrText>
      </w:r>
      <w:r w:rsidRPr="0085558C">
        <w:rPr>
          <w:rFonts w:eastAsia="Calibri" w:cs="Times New Roman"/>
          <w:kern w:val="0"/>
          <w:szCs w:val="24"/>
          <w14:ligatures w14:val="none"/>
        </w:rPr>
        <w:fldChar w:fldCharType="separate"/>
      </w:r>
      <w:r w:rsidR="00FB5341" w:rsidRPr="00FB5341">
        <w:rPr>
          <w:rFonts w:cs="Times New Roman"/>
        </w:rPr>
        <w:t>(Adler et al., 2024; Anthony &amp; Silver, 2024; Chiaravalloti et al., 2023; Dhaliwal et al., 2025; Hamrani et al., 2020; Joshi et al., 2024; Kotlar et al., 2022)</w:t>
      </w:r>
      <w:r w:rsidRPr="0085558C">
        <w:rPr>
          <w:rFonts w:eastAsia="Calibri" w:cs="Times New Roman"/>
          <w:kern w:val="0"/>
          <w:szCs w:val="24"/>
          <w14:ligatures w14:val="none"/>
        </w:rPr>
        <w:fldChar w:fldCharType="end"/>
      </w:r>
      <w:r w:rsidRPr="0085558C">
        <w:rPr>
          <w:rFonts w:eastAsia="Calibri" w:cs="Times New Roman"/>
          <w:kern w:val="0"/>
          <w:szCs w:val="24"/>
          <w:lang w:val="it-IT"/>
          <w14:ligatures w14:val="none"/>
        </w:rPr>
        <w:t xml:space="preserve">. </w:t>
      </w:r>
      <w:r>
        <w:rPr>
          <w:rFonts w:eastAsia="Calibri" w:cs="Times New Roman"/>
          <w:kern w:val="0"/>
          <w:szCs w:val="24"/>
          <w14:ligatures w14:val="none"/>
        </w:rPr>
        <w:t>Due to perpetuating major shortcomings of process-based models in addition to unique ones like low interpretability</w:t>
      </w:r>
      <w:r w:rsidRPr="0085558C">
        <w:rPr>
          <w:rFonts w:eastAsia="Calibri" w:cs="Times New Roman"/>
          <w:kern w:val="0"/>
          <w:szCs w:val="24"/>
          <w14:ligatures w14:val="none"/>
        </w:rPr>
        <w:t xml:space="preserve">, </w:t>
      </w:r>
      <w:r w:rsidRPr="009D3138">
        <w:rPr>
          <w:rFonts w:eastAsia="Calibri" w:cs="Times New Roman"/>
          <w:kern w:val="0"/>
          <w:szCs w:val="24"/>
          <w14:ligatures w14:val="none"/>
        </w:rPr>
        <w:lastRenderedPageBreak/>
        <w:t xml:space="preserve">applications of </w:t>
      </w:r>
      <w:r w:rsidRPr="0085558C">
        <w:rPr>
          <w:rFonts w:eastAsia="Calibri" w:cs="Times New Roman"/>
          <w:kern w:val="0"/>
          <w:szCs w:val="24"/>
          <w14:ligatures w14:val="none"/>
        </w:rPr>
        <w:t>ML</w:t>
      </w:r>
      <w:r w:rsidRPr="009D3138">
        <w:rPr>
          <w:rFonts w:eastAsia="Calibri" w:cs="Times New Roman"/>
          <w:kern w:val="0"/>
          <w:szCs w:val="24"/>
          <w14:ligatures w14:val="none"/>
        </w:rPr>
        <w:t xml:space="preserve"> in the prediction of soil N</w:t>
      </w:r>
      <w:r w:rsidRPr="009D3138">
        <w:rPr>
          <w:rFonts w:eastAsia="Calibri" w:cs="Times New Roman"/>
          <w:kern w:val="0"/>
          <w:szCs w:val="24"/>
          <w:vertAlign w:val="subscript"/>
          <w14:ligatures w14:val="none"/>
        </w:rPr>
        <w:t>2</w:t>
      </w:r>
      <w:r w:rsidRPr="009D3138">
        <w:rPr>
          <w:rFonts w:eastAsia="Calibri" w:cs="Times New Roman"/>
          <w:kern w:val="0"/>
          <w:szCs w:val="24"/>
          <w14:ligatures w14:val="none"/>
        </w:rPr>
        <w:t>O emissions</w:t>
      </w:r>
      <w:r w:rsidRPr="0085558C">
        <w:rPr>
          <w:rFonts w:eastAsia="Calibri" w:cs="Times New Roman"/>
          <w:kern w:val="0"/>
          <w:szCs w:val="24"/>
          <w14:ligatures w14:val="none"/>
        </w:rPr>
        <w:t xml:space="preserve"> ha</w:t>
      </w:r>
      <w:r w:rsidRPr="009D3138">
        <w:rPr>
          <w:rFonts w:eastAsia="Calibri" w:cs="Times New Roman"/>
          <w:kern w:val="0"/>
          <w:szCs w:val="24"/>
          <w14:ligatures w14:val="none"/>
        </w:rPr>
        <w:t>ve</w:t>
      </w:r>
      <w:r w:rsidRPr="0085558C">
        <w:rPr>
          <w:rFonts w:eastAsia="Calibri" w:cs="Times New Roman"/>
          <w:kern w:val="0"/>
          <w:szCs w:val="24"/>
          <w14:ligatures w14:val="none"/>
        </w:rPr>
        <w:t xml:space="preserve"> </w:t>
      </w:r>
      <w:r w:rsidRPr="009D3138">
        <w:rPr>
          <w:rFonts w:eastAsia="Calibri" w:cs="Times New Roman"/>
          <w:kern w:val="0"/>
          <w:szCs w:val="24"/>
          <w14:ligatures w14:val="none"/>
        </w:rPr>
        <w:t>been limited</w:t>
      </w:r>
      <w:r>
        <w:rPr>
          <w:rFonts w:eastAsia="Calibri" w:cs="Times New Roman"/>
          <w:kern w:val="0"/>
          <w:szCs w:val="24"/>
          <w14:ligatures w14:val="none"/>
        </w:rPr>
        <w:t xml:space="preserve"> </w:t>
      </w:r>
      <w:r>
        <w:rPr>
          <w:rFonts w:eastAsia="Calibri" w:cs="Times New Roman"/>
          <w:kern w:val="0"/>
          <w:szCs w:val="24"/>
          <w14:ligatures w14:val="none"/>
        </w:rPr>
        <w:fldChar w:fldCharType="begin"/>
      </w:r>
      <w:r w:rsidR="00D74AD1">
        <w:rPr>
          <w:rFonts w:eastAsia="Calibri" w:cs="Times New Roman"/>
          <w:kern w:val="0"/>
          <w:szCs w:val="24"/>
          <w14:ligatures w14:val="none"/>
        </w:rPr>
        <w:instrText xml:space="preserve"> ADDIN ZOTERO_ITEM CSL_CITATION {"citationID":"rCJEmaFw","properties":{"formattedCitation":"(Wrage-M\\uc0\\u246{}nnig et al., 2018)","plainCitation":"(Wrage-Mönnig et al., 2018)","noteIndex":0},"citationItems":[{"id":2047,"uris":["http://zotero.org/groups/5631027/items/HSDATYGF"],"itemData":{"id":2047,"type":"article-journal","abstract":"Nitrifier denitrification is the reduction of nitrite (NO2−) by ammonia-oxidizing bacteria. This process may account for up to 100% of nitrous oxide (N2O) emissions from ammonium (NH4+) in soils and is more significant than classical denitrification under some conditions. Investigations of nitrifier denitrification have expanded in the last decade but many aspects are still not understood. In this review, we revisit our 2001 paper, present a comprehensive summary of current knowledge concerning nitrifier denitrification, and identify the many research needs. Nitrifier denitrification can be distinguished from other routes of N2O production using isotopic methods: either isotopomer techniques or a combination of 15N and 18O tracers. Our understanding of the regulation and conditions favouring nitrifier denitrification has improved over the last decade as a result of adopting molecular and modelling approaches. Environments low in oxygen, and especially those with fluctuating aerobic-anaerobic conditions, promote N2O production by nitrifier denitrification. Also, large NO2− concentrations, which often arise following inputs of ammonium or urea, may be linked to changes in aerobicity and high pH and favour nitrifier denitrification. The effects of temperature and carbon contents on nitrifier denitrification are incompletely understood and future research needs include: the study of pathways similar to nitrifier denitrification in archaea and nitrite oxidizers; the effects of interactions among microorganisms and between microorganism and plants; and the regulation and importance of the enzymes involved. A comparison and evaluation of the methods used for differentiating the sources of N2O is urgently needed. Furthermore, results from studies of freshwater and marine environments as well as wastewater treatment, where nitrifier denitrification is also known as nitrous aerobic denitritation (up to N2O) or aerobic denitritation (up to N2), will further advance our understanding.","container-title":"Soil Biology and Biochemistry","DOI":"10.1016/j.soilbio.2018.03.020","ISSN":"0038-0717","journalAbbreviation":"Soil Biology and Biochemistry","page":"A3-A16","source":"ScienceDirect","title":"The role of nitrifier denitrification in the production of nitrous oxide revisited","volume":"123","author":[{"family":"Wrage-Mönnig","given":"Nicole"},{"family":"Horn","given":"Marcus A."},{"family":"Well","given":"Reinhard"},{"family":"Müller","given":"Christoph"},{"family":"Velthof","given":"Gerard"},{"family":"Oenema","given":"Oene"}],"issued":{"date-parts":[["2018",8,1]]}}}],"schema":"https://github.com/citation-style-language/schema/raw/master/csl-citation.json"} </w:instrText>
      </w:r>
      <w:r>
        <w:rPr>
          <w:rFonts w:eastAsia="Calibri" w:cs="Times New Roman"/>
          <w:kern w:val="0"/>
          <w:szCs w:val="24"/>
          <w14:ligatures w14:val="none"/>
        </w:rPr>
        <w:fldChar w:fldCharType="separate"/>
      </w:r>
      <w:r w:rsidRPr="00475A15">
        <w:rPr>
          <w:rFonts w:cs="Times New Roman"/>
          <w:kern w:val="0"/>
        </w:rPr>
        <w:t>(Wrage-Mönnig et al., 2018)</w:t>
      </w:r>
      <w:r>
        <w:rPr>
          <w:rFonts w:eastAsia="Calibri" w:cs="Times New Roman"/>
          <w:kern w:val="0"/>
          <w:szCs w:val="24"/>
          <w14:ligatures w14:val="none"/>
        </w:rPr>
        <w:fldChar w:fldCharType="end"/>
      </w:r>
      <w:r w:rsidRPr="0085558C">
        <w:rPr>
          <w:rFonts w:eastAsia="Calibri" w:cs="Times New Roman"/>
          <w:kern w:val="0"/>
          <w:szCs w:val="24"/>
          <w14:ligatures w14:val="none"/>
        </w:rPr>
        <w:t>.</w:t>
      </w:r>
    </w:p>
    <w:p w14:paraId="3F6C3C04" w14:textId="3CA8D17D" w:rsidR="001154C0" w:rsidRPr="00994531" w:rsidRDefault="00A32106" w:rsidP="001B567A">
      <w:pPr>
        <w:spacing w:after="0" w:line="480" w:lineRule="auto"/>
        <w:rPr>
          <w:rFonts w:eastAsia="Calibri" w:cs="Times New Roman"/>
          <w:kern w:val="0"/>
          <w:szCs w:val="24"/>
          <w14:ligatures w14:val="none"/>
        </w:rPr>
      </w:pPr>
      <w:r w:rsidRPr="0085558C">
        <w:rPr>
          <w:rFonts w:eastAsia="Calibri" w:cs="Times New Roman"/>
          <w:kern w:val="0"/>
          <w:szCs w:val="24"/>
          <w14:ligatures w14:val="none"/>
        </w:rPr>
        <w:t xml:space="preserve">Our objective in this study was to </w:t>
      </w:r>
      <w:r>
        <w:rPr>
          <w:rFonts w:eastAsia="Calibri" w:cs="Times New Roman"/>
          <w:kern w:val="0"/>
          <w:szCs w:val="24"/>
          <w14:ligatures w14:val="none"/>
        </w:rPr>
        <w:t xml:space="preserve">develop and evaluate </w:t>
      </w:r>
      <w:r w:rsidRPr="0085558C">
        <w:rPr>
          <w:rFonts w:eastAsia="Calibri" w:cs="Times New Roman"/>
          <w:kern w:val="0"/>
          <w:szCs w:val="24"/>
          <w14:ligatures w14:val="none"/>
        </w:rPr>
        <w:t>generaliza</w:t>
      </w:r>
      <w:r>
        <w:rPr>
          <w:rFonts w:eastAsia="Calibri" w:cs="Times New Roman"/>
          <w:kern w:val="0"/>
          <w:szCs w:val="24"/>
          <w14:ligatures w14:val="none"/>
        </w:rPr>
        <w:t>ble</w:t>
      </w:r>
      <w:r w:rsidRPr="0085558C">
        <w:rPr>
          <w:rFonts w:eastAsia="Calibri" w:cs="Times New Roman"/>
          <w:kern w:val="0"/>
          <w:szCs w:val="24"/>
          <w14:ligatures w14:val="none"/>
        </w:rPr>
        <w:t>, accessib</w:t>
      </w:r>
      <w:r>
        <w:rPr>
          <w:rFonts w:eastAsia="Calibri" w:cs="Times New Roman"/>
          <w:kern w:val="0"/>
          <w:szCs w:val="24"/>
          <w14:ligatures w14:val="none"/>
        </w:rPr>
        <w:t>le</w:t>
      </w:r>
      <w:r w:rsidRPr="0085558C">
        <w:rPr>
          <w:rFonts w:eastAsia="Calibri" w:cs="Times New Roman"/>
          <w:kern w:val="0"/>
          <w:szCs w:val="24"/>
          <w14:ligatures w14:val="none"/>
        </w:rPr>
        <w:t>, and accura</w:t>
      </w:r>
      <w:r>
        <w:rPr>
          <w:rFonts w:eastAsia="Calibri" w:cs="Times New Roman"/>
          <w:kern w:val="0"/>
          <w:szCs w:val="24"/>
          <w14:ligatures w14:val="none"/>
        </w:rPr>
        <w:t>te</w:t>
      </w:r>
      <w:r w:rsidRPr="0085558C">
        <w:rPr>
          <w:rFonts w:eastAsia="Calibri" w:cs="Times New Roman"/>
          <w:kern w:val="0"/>
          <w:szCs w:val="24"/>
          <w14:ligatures w14:val="none"/>
        </w:rPr>
        <w:t xml:space="preserve"> ML models </w:t>
      </w:r>
      <w:r>
        <w:rPr>
          <w:rFonts w:eastAsia="Calibri" w:cs="Times New Roman"/>
          <w:kern w:val="0"/>
          <w:szCs w:val="24"/>
          <w14:ligatures w14:val="none"/>
        </w:rPr>
        <w:t>of soil N</w:t>
      </w:r>
      <w:r>
        <w:rPr>
          <w:rFonts w:eastAsia="Calibri" w:cs="Times New Roman"/>
          <w:kern w:val="0"/>
          <w:szCs w:val="24"/>
          <w:vertAlign w:val="subscript"/>
          <w14:ligatures w14:val="none"/>
        </w:rPr>
        <w:t>2</w:t>
      </w:r>
      <w:r>
        <w:rPr>
          <w:rFonts w:eastAsia="Calibri" w:cs="Times New Roman"/>
          <w:kern w:val="0"/>
          <w:szCs w:val="24"/>
          <w14:ligatures w14:val="none"/>
        </w:rPr>
        <w:t>O hot moments</w:t>
      </w:r>
      <w:r w:rsidRPr="0085558C">
        <w:rPr>
          <w:rFonts w:eastAsia="Calibri" w:cs="Times New Roman"/>
          <w:kern w:val="0"/>
          <w:szCs w:val="24"/>
          <w14:ligatures w14:val="none"/>
        </w:rPr>
        <w:t>. To achieve these goals, we gathered a global database of published N</w:t>
      </w:r>
      <w:r w:rsidRPr="0085558C">
        <w:rPr>
          <w:rFonts w:eastAsia="Calibri" w:cs="Times New Roman"/>
          <w:kern w:val="0"/>
          <w:szCs w:val="24"/>
          <w:vertAlign w:val="subscript"/>
          <w14:ligatures w14:val="none"/>
        </w:rPr>
        <w:t>2</w:t>
      </w:r>
      <w:r w:rsidRPr="0085558C">
        <w:rPr>
          <w:rFonts w:eastAsia="Calibri" w:cs="Times New Roman"/>
          <w:kern w:val="0"/>
          <w:szCs w:val="24"/>
          <w14:ligatures w14:val="none"/>
        </w:rPr>
        <w:t xml:space="preserve">O flux measurements alongside relevant driving factors collected from diverse environments and agronomic conditions. From this dataset, we selected a limited number of factors as model inputs intended to balance predictive contributions with accessibility to potential users, including </w:t>
      </w:r>
      <w:r>
        <w:rPr>
          <w:rFonts w:eastAsia="Calibri" w:cs="Times New Roman"/>
          <w:kern w:val="0"/>
          <w:szCs w:val="24"/>
          <w14:ligatures w14:val="none"/>
        </w:rPr>
        <w:t>natural resource</w:t>
      </w:r>
      <w:r w:rsidRPr="0085558C">
        <w:rPr>
          <w:rFonts w:eastAsia="Calibri" w:cs="Times New Roman"/>
          <w:kern w:val="0"/>
          <w:szCs w:val="24"/>
          <w14:ligatures w14:val="none"/>
        </w:rPr>
        <w:t xml:space="preserve"> managers. </w:t>
      </w:r>
      <w:r>
        <w:rPr>
          <w:rFonts w:eastAsia="Calibri" w:cs="Times New Roman"/>
          <w:kern w:val="0"/>
          <w:szCs w:val="24"/>
          <w14:ligatures w14:val="none"/>
        </w:rPr>
        <w:t>W</w:t>
      </w:r>
      <w:r w:rsidRPr="0085558C">
        <w:rPr>
          <w:rFonts w:eastAsia="Calibri" w:cs="Times New Roman"/>
          <w:kern w:val="0"/>
          <w:szCs w:val="24"/>
          <w14:ligatures w14:val="none"/>
        </w:rPr>
        <w:t>e argue that predicting the qualitative state of emissions rather than the absolute magnitude can reduce model complexity</w:t>
      </w:r>
      <w:r>
        <w:rPr>
          <w:rFonts w:eastAsia="Calibri" w:cs="Times New Roman"/>
          <w:kern w:val="0"/>
          <w:szCs w:val="24"/>
          <w14:ligatures w14:val="none"/>
        </w:rPr>
        <w:t xml:space="preserve"> and input requirements</w:t>
      </w:r>
      <w:r w:rsidRPr="0085558C">
        <w:rPr>
          <w:rFonts w:eastAsia="Calibri" w:cs="Times New Roman"/>
          <w:kern w:val="0"/>
          <w:szCs w:val="24"/>
          <w14:ligatures w14:val="none"/>
        </w:rPr>
        <w:t xml:space="preserve"> while </w:t>
      </w:r>
      <w:r>
        <w:rPr>
          <w:rFonts w:eastAsia="Calibri" w:cs="Times New Roman"/>
          <w:kern w:val="0"/>
          <w:szCs w:val="24"/>
          <w14:ligatures w14:val="none"/>
        </w:rPr>
        <w:t>reliably</w:t>
      </w:r>
      <w:r w:rsidRPr="0085558C">
        <w:rPr>
          <w:rFonts w:eastAsia="Calibri" w:cs="Times New Roman"/>
          <w:kern w:val="0"/>
          <w:szCs w:val="24"/>
          <w14:ligatures w14:val="none"/>
        </w:rPr>
        <w:t xml:space="preserve"> </w:t>
      </w:r>
      <w:r>
        <w:rPr>
          <w:rFonts w:eastAsia="Calibri" w:cs="Times New Roman"/>
          <w:kern w:val="0"/>
          <w:szCs w:val="24"/>
          <w14:ligatures w14:val="none"/>
        </w:rPr>
        <w:t>re</w:t>
      </w:r>
      <w:r w:rsidRPr="0085558C">
        <w:rPr>
          <w:rFonts w:eastAsia="Calibri" w:cs="Times New Roman"/>
          <w:kern w:val="0"/>
          <w:szCs w:val="24"/>
          <w14:ligatures w14:val="none"/>
        </w:rPr>
        <w:t>produc</w:t>
      </w:r>
      <w:r>
        <w:rPr>
          <w:rFonts w:eastAsia="Calibri" w:cs="Times New Roman"/>
          <w:kern w:val="0"/>
          <w:szCs w:val="24"/>
          <w14:ligatures w14:val="none"/>
        </w:rPr>
        <w:t>ing</w:t>
      </w:r>
      <w:r w:rsidRPr="0085558C">
        <w:rPr>
          <w:rFonts w:eastAsia="Calibri" w:cs="Times New Roman"/>
          <w:kern w:val="0"/>
          <w:szCs w:val="24"/>
          <w14:ligatures w14:val="none"/>
        </w:rPr>
        <w:t xml:space="preserve"> the temporal dynamics of emissions, which are particularly relevant to agricultural managers and ultimately to the goal of mitigating N</w:t>
      </w:r>
      <w:r w:rsidRPr="0085558C">
        <w:rPr>
          <w:rFonts w:eastAsia="Calibri" w:cs="Times New Roman"/>
          <w:kern w:val="0"/>
          <w:szCs w:val="24"/>
          <w:vertAlign w:val="subscript"/>
          <w14:ligatures w14:val="none"/>
        </w:rPr>
        <w:t>2</w:t>
      </w:r>
      <w:r w:rsidRPr="0085558C">
        <w:rPr>
          <w:rFonts w:eastAsia="Calibri" w:cs="Times New Roman"/>
          <w:kern w:val="0"/>
          <w:szCs w:val="24"/>
          <w14:ligatures w14:val="none"/>
        </w:rPr>
        <w:t xml:space="preserve">O emissions </w:t>
      </w:r>
      <w:r w:rsidRPr="0085558C">
        <w:rPr>
          <w:rFonts w:eastAsia="Calibri" w:cs="Times New Roman"/>
          <w:kern w:val="0"/>
          <w:szCs w:val="24"/>
          <w14:ligatures w14:val="none"/>
        </w:rPr>
        <w:fldChar w:fldCharType="begin"/>
      </w:r>
      <w:r w:rsidR="00D74AD1">
        <w:rPr>
          <w:rFonts w:eastAsia="Calibri" w:cs="Times New Roman"/>
          <w:kern w:val="0"/>
          <w:szCs w:val="24"/>
          <w14:ligatures w14:val="none"/>
        </w:rPr>
        <w:instrText xml:space="preserve"> ADDIN ZOTERO_ITEM CSL_CITATION {"citationID":"wWe2KKT2","properties":{"formattedCitation":"(Bastos et al., 2021; Vemuri, 2024)","plainCitation":"(Bastos et al., 2021; Vemuri, 2024)","noteIndex":0},"citationItems":[{"id":3109,"uris":["http://zotero.org/groups/4573874/items/AVE5WH6W"],"itemData":{"id":3109,"type":"article-journal","abstract":"Fertilizer N management can mitigate N2O emissions but complex soil-weather conditions modulate the mitigation potential. Conditional inference tree (CIT) is a machine learning method able to untangle complex interactions while providing an interpretable model. The goals of this study were (a) to assess the effect of N fertilizer on N2O emissions, and to use CIT to identify (b) the main soil-weather drivers of daily N2O hot moments and (c) fertilizer management options to mitigate them. The study was conducted in 2 yr in no-till corn (Zea mays L.) with seven combinations of N source and placement tested. Daily N2O emissions were measured with vented chambers, and soil temperature and water-filled pore space (WFPS) were measured near the chambers on the same days of gas sampling. Overall, 2013 was drier with lower N2O emissions than 2014. Cumulative N2O losses differed across treatments and years, with broadcast emitting more in 2014 than in 2013, and only subsurface-banded fertilizer with a nitrification inhibitor (NI) consistently abated N2O losses. The main hot moment conditions were within </w:instrText>
      </w:r>
      <w:r w:rsidR="00D74AD1">
        <w:rPr>
          <w:rFonts w:ascii="Cambria Math" w:eastAsia="Calibri" w:hAnsi="Cambria Math" w:cs="Cambria Math"/>
          <w:kern w:val="0"/>
          <w:szCs w:val="24"/>
          <w14:ligatures w14:val="none"/>
        </w:rPr>
        <w:instrText>∼</w:instrText>
      </w:r>
      <w:r w:rsidR="00D74AD1">
        <w:rPr>
          <w:rFonts w:eastAsia="Calibri" w:cs="Times New Roman"/>
          <w:kern w:val="0"/>
          <w:szCs w:val="24"/>
          <w14:ligatures w14:val="none"/>
        </w:rPr>
        <w:instrText xml:space="preserve">80 d of fertilizer application when soil temperature &gt;15 °C and WFPS &gt;57%. Under these conditions, NI abated losses by 50% compared with fertilizer alone. The machine learning approach used here could be used in larger datasets to elucidate environment-specific drivers of N2O hot moments and potential fertilizer mitigation practices under different soil, weather, and management conditions.","container-title":"Soil Science Society of America Journal","DOI":"10.1002/saj2.20292","ISSN":"1435-0661","issue":"5","language":"en","license":"© 2021 The Authors. Soil Science Society of America Journal published by Wiley Periodicals LLC on behalf of Soil Science Society of America","note":"_eprint: https://onlinelibrary.wiley.com/doi/pdf/10.1002/saj2.20292","page":"1437-1447","source":"Wiley Online Library","title":"Untangling soil-weather drivers of daily N2O emissions and fertilizer management mitigation strategies in no-till corn","volume":"85","author":[{"family":"Bastos","given":"Leonardo M."},{"family":"Rice","given":"Charles W."},{"family":"Tomlinson","given":"Peter J."},{"family":"Mengel","given":"David"}],"issued":{"date-parts":[["2021"]]}}},{"id":2276,"uris":["http://zotero.org/groups/4573874/items/H9B2KYP3"],"itemData":{"id":2276,"type":"article-journal","abstract":"&lt;p&gt;Nitrous oxide (N2O) is one of the most significant contributors to greenhouse forcing and is the biggest contributor to ozone depletion in the 21st century, and roughly 70% of anthropogenic nitrous oxide emissions are from agriculture and soil management. Agricultural nitrous oxide emissions are shown to spike during hotspot events, and according to the data used in this study, over 78% of nitrous oxide flux occurred during just 15% of the recorded data points. Due to the complex biogeochemical processes governing nitrous oxide formation, machine learning and process-based models often fail to predict agricultural nitrous oxide flux. A novel informed neural network was developed that combined the trainability of neural networks with the rigorous differential equation-based framework of process-based models. Differential equations that explained the variability of various nitrogen-containing compounds in soil were derived, and integrated into the network loss. The informed model explained </w:instrText>
      </w:r>
      <w:r w:rsidR="00D74AD1">
        <w:rPr>
          <w:rFonts w:ascii="Cambria Math" w:eastAsia="Calibri" w:hAnsi="Cambria Math" w:cs="Cambria Math"/>
          <w:kern w:val="0"/>
          <w:szCs w:val="24"/>
          <w14:ligatures w14:val="none"/>
        </w:rPr>
        <w:instrText>∼</w:instrText>
      </w:r>
      <w:r w:rsidR="00D74AD1">
        <w:rPr>
          <w:rFonts w:eastAsia="Calibri" w:cs="Times New Roman"/>
          <w:kern w:val="0"/>
          <w:szCs w:val="24"/>
          <w14:ligatures w14:val="none"/>
        </w:rPr>
        <w:instrText xml:space="preserve">85% of variation in the data and had an F1 score of 0.75, a marked improvement over the classical model explaining </w:instrText>
      </w:r>
      <w:r w:rsidR="00D74AD1">
        <w:rPr>
          <w:rFonts w:ascii="Cambria Math" w:eastAsia="Calibri" w:hAnsi="Cambria Math" w:cs="Cambria Math"/>
          <w:kern w:val="0"/>
          <w:szCs w:val="24"/>
          <w14:ligatures w14:val="none"/>
        </w:rPr>
        <w:instrText>∼</w:instrText>
      </w:r>
      <w:r w:rsidR="00D74AD1">
        <w:rPr>
          <w:rFonts w:eastAsia="Calibri" w:cs="Times New Roman"/>
          <w:kern w:val="0"/>
          <w:szCs w:val="24"/>
          <w14:ligatures w14:val="none"/>
        </w:rPr>
        <w:instrText xml:space="preserve">30% of variation and having a score of 0.53. The informed network was also able to perform exceptionally well with only small subsets of the training data, having an F1 score of 0.41 with only 25% of training data. The model not only shows great promise in the remarkably accurate prediction of these hotspots but also serves as a potential new paradigm for physics-informed machine learning techniques in environmental and agricultural sciences.&lt;/p&gt;","container-title":"Frontiers in Environmental Science","DOI":"10.3389/fenvs.2024.1353049","ISSN":"2296-665X","journalAbbreviation":"Front. Environ. Sci.","language":"English","note":"publisher: Frontiers","source":"Frontiers","title":"Developing a hybrid data-driven and informed model for prediction and mitigation of agricultural nitrous oxide flux hotspots","URL":"https://www.frontiersin.org/journals/environmental-science/articles/10.3389/fenvs.2024.1353049/full","volume":"12","author":[{"family":"Vemuri","given":"Nikhil"}],"accessed":{"date-parts":[["2024",10,11]]},"issued":{"date-parts":[["2024",3,22]]}}}],"schema":"https://github.com/citation-style-language/schema/raw/master/csl-citation.json"} </w:instrText>
      </w:r>
      <w:r w:rsidRPr="0085558C">
        <w:rPr>
          <w:rFonts w:eastAsia="Calibri" w:cs="Times New Roman"/>
          <w:kern w:val="0"/>
          <w:szCs w:val="24"/>
          <w14:ligatures w14:val="none"/>
        </w:rPr>
        <w:fldChar w:fldCharType="separate"/>
      </w:r>
      <w:r w:rsidRPr="0085558C">
        <w:rPr>
          <w:rFonts w:eastAsia="Calibri" w:cs="Times New Roman"/>
          <w:kern w:val="0"/>
          <w:szCs w:val="24"/>
          <w14:ligatures w14:val="none"/>
        </w:rPr>
        <w:t>(Bastos et al., 2021; Vemuri, 2024)</w:t>
      </w:r>
      <w:r w:rsidRPr="0085558C">
        <w:rPr>
          <w:rFonts w:eastAsia="Calibri" w:cs="Times New Roman"/>
          <w:kern w:val="0"/>
          <w:szCs w:val="24"/>
          <w14:ligatures w14:val="none"/>
        </w:rPr>
        <w:fldChar w:fldCharType="end"/>
      </w:r>
      <w:r w:rsidRPr="0085558C">
        <w:rPr>
          <w:rFonts w:eastAsia="Calibri" w:cs="Times New Roman"/>
          <w:kern w:val="0"/>
          <w:szCs w:val="24"/>
          <w14:ligatures w14:val="none"/>
        </w:rPr>
        <w:t>.</w:t>
      </w:r>
    </w:p>
    <w:p w14:paraId="36473614" w14:textId="1F7C4DF5" w:rsidR="001154C0" w:rsidRPr="00994531" w:rsidRDefault="001154C0" w:rsidP="001B567A">
      <w:pPr>
        <w:pStyle w:val="Heading2"/>
      </w:pPr>
      <w:bookmarkStart w:id="65" w:name="_Toc204282762"/>
      <w:r w:rsidRPr="00994531">
        <w:t>Methods</w:t>
      </w:r>
      <w:bookmarkEnd w:id="65"/>
    </w:p>
    <w:p w14:paraId="64F261D3" w14:textId="058D2CEA" w:rsidR="001154C0" w:rsidRPr="00994531" w:rsidRDefault="001154C0" w:rsidP="001B567A">
      <w:pPr>
        <w:pStyle w:val="Heading3"/>
      </w:pPr>
      <w:bookmarkStart w:id="66" w:name="_Toc204282763"/>
      <w:r w:rsidRPr="00994531">
        <w:t xml:space="preserve">Collection and </w:t>
      </w:r>
      <w:r w:rsidR="00FB5951">
        <w:t>d</w:t>
      </w:r>
      <w:r w:rsidRPr="00994531">
        <w:t xml:space="preserve">escription of a </w:t>
      </w:r>
      <w:r w:rsidR="00FB5951">
        <w:t>d</w:t>
      </w:r>
      <w:r w:rsidRPr="00994531">
        <w:t xml:space="preserve">iverse </w:t>
      </w:r>
      <w:r w:rsidR="00FB5951">
        <w:t>a</w:t>
      </w:r>
      <w:r w:rsidRPr="00994531">
        <w:t xml:space="preserve">groecosystem </w:t>
      </w:r>
      <w:r w:rsidR="00FB5951">
        <w:t>d</w:t>
      </w:r>
      <w:r w:rsidRPr="00994531">
        <w:t>atabase</w:t>
      </w:r>
      <w:bookmarkEnd w:id="66"/>
    </w:p>
    <w:p w14:paraId="419FBD36" w14:textId="085C3F28" w:rsidR="001154C0" w:rsidRPr="00994531" w:rsidRDefault="001154C0" w:rsidP="001B567A">
      <w:pPr>
        <w:spacing w:after="0" w:line="480" w:lineRule="auto"/>
        <w:rPr>
          <w:rFonts w:eastAsia="Calibri" w:cs="Times New Roman"/>
          <w:kern w:val="0"/>
          <w:szCs w:val="24"/>
          <w14:ligatures w14:val="none"/>
        </w:rPr>
      </w:pPr>
      <w:r w:rsidRPr="00994531">
        <w:rPr>
          <w:rFonts w:eastAsia="Calibri" w:cs="Times New Roman"/>
          <w:kern w:val="0"/>
          <w:szCs w:val="24"/>
          <w14:ligatures w14:val="none"/>
        </w:rPr>
        <w:t>We conducted a literature search using Google Scholar and Connected Papers. Publications were identified using Google Scholar using the search terms “agriculture,” “field,” and “N</w:t>
      </w:r>
      <w:r w:rsidRPr="00994531">
        <w:rPr>
          <w:rFonts w:eastAsia="Calibri" w:cs="Times New Roman"/>
          <w:kern w:val="0"/>
          <w:szCs w:val="24"/>
          <w:vertAlign w:val="subscript"/>
          <w14:ligatures w14:val="none"/>
        </w:rPr>
        <w:t>2</w:t>
      </w:r>
      <w:r w:rsidRPr="00994531">
        <w:rPr>
          <w:rFonts w:eastAsia="Calibri" w:cs="Times New Roman"/>
          <w:kern w:val="0"/>
          <w:szCs w:val="24"/>
          <w14:ligatures w14:val="none"/>
        </w:rPr>
        <w:t>O emissions,” and were selected based on following inclusion criteria : (1) soil N</w:t>
      </w:r>
      <w:r w:rsidRPr="00994531">
        <w:rPr>
          <w:rFonts w:eastAsia="Calibri" w:cs="Times New Roman"/>
          <w:kern w:val="0"/>
          <w:szCs w:val="24"/>
          <w:vertAlign w:val="subscript"/>
          <w14:ligatures w14:val="none"/>
        </w:rPr>
        <w:t>2</w:t>
      </w:r>
      <w:r w:rsidRPr="00994531">
        <w:rPr>
          <w:rFonts w:eastAsia="Calibri" w:cs="Times New Roman"/>
          <w:kern w:val="0"/>
          <w:szCs w:val="24"/>
          <w14:ligatures w14:val="none"/>
        </w:rPr>
        <w:t>O emissions were measured from an agricultural field experiment, (2) daily average N</w:t>
      </w:r>
      <w:r w:rsidRPr="00994531">
        <w:rPr>
          <w:rFonts w:eastAsia="Calibri" w:cs="Times New Roman"/>
          <w:kern w:val="0"/>
          <w:szCs w:val="24"/>
          <w:vertAlign w:val="subscript"/>
          <w14:ligatures w14:val="none"/>
        </w:rPr>
        <w:t>2</w:t>
      </w:r>
      <w:r w:rsidRPr="00994531">
        <w:rPr>
          <w:rFonts w:eastAsia="Calibri" w:cs="Times New Roman"/>
          <w:kern w:val="0"/>
          <w:szCs w:val="24"/>
          <w14:ligatures w14:val="none"/>
        </w:rPr>
        <w:t xml:space="preserve">O fluxes and associated soil temperature, soil moisture, and precipitation were measured and data made available in the manuscript in tabular or graphical form or as supporting data, (3) </w:t>
      </w:r>
      <w:r w:rsidR="006129F6">
        <w:rPr>
          <w:rFonts w:eastAsia="Calibri" w:cs="Times New Roman"/>
          <w:kern w:val="0"/>
          <w:szCs w:val="24"/>
          <w14:ligatures w14:val="none"/>
        </w:rPr>
        <w:t>N</w:t>
      </w:r>
      <w:r w:rsidRPr="00994531">
        <w:rPr>
          <w:rFonts w:eastAsia="Calibri" w:cs="Times New Roman"/>
          <w:kern w:val="0"/>
          <w:szCs w:val="24"/>
          <w14:ligatures w14:val="none"/>
        </w:rPr>
        <w:t xml:space="preserve"> fertilization timing, rate, and form were described, (4) a minimum of ten N</w:t>
      </w:r>
      <w:r w:rsidRPr="00994531">
        <w:rPr>
          <w:rFonts w:eastAsia="Calibri" w:cs="Times New Roman"/>
          <w:kern w:val="0"/>
          <w:szCs w:val="24"/>
          <w:vertAlign w:val="subscript"/>
          <w14:ligatures w14:val="none"/>
        </w:rPr>
        <w:t>2</w:t>
      </w:r>
      <w:r w:rsidRPr="00994531">
        <w:rPr>
          <w:rFonts w:eastAsia="Calibri" w:cs="Times New Roman"/>
          <w:kern w:val="0"/>
          <w:szCs w:val="24"/>
          <w14:ligatures w14:val="none"/>
        </w:rPr>
        <w:t>O flux measurements were taken during the study period, (5) the period between initial and final flux measurements was at least 30 days</w:t>
      </w:r>
      <w:r w:rsidR="006129F6">
        <w:rPr>
          <w:rFonts w:eastAsia="Calibri" w:cs="Times New Roman"/>
          <w:kern w:val="0"/>
          <w:szCs w:val="24"/>
          <w14:ligatures w14:val="none"/>
        </w:rPr>
        <w:t xml:space="preserve"> </w:t>
      </w:r>
      <w:r w:rsidR="006129F6" w:rsidRPr="00E0472A">
        <w:rPr>
          <w:rFonts w:eastAsia="Calibri" w:cs="Times New Roman"/>
          <w:kern w:val="0"/>
          <w:szCs w:val="24"/>
          <w14:ligatures w14:val="none"/>
        </w:rPr>
        <w:t>to ensure a minimum level of data density and temporal coverage</w:t>
      </w:r>
      <w:r w:rsidR="006129F6" w:rsidRPr="0085558C">
        <w:rPr>
          <w:rFonts w:eastAsia="Calibri" w:cs="Times New Roman"/>
          <w:kern w:val="0"/>
          <w:szCs w:val="24"/>
          <w14:ligatures w14:val="none"/>
        </w:rPr>
        <w:t>.</w:t>
      </w:r>
      <w:r w:rsidRPr="00994531">
        <w:rPr>
          <w:rFonts w:eastAsia="Calibri" w:cs="Times New Roman"/>
          <w:kern w:val="0"/>
          <w:szCs w:val="24"/>
          <w14:ligatures w14:val="none"/>
        </w:rPr>
        <w:t xml:space="preserve"> Subsequently, </w:t>
      </w:r>
      <w:r w:rsidR="006129F6" w:rsidRPr="0085558C">
        <w:rPr>
          <w:rFonts w:eastAsia="Calibri" w:cs="Times New Roman"/>
          <w:kern w:val="0"/>
          <w:szCs w:val="24"/>
          <w14:ligatures w14:val="none"/>
        </w:rPr>
        <w:t xml:space="preserve">publications </w:t>
      </w:r>
      <w:r w:rsidR="006129F6">
        <w:rPr>
          <w:rFonts w:eastAsia="Calibri" w:cs="Times New Roman"/>
          <w:kern w:val="0"/>
          <w:szCs w:val="24"/>
          <w14:ligatures w14:val="none"/>
        </w:rPr>
        <w:t xml:space="preserve">meeting </w:t>
      </w:r>
      <w:r w:rsidR="006129F6">
        <w:rPr>
          <w:rFonts w:eastAsia="Calibri" w:cs="Times New Roman"/>
          <w:kern w:val="0"/>
          <w:szCs w:val="24"/>
          <w14:ligatures w14:val="none"/>
        </w:rPr>
        <w:lastRenderedPageBreak/>
        <w:t xml:space="preserve">these criteria </w:t>
      </w:r>
      <w:r w:rsidR="006129F6" w:rsidRPr="0085558C">
        <w:rPr>
          <w:rFonts w:eastAsia="Calibri" w:cs="Times New Roman"/>
          <w:kern w:val="0"/>
          <w:szCs w:val="24"/>
          <w14:ligatures w14:val="none"/>
        </w:rPr>
        <w:t xml:space="preserve">were </w:t>
      </w:r>
      <w:r w:rsidR="006129F6">
        <w:rPr>
          <w:rFonts w:eastAsia="Calibri" w:cs="Times New Roman"/>
          <w:kern w:val="0"/>
          <w:szCs w:val="24"/>
          <w14:ligatures w14:val="none"/>
        </w:rPr>
        <w:t xml:space="preserve">entered into “Connected Papers” </w:t>
      </w:r>
      <w:r w:rsidR="006129F6" w:rsidRPr="00D57C17">
        <w:rPr>
          <w:rFonts w:eastAsia="Calibri" w:cs="Times New Roman"/>
          <w:kern w:val="0"/>
          <w:szCs w:val="24"/>
          <w14:ligatures w14:val="none"/>
        </w:rPr>
        <w:t>(www.connectedpapers.com)</w:t>
      </w:r>
      <w:r w:rsidR="006129F6">
        <w:rPr>
          <w:rFonts w:eastAsia="Calibri" w:cs="Times New Roman"/>
          <w:kern w:val="0"/>
          <w:szCs w:val="24"/>
          <w14:ligatures w14:val="none"/>
        </w:rPr>
        <w:t xml:space="preserve"> to </w:t>
      </w:r>
      <w:r w:rsidR="006129F6" w:rsidRPr="0085558C">
        <w:rPr>
          <w:rFonts w:eastAsia="Calibri" w:cs="Times New Roman"/>
          <w:kern w:val="0"/>
          <w:szCs w:val="24"/>
          <w14:ligatures w14:val="none"/>
        </w:rPr>
        <w:t xml:space="preserve">discover </w:t>
      </w:r>
      <w:r w:rsidR="006129F6">
        <w:rPr>
          <w:rFonts w:eastAsia="Calibri" w:cs="Times New Roman"/>
          <w:kern w:val="0"/>
          <w:szCs w:val="24"/>
          <w14:ligatures w14:val="none"/>
        </w:rPr>
        <w:t>additional publications</w:t>
      </w:r>
      <w:r w:rsidR="006129F6" w:rsidRPr="0085558C">
        <w:rPr>
          <w:rFonts w:eastAsia="Calibri" w:cs="Times New Roman"/>
          <w:kern w:val="0"/>
          <w:szCs w:val="24"/>
          <w14:ligatures w14:val="none"/>
        </w:rPr>
        <w:t xml:space="preserve">, to which the same inclusion criteria were applied. </w:t>
      </w:r>
      <w:r w:rsidRPr="00994531">
        <w:rPr>
          <w:rFonts w:eastAsia="Calibri" w:cs="Times New Roman"/>
          <w:kern w:val="0"/>
          <w:szCs w:val="24"/>
          <w14:ligatures w14:val="none"/>
        </w:rPr>
        <w:t xml:space="preserve">Finally, we accessed the Greenhouse gas Reduction through Agricultural Carbon Enhancement network (GRACEnet) database (https://www.ars.usda.gov/anrds/gracenet/gracenet-home/) and included experimental datasets based on </w:t>
      </w:r>
      <w:r w:rsidR="006129F6">
        <w:rPr>
          <w:rFonts w:eastAsia="Calibri" w:cs="Times New Roman"/>
          <w:kern w:val="0"/>
          <w:szCs w:val="24"/>
          <w14:ligatures w14:val="none"/>
        </w:rPr>
        <w:t>our</w:t>
      </w:r>
      <w:r w:rsidRPr="00994531">
        <w:rPr>
          <w:rFonts w:eastAsia="Calibri" w:cs="Times New Roman"/>
          <w:kern w:val="0"/>
          <w:szCs w:val="24"/>
          <w14:ligatures w14:val="none"/>
        </w:rPr>
        <w:t xml:space="preserve"> inclusion criteria. </w:t>
      </w:r>
      <w:r w:rsidR="006129F6" w:rsidRPr="0085558C">
        <w:rPr>
          <w:rFonts w:eastAsia="Calibri" w:cs="Times New Roman"/>
          <w:kern w:val="0"/>
          <w:szCs w:val="24"/>
          <w14:ligatures w14:val="none"/>
        </w:rPr>
        <w:t xml:space="preserve">GRACEnet is a </w:t>
      </w:r>
      <w:r w:rsidR="006129F6">
        <w:rPr>
          <w:rFonts w:eastAsia="Calibri" w:cs="Times New Roman"/>
          <w:kern w:val="0"/>
          <w:szCs w:val="24"/>
          <w14:ligatures w14:val="none"/>
        </w:rPr>
        <w:t>US</w:t>
      </w:r>
      <w:r w:rsidR="006129F6" w:rsidRPr="0085558C">
        <w:rPr>
          <w:rFonts w:eastAsia="Calibri" w:cs="Times New Roman"/>
          <w:kern w:val="0"/>
          <w:szCs w:val="24"/>
          <w14:ligatures w14:val="none"/>
        </w:rPr>
        <w:t xml:space="preserve"> project overseen by the United States Department of Agriculture to measure agricultural GHG emissions and the effect of management practices across dozens of field sites </w:t>
      </w:r>
      <w:r w:rsidR="006129F6" w:rsidRPr="0085558C">
        <w:rPr>
          <w:rFonts w:eastAsia="Calibri" w:cs="Times New Roman"/>
          <w:kern w:val="0"/>
          <w:szCs w:val="24"/>
          <w14:ligatures w14:val="none"/>
        </w:rPr>
        <w:fldChar w:fldCharType="begin"/>
      </w:r>
      <w:r w:rsidR="00D74AD1">
        <w:rPr>
          <w:rFonts w:eastAsia="Calibri" w:cs="Times New Roman"/>
          <w:kern w:val="0"/>
          <w:szCs w:val="24"/>
          <w14:ligatures w14:val="none"/>
        </w:rPr>
        <w:instrText xml:space="preserve"> ADDIN ZOTERO_ITEM CSL_CITATION {"citationID":"VCC6Nykp","properties":{"formattedCitation":"(Del Grosso et al., 2013)","plainCitation":"(Del Grosso et al., 2013)","noteIndex":0},"citationItems":[{"id":746,"uris":["http://zotero.org/groups/4573874/items/V3CH3QYU"],"itemData":{"id":746,"type":"article-journal","abstract":"Difficulties in accessing high-quality data on trace gas fluxes and performance of bioenergy/bioproduct feedstocks limit the ability of researchers and others to address environmental impacts of agriculture and the potential to produce feedstocks. To address those needs, the GRACEnet (Greenhouse gas Reduction through Agricultural Carbon Enhancement network) and REAP (Renewable Energy Assessment Project) research programs were initiated by the USDA Agricultural Research Service (ARS). A major product of these programs is the creation of a database with greenhouse gas fluxes, soil carbon stocks, biomass yield, nutrient, and energy characteristics, and input data for modeling cropped and grazed systems. The data include site descriptors (e.g., weather, soil class, spatial attributes), experimental design (e.g., factors manipulated, measurements performed, plot layouts), management information (e.g., planting and harvesting schedules, fertilizer types and amounts, biomass harvested, grazing intensity), and measurements (e.g., soil C and N stocks, plant biomass amount and chemical composition). To promote standardization of data and ensure that experiments were fully described, sampling protocols and a spreadsheet-based data-entry template were developed. Data were first uploaded to a temporary database for checking and then were uploaded to the central database. A Web-accessible application allows for registered users to query and download data including measurement protocols. Separate portals have been provided for each project (GRACEnet and REAP) at nrrc.ars.usda.gov/slgracenet/#/Home and nrrc.ars.usda.gov/slreap/#/Home. The database architecture and data entry template have proven flexible and robust for describing a wide range of field experiments and thus appear suitable for other natural resource research projects.","container-title":"Journal of Environmental Quality","DOI":"10.2134/jeq2013.03.0097","ISSN":"1537-2537","issue":"4","language":"en","note":"_eprint: https://onlinelibrary.wiley.com/doi/pdf/10.2134/jeq2013.03.0097","page":"1274-1280","source":"Wiley Online Library","title":"Introducing the GRACEnet/REAP Data Contribution, Discovery, and Retrieval System","volume":"42","author":[{"family":"Del Grosso","given":"S. J."},{"family":"White","given":"J. W."},{"family":"Wilson","given":"G."},{"family":"Vandenberg","given":"B."},{"family":"Karlen","given":"D. L."},{"family":"Follett","given":"R. F."},{"family":"Johnson","given":"J. M. F."},{"family":"Franzluebbers","given":"A. J."},{"family":"Archer","given":"D. W."},{"family":"Gollany","given":"H. T."},{"family":"Liebig","given":"M. A."},{"family":"Ascough","given":"J."},{"family":"Reyes-Fox","given":"M."},{"family":"Pellack","given":"L."},{"family":"Starr","given":"J."},{"family":"Barbour","given":"N."},{"family":"Polumsky","given":"R. W."},{"family":"Gutwein","given":"M."},{"family":"James","given":"D."}],"issued":{"date-parts":[["2013"]]}}}],"schema":"https://github.com/citation-style-language/schema/raw/master/csl-citation.json"} </w:instrText>
      </w:r>
      <w:r w:rsidR="006129F6" w:rsidRPr="0085558C">
        <w:rPr>
          <w:rFonts w:eastAsia="Calibri" w:cs="Times New Roman"/>
          <w:kern w:val="0"/>
          <w:szCs w:val="24"/>
          <w14:ligatures w14:val="none"/>
        </w:rPr>
        <w:fldChar w:fldCharType="separate"/>
      </w:r>
      <w:r w:rsidR="006129F6" w:rsidRPr="0085558C">
        <w:rPr>
          <w:rFonts w:eastAsia="Calibri" w:cs="Times New Roman"/>
          <w:kern w:val="0"/>
          <w:szCs w:val="24"/>
          <w14:ligatures w14:val="none"/>
        </w:rPr>
        <w:t>(Del Grosso et al., 2013)</w:t>
      </w:r>
      <w:r w:rsidR="006129F6" w:rsidRPr="0085558C">
        <w:rPr>
          <w:rFonts w:eastAsia="Calibri" w:cs="Times New Roman"/>
          <w:kern w:val="0"/>
          <w:szCs w:val="24"/>
          <w14:ligatures w14:val="none"/>
        </w:rPr>
        <w:fldChar w:fldCharType="end"/>
      </w:r>
      <w:r w:rsidR="006129F6" w:rsidRPr="0085558C">
        <w:rPr>
          <w:rFonts w:eastAsia="Calibri" w:cs="Times New Roman"/>
          <w:kern w:val="0"/>
          <w:szCs w:val="24"/>
          <w14:ligatures w14:val="none"/>
        </w:rPr>
        <w:t>.</w:t>
      </w:r>
    </w:p>
    <w:p w14:paraId="7BCAC30E" w14:textId="61DC3966" w:rsidR="006129F6" w:rsidRPr="0085558C" w:rsidRDefault="006129F6" w:rsidP="001B567A">
      <w:pPr>
        <w:spacing w:after="0" w:line="480" w:lineRule="auto"/>
        <w:rPr>
          <w:rFonts w:eastAsia="Calibri" w:cs="Times New Roman"/>
          <w:kern w:val="0"/>
          <w:szCs w:val="24"/>
          <w14:ligatures w14:val="none"/>
        </w:rPr>
      </w:pPr>
      <w:r w:rsidRPr="0085558C">
        <w:rPr>
          <w:rFonts w:eastAsia="Calibri" w:cs="Times New Roman"/>
          <w:kern w:val="0"/>
          <w:szCs w:val="24"/>
          <w14:ligatures w14:val="none"/>
        </w:rPr>
        <w:t>All published data was input into a single tabular database with the following columns: ID (unique identifier for each treatment-level timeseries), date, daily average N</w:t>
      </w:r>
      <w:r w:rsidRPr="0085558C">
        <w:rPr>
          <w:rFonts w:eastAsia="Calibri" w:cs="Times New Roman"/>
          <w:kern w:val="0"/>
          <w:szCs w:val="24"/>
          <w:vertAlign w:val="subscript"/>
          <w14:ligatures w14:val="none"/>
        </w:rPr>
        <w:t>2</w:t>
      </w:r>
      <w:r w:rsidRPr="0085558C">
        <w:rPr>
          <w:rFonts w:eastAsia="Calibri" w:cs="Times New Roman"/>
          <w:kern w:val="0"/>
          <w:szCs w:val="24"/>
          <w14:ligatures w14:val="none"/>
        </w:rPr>
        <w:t>O flux (g N ha</w:t>
      </w:r>
      <w:r w:rsidRPr="0085558C">
        <w:rPr>
          <w:rFonts w:eastAsia="Calibri" w:cs="Times New Roman"/>
          <w:kern w:val="0"/>
          <w:szCs w:val="24"/>
          <w:vertAlign w:val="superscript"/>
          <w14:ligatures w14:val="none"/>
        </w:rPr>
        <w:t>-1</w:t>
      </w:r>
      <w:r w:rsidRPr="0085558C">
        <w:rPr>
          <w:rFonts w:eastAsia="Calibri" w:cs="Times New Roman"/>
          <w:kern w:val="0"/>
          <w:szCs w:val="24"/>
          <w14:ligatures w14:val="none"/>
        </w:rPr>
        <w:t xml:space="preserve"> d</w:t>
      </w:r>
      <w:r w:rsidRPr="0085558C">
        <w:rPr>
          <w:rFonts w:eastAsia="Calibri" w:cs="Times New Roman"/>
          <w:kern w:val="0"/>
          <w:szCs w:val="24"/>
          <w:vertAlign w:val="superscript"/>
          <w14:ligatures w14:val="none"/>
        </w:rPr>
        <w:t>-1</w:t>
      </w:r>
      <w:r w:rsidRPr="0085558C">
        <w:rPr>
          <w:rFonts w:eastAsia="Calibri" w:cs="Times New Roman"/>
          <w:kern w:val="0"/>
          <w:szCs w:val="24"/>
          <w14:ligatures w14:val="none"/>
        </w:rPr>
        <w:t xml:space="preserve">), daily average surface soil volumetric water content (VWC; %), daily average soil temperature (°C), total precipitation (mm), </w:t>
      </w:r>
      <w:r>
        <w:rPr>
          <w:rFonts w:eastAsia="Calibri" w:cs="Times New Roman"/>
          <w:kern w:val="0"/>
          <w:szCs w:val="24"/>
          <w14:ligatures w14:val="none"/>
        </w:rPr>
        <w:t>N</w:t>
      </w:r>
      <w:r w:rsidRPr="0085558C">
        <w:rPr>
          <w:rFonts w:eastAsia="Calibri" w:cs="Times New Roman"/>
          <w:kern w:val="0"/>
          <w:szCs w:val="24"/>
          <w14:ligatures w14:val="none"/>
        </w:rPr>
        <w:t xml:space="preserve"> </w:t>
      </w:r>
      <w:r>
        <w:rPr>
          <w:rFonts w:eastAsia="Calibri" w:cs="Times New Roman"/>
          <w:kern w:val="0"/>
          <w:szCs w:val="24"/>
          <w14:ligatures w14:val="none"/>
        </w:rPr>
        <w:t>rate</w:t>
      </w:r>
      <w:r w:rsidRPr="0085558C">
        <w:rPr>
          <w:rFonts w:eastAsia="Calibri" w:cs="Times New Roman"/>
          <w:kern w:val="0"/>
          <w:szCs w:val="24"/>
          <w14:ligatures w14:val="none"/>
        </w:rPr>
        <w:t xml:space="preserve"> (kg N ha</w:t>
      </w:r>
      <w:r w:rsidRPr="0085558C">
        <w:rPr>
          <w:rFonts w:eastAsia="Calibri" w:cs="Times New Roman"/>
          <w:kern w:val="0"/>
          <w:szCs w:val="24"/>
          <w:vertAlign w:val="superscript"/>
          <w14:ligatures w14:val="none"/>
        </w:rPr>
        <w:t>-1</w:t>
      </w:r>
      <w:r w:rsidRPr="0085558C">
        <w:rPr>
          <w:rFonts w:eastAsia="Calibri" w:cs="Times New Roman"/>
          <w:kern w:val="0"/>
          <w:szCs w:val="24"/>
          <w14:ligatures w14:val="none"/>
        </w:rPr>
        <w:t xml:space="preserve">), </w:t>
      </w:r>
      <w:r>
        <w:rPr>
          <w:rFonts w:eastAsia="Calibri" w:cs="Times New Roman"/>
          <w:kern w:val="0"/>
          <w:szCs w:val="24"/>
          <w14:ligatures w14:val="none"/>
        </w:rPr>
        <w:t>N</w:t>
      </w:r>
      <w:r w:rsidRPr="0085558C">
        <w:rPr>
          <w:rFonts w:eastAsia="Calibri" w:cs="Times New Roman"/>
          <w:kern w:val="0"/>
          <w:szCs w:val="24"/>
          <w14:ligatures w14:val="none"/>
        </w:rPr>
        <w:t xml:space="preserve"> form (e.g. urea), latitude (decimal degrees), longitude (decimal degrees), mean annual precipitation (MAP; mm), mean annual temperature (MAT; °C), sand content (%), silt content (%), clay content (%), primary planted crop species, and management style (e.g. conventional, organic, no-till). When data was published in tabular form, all N</w:t>
      </w:r>
      <w:r w:rsidRPr="0085558C">
        <w:rPr>
          <w:rFonts w:eastAsia="Calibri" w:cs="Times New Roman"/>
          <w:kern w:val="0"/>
          <w:szCs w:val="24"/>
          <w:vertAlign w:val="subscript"/>
          <w14:ligatures w14:val="none"/>
        </w:rPr>
        <w:t>2</w:t>
      </w:r>
      <w:r w:rsidRPr="0085558C">
        <w:rPr>
          <w:rFonts w:eastAsia="Calibri" w:cs="Times New Roman"/>
          <w:kern w:val="0"/>
          <w:szCs w:val="24"/>
          <w14:ligatures w14:val="none"/>
        </w:rPr>
        <w:t xml:space="preserve">O fluxes, soil temperature, soil moisture, and precipitation measurements were downloaded and input into the database. When tabular data were not made available, data were extracted from figures using WebPlotDigitizer </w:t>
      </w:r>
      <w:r w:rsidRPr="0085558C">
        <w:rPr>
          <w:rFonts w:eastAsia="Calibri" w:cs="Times New Roman"/>
          <w:kern w:val="0"/>
          <w:szCs w:val="24"/>
          <w14:ligatures w14:val="none"/>
        </w:rPr>
        <w:fldChar w:fldCharType="begin"/>
      </w:r>
      <w:r w:rsidR="00D74AD1">
        <w:rPr>
          <w:rFonts w:eastAsia="Calibri" w:cs="Times New Roman"/>
          <w:kern w:val="0"/>
          <w:szCs w:val="24"/>
          <w14:ligatures w14:val="none"/>
        </w:rPr>
        <w:instrText xml:space="preserve"> ADDIN ZOTERO_ITEM CSL_CITATION {"citationID":"2rThDncm","properties":{"formattedCitation":"(Rohatgi, 2022)","plainCitation":"(Rohatgi, 2022)","noteIndex":0},"citationItems":[{"id":1449,"uris":["http://zotero.org/groups/4573874/items/X9ZYH2FR"],"itemData":{"id":1449,"type":"document","title":"Webplotdigitizer: Version 4.6","URL":"https://automeris.io/WebPlotDigitizer","author":[{"family":"Rohatgi","given":"Ankit"}],"issued":{"date-parts":[["2022"]]}}}],"schema":"https://github.com/citation-style-language/schema/raw/master/csl-citation.json"} </w:instrText>
      </w:r>
      <w:r w:rsidRPr="0085558C">
        <w:rPr>
          <w:rFonts w:eastAsia="Calibri" w:cs="Times New Roman"/>
          <w:kern w:val="0"/>
          <w:szCs w:val="24"/>
          <w14:ligatures w14:val="none"/>
        </w:rPr>
        <w:fldChar w:fldCharType="separate"/>
      </w:r>
      <w:r w:rsidRPr="0085558C">
        <w:rPr>
          <w:rFonts w:eastAsia="Calibri" w:cs="Times New Roman"/>
          <w:kern w:val="0"/>
          <w:szCs w:val="24"/>
          <w14:ligatures w14:val="none"/>
        </w:rPr>
        <w:t>(Rohatgi, 2022)</w:t>
      </w:r>
      <w:r w:rsidRPr="0085558C">
        <w:rPr>
          <w:rFonts w:eastAsia="Calibri" w:cs="Times New Roman"/>
          <w:kern w:val="0"/>
          <w:szCs w:val="24"/>
          <w14:ligatures w14:val="none"/>
        </w:rPr>
        <w:fldChar w:fldCharType="end"/>
      </w:r>
      <w:r w:rsidRPr="0085558C">
        <w:rPr>
          <w:rFonts w:eastAsia="Calibri" w:cs="Times New Roman"/>
          <w:kern w:val="0"/>
          <w:szCs w:val="24"/>
          <w14:ligatures w14:val="none"/>
        </w:rPr>
        <w:t>. Soil texture, crop species, fertilization, geolocation, and management information were extracted from the publication text and input into the database manually.</w:t>
      </w:r>
    </w:p>
    <w:p w14:paraId="028EAD8C" w14:textId="15198DEB" w:rsidR="001154C0" w:rsidRPr="00994531" w:rsidRDefault="006129F6" w:rsidP="001B567A">
      <w:pPr>
        <w:spacing w:after="0" w:line="480" w:lineRule="auto"/>
        <w:rPr>
          <w:rFonts w:eastAsia="Calibri" w:cs="Times New Roman"/>
          <w:kern w:val="0"/>
          <w:szCs w:val="24"/>
          <w14:ligatures w14:val="none"/>
        </w:rPr>
      </w:pPr>
      <w:r w:rsidRPr="0085558C">
        <w:rPr>
          <w:rFonts w:eastAsia="Calibri" w:cs="Times New Roman"/>
          <w:kern w:val="0"/>
          <w:szCs w:val="24"/>
          <w14:ligatures w14:val="none"/>
        </w:rPr>
        <w:t xml:space="preserve">Unit conversions were performed as necessary according to the aforementioned units for each factor. </w:t>
      </w:r>
      <w:r w:rsidR="001154C0" w:rsidRPr="00994531">
        <w:rPr>
          <w:rFonts w:eastAsia="Calibri" w:cs="Times New Roman"/>
          <w:kern w:val="0"/>
          <w:szCs w:val="24"/>
          <w14:ligatures w14:val="none"/>
        </w:rPr>
        <w:t xml:space="preserve">Where soil moisture was reported as water-filled pore space (WFPS), measurements were converted to VWC using Equation 1, where BD was the bulk density of soil reported for the </w:t>
      </w:r>
      <w:r w:rsidR="001154C0" w:rsidRPr="00994531">
        <w:rPr>
          <w:rFonts w:eastAsia="Calibri" w:cs="Times New Roman"/>
          <w:kern w:val="0"/>
          <w:szCs w:val="24"/>
          <w14:ligatures w14:val="none"/>
        </w:rPr>
        <w:lastRenderedPageBreak/>
        <w:t>given site and PD was the soil particle density of 2.65 g cm</w:t>
      </w:r>
      <w:r w:rsidR="001154C0" w:rsidRPr="00994531">
        <w:rPr>
          <w:rFonts w:eastAsia="Calibri" w:cs="Times New Roman"/>
          <w:kern w:val="0"/>
          <w:szCs w:val="24"/>
          <w:vertAlign w:val="superscript"/>
          <w14:ligatures w14:val="none"/>
        </w:rPr>
        <w:t>-3</w:t>
      </w:r>
      <w:r w:rsidR="001154C0" w:rsidRPr="00994531">
        <w:rPr>
          <w:rFonts w:eastAsia="Calibri" w:cs="Times New Roman"/>
          <w:kern w:val="0"/>
          <w:szCs w:val="24"/>
          <w14:ligatures w14:val="none"/>
        </w:rPr>
        <w:t>. VWC was selected over WFPS due to its greater availability within the identified publications in this study.</w:t>
      </w:r>
    </w:p>
    <w:tbl>
      <w:tblPr>
        <w:tblStyle w:val="TableGrid"/>
        <w:tblW w:w="96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20"/>
        <w:gridCol w:w="1739"/>
      </w:tblGrid>
      <w:tr w:rsidR="001154C0" w:rsidRPr="00994531" w14:paraId="62488505" w14:textId="77777777" w:rsidTr="00AC1072">
        <w:trPr>
          <w:trHeight w:val="687"/>
        </w:trPr>
        <w:tc>
          <w:tcPr>
            <w:tcW w:w="7920" w:type="dxa"/>
          </w:tcPr>
          <w:p w14:paraId="36A47BF2" w14:textId="77777777" w:rsidR="001154C0" w:rsidRPr="00994531" w:rsidRDefault="001154C0" w:rsidP="001B567A">
            <w:pPr>
              <w:spacing w:line="480" w:lineRule="auto"/>
            </w:pPr>
            <m:oMathPara>
              <m:oMath>
                <m:r>
                  <w:rPr>
                    <w:rFonts w:ascii="Cambria Math" w:eastAsia="Cambria Math" w:hAnsi="Cambria Math"/>
                  </w:rPr>
                  <m:t>VWC= WFPS*(1-</m:t>
                </m:r>
                <m:r>
                  <m:rPr>
                    <m:sty m:val="p"/>
                  </m:rPr>
                  <w:rPr>
                    <w:rFonts w:ascii="Cambria Math" w:eastAsia="Cambria Math" w:hAnsi="Cambria Math"/>
                  </w:rPr>
                  <m:t>BD / PD</m:t>
                </m:r>
                <m:r>
                  <w:rPr>
                    <w:rFonts w:ascii="Cambria Math" w:eastAsia="Cambria Math" w:hAnsi="Cambria Math"/>
                  </w:rPr>
                  <m:t>)</m:t>
                </m:r>
              </m:oMath>
            </m:oMathPara>
          </w:p>
        </w:tc>
        <w:tc>
          <w:tcPr>
            <w:tcW w:w="1739" w:type="dxa"/>
            <w:vAlign w:val="center"/>
          </w:tcPr>
          <w:p w14:paraId="5F33D393" w14:textId="77777777" w:rsidR="001154C0" w:rsidRPr="00994531" w:rsidRDefault="001154C0" w:rsidP="001B567A">
            <w:pPr>
              <w:spacing w:line="480" w:lineRule="auto"/>
            </w:pPr>
            <w:r w:rsidRPr="00994531">
              <w:t>Equation 1</w:t>
            </w:r>
          </w:p>
        </w:tc>
      </w:tr>
    </w:tbl>
    <w:p w14:paraId="1323E9C2" w14:textId="2F684B1C" w:rsidR="001154C0" w:rsidRPr="00994531" w:rsidRDefault="001154C0" w:rsidP="001B567A">
      <w:pPr>
        <w:spacing w:after="0" w:line="480" w:lineRule="auto"/>
        <w:rPr>
          <w:rFonts w:eastAsia="Calibri" w:cs="Times New Roman"/>
          <w:kern w:val="0"/>
          <w:szCs w:val="24"/>
          <w14:ligatures w14:val="none"/>
        </w:rPr>
      </w:pPr>
      <w:r w:rsidRPr="00994531">
        <w:rPr>
          <w:rFonts w:eastAsia="Calibri" w:cs="Times New Roman"/>
          <w:kern w:val="0"/>
          <w:szCs w:val="24"/>
          <w14:ligatures w14:val="none"/>
        </w:rPr>
        <w:t>This resulted in a collection of 6753 replicated daily average N</w:t>
      </w:r>
      <w:r w:rsidRPr="00994531">
        <w:rPr>
          <w:rFonts w:eastAsia="Calibri" w:cs="Times New Roman"/>
          <w:kern w:val="0"/>
          <w:szCs w:val="24"/>
          <w:vertAlign w:val="subscript"/>
          <w14:ligatures w14:val="none"/>
        </w:rPr>
        <w:t>2</w:t>
      </w:r>
      <w:r w:rsidRPr="00994531">
        <w:rPr>
          <w:rFonts w:eastAsia="Calibri" w:cs="Times New Roman"/>
          <w:kern w:val="0"/>
          <w:szCs w:val="24"/>
          <w14:ligatures w14:val="none"/>
        </w:rPr>
        <w:t>O flux measurements from 26 published papers or datasets, 22 unique sites, and 104 treatment timeseries datasets. The United States was most heavily represented due to the size and availability of the GRACEnet database, comprising half of the unique sites, while datasets from an additional 11 locations were included from China, Canada, Europe, Brazil, Israel, and Australia (</w:t>
      </w:r>
      <w:r w:rsidRPr="006129F6">
        <w:rPr>
          <w:rFonts w:eastAsia="Calibri" w:cs="Times New Roman"/>
          <w:b/>
          <w:kern w:val="0"/>
          <w:szCs w:val="24"/>
          <w14:ligatures w14:val="none"/>
        </w:rPr>
        <w:t xml:space="preserve">Figure </w:t>
      </w:r>
      <w:r w:rsidR="006129F6">
        <w:rPr>
          <w:rFonts w:eastAsia="Calibri" w:cs="Times New Roman"/>
          <w:b/>
          <w:bCs/>
          <w:kern w:val="0"/>
          <w:szCs w:val="24"/>
          <w14:ligatures w14:val="none"/>
        </w:rPr>
        <w:t>3.</w:t>
      </w:r>
      <w:r w:rsidR="006129F6" w:rsidRPr="006129F6">
        <w:rPr>
          <w:rFonts w:eastAsia="Calibri" w:cs="Times New Roman"/>
          <w:b/>
          <w:bCs/>
          <w:kern w:val="0"/>
          <w:szCs w:val="24"/>
          <w14:ligatures w14:val="none"/>
        </w:rPr>
        <w:t>1</w:t>
      </w:r>
      <w:r w:rsidR="006129F6" w:rsidRPr="0085558C">
        <w:rPr>
          <w:rFonts w:eastAsia="Calibri" w:cs="Times New Roman"/>
          <w:kern w:val="0"/>
          <w:szCs w:val="24"/>
          <w14:ligatures w14:val="none"/>
        </w:rPr>
        <w:t>).</w:t>
      </w:r>
      <w:r w:rsidR="006129F6">
        <w:rPr>
          <w:rFonts w:eastAsia="Calibri" w:cs="Times New Roman"/>
          <w:kern w:val="0"/>
          <w:szCs w:val="24"/>
          <w14:ligatures w14:val="none"/>
        </w:rPr>
        <w:t xml:space="preserve"> The large number of datasets and diversity of geography related to a similar diversity of climactic conditions</w:t>
      </w:r>
      <w:r w:rsidR="006129F6" w:rsidRPr="0085558C">
        <w:rPr>
          <w:rFonts w:eastAsia="Calibri" w:cs="Times New Roman"/>
          <w:kern w:val="0"/>
          <w:szCs w:val="24"/>
          <w14:ligatures w14:val="none"/>
        </w:rPr>
        <w:t>. Soil VWC ranged from ~5% to &gt;60%, with greatest frequency between 20-30%, while temperature ranged from &lt;0 °C to &gt;30 °C, with greatest frequency between 15-25 °C (</w:t>
      </w:r>
      <w:r w:rsidR="006129F6" w:rsidRPr="00910C68">
        <w:rPr>
          <w:rFonts w:eastAsia="Calibri" w:cs="Times New Roman"/>
          <w:b/>
          <w:bCs/>
          <w:kern w:val="0"/>
          <w:szCs w:val="24"/>
          <w14:ligatures w14:val="none"/>
        </w:rPr>
        <w:t xml:space="preserve">Figure </w:t>
      </w:r>
      <w:r w:rsidR="00910C68" w:rsidRPr="00910C68">
        <w:rPr>
          <w:rFonts w:eastAsia="Calibri" w:cs="Times New Roman"/>
          <w:b/>
          <w:bCs/>
          <w:kern w:val="0"/>
          <w:szCs w:val="24"/>
          <w14:ligatures w14:val="none"/>
        </w:rPr>
        <w:t>3.</w:t>
      </w:r>
      <w:r w:rsidR="006129F6" w:rsidRPr="00910C68">
        <w:rPr>
          <w:rFonts w:eastAsia="Calibri" w:cs="Times New Roman"/>
          <w:b/>
          <w:bCs/>
          <w:kern w:val="0"/>
          <w:szCs w:val="24"/>
          <w14:ligatures w14:val="none"/>
        </w:rPr>
        <w:t>2</w:t>
      </w:r>
      <w:r w:rsidR="006129F6" w:rsidRPr="0085558C">
        <w:rPr>
          <w:rFonts w:eastAsia="Calibri" w:cs="Times New Roman"/>
          <w:kern w:val="0"/>
          <w:szCs w:val="24"/>
          <w14:ligatures w14:val="none"/>
        </w:rPr>
        <w:t>).</w:t>
      </w:r>
      <w:r w:rsidR="006129F6">
        <w:rPr>
          <w:rFonts w:eastAsia="Calibri" w:cs="Times New Roman"/>
          <w:kern w:val="0"/>
          <w:szCs w:val="24"/>
          <w14:ligatures w14:val="none"/>
        </w:rPr>
        <w:t xml:space="preserve"> </w:t>
      </w:r>
    </w:p>
    <w:p w14:paraId="30132146" w14:textId="250ECD21" w:rsidR="004D31EB" w:rsidRPr="004D31EB" w:rsidRDefault="004D31EB" w:rsidP="001B567A">
      <w:pPr>
        <w:spacing w:after="0" w:line="480" w:lineRule="auto"/>
        <w:rPr>
          <w:rFonts w:eastAsia="Times New Roman" w:cs="Times New Roman"/>
          <w:kern w:val="0"/>
          <w:szCs w:val="24"/>
          <w14:ligatures w14:val="none"/>
        </w:rPr>
      </w:pPr>
      <w:r w:rsidRPr="00994531">
        <w:rPr>
          <w:rFonts w:eastAsia="Calibri" w:cs="Times New Roman"/>
          <w:kern w:val="0"/>
          <w:szCs w:val="24"/>
          <w14:ligatures w14:val="none"/>
        </w:rPr>
        <w:t>Four distinct management practices were represented: conventional (using both synthetic</w:t>
      </w:r>
      <w:r>
        <w:rPr>
          <w:rFonts w:eastAsia="Calibri" w:cs="Times New Roman"/>
          <w:kern w:val="0"/>
          <w:szCs w:val="24"/>
          <w14:ligatures w14:val="none"/>
        </w:rPr>
        <w:t xml:space="preserve"> </w:t>
      </w:r>
      <w:r w:rsidRPr="00994531">
        <w:rPr>
          <w:rFonts w:eastAsia="Calibri" w:cs="Times New Roman"/>
          <w:kern w:val="0"/>
          <w:szCs w:val="24"/>
          <w14:ligatures w14:val="none"/>
        </w:rPr>
        <w:t>fertilizer and tillage), organic (using only organic fertilizer inputs), reduced till (some strategy of conservation tillage and no restrictions on fertilizer inputs), and no-till (no tillage and no restrictions on fertilizer inputs). By far the most frequently planted crop species was Maize, which was planted in combination with each of the four management practices, while 16 other</w:t>
      </w:r>
      <w:r>
        <w:rPr>
          <w:rFonts w:eastAsia="Calibri" w:cs="Times New Roman"/>
          <w:kern w:val="0"/>
          <w:szCs w:val="24"/>
          <w14:ligatures w14:val="none"/>
        </w:rPr>
        <w:t xml:space="preserve"> </w:t>
      </w:r>
      <w:r w:rsidRPr="00994531">
        <w:rPr>
          <w:rFonts w:eastAsia="Calibri" w:cs="Times New Roman"/>
          <w:kern w:val="0"/>
          <w:szCs w:val="24"/>
          <w14:ligatures w14:val="none"/>
        </w:rPr>
        <w:t>crop types were represented (</w:t>
      </w:r>
      <w:r w:rsidRPr="004D31EB">
        <w:rPr>
          <w:rFonts w:eastAsia="Calibri" w:cs="Times New Roman"/>
          <w:b/>
          <w:bCs/>
          <w:kern w:val="0"/>
          <w:szCs w:val="24"/>
          <w14:ligatures w14:val="none"/>
        </w:rPr>
        <w:t xml:space="preserve">Figure </w:t>
      </w:r>
      <w:r>
        <w:rPr>
          <w:rFonts w:eastAsia="Calibri" w:cs="Times New Roman"/>
          <w:b/>
          <w:bCs/>
          <w:kern w:val="0"/>
          <w:szCs w:val="24"/>
          <w14:ligatures w14:val="none"/>
        </w:rPr>
        <w:t>3.</w:t>
      </w:r>
      <w:r w:rsidR="009912D1" w:rsidRPr="009912D1">
        <w:rPr>
          <w:rFonts w:eastAsia="Calibri" w:cs="Times New Roman"/>
          <w:b/>
          <w:bCs/>
          <w:kern w:val="0"/>
          <w:szCs w:val="24"/>
          <w14:ligatures w14:val="none"/>
        </w:rPr>
        <w:t>3</w:t>
      </w:r>
      <w:r w:rsidRPr="00994531">
        <w:rPr>
          <w:rFonts w:eastAsia="Calibri" w:cs="Times New Roman"/>
          <w:kern w:val="0"/>
          <w:szCs w:val="24"/>
          <w14:ligatures w14:val="none"/>
        </w:rPr>
        <w:t>). The variety of climactic conditions, management practices, soil characteristics, and crop types contributed to significant variability in daily N</w:t>
      </w:r>
      <w:r w:rsidRPr="00994531">
        <w:rPr>
          <w:rFonts w:eastAsia="Calibri" w:cs="Times New Roman"/>
          <w:kern w:val="0"/>
          <w:szCs w:val="24"/>
          <w:vertAlign w:val="subscript"/>
          <w14:ligatures w14:val="none"/>
        </w:rPr>
        <w:t>2</w:t>
      </w:r>
      <w:r w:rsidRPr="00994531">
        <w:rPr>
          <w:rFonts w:eastAsia="Calibri" w:cs="Times New Roman"/>
          <w:kern w:val="0"/>
          <w:szCs w:val="24"/>
          <w14:ligatures w14:val="none"/>
        </w:rPr>
        <w:t xml:space="preserve">O fluxes, ranging from &lt;0 up to ~1400 </w:t>
      </w:r>
      <w:r w:rsidRPr="00994531">
        <w:rPr>
          <w:rFonts w:eastAsia="Times New Roman" w:cs="Times New Roman"/>
          <w:kern w:val="0"/>
          <w:szCs w:val="24"/>
          <w14:ligatures w14:val="none"/>
        </w:rPr>
        <w:t>g N ha</w:t>
      </w:r>
      <w:r w:rsidRPr="00994531">
        <w:rPr>
          <w:rFonts w:eastAsia="Times New Roman" w:cs="Times New Roman"/>
          <w:kern w:val="0"/>
          <w:szCs w:val="24"/>
          <w:vertAlign w:val="superscript"/>
          <w14:ligatures w14:val="none"/>
        </w:rPr>
        <w:t>-1</w:t>
      </w:r>
      <w:r w:rsidRPr="00994531">
        <w:rPr>
          <w:rFonts w:eastAsia="Times New Roman" w:cs="Times New Roman"/>
          <w:kern w:val="0"/>
          <w:szCs w:val="24"/>
          <w14:ligatures w14:val="none"/>
        </w:rPr>
        <w:t xml:space="preserve"> d</w:t>
      </w:r>
      <w:r w:rsidRPr="00994531">
        <w:rPr>
          <w:rFonts w:eastAsia="Times New Roman" w:cs="Times New Roman"/>
          <w:kern w:val="0"/>
          <w:szCs w:val="24"/>
          <w:vertAlign w:val="superscript"/>
          <w14:ligatures w14:val="none"/>
        </w:rPr>
        <w:t xml:space="preserve">-1 </w:t>
      </w:r>
      <w:r w:rsidRPr="00994531">
        <w:rPr>
          <w:rFonts w:eastAsia="Times New Roman" w:cs="Times New Roman"/>
          <w:kern w:val="0"/>
          <w:szCs w:val="24"/>
          <w14:ligatures w14:val="none"/>
        </w:rPr>
        <w:t>with a long and heavy tail flux distribution (</w:t>
      </w:r>
      <w:r w:rsidRPr="001C146B">
        <w:rPr>
          <w:rFonts w:eastAsia="Times New Roman" w:cs="Times New Roman"/>
          <w:b/>
          <w:kern w:val="0"/>
          <w:szCs w:val="24"/>
          <w14:ligatures w14:val="none"/>
        </w:rPr>
        <w:t xml:space="preserve">Figure </w:t>
      </w:r>
      <w:r w:rsidR="001C146B" w:rsidRPr="001C146B">
        <w:rPr>
          <w:rFonts w:eastAsia="Times New Roman" w:cs="Times New Roman"/>
          <w:b/>
          <w:bCs/>
          <w:kern w:val="0"/>
          <w:szCs w:val="24"/>
          <w14:ligatures w14:val="none"/>
        </w:rPr>
        <w:t>3.3</w:t>
      </w:r>
      <w:r w:rsidRPr="00994531">
        <w:rPr>
          <w:rFonts w:eastAsia="Times New Roman" w:cs="Times New Roman"/>
          <w:kern w:val="0"/>
          <w:szCs w:val="24"/>
          <w14:ligatures w14:val="none"/>
        </w:rPr>
        <w:t>), which is characteristic of soil N</w:t>
      </w:r>
      <w:r w:rsidRPr="00994531">
        <w:rPr>
          <w:rFonts w:eastAsia="Times New Roman" w:cs="Times New Roman"/>
          <w:kern w:val="0"/>
          <w:szCs w:val="24"/>
          <w:vertAlign w:val="subscript"/>
          <w14:ligatures w14:val="none"/>
        </w:rPr>
        <w:t>2</w:t>
      </w:r>
      <w:r w:rsidRPr="00994531">
        <w:rPr>
          <w:rFonts w:eastAsia="Times New Roman" w:cs="Times New Roman"/>
          <w:kern w:val="0"/>
          <w:szCs w:val="24"/>
          <w14:ligatures w14:val="none"/>
        </w:rPr>
        <w:t xml:space="preserve">O emissions </w:t>
      </w:r>
      <w:r w:rsidR="009912D1" w:rsidRPr="0085558C">
        <w:rPr>
          <w:rFonts w:eastAsia="Times New Roman" w:cs="Times New Roman"/>
          <w:kern w:val="0"/>
          <w:szCs w:val="24"/>
          <w14:ligatures w14:val="none"/>
        </w:rPr>
        <w:fldChar w:fldCharType="begin"/>
      </w:r>
      <w:r w:rsidR="00D74AD1">
        <w:rPr>
          <w:rFonts w:eastAsia="Times New Roman" w:cs="Times New Roman"/>
          <w:kern w:val="0"/>
          <w:szCs w:val="24"/>
          <w14:ligatures w14:val="none"/>
        </w:rPr>
        <w:instrText xml:space="preserve"> ADDIN ZOTERO_ITEM CSL_CITATION {"citationID":"ooVWvdCM","properties":{"formattedCitation":"(Yates et al., 2006)","plainCitation":"(Yates et al., 2006)","noteIndex":0},"citationItems":[{"id":2539,"uris":["http://zotero.org/groups/4573874/items/74JF4Z2W"],"itemData":{"id":2539,"type":"article-journal","abstract":"Climate controls soil N2O emissions via its effects on soil properties such as water-filled pore space. Changes in climate should produce changes in the probability distribution and spatial dependency of soil N2O data. Knowing the extent of the changes in the distribution of this data is important for validating model predictions. The objectives of this study were to describe the probability distributions and estimate the spatial dependency of soil N2O emission data. On a hummocky, agricultural landscape in Saskatchewan, N2O emission data and related soil variables were taken from a 128-point transect 15 times over 2 yr. Probability distributions were compared using a Chi-square test. The range in spatial correlation was determined using the indicator semivariogram with a nested model fit approach. The mean N2O flux ranged from 25.3 to −0.2 ng N2O–N m−2 s−1 Probability distributions ranged in shape from reverse J-shape through log normal to symmetrical. The majority of distributions were statistically different from each other, showing a lack of temporal stability. Mean N2O flux and distribution shape followed an event-based/background emission pattern. High flux events had statistically similar, reverse J-shaped distributions. As mean N2O flux decreased to a background level distribution, shape changed to log normal and symmetrical forms. A high nugget/sill ratio characterized the majority of sampling dates, although spatial dependency was generally moderate. Flux values in the fourth quartile tended to have a spatial dependency of 15 m, probably reflecting a topographic control at a landform element scale.","container-title":"Soil Science Society of America Journal","DOI":"10.2136/sssaj2005.0214","ISSN":"1435-0661","issue":"3","language":"en","license":"Soil Science Society of America","note":"_eprint: https://onlinelibrary.wiley.com/doi/pdf/10.2136/sssaj2005.0214","page":"753-762","source":"Wiley Online Library","title":"Probability Distribution and Spatial Dependence of Nitrous Oxide Emission","volume":"70","author":[{"family":"Yates","given":"T. T."},{"family":"Si","given":"B. C."},{"family":"Farrell","given":"R. E."},{"family":"Pennock","given":"D. J."}],"issued":{"date-parts":[["2006"]]}}}],"schema":"https://github.com/citation-style-language/schema/raw/master/csl-citation.json"} </w:instrText>
      </w:r>
      <w:r w:rsidR="009912D1" w:rsidRPr="0085558C">
        <w:rPr>
          <w:rFonts w:eastAsia="Times New Roman" w:cs="Times New Roman"/>
          <w:kern w:val="0"/>
          <w:szCs w:val="24"/>
          <w14:ligatures w14:val="none"/>
        </w:rPr>
        <w:fldChar w:fldCharType="separate"/>
      </w:r>
      <w:r w:rsidR="009912D1" w:rsidRPr="0085558C">
        <w:rPr>
          <w:rFonts w:eastAsia="Calibri" w:cs="Times New Roman"/>
          <w:kern w:val="0"/>
          <w:szCs w:val="24"/>
          <w14:ligatures w14:val="none"/>
        </w:rPr>
        <w:t>(Yates et al., 2006)</w:t>
      </w:r>
      <w:r w:rsidR="009912D1" w:rsidRPr="0085558C">
        <w:rPr>
          <w:rFonts w:eastAsia="Times New Roman" w:cs="Times New Roman"/>
          <w:kern w:val="0"/>
          <w:szCs w:val="24"/>
          <w14:ligatures w14:val="none"/>
        </w:rPr>
        <w:fldChar w:fldCharType="end"/>
      </w:r>
      <w:r w:rsidR="009912D1" w:rsidRPr="0085558C">
        <w:rPr>
          <w:rFonts w:eastAsia="Times New Roman" w:cs="Times New Roman"/>
          <w:kern w:val="0"/>
          <w:szCs w:val="24"/>
          <w14:ligatures w14:val="none"/>
        </w:rPr>
        <w:t>.</w:t>
      </w:r>
    </w:p>
    <w:p w14:paraId="657C1CA5" w14:textId="77777777" w:rsidR="004D31EB" w:rsidRDefault="004D31EB" w:rsidP="006129F6">
      <w:pPr>
        <w:spacing w:line="480" w:lineRule="auto"/>
        <w:rPr>
          <w:rFonts w:eastAsia="Calibri" w:cs="Times New Roman"/>
          <w:kern w:val="0"/>
          <w:szCs w:val="24"/>
          <w14:ligatures w14:val="none"/>
        </w:rPr>
      </w:pPr>
    </w:p>
    <w:p w14:paraId="63CB8241" w14:textId="77777777" w:rsidR="00631276" w:rsidRPr="00994531" w:rsidRDefault="001154C0" w:rsidP="004D31EB">
      <w:pPr>
        <w:keepNext/>
        <w:spacing w:after="0" w:line="480" w:lineRule="auto"/>
        <w:jc w:val="center"/>
      </w:pPr>
      <w:r w:rsidRPr="00994531">
        <w:rPr>
          <w:rFonts w:eastAsia="Calibri" w:cs="Times New Roman"/>
          <w:noProof/>
          <w:kern w:val="0"/>
          <w:szCs w:val="24"/>
          <w14:ligatures w14:val="none"/>
        </w:rPr>
        <w:lastRenderedPageBreak/>
        <w:drawing>
          <wp:inline distT="0" distB="0" distL="0" distR="0" wp14:anchorId="5AE81108" wp14:editId="49D5AA6A">
            <wp:extent cx="4575843" cy="2350168"/>
            <wp:effectExtent l="0" t="0" r="0" b="0"/>
            <wp:docPr id="289645544"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9645544" name="Graphic 1"/>
                    <pic:cNvPicPr/>
                  </pic:nvPicPr>
                  <pic:blipFill>
                    <a:blip r:embed="rId29">
                      <a:extLst>
                        <a:ext uri="{96DAC541-7B7A-43D3-8B79-37D633B846F1}">
                          <asvg:svgBlip xmlns:asvg="http://schemas.microsoft.com/office/drawing/2016/SVG/main" r:embed="rId30"/>
                        </a:ext>
                      </a:extLst>
                    </a:blip>
                    <a:stretch>
                      <a:fillRect/>
                    </a:stretch>
                  </pic:blipFill>
                  <pic:spPr>
                    <a:xfrm>
                      <a:off x="0" y="0"/>
                      <a:ext cx="4585876" cy="2355321"/>
                    </a:xfrm>
                    <a:prstGeom prst="rect">
                      <a:avLst/>
                    </a:prstGeom>
                  </pic:spPr>
                </pic:pic>
              </a:graphicData>
            </a:graphic>
          </wp:inline>
        </w:drawing>
      </w:r>
    </w:p>
    <w:p w14:paraId="1150DC18" w14:textId="6F48577A" w:rsidR="001154C0" w:rsidRPr="00994531" w:rsidRDefault="00631276" w:rsidP="00631276">
      <w:pPr>
        <w:pStyle w:val="Caption"/>
        <w:rPr>
          <w:rFonts w:eastAsia="Calibri" w:cs="Times New Roman"/>
          <w:i w:val="0"/>
          <w:iCs w:val="0"/>
          <w:color w:val="auto"/>
          <w:kern w:val="0"/>
          <w:sz w:val="24"/>
          <w:szCs w:val="24"/>
          <w14:ligatures w14:val="none"/>
        </w:rPr>
      </w:pPr>
      <w:bookmarkStart w:id="67" w:name="_Toc204263360"/>
      <w:r w:rsidRPr="00EF75A5">
        <w:rPr>
          <w:b/>
          <w:bCs/>
          <w:i w:val="0"/>
          <w:iCs w:val="0"/>
          <w:color w:val="auto"/>
          <w:sz w:val="24"/>
          <w:szCs w:val="24"/>
        </w:rPr>
        <w:t>Figure</w:t>
      </w:r>
      <w:r w:rsidR="0080467A" w:rsidRPr="00EF75A5">
        <w:rPr>
          <w:b/>
          <w:bCs/>
          <w:i w:val="0"/>
          <w:iCs w:val="0"/>
          <w:color w:val="auto"/>
          <w:sz w:val="24"/>
          <w:szCs w:val="24"/>
        </w:rPr>
        <w:t xml:space="preserve"> 3</w:t>
      </w:r>
      <w:r w:rsidR="00D24801">
        <w:rPr>
          <w:b/>
          <w:bCs/>
          <w:i w:val="0"/>
          <w:iCs w:val="0"/>
          <w:color w:val="auto"/>
          <w:sz w:val="24"/>
          <w:szCs w:val="24"/>
        </w:rPr>
        <w:t>.</w:t>
      </w:r>
      <w:r w:rsidR="00D24801">
        <w:rPr>
          <w:b/>
          <w:bCs/>
          <w:i w:val="0"/>
          <w:iCs w:val="0"/>
          <w:color w:val="auto"/>
          <w:sz w:val="24"/>
          <w:szCs w:val="24"/>
        </w:rPr>
        <w:fldChar w:fldCharType="begin"/>
      </w:r>
      <w:r w:rsidR="00D24801">
        <w:rPr>
          <w:b/>
          <w:bCs/>
          <w:i w:val="0"/>
          <w:iCs w:val="0"/>
          <w:color w:val="auto"/>
          <w:sz w:val="24"/>
          <w:szCs w:val="24"/>
        </w:rPr>
        <w:instrText xml:space="preserve"> SEQ Figure \* ARABIC \s 1 </w:instrText>
      </w:r>
      <w:r w:rsidR="00D24801">
        <w:rPr>
          <w:b/>
          <w:bCs/>
          <w:i w:val="0"/>
          <w:iCs w:val="0"/>
          <w:color w:val="auto"/>
          <w:sz w:val="24"/>
          <w:szCs w:val="24"/>
        </w:rPr>
        <w:fldChar w:fldCharType="separate"/>
      </w:r>
      <w:r w:rsidR="00D24801">
        <w:rPr>
          <w:b/>
          <w:bCs/>
          <w:i w:val="0"/>
          <w:iCs w:val="0"/>
          <w:noProof/>
          <w:color w:val="auto"/>
          <w:sz w:val="24"/>
          <w:szCs w:val="24"/>
        </w:rPr>
        <w:t>1</w:t>
      </w:r>
      <w:r w:rsidR="00D24801">
        <w:rPr>
          <w:b/>
          <w:bCs/>
          <w:i w:val="0"/>
          <w:iCs w:val="0"/>
          <w:color w:val="auto"/>
          <w:sz w:val="24"/>
          <w:szCs w:val="24"/>
        </w:rPr>
        <w:fldChar w:fldCharType="end"/>
      </w:r>
      <w:r w:rsidR="0080467A" w:rsidRPr="00994531">
        <w:rPr>
          <w:i w:val="0"/>
          <w:iCs w:val="0"/>
          <w:color w:val="auto"/>
          <w:sz w:val="24"/>
          <w:szCs w:val="24"/>
        </w:rPr>
        <w:t xml:space="preserve">: </w:t>
      </w:r>
      <w:r w:rsidR="0080467A" w:rsidRPr="00994531">
        <w:rPr>
          <w:rFonts w:eastAsia="Calibri" w:cs="Times New Roman"/>
          <w:i w:val="0"/>
          <w:iCs w:val="0"/>
          <w:color w:val="auto"/>
          <w:kern w:val="0"/>
          <w:sz w:val="24"/>
          <w:szCs w:val="24"/>
          <w14:ligatures w14:val="none"/>
        </w:rPr>
        <w:t>Global distribution of study sites and associated soil textural representation within the model dataset. Seven soil textural classes were represented by color, including a variety of loams and clays. The size of circles represents the number of treatment timeseries datasets at each site.</w:t>
      </w:r>
      <w:bookmarkEnd w:id="67"/>
    </w:p>
    <w:p w14:paraId="319AEFD4" w14:textId="77777777" w:rsidR="00CD699F" w:rsidRPr="00CD699F" w:rsidRDefault="00CD699F" w:rsidP="00CD699F"/>
    <w:p w14:paraId="2ACAA740" w14:textId="77777777" w:rsidR="00917400" w:rsidRDefault="00CD699F" w:rsidP="00917400">
      <w:pPr>
        <w:keepNext/>
        <w:spacing w:after="0" w:line="480" w:lineRule="auto"/>
        <w:jc w:val="center"/>
      </w:pPr>
      <w:r w:rsidRPr="0085558C">
        <w:rPr>
          <w:rFonts w:eastAsia="Calibri" w:cs="Times New Roman"/>
          <w:noProof/>
          <w:kern w:val="0"/>
          <w:szCs w:val="24"/>
          <w14:ligatures w14:val="none"/>
        </w:rPr>
        <w:drawing>
          <wp:inline distT="0" distB="0" distL="0" distR="0" wp14:anchorId="1D3A62AA" wp14:editId="7AF1C889">
            <wp:extent cx="3457073" cy="3250944"/>
            <wp:effectExtent l="0" t="0" r="0" b="6985"/>
            <wp:docPr id="2132179347"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2124396" name="Graphic 1"/>
                    <pic:cNvPicPr/>
                  </pic:nvPicPr>
                  <pic:blipFill>
                    <a:blip r:embed="rId31">
                      <a:extLst>
                        <a:ext uri="{96DAC541-7B7A-43D3-8B79-37D633B846F1}">
                          <asvg:svgBlip xmlns:asvg="http://schemas.microsoft.com/office/drawing/2016/SVG/main" r:embed="rId32"/>
                        </a:ext>
                      </a:extLst>
                    </a:blip>
                    <a:stretch>
                      <a:fillRect/>
                    </a:stretch>
                  </pic:blipFill>
                  <pic:spPr>
                    <a:xfrm>
                      <a:off x="0" y="0"/>
                      <a:ext cx="3458880" cy="3252643"/>
                    </a:xfrm>
                    <a:prstGeom prst="rect">
                      <a:avLst/>
                    </a:prstGeom>
                  </pic:spPr>
                </pic:pic>
              </a:graphicData>
            </a:graphic>
          </wp:inline>
        </w:drawing>
      </w:r>
    </w:p>
    <w:p w14:paraId="153DE341" w14:textId="14A30BAB" w:rsidR="004D31EB" w:rsidRPr="00764489" w:rsidRDefault="00917400" w:rsidP="00764489">
      <w:pPr>
        <w:pStyle w:val="Caption"/>
        <w:rPr>
          <w:rFonts w:eastAsia="Calibri" w:cs="Times New Roman"/>
          <w:i w:val="0"/>
          <w:color w:val="auto"/>
          <w:kern w:val="0"/>
          <w:sz w:val="24"/>
          <w:szCs w:val="24"/>
          <w14:ligatures w14:val="none"/>
        </w:rPr>
      </w:pPr>
      <w:bookmarkStart w:id="68" w:name="_Toc204263361"/>
      <w:r w:rsidRPr="00917400">
        <w:rPr>
          <w:b/>
          <w:bCs/>
          <w:i w:val="0"/>
          <w:iCs w:val="0"/>
          <w:color w:val="auto"/>
          <w:sz w:val="24"/>
          <w:szCs w:val="24"/>
        </w:rPr>
        <w:t xml:space="preserve">Figure </w:t>
      </w:r>
      <w:r>
        <w:rPr>
          <w:b/>
          <w:bCs/>
          <w:i w:val="0"/>
          <w:iCs w:val="0"/>
          <w:color w:val="auto"/>
          <w:sz w:val="24"/>
          <w:szCs w:val="24"/>
        </w:rPr>
        <w:t>3</w:t>
      </w:r>
      <w:r w:rsidR="00D24801">
        <w:rPr>
          <w:b/>
          <w:bCs/>
          <w:i w:val="0"/>
          <w:iCs w:val="0"/>
          <w:color w:val="auto"/>
          <w:sz w:val="24"/>
          <w:szCs w:val="24"/>
        </w:rPr>
        <w:t>.</w:t>
      </w:r>
      <w:r w:rsidR="00D24801">
        <w:rPr>
          <w:b/>
          <w:bCs/>
          <w:i w:val="0"/>
          <w:iCs w:val="0"/>
          <w:color w:val="auto"/>
          <w:sz w:val="24"/>
          <w:szCs w:val="24"/>
        </w:rPr>
        <w:fldChar w:fldCharType="begin"/>
      </w:r>
      <w:r w:rsidR="00D24801">
        <w:rPr>
          <w:b/>
          <w:bCs/>
          <w:i w:val="0"/>
          <w:iCs w:val="0"/>
          <w:color w:val="auto"/>
          <w:sz w:val="24"/>
          <w:szCs w:val="24"/>
        </w:rPr>
        <w:instrText xml:space="preserve"> SEQ Figure \* ARABIC \s 1 </w:instrText>
      </w:r>
      <w:r w:rsidR="00D24801">
        <w:rPr>
          <w:b/>
          <w:bCs/>
          <w:i w:val="0"/>
          <w:iCs w:val="0"/>
          <w:color w:val="auto"/>
          <w:sz w:val="24"/>
          <w:szCs w:val="24"/>
        </w:rPr>
        <w:fldChar w:fldCharType="separate"/>
      </w:r>
      <w:r w:rsidR="00D24801">
        <w:rPr>
          <w:b/>
          <w:bCs/>
          <w:i w:val="0"/>
          <w:iCs w:val="0"/>
          <w:noProof/>
          <w:color w:val="auto"/>
          <w:sz w:val="24"/>
          <w:szCs w:val="24"/>
        </w:rPr>
        <w:t>2</w:t>
      </w:r>
      <w:r w:rsidR="00D24801">
        <w:rPr>
          <w:b/>
          <w:bCs/>
          <w:i w:val="0"/>
          <w:iCs w:val="0"/>
          <w:color w:val="auto"/>
          <w:sz w:val="24"/>
          <w:szCs w:val="24"/>
        </w:rPr>
        <w:fldChar w:fldCharType="end"/>
      </w:r>
      <w:r>
        <w:rPr>
          <w:i w:val="0"/>
          <w:iCs w:val="0"/>
          <w:color w:val="auto"/>
          <w:sz w:val="24"/>
          <w:szCs w:val="24"/>
        </w:rPr>
        <w:t>:</w:t>
      </w:r>
      <w:r w:rsidRPr="00917400">
        <w:rPr>
          <w:rFonts w:eastAsia="Calibri" w:cs="Times New Roman"/>
          <w:i w:val="0"/>
          <w:iCs w:val="0"/>
          <w:color w:val="auto"/>
          <w:kern w:val="0"/>
          <w:sz w:val="24"/>
          <w:szCs w:val="24"/>
          <w14:ligatures w14:val="none"/>
        </w:rPr>
        <w:t xml:space="preserve"> The distribution of soil moisture and temperature coincident with N</w:t>
      </w:r>
      <w:r w:rsidRPr="00917400">
        <w:rPr>
          <w:rFonts w:eastAsia="Calibri" w:cs="Times New Roman"/>
          <w:i w:val="0"/>
          <w:iCs w:val="0"/>
          <w:color w:val="auto"/>
          <w:kern w:val="0"/>
          <w:sz w:val="24"/>
          <w:szCs w:val="24"/>
          <w:vertAlign w:val="subscript"/>
          <w14:ligatures w14:val="none"/>
        </w:rPr>
        <w:t>2</w:t>
      </w:r>
      <w:r w:rsidRPr="00917400">
        <w:rPr>
          <w:rFonts w:eastAsia="Calibri" w:cs="Times New Roman"/>
          <w:i w:val="0"/>
          <w:iCs w:val="0"/>
          <w:color w:val="auto"/>
          <w:kern w:val="0"/>
          <w:sz w:val="24"/>
          <w:szCs w:val="24"/>
          <w14:ligatures w14:val="none"/>
        </w:rPr>
        <w:t>O flux measurements. Distributions are shown for each variable independently via histograms, with volumetric water content (VWC) at the top and soil temperature at the right, and their combination shown via heatmap. Color of each tile represents the number of N</w:t>
      </w:r>
      <w:r w:rsidRPr="00917400">
        <w:rPr>
          <w:rFonts w:eastAsia="Calibri" w:cs="Times New Roman"/>
          <w:i w:val="0"/>
          <w:iCs w:val="0"/>
          <w:color w:val="auto"/>
          <w:kern w:val="0"/>
          <w:sz w:val="24"/>
          <w:szCs w:val="24"/>
          <w:vertAlign w:val="subscript"/>
          <w14:ligatures w14:val="none"/>
        </w:rPr>
        <w:t>2</w:t>
      </w:r>
      <w:r w:rsidRPr="00917400">
        <w:rPr>
          <w:rFonts w:eastAsia="Calibri" w:cs="Times New Roman"/>
          <w:i w:val="0"/>
          <w:iCs w:val="0"/>
          <w:color w:val="auto"/>
          <w:kern w:val="0"/>
          <w:sz w:val="24"/>
          <w:szCs w:val="24"/>
          <w14:ligatures w14:val="none"/>
        </w:rPr>
        <w:t>O flux measurements for each combination of VWC and soil temperature.</w:t>
      </w:r>
      <w:bookmarkEnd w:id="68"/>
    </w:p>
    <w:p w14:paraId="298BE39F" w14:textId="77777777" w:rsidR="004D31EB" w:rsidRPr="00994531" w:rsidRDefault="004D31EB" w:rsidP="004D31EB">
      <w:pPr>
        <w:keepNext/>
        <w:spacing w:line="480" w:lineRule="auto"/>
      </w:pPr>
      <w:r w:rsidRPr="00994531">
        <w:rPr>
          <w:rFonts w:eastAsia="Calibri" w:cs="Times New Roman"/>
          <w:noProof/>
          <w:kern w:val="0"/>
          <w:szCs w:val="24"/>
          <w14:ligatures w14:val="none"/>
        </w:rPr>
        <w:lastRenderedPageBreak/>
        <w:drawing>
          <wp:inline distT="0" distB="0" distL="0" distR="0" wp14:anchorId="49C22246" wp14:editId="7A60F329">
            <wp:extent cx="5680137" cy="4499811"/>
            <wp:effectExtent l="0" t="0" r="0" b="0"/>
            <wp:docPr id="452613586" name="Picture 1" descr="A graph with different colored ba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2613586" name="Picture 1" descr="A graph with different colored bars&#10;&#10;AI-generated content may be incorrect."/>
                    <pic:cNvPicPr/>
                  </pic:nvPicPr>
                  <pic:blipFill>
                    <a:blip r:embed="rId33"/>
                    <a:stretch>
                      <a:fillRect/>
                    </a:stretch>
                  </pic:blipFill>
                  <pic:spPr>
                    <a:xfrm>
                      <a:off x="0" y="0"/>
                      <a:ext cx="5725600" cy="4535827"/>
                    </a:xfrm>
                    <a:prstGeom prst="rect">
                      <a:avLst/>
                    </a:prstGeom>
                  </pic:spPr>
                </pic:pic>
              </a:graphicData>
            </a:graphic>
          </wp:inline>
        </w:drawing>
      </w:r>
    </w:p>
    <w:p w14:paraId="668916AD" w14:textId="3C800343" w:rsidR="004D31EB" w:rsidRPr="0051651C" w:rsidRDefault="004D31EB" w:rsidP="004D31EB">
      <w:pPr>
        <w:pStyle w:val="Caption"/>
        <w:rPr>
          <w:b/>
          <w:color w:val="auto"/>
          <w:szCs w:val="24"/>
        </w:rPr>
      </w:pPr>
      <w:bookmarkStart w:id="69" w:name="_Toc204263362"/>
      <w:r w:rsidRPr="00EF75A5">
        <w:rPr>
          <w:b/>
          <w:i w:val="0"/>
          <w:color w:val="auto"/>
          <w:sz w:val="24"/>
          <w:szCs w:val="24"/>
        </w:rPr>
        <w:t>Figure 3</w:t>
      </w:r>
      <w:r w:rsidR="00D24801">
        <w:rPr>
          <w:b/>
          <w:bCs/>
          <w:i w:val="0"/>
          <w:iCs w:val="0"/>
          <w:color w:val="auto"/>
          <w:sz w:val="24"/>
          <w:szCs w:val="24"/>
        </w:rPr>
        <w:t>.</w:t>
      </w:r>
      <w:r w:rsidR="00D24801">
        <w:rPr>
          <w:b/>
          <w:bCs/>
          <w:i w:val="0"/>
          <w:iCs w:val="0"/>
          <w:color w:val="auto"/>
          <w:sz w:val="24"/>
          <w:szCs w:val="24"/>
        </w:rPr>
        <w:fldChar w:fldCharType="begin"/>
      </w:r>
      <w:r w:rsidR="00D24801">
        <w:rPr>
          <w:b/>
          <w:bCs/>
          <w:i w:val="0"/>
          <w:iCs w:val="0"/>
          <w:color w:val="auto"/>
          <w:sz w:val="24"/>
          <w:szCs w:val="24"/>
        </w:rPr>
        <w:instrText xml:space="preserve"> SEQ Figure \* ARABIC \s 1 </w:instrText>
      </w:r>
      <w:r w:rsidR="00D24801">
        <w:rPr>
          <w:b/>
          <w:bCs/>
          <w:i w:val="0"/>
          <w:iCs w:val="0"/>
          <w:color w:val="auto"/>
          <w:sz w:val="24"/>
          <w:szCs w:val="24"/>
        </w:rPr>
        <w:fldChar w:fldCharType="separate"/>
      </w:r>
      <w:r w:rsidR="00D24801">
        <w:rPr>
          <w:b/>
          <w:bCs/>
          <w:i w:val="0"/>
          <w:iCs w:val="0"/>
          <w:noProof/>
          <w:color w:val="auto"/>
          <w:sz w:val="24"/>
          <w:szCs w:val="24"/>
        </w:rPr>
        <w:t>3</w:t>
      </w:r>
      <w:r w:rsidR="00D24801">
        <w:rPr>
          <w:b/>
          <w:bCs/>
          <w:i w:val="0"/>
          <w:iCs w:val="0"/>
          <w:color w:val="auto"/>
          <w:sz w:val="24"/>
          <w:szCs w:val="24"/>
        </w:rPr>
        <w:fldChar w:fldCharType="end"/>
      </w:r>
      <w:r w:rsidRPr="00994531">
        <w:rPr>
          <w:i w:val="0"/>
          <w:color w:val="auto"/>
          <w:sz w:val="24"/>
          <w:szCs w:val="24"/>
        </w:rPr>
        <w:t xml:space="preserve">: </w:t>
      </w:r>
      <w:r w:rsidRPr="00994531">
        <w:rPr>
          <w:rFonts w:eastAsia="Calibri" w:cs="Times New Roman"/>
          <w:i w:val="0"/>
          <w:color w:val="auto"/>
          <w:kern w:val="0"/>
          <w:sz w:val="24"/>
          <w:szCs w:val="24"/>
          <w14:ligatures w14:val="none"/>
        </w:rPr>
        <w:t>Representation of crops and management practices represented in the dataset, as well as the range of magnitudes of daily average N</w:t>
      </w:r>
      <w:r w:rsidRPr="00994531">
        <w:rPr>
          <w:rFonts w:eastAsia="Calibri" w:cs="Times New Roman"/>
          <w:i w:val="0"/>
          <w:color w:val="auto"/>
          <w:kern w:val="0"/>
          <w:sz w:val="24"/>
          <w:szCs w:val="24"/>
          <w:vertAlign w:val="subscript"/>
          <w14:ligatures w14:val="none"/>
        </w:rPr>
        <w:t>2</w:t>
      </w:r>
      <w:r w:rsidRPr="00994531">
        <w:rPr>
          <w:rFonts w:eastAsia="Calibri" w:cs="Times New Roman"/>
          <w:i w:val="0"/>
          <w:color w:val="auto"/>
          <w:kern w:val="0"/>
          <w:sz w:val="24"/>
          <w:szCs w:val="24"/>
          <w14:ligatures w14:val="none"/>
        </w:rPr>
        <w:t>O flux measurements.</w:t>
      </w:r>
      <w:bookmarkEnd w:id="69"/>
      <w:r w:rsidR="000E6472">
        <w:rPr>
          <w:rFonts w:eastAsia="Calibri" w:cs="Times New Roman"/>
          <w:i w:val="0"/>
          <w:iCs w:val="0"/>
          <w:color w:val="auto"/>
          <w:kern w:val="0"/>
          <w:sz w:val="24"/>
          <w:szCs w:val="24"/>
          <w14:ligatures w14:val="none"/>
        </w:rPr>
        <w:t xml:space="preserve"> </w:t>
      </w:r>
    </w:p>
    <w:p w14:paraId="7C8C325C" w14:textId="77777777" w:rsidR="000E6472" w:rsidRDefault="000E6472">
      <w:pPr>
        <w:rPr>
          <w:rFonts w:eastAsia="Calibri" w:cs="Times New Roman"/>
          <w:kern w:val="0"/>
          <w:szCs w:val="24"/>
          <w14:ligatures w14:val="none"/>
        </w:rPr>
      </w:pPr>
      <w:r>
        <w:rPr>
          <w:rFonts w:eastAsia="Calibri" w:cs="Times New Roman"/>
          <w:i/>
          <w:iCs/>
          <w:kern w:val="0"/>
          <w:szCs w:val="24"/>
          <w14:ligatures w14:val="none"/>
        </w:rPr>
        <w:br w:type="page"/>
      </w:r>
    </w:p>
    <w:p w14:paraId="46180E49" w14:textId="0AFCF2EB" w:rsidR="00871A3A" w:rsidRDefault="00871A3A" w:rsidP="001B567A">
      <w:pPr>
        <w:spacing w:after="0" w:line="480" w:lineRule="auto"/>
        <w:rPr>
          <w:rFonts w:eastAsia="Calibri" w:cs="Times New Roman"/>
          <w:kern w:val="0"/>
          <w:szCs w:val="24"/>
          <w14:ligatures w14:val="none"/>
        </w:rPr>
      </w:pPr>
      <w:r w:rsidRPr="0085558C">
        <w:rPr>
          <w:rFonts w:eastAsia="Calibri" w:cs="Times New Roman"/>
          <w:kern w:val="0"/>
          <w:szCs w:val="24"/>
          <w14:ligatures w14:val="none"/>
        </w:rPr>
        <w:lastRenderedPageBreak/>
        <w:t>A complete set of model predictors was determined based on the availability of published data and the accessibility of acquisition from the perspective of a potential model user (</w:t>
      </w:r>
      <w:r w:rsidRPr="00871A3A">
        <w:rPr>
          <w:rFonts w:eastAsia="Calibri" w:cs="Times New Roman"/>
          <w:b/>
          <w:bCs/>
          <w:kern w:val="0"/>
          <w:szCs w:val="24"/>
          <w14:ligatures w14:val="none"/>
        </w:rPr>
        <w:t>Table 3.1</w:t>
      </w:r>
      <w:r w:rsidRPr="0085558C">
        <w:rPr>
          <w:rFonts w:eastAsia="Calibri" w:cs="Times New Roman"/>
          <w:kern w:val="0"/>
          <w:szCs w:val="24"/>
          <w14:ligatures w14:val="none"/>
        </w:rPr>
        <w:t>). These included information about management practices, geographical and climate information about the site, soil physical characteristics, the day of the year, and the soil volumetric water content (VWC) and temperature. Low temporally variable factors were treated as static predictors (e.g. soil texture, mean annual temperature/precipitation), represented as unchanging values in all rows of a given treatment dataset, while high temporally variable predictors (e.g. daily N</w:t>
      </w:r>
      <w:r w:rsidRPr="0085558C">
        <w:rPr>
          <w:rFonts w:eastAsia="Calibri" w:cs="Times New Roman"/>
          <w:kern w:val="0"/>
          <w:szCs w:val="24"/>
          <w:vertAlign w:val="subscript"/>
          <w14:ligatures w14:val="none"/>
        </w:rPr>
        <w:t>2</w:t>
      </w:r>
      <w:r w:rsidRPr="0085558C">
        <w:rPr>
          <w:rFonts w:eastAsia="Calibri" w:cs="Times New Roman"/>
          <w:kern w:val="0"/>
          <w:szCs w:val="24"/>
          <w14:ligatures w14:val="none"/>
        </w:rPr>
        <w:t xml:space="preserve">O fluxes, VWC, soil temperature) were considered dynamic and varied from day to day. </w:t>
      </w:r>
    </w:p>
    <w:p w14:paraId="3EB269D3" w14:textId="2980A896" w:rsidR="00871A3A" w:rsidRPr="0085558C" w:rsidRDefault="00871A3A" w:rsidP="001B567A">
      <w:pPr>
        <w:spacing w:after="0" w:line="480" w:lineRule="auto"/>
        <w:rPr>
          <w:rFonts w:eastAsia="Calibri" w:cs="Times New Roman"/>
          <w:kern w:val="0"/>
          <w:szCs w:val="24"/>
          <w14:ligatures w14:val="none"/>
        </w:rPr>
      </w:pPr>
      <w:r w:rsidRPr="0085558C">
        <w:rPr>
          <w:rFonts w:eastAsia="Calibri" w:cs="Times New Roman"/>
          <w:kern w:val="0"/>
          <w:szCs w:val="24"/>
          <w14:ligatures w14:val="none"/>
        </w:rPr>
        <w:t>Environmental factors measured across experiments varied in their measurement frequency and often did not temporarily scale with N</w:t>
      </w:r>
      <w:r w:rsidRPr="0085558C">
        <w:rPr>
          <w:rFonts w:eastAsia="Calibri" w:cs="Times New Roman"/>
          <w:kern w:val="0"/>
          <w:szCs w:val="24"/>
          <w:vertAlign w:val="subscript"/>
          <w14:ligatures w14:val="none"/>
        </w:rPr>
        <w:t>2</w:t>
      </w:r>
      <w:r w:rsidRPr="0085558C">
        <w:rPr>
          <w:rFonts w:eastAsia="Calibri" w:cs="Times New Roman"/>
          <w:kern w:val="0"/>
          <w:szCs w:val="24"/>
          <w14:ligatures w14:val="none"/>
        </w:rPr>
        <w:t>O flux measurement days. Thus, if VWC were measured the day before or after N</w:t>
      </w:r>
      <w:r w:rsidRPr="0085558C">
        <w:rPr>
          <w:rFonts w:eastAsia="Calibri" w:cs="Times New Roman"/>
          <w:kern w:val="0"/>
          <w:szCs w:val="24"/>
          <w:vertAlign w:val="subscript"/>
          <w14:ligatures w14:val="none"/>
        </w:rPr>
        <w:t>2</w:t>
      </w:r>
      <w:r w:rsidRPr="0085558C">
        <w:rPr>
          <w:rFonts w:eastAsia="Calibri" w:cs="Times New Roman"/>
          <w:kern w:val="0"/>
          <w:szCs w:val="24"/>
          <w14:ligatures w14:val="none"/>
        </w:rPr>
        <w:t>O flux measurements were taken but not on the same day, these data would</w:t>
      </w:r>
      <w:r>
        <w:rPr>
          <w:rFonts w:eastAsia="Calibri" w:cs="Times New Roman"/>
          <w:kern w:val="0"/>
          <w:szCs w:val="24"/>
          <w14:ligatures w14:val="none"/>
        </w:rPr>
        <w:t xml:space="preserve"> contain gaps and</w:t>
      </w:r>
      <w:r w:rsidRPr="0085558C">
        <w:rPr>
          <w:rFonts w:eastAsia="Calibri" w:cs="Times New Roman"/>
          <w:kern w:val="0"/>
          <w:szCs w:val="24"/>
          <w14:ligatures w14:val="none"/>
        </w:rPr>
        <w:t xml:space="preserve"> be unusable by some ML architectures</w:t>
      </w:r>
      <w:r>
        <w:rPr>
          <w:rFonts w:eastAsia="Calibri" w:cs="Times New Roman"/>
          <w:kern w:val="0"/>
          <w:szCs w:val="24"/>
          <w14:ligatures w14:val="none"/>
        </w:rPr>
        <w:t xml:space="preserve"> like neural networks, which prohibit missing values</w:t>
      </w:r>
      <w:r w:rsidRPr="0085558C">
        <w:rPr>
          <w:rFonts w:eastAsia="Calibri" w:cs="Times New Roman"/>
          <w:kern w:val="0"/>
          <w:szCs w:val="24"/>
          <w14:ligatures w14:val="none"/>
        </w:rPr>
        <w:t>. Therefore, when measurement gaps occurred in these temporally</w:t>
      </w:r>
      <w:r>
        <w:rPr>
          <w:rFonts w:eastAsia="Calibri" w:cs="Times New Roman"/>
          <w:kern w:val="0"/>
          <w:szCs w:val="24"/>
          <w14:ligatures w14:val="none"/>
        </w:rPr>
        <w:t xml:space="preserve"> </w:t>
      </w:r>
      <w:r w:rsidRPr="0085558C">
        <w:rPr>
          <w:rFonts w:eastAsia="Calibri" w:cs="Times New Roman"/>
          <w:kern w:val="0"/>
          <w:szCs w:val="24"/>
          <w14:ligatures w14:val="none"/>
        </w:rPr>
        <w:t>variable predictors (specifically soil temperature and VWC), linear interpolation was used to fill</w:t>
      </w:r>
    </w:p>
    <w:p w14:paraId="3BF99A68" w14:textId="48928A6F" w:rsidR="003D264B" w:rsidRPr="0084465F" w:rsidRDefault="00871A3A" w:rsidP="003D264B">
      <w:pPr>
        <w:pStyle w:val="Caption"/>
        <w:keepNext/>
        <w:rPr>
          <w:b/>
          <w:i w:val="0"/>
          <w:color w:val="auto"/>
          <w:sz w:val="24"/>
          <w:szCs w:val="24"/>
        </w:rPr>
      </w:pPr>
      <w:bookmarkStart w:id="70" w:name="_Toc204261965"/>
      <w:r w:rsidRPr="0084465F">
        <w:rPr>
          <w:b/>
          <w:i w:val="0"/>
          <w:color w:val="auto"/>
          <w:sz w:val="24"/>
          <w:szCs w:val="24"/>
        </w:rPr>
        <w:t>Table 3</w:t>
      </w:r>
      <w:r w:rsidR="00827B75">
        <w:rPr>
          <w:b/>
          <w:bCs/>
          <w:i w:val="0"/>
          <w:iCs w:val="0"/>
          <w:color w:val="auto"/>
          <w:sz w:val="24"/>
          <w:szCs w:val="24"/>
        </w:rPr>
        <w:t>.</w:t>
      </w:r>
      <w:r w:rsidR="00827B75">
        <w:rPr>
          <w:b/>
          <w:bCs/>
          <w:i w:val="0"/>
          <w:iCs w:val="0"/>
          <w:color w:val="auto"/>
          <w:sz w:val="24"/>
          <w:szCs w:val="24"/>
        </w:rPr>
        <w:fldChar w:fldCharType="begin"/>
      </w:r>
      <w:r w:rsidR="00827B75">
        <w:rPr>
          <w:b/>
          <w:bCs/>
          <w:i w:val="0"/>
          <w:iCs w:val="0"/>
          <w:color w:val="auto"/>
          <w:sz w:val="24"/>
          <w:szCs w:val="24"/>
        </w:rPr>
        <w:instrText xml:space="preserve"> SEQ Table \* ARABIC \s 1 </w:instrText>
      </w:r>
      <w:r w:rsidR="00827B75">
        <w:rPr>
          <w:b/>
          <w:bCs/>
          <w:i w:val="0"/>
          <w:iCs w:val="0"/>
          <w:color w:val="auto"/>
          <w:sz w:val="24"/>
          <w:szCs w:val="24"/>
        </w:rPr>
        <w:fldChar w:fldCharType="separate"/>
      </w:r>
      <w:r w:rsidR="00827B75">
        <w:rPr>
          <w:b/>
          <w:bCs/>
          <w:i w:val="0"/>
          <w:iCs w:val="0"/>
          <w:noProof/>
          <w:color w:val="auto"/>
          <w:sz w:val="24"/>
          <w:szCs w:val="24"/>
        </w:rPr>
        <w:t>1</w:t>
      </w:r>
      <w:r w:rsidR="00827B75">
        <w:rPr>
          <w:b/>
          <w:bCs/>
          <w:i w:val="0"/>
          <w:iCs w:val="0"/>
          <w:color w:val="auto"/>
          <w:sz w:val="24"/>
          <w:szCs w:val="24"/>
        </w:rPr>
        <w:fldChar w:fldCharType="end"/>
      </w:r>
      <w:r w:rsidR="003D264B" w:rsidRPr="0084465F">
        <w:rPr>
          <w:b/>
          <w:i w:val="0"/>
          <w:color w:val="auto"/>
          <w:sz w:val="24"/>
          <w:szCs w:val="24"/>
        </w:rPr>
        <w:t xml:space="preserve">: </w:t>
      </w:r>
      <w:r w:rsidR="003D264B" w:rsidRPr="0084465F">
        <w:rPr>
          <w:rFonts w:eastAsia="Calibri" w:cs="Times New Roman"/>
          <w:i w:val="0"/>
          <w:color w:val="auto"/>
          <w:kern w:val="0"/>
          <w:sz w:val="24"/>
          <w:szCs w:val="24"/>
          <w14:ligatures w14:val="none"/>
        </w:rPr>
        <w:t>Environmental and management drivers of N</w:t>
      </w:r>
      <w:r w:rsidR="003D264B" w:rsidRPr="0084465F">
        <w:rPr>
          <w:rFonts w:eastAsia="Calibri" w:cs="Times New Roman"/>
          <w:i w:val="0"/>
          <w:color w:val="auto"/>
          <w:kern w:val="0"/>
          <w:sz w:val="24"/>
          <w:szCs w:val="24"/>
          <w:vertAlign w:val="subscript"/>
          <w14:ligatures w14:val="none"/>
        </w:rPr>
        <w:t>2</w:t>
      </w:r>
      <w:r w:rsidR="003D264B" w:rsidRPr="0084465F">
        <w:rPr>
          <w:rFonts w:eastAsia="Calibri" w:cs="Times New Roman"/>
          <w:i w:val="0"/>
          <w:color w:val="auto"/>
          <w:kern w:val="0"/>
          <w:sz w:val="24"/>
          <w:szCs w:val="24"/>
          <w14:ligatures w14:val="none"/>
        </w:rPr>
        <w:t>O hot moments and their representation in our ML models.</w:t>
      </w:r>
      <w:bookmarkEnd w:id="70"/>
    </w:p>
    <w:tbl>
      <w:tblPr>
        <w:tblW w:w="9676" w:type="dxa"/>
        <w:tblLayout w:type="fixed"/>
        <w:tblCellMar>
          <w:left w:w="0" w:type="dxa"/>
          <w:right w:w="0" w:type="dxa"/>
        </w:tblCellMar>
        <w:tblLook w:val="0400" w:firstRow="0" w:lastRow="0" w:firstColumn="0" w:lastColumn="0" w:noHBand="0" w:noVBand="1"/>
      </w:tblPr>
      <w:tblGrid>
        <w:gridCol w:w="1935"/>
        <w:gridCol w:w="1935"/>
        <w:gridCol w:w="1936"/>
        <w:gridCol w:w="1935"/>
        <w:gridCol w:w="1935"/>
      </w:tblGrid>
      <w:tr w:rsidR="00871A3A" w:rsidRPr="0085558C" w14:paraId="30D9B1EC" w14:textId="77777777">
        <w:trPr>
          <w:trHeight w:val="710"/>
        </w:trPr>
        <w:tc>
          <w:tcPr>
            <w:tcW w:w="1935" w:type="dxa"/>
            <w:tcBorders>
              <w:top w:val="single" w:sz="12" w:space="0" w:color="auto"/>
              <w:bottom w:val="single" w:sz="6" w:space="0" w:color="auto"/>
              <w:right w:val="single" w:sz="4" w:space="0" w:color="auto"/>
            </w:tcBorders>
          </w:tcPr>
          <w:p w14:paraId="3A555FAD" w14:textId="77777777" w:rsidR="00871A3A" w:rsidRPr="0085558C" w:rsidRDefault="00871A3A">
            <w:pPr>
              <w:spacing w:line="240" w:lineRule="auto"/>
              <w:jc w:val="center"/>
              <w:rPr>
                <w:rFonts w:eastAsia="Calibri" w:cs="Times New Roman"/>
                <w:kern w:val="0"/>
                <w:szCs w:val="24"/>
                <w14:ligatures w14:val="none"/>
              </w:rPr>
            </w:pPr>
          </w:p>
        </w:tc>
        <w:tc>
          <w:tcPr>
            <w:tcW w:w="1935" w:type="dxa"/>
            <w:tcBorders>
              <w:top w:val="single" w:sz="12" w:space="0" w:color="auto"/>
              <w:left w:val="single" w:sz="4" w:space="0" w:color="auto"/>
              <w:bottom w:val="single" w:sz="6" w:space="0" w:color="auto"/>
            </w:tcBorders>
            <w:vAlign w:val="center"/>
          </w:tcPr>
          <w:p w14:paraId="784451ED" w14:textId="77777777" w:rsidR="00871A3A" w:rsidRPr="0085558C" w:rsidRDefault="00871A3A">
            <w:pPr>
              <w:spacing w:line="240" w:lineRule="auto"/>
              <w:jc w:val="center"/>
              <w:rPr>
                <w:rFonts w:eastAsia="Calibri" w:cs="Times New Roman"/>
                <w:kern w:val="0"/>
                <w:szCs w:val="24"/>
                <w14:ligatures w14:val="none"/>
              </w:rPr>
            </w:pPr>
            <w:r w:rsidRPr="0085558C">
              <w:rPr>
                <w:rFonts w:eastAsia="Calibri" w:cs="Times New Roman"/>
                <w:kern w:val="0"/>
                <w:szCs w:val="24"/>
                <w14:ligatures w14:val="none"/>
              </w:rPr>
              <w:t>Oxygen</w:t>
            </w:r>
          </w:p>
        </w:tc>
        <w:tc>
          <w:tcPr>
            <w:tcW w:w="1936" w:type="dxa"/>
            <w:tcBorders>
              <w:top w:val="single" w:sz="12" w:space="0" w:color="auto"/>
              <w:bottom w:val="single" w:sz="6" w:space="0" w:color="auto"/>
            </w:tcBorders>
            <w:vAlign w:val="center"/>
          </w:tcPr>
          <w:p w14:paraId="7007E862" w14:textId="77777777" w:rsidR="00871A3A" w:rsidRPr="0085558C" w:rsidRDefault="00871A3A">
            <w:pPr>
              <w:spacing w:line="240" w:lineRule="auto"/>
              <w:jc w:val="center"/>
              <w:rPr>
                <w:rFonts w:eastAsia="Calibri" w:cs="Times New Roman"/>
                <w:kern w:val="0"/>
                <w:szCs w:val="24"/>
                <w14:ligatures w14:val="none"/>
              </w:rPr>
            </w:pPr>
            <w:r w:rsidRPr="0085558C">
              <w:rPr>
                <w:rFonts w:eastAsia="Calibri" w:cs="Times New Roman"/>
                <w:kern w:val="0"/>
                <w:szCs w:val="24"/>
                <w14:ligatures w14:val="none"/>
              </w:rPr>
              <w:t>Temperature</w:t>
            </w:r>
          </w:p>
        </w:tc>
        <w:tc>
          <w:tcPr>
            <w:tcW w:w="1935" w:type="dxa"/>
            <w:tcBorders>
              <w:top w:val="single" w:sz="12" w:space="0" w:color="auto"/>
              <w:bottom w:val="single" w:sz="6" w:space="0" w:color="auto"/>
            </w:tcBorders>
            <w:vAlign w:val="center"/>
          </w:tcPr>
          <w:p w14:paraId="7A6AD808" w14:textId="77777777" w:rsidR="00871A3A" w:rsidRPr="0085558C" w:rsidRDefault="00871A3A">
            <w:pPr>
              <w:spacing w:line="240" w:lineRule="auto"/>
              <w:jc w:val="center"/>
              <w:rPr>
                <w:rFonts w:eastAsia="Calibri" w:cs="Times New Roman"/>
                <w:kern w:val="0"/>
                <w:szCs w:val="24"/>
                <w14:ligatures w14:val="none"/>
              </w:rPr>
            </w:pPr>
            <w:r w:rsidRPr="0085558C">
              <w:rPr>
                <w:rFonts w:eastAsia="Calibri" w:cs="Times New Roman"/>
                <w:kern w:val="0"/>
                <w:szCs w:val="24"/>
                <w14:ligatures w14:val="none"/>
              </w:rPr>
              <w:t>Soil Nitrogen Availability</w:t>
            </w:r>
          </w:p>
        </w:tc>
        <w:tc>
          <w:tcPr>
            <w:tcW w:w="1935" w:type="dxa"/>
            <w:tcBorders>
              <w:top w:val="single" w:sz="12" w:space="0" w:color="auto"/>
              <w:bottom w:val="single" w:sz="6" w:space="0" w:color="auto"/>
            </w:tcBorders>
            <w:vAlign w:val="center"/>
          </w:tcPr>
          <w:p w14:paraId="6FEEA26A" w14:textId="77777777" w:rsidR="00871A3A" w:rsidRPr="0085558C" w:rsidRDefault="00871A3A">
            <w:pPr>
              <w:spacing w:line="240" w:lineRule="auto"/>
              <w:jc w:val="center"/>
              <w:rPr>
                <w:rFonts w:eastAsia="Calibri" w:cs="Times New Roman"/>
                <w:kern w:val="0"/>
                <w:szCs w:val="24"/>
                <w14:ligatures w14:val="none"/>
              </w:rPr>
            </w:pPr>
            <w:r w:rsidRPr="0085558C">
              <w:rPr>
                <w:rFonts w:eastAsia="Calibri" w:cs="Times New Roman"/>
                <w:kern w:val="0"/>
                <w:szCs w:val="24"/>
                <w14:ligatures w14:val="none"/>
              </w:rPr>
              <w:t>Carbon</w:t>
            </w:r>
          </w:p>
        </w:tc>
      </w:tr>
      <w:tr w:rsidR="00871A3A" w:rsidRPr="0085558C" w14:paraId="79B282AE" w14:textId="77777777">
        <w:trPr>
          <w:trHeight w:val="640"/>
        </w:trPr>
        <w:tc>
          <w:tcPr>
            <w:tcW w:w="1935" w:type="dxa"/>
            <w:vMerge w:val="restart"/>
            <w:tcBorders>
              <w:top w:val="single" w:sz="6" w:space="0" w:color="auto"/>
              <w:right w:val="single" w:sz="4" w:space="0" w:color="auto"/>
            </w:tcBorders>
            <w:vAlign w:val="center"/>
          </w:tcPr>
          <w:p w14:paraId="2A8B767D" w14:textId="77777777" w:rsidR="00871A3A" w:rsidRPr="0085558C" w:rsidRDefault="00871A3A">
            <w:pPr>
              <w:spacing w:line="240" w:lineRule="auto"/>
              <w:jc w:val="center"/>
              <w:rPr>
                <w:rFonts w:eastAsia="Calibri" w:cs="Times New Roman"/>
                <w:kern w:val="0"/>
                <w:szCs w:val="24"/>
                <w14:ligatures w14:val="none"/>
              </w:rPr>
            </w:pPr>
            <w:r>
              <w:rPr>
                <w:rFonts w:eastAsia="Calibri" w:cs="Times New Roman"/>
                <w:kern w:val="0"/>
                <w:szCs w:val="24"/>
                <w14:ligatures w14:val="none"/>
              </w:rPr>
              <w:t>Continuous Variables</w:t>
            </w:r>
          </w:p>
        </w:tc>
        <w:tc>
          <w:tcPr>
            <w:tcW w:w="1935" w:type="dxa"/>
            <w:tcBorders>
              <w:top w:val="single" w:sz="6" w:space="0" w:color="auto"/>
              <w:left w:val="single" w:sz="4" w:space="0" w:color="auto"/>
            </w:tcBorders>
            <w:vAlign w:val="center"/>
          </w:tcPr>
          <w:p w14:paraId="434D6563" w14:textId="77777777" w:rsidR="00871A3A" w:rsidRPr="0085558C" w:rsidRDefault="00871A3A">
            <w:pPr>
              <w:spacing w:line="240" w:lineRule="auto"/>
              <w:jc w:val="center"/>
              <w:rPr>
                <w:rFonts w:eastAsia="Calibri" w:cs="Times New Roman"/>
                <w:kern w:val="0"/>
                <w:szCs w:val="24"/>
                <w14:ligatures w14:val="none"/>
              </w:rPr>
            </w:pPr>
            <w:r w:rsidRPr="0085558C">
              <w:rPr>
                <w:rFonts w:eastAsia="Calibri" w:cs="Times New Roman"/>
                <w:kern w:val="0"/>
                <w:szCs w:val="24"/>
                <w14:ligatures w14:val="none"/>
              </w:rPr>
              <w:t>Volumetric Water Content</w:t>
            </w:r>
          </w:p>
        </w:tc>
        <w:tc>
          <w:tcPr>
            <w:tcW w:w="1936" w:type="dxa"/>
            <w:tcBorders>
              <w:top w:val="single" w:sz="6" w:space="0" w:color="auto"/>
            </w:tcBorders>
            <w:vAlign w:val="center"/>
          </w:tcPr>
          <w:p w14:paraId="0B3767DA" w14:textId="77777777" w:rsidR="00871A3A" w:rsidRPr="0085558C" w:rsidRDefault="00871A3A">
            <w:pPr>
              <w:spacing w:line="240" w:lineRule="auto"/>
              <w:jc w:val="center"/>
              <w:rPr>
                <w:rFonts w:eastAsia="Calibri" w:cs="Times New Roman"/>
                <w:kern w:val="0"/>
                <w:szCs w:val="24"/>
                <w14:ligatures w14:val="none"/>
              </w:rPr>
            </w:pPr>
            <w:r w:rsidRPr="0085558C">
              <w:rPr>
                <w:rFonts w:eastAsia="Calibri" w:cs="Times New Roman"/>
                <w:kern w:val="0"/>
                <w:szCs w:val="24"/>
                <w14:ligatures w14:val="none"/>
              </w:rPr>
              <w:t>Soil Temperature</w:t>
            </w:r>
          </w:p>
        </w:tc>
        <w:tc>
          <w:tcPr>
            <w:tcW w:w="1935" w:type="dxa"/>
            <w:tcBorders>
              <w:top w:val="single" w:sz="6" w:space="0" w:color="auto"/>
            </w:tcBorders>
            <w:vAlign w:val="center"/>
          </w:tcPr>
          <w:p w14:paraId="6797C459" w14:textId="77777777" w:rsidR="00871A3A" w:rsidRPr="0085558C" w:rsidRDefault="00871A3A">
            <w:pPr>
              <w:spacing w:line="240" w:lineRule="auto"/>
              <w:jc w:val="center"/>
              <w:rPr>
                <w:rFonts w:eastAsia="Calibri" w:cs="Times New Roman"/>
                <w:kern w:val="0"/>
                <w:szCs w:val="24"/>
                <w14:ligatures w14:val="none"/>
              </w:rPr>
            </w:pPr>
            <w:r w:rsidRPr="0085558C">
              <w:rPr>
                <w:rFonts w:eastAsia="Calibri" w:cs="Times New Roman"/>
                <w:kern w:val="0"/>
                <w:szCs w:val="24"/>
                <w14:ligatures w14:val="none"/>
              </w:rPr>
              <w:t>Fertilization (Quantity, Type, and Timing)</w:t>
            </w:r>
          </w:p>
        </w:tc>
        <w:tc>
          <w:tcPr>
            <w:tcW w:w="1935" w:type="dxa"/>
            <w:tcBorders>
              <w:top w:val="single" w:sz="6" w:space="0" w:color="auto"/>
            </w:tcBorders>
            <w:vAlign w:val="center"/>
          </w:tcPr>
          <w:p w14:paraId="44548657" w14:textId="77777777" w:rsidR="00871A3A" w:rsidRPr="0085558C" w:rsidRDefault="00871A3A">
            <w:pPr>
              <w:spacing w:line="240" w:lineRule="auto"/>
              <w:jc w:val="center"/>
              <w:rPr>
                <w:rFonts w:eastAsia="Calibri" w:cs="Times New Roman"/>
                <w:i/>
                <w:iCs/>
                <w:kern w:val="0"/>
                <w:szCs w:val="24"/>
                <w14:ligatures w14:val="none"/>
              </w:rPr>
            </w:pPr>
            <w:r w:rsidRPr="0085558C">
              <w:rPr>
                <w:rFonts w:eastAsia="Calibri" w:cs="Times New Roman"/>
                <w:kern w:val="0"/>
                <w:szCs w:val="24"/>
                <w14:ligatures w14:val="none"/>
              </w:rPr>
              <w:t>Fertilization (Quantity, Type, and Timing)</w:t>
            </w:r>
          </w:p>
        </w:tc>
      </w:tr>
      <w:tr w:rsidR="00871A3A" w:rsidRPr="0085558C" w14:paraId="5C52D551" w14:textId="77777777">
        <w:trPr>
          <w:trHeight w:val="374"/>
        </w:trPr>
        <w:tc>
          <w:tcPr>
            <w:tcW w:w="1935" w:type="dxa"/>
            <w:vMerge/>
            <w:tcBorders>
              <w:right w:val="single" w:sz="4" w:space="0" w:color="auto"/>
            </w:tcBorders>
            <w:vAlign w:val="center"/>
          </w:tcPr>
          <w:p w14:paraId="504C4D90" w14:textId="77777777" w:rsidR="00871A3A" w:rsidRPr="0085558C" w:rsidRDefault="00871A3A">
            <w:pPr>
              <w:spacing w:line="240" w:lineRule="auto"/>
              <w:jc w:val="center"/>
              <w:rPr>
                <w:rFonts w:eastAsia="Calibri" w:cs="Times New Roman"/>
                <w:kern w:val="0"/>
                <w:szCs w:val="24"/>
                <w14:ligatures w14:val="none"/>
              </w:rPr>
            </w:pPr>
          </w:p>
        </w:tc>
        <w:tc>
          <w:tcPr>
            <w:tcW w:w="1935" w:type="dxa"/>
            <w:tcBorders>
              <w:left w:val="single" w:sz="4" w:space="0" w:color="auto"/>
            </w:tcBorders>
            <w:vAlign w:val="center"/>
          </w:tcPr>
          <w:p w14:paraId="1A486D00" w14:textId="77777777" w:rsidR="00871A3A" w:rsidRPr="0085558C" w:rsidRDefault="00871A3A">
            <w:pPr>
              <w:spacing w:line="240" w:lineRule="auto"/>
              <w:jc w:val="center"/>
              <w:rPr>
                <w:rFonts w:eastAsia="Calibri" w:cs="Times New Roman"/>
                <w:kern w:val="0"/>
                <w:szCs w:val="24"/>
                <w14:ligatures w14:val="none"/>
              </w:rPr>
            </w:pPr>
            <w:r w:rsidRPr="009D3138">
              <w:rPr>
                <w:rFonts w:eastAsia="Calibri" w:cs="Times New Roman"/>
                <w:kern w:val="0"/>
                <w:szCs w:val="24"/>
                <w14:ligatures w14:val="none"/>
              </w:rPr>
              <w:t xml:space="preserve">Daily </w:t>
            </w:r>
            <w:r w:rsidRPr="0085558C">
              <w:rPr>
                <w:rFonts w:eastAsia="Calibri" w:cs="Times New Roman"/>
                <w:kern w:val="0"/>
                <w:szCs w:val="24"/>
                <w14:ligatures w14:val="none"/>
              </w:rPr>
              <w:t>Precipitation</w:t>
            </w:r>
          </w:p>
        </w:tc>
        <w:tc>
          <w:tcPr>
            <w:tcW w:w="1936" w:type="dxa"/>
            <w:vAlign w:val="center"/>
          </w:tcPr>
          <w:p w14:paraId="678A4AC0" w14:textId="77777777" w:rsidR="00871A3A" w:rsidRPr="0085558C" w:rsidRDefault="00871A3A">
            <w:pPr>
              <w:spacing w:line="240" w:lineRule="auto"/>
              <w:jc w:val="center"/>
              <w:rPr>
                <w:rFonts w:eastAsia="Calibri" w:cs="Times New Roman"/>
                <w:kern w:val="0"/>
                <w:szCs w:val="24"/>
                <w14:ligatures w14:val="none"/>
              </w:rPr>
            </w:pPr>
            <w:r w:rsidRPr="0085558C">
              <w:rPr>
                <w:rFonts w:eastAsia="Calibri" w:cs="Times New Roman"/>
                <w:kern w:val="0"/>
                <w:szCs w:val="24"/>
                <w14:ligatures w14:val="none"/>
              </w:rPr>
              <w:t>Day of Year</w:t>
            </w:r>
          </w:p>
        </w:tc>
        <w:tc>
          <w:tcPr>
            <w:tcW w:w="1935" w:type="dxa"/>
            <w:vAlign w:val="center"/>
          </w:tcPr>
          <w:p w14:paraId="3F6298F8" w14:textId="77777777" w:rsidR="00871A3A" w:rsidRPr="0085558C" w:rsidRDefault="00871A3A">
            <w:pPr>
              <w:spacing w:line="240" w:lineRule="auto"/>
              <w:jc w:val="center"/>
              <w:rPr>
                <w:rFonts w:eastAsia="Calibri" w:cs="Times New Roman"/>
                <w:kern w:val="0"/>
                <w:szCs w:val="24"/>
                <w14:ligatures w14:val="none"/>
              </w:rPr>
            </w:pPr>
          </w:p>
        </w:tc>
        <w:tc>
          <w:tcPr>
            <w:tcW w:w="1935" w:type="dxa"/>
            <w:vAlign w:val="center"/>
          </w:tcPr>
          <w:p w14:paraId="4493272D" w14:textId="77777777" w:rsidR="00871A3A" w:rsidRPr="0085558C" w:rsidRDefault="00871A3A">
            <w:pPr>
              <w:spacing w:line="240" w:lineRule="auto"/>
              <w:jc w:val="center"/>
              <w:rPr>
                <w:rFonts w:eastAsia="Calibri" w:cs="Times New Roman"/>
                <w:kern w:val="0"/>
                <w:szCs w:val="24"/>
                <w14:ligatures w14:val="none"/>
              </w:rPr>
            </w:pPr>
          </w:p>
        </w:tc>
      </w:tr>
      <w:tr w:rsidR="00871A3A" w:rsidRPr="0085558C" w14:paraId="73590D83" w14:textId="77777777">
        <w:trPr>
          <w:trHeight w:val="374"/>
        </w:trPr>
        <w:tc>
          <w:tcPr>
            <w:tcW w:w="1935" w:type="dxa"/>
            <w:vMerge w:val="restart"/>
            <w:tcBorders>
              <w:bottom w:val="single" w:sz="4" w:space="0" w:color="auto"/>
              <w:right w:val="single" w:sz="4" w:space="0" w:color="auto"/>
            </w:tcBorders>
            <w:vAlign w:val="center"/>
          </w:tcPr>
          <w:p w14:paraId="70CE7ACF" w14:textId="77777777" w:rsidR="00871A3A" w:rsidRPr="0085558C" w:rsidRDefault="00871A3A">
            <w:pPr>
              <w:spacing w:line="240" w:lineRule="auto"/>
              <w:jc w:val="center"/>
              <w:rPr>
                <w:rFonts w:eastAsia="Calibri" w:cs="Times New Roman"/>
                <w:kern w:val="0"/>
                <w:szCs w:val="24"/>
                <w14:ligatures w14:val="none"/>
              </w:rPr>
            </w:pPr>
            <w:r>
              <w:rPr>
                <w:rFonts w:eastAsia="Calibri" w:cs="Times New Roman"/>
                <w:kern w:val="0"/>
                <w:szCs w:val="24"/>
                <w14:ligatures w14:val="none"/>
              </w:rPr>
              <w:t>Static         Variables</w:t>
            </w:r>
          </w:p>
        </w:tc>
        <w:tc>
          <w:tcPr>
            <w:tcW w:w="1935" w:type="dxa"/>
            <w:tcBorders>
              <w:left w:val="single" w:sz="4" w:space="0" w:color="auto"/>
            </w:tcBorders>
            <w:vAlign w:val="center"/>
          </w:tcPr>
          <w:p w14:paraId="3C4A571A" w14:textId="77777777" w:rsidR="00871A3A" w:rsidRPr="0085558C" w:rsidRDefault="00871A3A">
            <w:pPr>
              <w:spacing w:line="240" w:lineRule="auto"/>
              <w:jc w:val="center"/>
              <w:rPr>
                <w:rFonts w:eastAsia="Calibri" w:cs="Times New Roman"/>
                <w:kern w:val="0"/>
                <w:szCs w:val="24"/>
                <w14:ligatures w14:val="none"/>
              </w:rPr>
            </w:pPr>
            <w:r w:rsidRPr="0085558C">
              <w:rPr>
                <w:rFonts w:eastAsia="Calibri" w:cs="Times New Roman"/>
                <w:kern w:val="0"/>
                <w:szCs w:val="24"/>
                <w14:ligatures w14:val="none"/>
              </w:rPr>
              <w:t>Mean Annual Precipitation</w:t>
            </w:r>
          </w:p>
        </w:tc>
        <w:tc>
          <w:tcPr>
            <w:tcW w:w="1936" w:type="dxa"/>
            <w:vAlign w:val="center"/>
          </w:tcPr>
          <w:p w14:paraId="0AFC5CB0" w14:textId="77777777" w:rsidR="00871A3A" w:rsidRPr="0085558C" w:rsidRDefault="00871A3A">
            <w:pPr>
              <w:spacing w:line="240" w:lineRule="auto"/>
              <w:jc w:val="center"/>
              <w:rPr>
                <w:rFonts w:eastAsia="Calibri" w:cs="Times New Roman"/>
                <w:kern w:val="0"/>
                <w:szCs w:val="24"/>
                <w14:ligatures w14:val="none"/>
              </w:rPr>
            </w:pPr>
            <w:r w:rsidRPr="0085558C">
              <w:rPr>
                <w:rFonts w:eastAsia="Calibri" w:cs="Times New Roman"/>
                <w:kern w:val="0"/>
                <w:szCs w:val="24"/>
                <w14:ligatures w14:val="none"/>
              </w:rPr>
              <w:t>Mean Annual Temperature</w:t>
            </w:r>
          </w:p>
        </w:tc>
        <w:tc>
          <w:tcPr>
            <w:tcW w:w="1935" w:type="dxa"/>
            <w:vAlign w:val="center"/>
          </w:tcPr>
          <w:p w14:paraId="0E7C700E" w14:textId="77777777" w:rsidR="00871A3A" w:rsidRPr="0085558C" w:rsidRDefault="00871A3A">
            <w:pPr>
              <w:spacing w:line="240" w:lineRule="auto"/>
              <w:jc w:val="center"/>
              <w:rPr>
                <w:rFonts w:eastAsia="Calibri" w:cs="Times New Roman"/>
                <w:kern w:val="0"/>
                <w:szCs w:val="24"/>
                <w14:ligatures w14:val="none"/>
              </w:rPr>
            </w:pPr>
          </w:p>
        </w:tc>
        <w:tc>
          <w:tcPr>
            <w:tcW w:w="1935" w:type="dxa"/>
            <w:vAlign w:val="center"/>
          </w:tcPr>
          <w:p w14:paraId="56E391B1" w14:textId="77777777" w:rsidR="00871A3A" w:rsidRPr="0085558C" w:rsidRDefault="00871A3A">
            <w:pPr>
              <w:spacing w:line="240" w:lineRule="auto"/>
              <w:jc w:val="center"/>
              <w:rPr>
                <w:rFonts w:eastAsia="Calibri" w:cs="Times New Roman"/>
                <w:kern w:val="0"/>
                <w:szCs w:val="24"/>
                <w14:ligatures w14:val="none"/>
              </w:rPr>
            </w:pPr>
            <w:r w:rsidRPr="0085558C">
              <w:rPr>
                <w:rFonts w:eastAsia="Calibri" w:cs="Times New Roman"/>
                <w:kern w:val="0"/>
                <w:szCs w:val="24"/>
                <w14:ligatures w14:val="none"/>
              </w:rPr>
              <w:t>Management Style</w:t>
            </w:r>
          </w:p>
        </w:tc>
      </w:tr>
      <w:tr w:rsidR="00871A3A" w:rsidRPr="0085558C" w14:paraId="3BEF28E7" w14:textId="77777777">
        <w:trPr>
          <w:trHeight w:val="374"/>
        </w:trPr>
        <w:tc>
          <w:tcPr>
            <w:tcW w:w="1935" w:type="dxa"/>
            <w:vMerge/>
            <w:tcBorders>
              <w:bottom w:val="single" w:sz="4" w:space="0" w:color="auto"/>
              <w:right w:val="single" w:sz="4" w:space="0" w:color="auto"/>
            </w:tcBorders>
          </w:tcPr>
          <w:p w14:paraId="3A684F1B" w14:textId="77777777" w:rsidR="00871A3A" w:rsidRPr="0085558C" w:rsidRDefault="00871A3A">
            <w:pPr>
              <w:spacing w:line="240" w:lineRule="auto"/>
              <w:jc w:val="center"/>
              <w:rPr>
                <w:rFonts w:eastAsia="Calibri" w:cs="Times New Roman"/>
                <w:kern w:val="0"/>
                <w:szCs w:val="24"/>
                <w14:ligatures w14:val="none"/>
              </w:rPr>
            </w:pPr>
          </w:p>
        </w:tc>
        <w:tc>
          <w:tcPr>
            <w:tcW w:w="1935" w:type="dxa"/>
            <w:tcBorders>
              <w:left w:val="single" w:sz="4" w:space="0" w:color="auto"/>
              <w:bottom w:val="single" w:sz="4" w:space="0" w:color="auto"/>
            </w:tcBorders>
            <w:vAlign w:val="center"/>
          </w:tcPr>
          <w:p w14:paraId="4EAF83AB" w14:textId="77777777" w:rsidR="00871A3A" w:rsidRPr="0085558C" w:rsidRDefault="00871A3A">
            <w:pPr>
              <w:spacing w:line="240" w:lineRule="auto"/>
              <w:jc w:val="center"/>
              <w:rPr>
                <w:rFonts w:eastAsia="Calibri" w:cs="Times New Roman"/>
                <w:kern w:val="0"/>
                <w:szCs w:val="24"/>
                <w14:ligatures w14:val="none"/>
              </w:rPr>
            </w:pPr>
            <w:r w:rsidRPr="0085558C">
              <w:rPr>
                <w:rFonts w:eastAsia="Calibri" w:cs="Times New Roman"/>
                <w:kern w:val="0"/>
                <w:szCs w:val="24"/>
                <w14:ligatures w14:val="none"/>
              </w:rPr>
              <w:t>Sand/Silt/Clay Content</w:t>
            </w:r>
          </w:p>
        </w:tc>
        <w:tc>
          <w:tcPr>
            <w:tcW w:w="1936" w:type="dxa"/>
            <w:tcBorders>
              <w:bottom w:val="single" w:sz="4" w:space="0" w:color="auto"/>
            </w:tcBorders>
            <w:vAlign w:val="center"/>
          </w:tcPr>
          <w:p w14:paraId="3E5B0E30" w14:textId="77777777" w:rsidR="00871A3A" w:rsidRPr="0085558C" w:rsidRDefault="00871A3A">
            <w:pPr>
              <w:spacing w:line="240" w:lineRule="auto"/>
              <w:jc w:val="center"/>
              <w:rPr>
                <w:rFonts w:eastAsia="Calibri" w:cs="Times New Roman"/>
                <w:kern w:val="0"/>
                <w:szCs w:val="24"/>
                <w14:ligatures w14:val="none"/>
              </w:rPr>
            </w:pPr>
            <w:r w:rsidRPr="0085558C">
              <w:rPr>
                <w:rFonts w:eastAsia="Calibri" w:cs="Times New Roman"/>
                <w:kern w:val="0"/>
                <w:szCs w:val="24"/>
                <w14:ligatures w14:val="none"/>
              </w:rPr>
              <w:t>Latitude/Longitude</w:t>
            </w:r>
          </w:p>
        </w:tc>
        <w:tc>
          <w:tcPr>
            <w:tcW w:w="1935" w:type="dxa"/>
            <w:tcBorders>
              <w:bottom w:val="single" w:sz="4" w:space="0" w:color="auto"/>
            </w:tcBorders>
            <w:vAlign w:val="center"/>
          </w:tcPr>
          <w:p w14:paraId="463C23D3" w14:textId="77777777" w:rsidR="00871A3A" w:rsidRPr="0085558C" w:rsidRDefault="00871A3A">
            <w:pPr>
              <w:spacing w:line="240" w:lineRule="auto"/>
              <w:jc w:val="center"/>
              <w:rPr>
                <w:rFonts w:eastAsia="Calibri" w:cs="Times New Roman"/>
                <w:kern w:val="0"/>
                <w:szCs w:val="24"/>
                <w14:ligatures w14:val="none"/>
              </w:rPr>
            </w:pPr>
          </w:p>
        </w:tc>
        <w:tc>
          <w:tcPr>
            <w:tcW w:w="1935" w:type="dxa"/>
            <w:tcBorders>
              <w:bottom w:val="single" w:sz="4" w:space="0" w:color="auto"/>
            </w:tcBorders>
            <w:vAlign w:val="center"/>
          </w:tcPr>
          <w:p w14:paraId="0C372E12" w14:textId="77777777" w:rsidR="00871A3A" w:rsidRPr="0085558C" w:rsidRDefault="00871A3A">
            <w:pPr>
              <w:spacing w:line="240" w:lineRule="auto"/>
              <w:jc w:val="center"/>
              <w:rPr>
                <w:rFonts w:eastAsia="Calibri" w:cs="Times New Roman"/>
                <w:kern w:val="0"/>
                <w:szCs w:val="24"/>
                <w14:ligatures w14:val="none"/>
              </w:rPr>
            </w:pPr>
            <w:r w:rsidRPr="0085558C">
              <w:rPr>
                <w:rFonts w:eastAsia="Calibri" w:cs="Times New Roman"/>
                <w:kern w:val="0"/>
                <w:szCs w:val="24"/>
                <w14:ligatures w14:val="none"/>
              </w:rPr>
              <w:t>Primary Crop Species</w:t>
            </w:r>
          </w:p>
        </w:tc>
      </w:tr>
    </w:tbl>
    <w:p w14:paraId="610100E1" w14:textId="77777777" w:rsidR="00871A3A" w:rsidRDefault="00871A3A" w:rsidP="00871A3A">
      <w:pPr>
        <w:spacing w:line="480" w:lineRule="auto"/>
        <w:rPr>
          <w:rFonts w:eastAsia="Calibri" w:cs="Times New Roman"/>
          <w:kern w:val="0"/>
          <w:szCs w:val="24"/>
          <w14:ligatures w14:val="none"/>
        </w:rPr>
      </w:pPr>
    </w:p>
    <w:p w14:paraId="7E8BA534" w14:textId="4D9A85B6" w:rsidR="00871A3A" w:rsidRPr="0085558C" w:rsidRDefault="00871A3A" w:rsidP="001B567A">
      <w:pPr>
        <w:spacing w:after="0" w:line="480" w:lineRule="auto"/>
        <w:rPr>
          <w:rFonts w:eastAsia="Calibri" w:cs="Times New Roman"/>
          <w:kern w:val="0"/>
          <w:szCs w:val="24"/>
          <w14:ligatures w14:val="none"/>
        </w:rPr>
      </w:pPr>
      <w:r w:rsidRPr="0085558C">
        <w:rPr>
          <w:rFonts w:eastAsia="Calibri" w:cs="Times New Roman"/>
          <w:kern w:val="0"/>
          <w:szCs w:val="24"/>
          <w14:ligatures w14:val="none"/>
        </w:rPr>
        <w:lastRenderedPageBreak/>
        <w:t xml:space="preserve">gaps </w:t>
      </w:r>
      <w:r>
        <w:rPr>
          <w:rFonts w:eastAsia="Calibri" w:cs="Times New Roman"/>
          <w:kern w:val="0"/>
          <w:szCs w:val="24"/>
          <w14:ligatures w14:val="none"/>
        </w:rPr>
        <w:t xml:space="preserve">up to 14 days </w:t>
      </w:r>
      <w:r w:rsidRPr="0085558C">
        <w:rPr>
          <w:rFonts w:eastAsia="Calibri" w:cs="Times New Roman"/>
          <w:kern w:val="0"/>
          <w:szCs w:val="24"/>
          <w14:ligatures w14:val="none"/>
        </w:rPr>
        <w:t>between measurements to temporarily scale with N</w:t>
      </w:r>
      <w:r w:rsidRPr="0085558C">
        <w:rPr>
          <w:rFonts w:eastAsia="Calibri" w:cs="Times New Roman"/>
          <w:kern w:val="0"/>
          <w:szCs w:val="24"/>
          <w:vertAlign w:val="subscript"/>
          <w14:ligatures w14:val="none"/>
        </w:rPr>
        <w:t>2</w:t>
      </w:r>
      <w:r w:rsidRPr="0085558C">
        <w:rPr>
          <w:rFonts w:eastAsia="Calibri" w:cs="Times New Roman"/>
          <w:kern w:val="0"/>
          <w:szCs w:val="24"/>
          <w14:ligatures w14:val="none"/>
        </w:rPr>
        <w:t>O flux measurements. The average gap between VWC measurements was 1.6 days. No datasets which met the inclusion criteria had gaps in precipitation measurement data. N</w:t>
      </w:r>
      <w:r w:rsidRPr="0085558C">
        <w:rPr>
          <w:rFonts w:eastAsia="Calibri" w:cs="Times New Roman"/>
          <w:kern w:val="0"/>
          <w:szCs w:val="24"/>
          <w:vertAlign w:val="subscript"/>
          <w14:ligatures w14:val="none"/>
        </w:rPr>
        <w:t>2</w:t>
      </w:r>
      <w:r w:rsidRPr="0085558C">
        <w:rPr>
          <w:rFonts w:eastAsia="Calibri" w:cs="Times New Roman"/>
          <w:kern w:val="0"/>
          <w:szCs w:val="24"/>
          <w14:ligatures w14:val="none"/>
        </w:rPr>
        <w:t xml:space="preserve">O flux measurements were not interpolated. </w:t>
      </w:r>
    </w:p>
    <w:p w14:paraId="4E4DCA8E" w14:textId="4FEB33BC" w:rsidR="00871A3A" w:rsidRPr="0085558C" w:rsidRDefault="00871A3A" w:rsidP="001B567A">
      <w:pPr>
        <w:spacing w:after="0" w:line="480" w:lineRule="auto"/>
        <w:rPr>
          <w:rFonts w:eastAsia="Calibri" w:cs="Times New Roman"/>
          <w:kern w:val="0"/>
          <w:szCs w:val="24"/>
          <w14:ligatures w14:val="none"/>
        </w:rPr>
      </w:pPr>
      <w:r>
        <w:rPr>
          <w:rFonts w:eastAsia="Calibri" w:cs="Times New Roman"/>
          <w:kern w:val="0"/>
          <w:szCs w:val="24"/>
          <w14:ligatures w14:val="none"/>
        </w:rPr>
        <w:t>Mos</w:t>
      </w:r>
      <w:r w:rsidRPr="0085558C">
        <w:rPr>
          <w:rFonts w:eastAsia="Calibri" w:cs="Times New Roman"/>
          <w:kern w:val="0"/>
          <w:szCs w:val="24"/>
          <w14:ligatures w14:val="none"/>
        </w:rPr>
        <w:t xml:space="preserve">t ML algorithms (including all used in this analysis) </w:t>
      </w:r>
      <w:r>
        <w:rPr>
          <w:rFonts w:eastAsia="Calibri" w:cs="Times New Roman"/>
          <w:kern w:val="0"/>
          <w:szCs w:val="24"/>
          <w14:ligatures w14:val="none"/>
        </w:rPr>
        <w:t>can only learn</w:t>
      </w:r>
      <w:r w:rsidRPr="0085558C">
        <w:rPr>
          <w:rFonts w:eastAsia="Calibri" w:cs="Times New Roman"/>
          <w:kern w:val="0"/>
          <w:szCs w:val="24"/>
          <w14:ligatures w14:val="none"/>
        </w:rPr>
        <w:t xml:space="preserve"> relationships between contemporaneous data</w:t>
      </w:r>
      <w:r>
        <w:rPr>
          <w:rFonts w:eastAsia="Calibri" w:cs="Times New Roman"/>
          <w:kern w:val="0"/>
          <w:szCs w:val="24"/>
          <w14:ligatures w14:val="none"/>
        </w:rPr>
        <w:t>,</w:t>
      </w:r>
      <w:r w:rsidRPr="0085558C">
        <w:rPr>
          <w:rFonts w:eastAsia="Calibri" w:cs="Times New Roman"/>
          <w:kern w:val="0"/>
          <w:szCs w:val="24"/>
          <w14:ligatures w14:val="none"/>
        </w:rPr>
        <w:t xml:space="preserve"> and lack “memory” of past events. For example, fertilizer application occurs on a single day, </w:t>
      </w:r>
      <w:r>
        <w:rPr>
          <w:rFonts w:eastAsia="Calibri" w:cs="Times New Roman"/>
          <w:kern w:val="0"/>
          <w:szCs w:val="24"/>
          <w14:ligatures w14:val="none"/>
        </w:rPr>
        <w:t xml:space="preserve">yet </w:t>
      </w:r>
      <w:r w:rsidRPr="0085558C">
        <w:rPr>
          <w:rFonts w:eastAsia="Calibri" w:cs="Times New Roman"/>
          <w:kern w:val="0"/>
          <w:szCs w:val="24"/>
          <w14:ligatures w14:val="none"/>
        </w:rPr>
        <w:t xml:space="preserve">it has a lasting impact on soil </w:t>
      </w:r>
      <w:r>
        <w:rPr>
          <w:rFonts w:eastAsia="Calibri" w:cs="Times New Roman"/>
          <w:kern w:val="0"/>
          <w:szCs w:val="24"/>
          <w14:ligatures w14:val="none"/>
        </w:rPr>
        <w:t>N</w:t>
      </w:r>
      <w:r w:rsidRPr="0085558C">
        <w:rPr>
          <w:rFonts w:eastAsia="Calibri" w:cs="Times New Roman"/>
          <w:kern w:val="0"/>
          <w:szCs w:val="24"/>
          <w14:ligatures w14:val="none"/>
        </w:rPr>
        <w:t xml:space="preserve"> availability as this </w:t>
      </w:r>
      <w:r>
        <w:rPr>
          <w:rFonts w:eastAsia="Calibri" w:cs="Times New Roman"/>
          <w:kern w:val="0"/>
          <w:szCs w:val="24"/>
          <w14:ligatures w14:val="none"/>
        </w:rPr>
        <w:t>N</w:t>
      </w:r>
      <w:r w:rsidRPr="0085558C">
        <w:rPr>
          <w:rFonts w:eastAsia="Calibri" w:cs="Times New Roman"/>
          <w:kern w:val="0"/>
          <w:szCs w:val="24"/>
          <w14:ligatures w14:val="none"/>
        </w:rPr>
        <w:t xml:space="preserve"> is gradually lost to multiple loss pathways. Feature engineering was therefore used to represent past conditions as additional variables</w:t>
      </w:r>
      <w:r>
        <w:rPr>
          <w:rFonts w:eastAsia="Calibri" w:cs="Times New Roman"/>
          <w:kern w:val="0"/>
          <w:szCs w:val="24"/>
          <w14:ligatures w14:val="none"/>
        </w:rPr>
        <w:t>. These</w:t>
      </w:r>
      <w:r w:rsidRPr="0085558C">
        <w:rPr>
          <w:rFonts w:eastAsia="Calibri" w:cs="Times New Roman"/>
          <w:kern w:val="0"/>
          <w:szCs w:val="24"/>
          <w14:ligatures w14:val="none"/>
        </w:rPr>
        <w:t xml:space="preserve"> includ</w:t>
      </w:r>
      <w:r>
        <w:rPr>
          <w:rFonts w:eastAsia="Calibri" w:cs="Times New Roman"/>
          <w:kern w:val="0"/>
          <w:szCs w:val="24"/>
          <w14:ligatures w14:val="none"/>
        </w:rPr>
        <w:t>ed</w:t>
      </w:r>
      <w:r w:rsidRPr="0085558C">
        <w:rPr>
          <w:rFonts w:eastAsia="Calibri" w:cs="Times New Roman"/>
          <w:kern w:val="0"/>
          <w:szCs w:val="24"/>
          <w14:ligatures w14:val="none"/>
        </w:rPr>
        <w:t xml:space="preserve"> the number of days since the last fertilization event, the quantity of </w:t>
      </w:r>
      <w:r>
        <w:rPr>
          <w:rFonts w:eastAsia="Calibri" w:cs="Times New Roman"/>
          <w:kern w:val="0"/>
          <w:szCs w:val="24"/>
          <w14:ligatures w14:val="none"/>
        </w:rPr>
        <w:t>N</w:t>
      </w:r>
      <w:r w:rsidRPr="0085558C">
        <w:rPr>
          <w:rFonts w:eastAsia="Calibri" w:cs="Times New Roman"/>
          <w:kern w:val="0"/>
          <w:szCs w:val="24"/>
          <w14:ligatures w14:val="none"/>
        </w:rPr>
        <w:t xml:space="preserve"> applied on the last fertilization event, the number of days since the last precipitation event, the depth of rainfall which occurred during the last precipitation event, and the depth of precipitation, mean soil moisture, and mean soil temperature on each of the preceding seven days. </w:t>
      </w:r>
    </w:p>
    <w:p w14:paraId="19607D6F" w14:textId="77777777" w:rsidR="00871A3A" w:rsidRPr="0085558C" w:rsidRDefault="00871A3A" w:rsidP="001B567A">
      <w:pPr>
        <w:spacing w:after="0" w:line="480" w:lineRule="auto"/>
        <w:rPr>
          <w:rFonts w:eastAsia="Calibri" w:cs="Times New Roman"/>
          <w:kern w:val="0"/>
          <w:szCs w:val="24"/>
          <w14:ligatures w14:val="none"/>
        </w:rPr>
      </w:pPr>
      <w:r w:rsidRPr="0085558C">
        <w:rPr>
          <w:rFonts w:eastAsia="Calibri" w:cs="Times New Roman"/>
          <w:kern w:val="0"/>
          <w:szCs w:val="24"/>
          <w14:ligatures w14:val="none"/>
        </w:rPr>
        <w:t>One Hot Encoding was applied to all categorical variables, such as the primary crop and management style,</w:t>
      </w:r>
      <w:r>
        <w:rPr>
          <w:rFonts w:eastAsia="Calibri" w:cs="Times New Roman"/>
          <w:kern w:val="0"/>
          <w:szCs w:val="24"/>
          <w14:ligatures w14:val="none"/>
        </w:rPr>
        <w:t xml:space="preserve"> representing each unique value (e.g. organic, conventional) within a variable as a new column with a value of 1 (true) or 0 (false).</w:t>
      </w:r>
      <w:r w:rsidRPr="0085558C">
        <w:rPr>
          <w:rFonts w:eastAsia="Calibri" w:cs="Times New Roman"/>
          <w:kern w:val="0"/>
          <w:szCs w:val="24"/>
          <w14:ligatures w14:val="none"/>
        </w:rPr>
        <w:t xml:space="preserve"> </w:t>
      </w:r>
      <w:r>
        <w:rPr>
          <w:rFonts w:eastAsia="Calibri" w:cs="Times New Roman"/>
          <w:kern w:val="0"/>
          <w:szCs w:val="24"/>
          <w14:ligatures w14:val="none"/>
        </w:rPr>
        <w:t>S</w:t>
      </w:r>
      <w:r w:rsidRPr="0085558C">
        <w:rPr>
          <w:rFonts w:eastAsia="Calibri" w:cs="Times New Roman"/>
          <w:kern w:val="0"/>
          <w:szCs w:val="24"/>
          <w14:ligatures w14:val="none"/>
        </w:rPr>
        <w:t xml:space="preserve">caling between 0 and 1 was applied to each of the numerical timeseries </w:t>
      </w:r>
      <w:r>
        <w:rPr>
          <w:rFonts w:eastAsia="Calibri" w:cs="Times New Roman"/>
          <w:kern w:val="0"/>
          <w:szCs w:val="24"/>
          <w14:ligatures w14:val="none"/>
        </w:rPr>
        <w:t>predictors</w:t>
      </w:r>
      <w:r w:rsidRPr="0085558C">
        <w:rPr>
          <w:rFonts w:eastAsia="Calibri" w:cs="Times New Roman"/>
          <w:kern w:val="0"/>
          <w:szCs w:val="24"/>
          <w14:ligatures w14:val="none"/>
        </w:rPr>
        <w:t xml:space="preserve">. After </w:t>
      </w:r>
      <w:r>
        <w:rPr>
          <w:rFonts w:eastAsia="Calibri" w:cs="Times New Roman"/>
          <w:kern w:val="0"/>
          <w:szCs w:val="24"/>
          <w14:ligatures w14:val="none"/>
        </w:rPr>
        <w:t>removing</w:t>
      </w:r>
      <w:r w:rsidRPr="009D3138">
        <w:rPr>
          <w:rFonts w:eastAsia="Calibri" w:cs="Times New Roman"/>
          <w:kern w:val="0"/>
          <w:szCs w:val="24"/>
          <w14:ligatures w14:val="none"/>
        </w:rPr>
        <w:t xml:space="preserve"> rows with any missing values of predictors</w:t>
      </w:r>
      <w:r w:rsidRPr="0085558C">
        <w:rPr>
          <w:rFonts w:eastAsia="Calibri" w:cs="Times New Roman"/>
          <w:kern w:val="0"/>
          <w:szCs w:val="24"/>
          <w14:ligatures w14:val="none"/>
        </w:rPr>
        <w:t>, the complete dataset comprised a total of 6753 replicated N</w:t>
      </w:r>
      <w:r w:rsidRPr="0085558C">
        <w:rPr>
          <w:rFonts w:eastAsia="Calibri" w:cs="Times New Roman"/>
          <w:kern w:val="0"/>
          <w:szCs w:val="24"/>
          <w:vertAlign w:val="subscript"/>
          <w14:ligatures w14:val="none"/>
        </w:rPr>
        <w:t>2</w:t>
      </w:r>
      <w:r w:rsidRPr="0085558C">
        <w:rPr>
          <w:rFonts w:eastAsia="Calibri" w:cs="Times New Roman"/>
          <w:kern w:val="0"/>
          <w:szCs w:val="24"/>
          <w14:ligatures w14:val="none"/>
        </w:rPr>
        <w:t>O flux measurements alongside measured or estimated values for all model predictors.</w:t>
      </w:r>
    </w:p>
    <w:p w14:paraId="25B8C89E" w14:textId="17B9802F" w:rsidR="00871A3A" w:rsidRPr="0085558C" w:rsidRDefault="00871A3A" w:rsidP="001B567A">
      <w:pPr>
        <w:pStyle w:val="Heading3"/>
      </w:pPr>
      <w:bookmarkStart w:id="71" w:name="_Toc204282764"/>
      <w:r w:rsidRPr="0085558C">
        <w:t xml:space="preserve">Classification of </w:t>
      </w:r>
      <w:r w:rsidR="00FB5951">
        <w:t>t</w:t>
      </w:r>
      <w:r w:rsidRPr="0085558C">
        <w:t xml:space="preserve">rue </w:t>
      </w:r>
      <w:r w:rsidR="00FB5951">
        <w:t>h</w:t>
      </w:r>
      <w:r w:rsidRPr="0085558C">
        <w:t xml:space="preserve">ot </w:t>
      </w:r>
      <w:r w:rsidR="00FB5951">
        <w:t>m</w:t>
      </w:r>
      <w:r w:rsidRPr="0085558C">
        <w:t>oments</w:t>
      </w:r>
      <w:bookmarkEnd w:id="71"/>
    </w:p>
    <w:p w14:paraId="3CF51F34" w14:textId="0133106A" w:rsidR="00871A3A" w:rsidRPr="0085558C" w:rsidRDefault="00871A3A" w:rsidP="001B567A">
      <w:pPr>
        <w:spacing w:after="0" w:line="480" w:lineRule="auto"/>
        <w:rPr>
          <w:rFonts w:eastAsia="Calibri" w:cs="Times New Roman"/>
          <w:kern w:val="0"/>
          <w:szCs w:val="24"/>
          <w14:ligatures w14:val="none"/>
        </w:rPr>
      </w:pPr>
      <w:r w:rsidRPr="0085558C">
        <w:rPr>
          <w:rFonts w:eastAsia="Calibri" w:cs="Times New Roman"/>
          <w:kern w:val="0"/>
          <w:szCs w:val="24"/>
          <w14:ligatures w14:val="none"/>
        </w:rPr>
        <w:t>In contrast to regression models of N</w:t>
      </w:r>
      <w:r w:rsidRPr="0085558C">
        <w:rPr>
          <w:rFonts w:eastAsia="Calibri" w:cs="Times New Roman"/>
          <w:kern w:val="0"/>
          <w:szCs w:val="24"/>
          <w:vertAlign w:val="subscript"/>
          <w14:ligatures w14:val="none"/>
        </w:rPr>
        <w:t>2</w:t>
      </w:r>
      <w:r w:rsidRPr="0085558C">
        <w:rPr>
          <w:rFonts w:eastAsia="Calibri" w:cs="Times New Roman"/>
          <w:kern w:val="0"/>
          <w:szCs w:val="24"/>
          <w14:ligatures w14:val="none"/>
        </w:rPr>
        <w:t xml:space="preserve">O fluxes, the training and development of a classification model requires an additional processing step which sorts quantitative flux measurements into qualitative classes, here being background emissions and hot moments. According to the </w:t>
      </w:r>
      <w:r w:rsidRPr="0085558C">
        <w:rPr>
          <w:rFonts w:eastAsia="Calibri" w:cs="Times New Roman"/>
          <w:kern w:val="0"/>
          <w:szCs w:val="24"/>
          <w14:ligatures w14:val="none"/>
        </w:rPr>
        <w:lastRenderedPageBreak/>
        <w:t xml:space="preserve">definition given by McClain et al. (2003), hot moments are driven by changes to environmental conditions which affect biogeochemical reaction rates, resulting in anomalously high fluxes in comparison to their context across longer time periods. We applied this framework to the entire dataset through a context-informed process of hand-labeling each flux measurement to train and validate the classification models. Human-labeled data has been shown to improve model performance in environmental systems with high complexity compared to ‘unsupervised’ models which learn patterns from unlabeled data </w:t>
      </w:r>
      <w:r w:rsidRPr="0085558C">
        <w:rPr>
          <w:rFonts w:eastAsia="Calibri" w:cs="Times New Roman"/>
          <w:kern w:val="0"/>
          <w:szCs w:val="24"/>
          <w14:ligatures w14:val="none"/>
        </w:rPr>
        <w:fldChar w:fldCharType="begin"/>
      </w:r>
      <w:r w:rsidR="00D74AD1">
        <w:rPr>
          <w:rFonts w:eastAsia="Calibri" w:cs="Times New Roman"/>
          <w:kern w:val="0"/>
          <w:szCs w:val="24"/>
          <w14:ligatures w14:val="none"/>
        </w:rPr>
        <w:instrText xml:space="preserve"> ADDIN ZOTERO_ITEM CSL_CITATION {"citationID":"QZbCERuB","properties":{"formattedCitation":"(Russo et al., 2021)","plainCitation":"(Russo et al., 2021)","noteIndex":0},"citationItems":[{"id":1999,"uris":["http://zotero.org/groups/4573874/items/WI6S3YKM"],"itemData":{"id":1999,"type":"article-journal","abstract":"Anomaly detection is the process of identifying unexpected data samples in datasets. Automated anomaly detection is either performed using supervised machine learning models, which require a labelled dataset for their calibration, or unsupervised models, which do not require labels. While academic research has produced a vast array of tools and machine learning models for automated anomaly detection, the research community focused on environmental systems still lacks a comparative analysis that is simultaneously comprehensive, objective, and systematic. This knowledge gap is addressed for the first time in this study, where 15 different supervised and unsupervised anomaly detection models are evaluated on 5 different environmental datasets from engineered and natural aquatic systems. To this end, anomaly detection performance, labelling efforts, as well as the impact of model and algorithm tuning are taken into account. As a result, our analysis reveals the relative strengths and weaknesses of the different approaches in an objective manner without bias for any particular paradigm in machine learning. Most importantly, our results show that expert-based data annotation is extremely valuable for anomaly detection based on machine learning.","container-title":"Water Research","DOI":"10.1016/j.watres.2021.117695","ISSN":"0043-1354","journalAbbreviation":"Water Research","page":"117695","source":"ScienceDirect","title":"The value of human data annotation for machine learning based anomaly detection in environmental systems","volume":"206","author":[{"family":"Russo","given":"Stefania"},{"family":"Besmer","given":"Michael D."},{"family":"Blumensaat","given":"Frank"},{"family":"Bouffard","given":"Damien"},{"family":"Disch","given":"Andy"},{"family":"Hammes","given":"Frederik"},{"family":"Hess","given":"Angelika"},{"family":"Lürig","given":"Moritz"},{"family":"Matthews","given":"Blake"},{"family":"Minaudo","given":"Camille"},{"family":"Morgenroth","given":"Eberhard"},{"family":"Tran-Khac","given":"Viet"},{"family":"Villez","given":"Kris"}],"issued":{"date-parts":[["2021",11,1]]}}}],"schema":"https://github.com/citation-style-language/schema/raw/master/csl-citation.json"} </w:instrText>
      </w:r>
      <w:r w:rsidRPr="0085558C">
        <w:rPr>
          <w:rFonts w:eastAsia="Calibri" w:cs="Times New Roman"/>
          <w:kern w:val="0"/>
          <w:szCs w:val="24"/>
          <w14:ligatures w14:val="none"/>
        </w:rPr>
        <w:fldChar w:fldCharType="separate"/>
      </w:r>
      <w:r w:rsidRPr="0085558C">
        <w:rPr>
          <w:rFonts w:eastAsia="Calibri" w:cs="Times New Roman"/>
          <w:kern w:val="0"/>
          <w:szCs w:val="24"/>
          <w14:ligatures w14:val="none"/>
        </w:rPr>
        <w:t>(Russo et al., 2021)</w:t>
      </w:r>
      <w:r w:rsidRPr="0085558C">
        <w:rPr>
          <w:rFonts w:eastAsia="Calibri" w:cs="Times New Roman"/>
          <w:kern w:val="0"/>
          <w:szCs w:val="24"/>
          <w14:ligatures w14:val="none"/>
        </w:rPr>
        <w:fldChar w:fldCharType="end"/>
      </w:r>
      <w:r w:rsidRPr="0085558C">
        <w:rPr>
          <w:rFonts w:eastAsia="Calibri" w:cs="Times New Roman"/>
          <w:kern w:val="0"/>
          <w:szCs w:val="24"/>
          <w14:ligatures w14:val="none"/>
        </w:rPr>
        <w:t xml:space="preserve">. Given the contextual nature of hot moments and even the background level </w:t>
      </w:r>
      <w:r w:rsidRPr="0085558C">
        <w:rPr>
          <w:rFonts w:eastAsia="Calibri" w:cs="Times New Roman"/>
          <w:kern w:val="0"/>
          <w:szCs w:val="24"/>
          <w14:ligatures w14:val="none"/>
        </w:rPr>
        <w:fldChar w:fldCharType="begin"/>
      </w:r>
      <w:r w:rsidR="00D74AD1">
        <w:rPr>
          <w:rFonts w:eastAsia="Calibri" w:cs="Times New Roman"/>
          <w:kern w:val="0"/>
          <w:szCs w:val="24"/>
          <w14:ligatures w14:val="none"/>
        </w:rPr>
        <w:instrText xml:space="preserve"> ADDIN ZOTERO_ITEM CSL_CITATION {"citationID":"AUuDt0du","properties":{"formattedCitation":"(Yin et al., 2022)","plainCitation":"(Yin et al., 2022)","noteIndex":0},"citationItems":[{"id":607,"uris":["http://zotero.org/groups/4573874/items/UFAM7YSK"],"itemData":{"id":607,"type":"article-journal","abstract":"Robust global simulation of soil background N2O emissions (BNEs) is a challenge due to the lack of a comprehensive system for quantification of the variations in their magnitude and location. We mapped global BNEs based on 1353 field observations from globally distributed sites and high-resolution climate and soil data. We then calculated global and national total BNE budgets and compared them to the IPCC-estimated values. The average BNE was 1.10, 0.92, and 0.84 kg N ha−1 year−1 with variations from 0.18 to 3.47 (5th–95th percentile, hereafter), 0.20 to 3.44, and −1.16 to 3.70 kg N ha−1 year−1 for cropland, forestland, and grassland, respectively. Soil pH, soil N mineralization, atmospheric N deposition, soil volumetric water content, and soil temperature were the principle significant drivers of BNEs. The total BNEs of three land use types was lower than IPCC-estimated total BNEs by 0.83 Tg (1012 g) N year−1, ranging from −47% to 94% across countries. The estimated BNE with cropland values were slightly higher than the IPCC estimates by 0.11 Tg N year−1, and forestland and grassland lower than the IPCC estimates by 0.4 and 0.54 Tg N year−1, respectively. Our study underlined the necessity for detailed estimation of the spatial distribution of BNEs to improve the estimates of global N2O emissions and enable the establishment of more realistic and effective mitigation measures.","container-title":"Global Change Biology","DOI":"10.1111/gcb.15860","ISSN":"1365-2486","issue":"2","language":"en","note":"_eprint: https://onlinelibrary.wiley.com/doi/pdf/10.1111/gcb.15860","page":"480-492","source":"Wiley Online Library","title":"Evaluation of variation in background nitrous oxide emissions: A new global synthesis integrating the impacts of climate, soil, and management conditions","title-short":"Evaluation of variation in background nitrous oxide emissions","volume":"28","author":[{"family":"Yin","given":"Yulong"},{"family":"Wang","given":"Zihan"},{"family":"Tian","given":"Xingshuai"},{"family":"Wang","given":"Yingcheng"},{"family":"Cong","given":"Jiahui"},{"family":"Cui","given":"Zhenling"}],"issued":{"date-parts":[["2022"]]}}}],"schema":"https://github.com/citation-style-language/schema/raw/master/csl-citation.json"} </w:instrText>
      </w:r>
      <w:r w:rsidRPr="0085558C">
        <w:rPr>
          <w:rFonts w:eastAsia="Calibri" w:cs="Times New Roman"/>
          <w:kern w:val="0"/>
          <w:szCs w:val="24"/>
          <w14:ligatures w14:val="none"/>
        </w:rPr>
        <w:fldChar w:fldCharType="separate"/>
      </w:r>
      <w:r w:rsidRPr="0085558C">
        <w:rPr>
          <w:rFonts w:eastAsia="Calibri" w:cs="Times New Roman"/>
          <w:kern w:val="0"/>
          <w:szCs w:val="24"/>
          <w14:ligatures w14:val="none"/>
        </w:rPr>
        <w:t>(Yin et al., 2022)</w:t>
      </w:r>
      <w:r w:rsidRPr="0085558C">
        <w:rPr>
          <w:rFonts w:eastAsia="Calibri" w:cs="Times New Roman"/>
          <w:kern w:val="0"/>
          <w:szCs w:val="24"/>
          <w14:ligatures w14:val="none"/>
        </w:rPr>
        <w:fldChar w:fldCharType="end"/>
      </w:r>
      <w:r w:rsidRPr="0085558C">
        <w:rPr>
          <w:rFonts w:eastAsia="Calibri" w:cs="Times New Roman"/>
          <w:kern w:val="0"/>
          <w:szCs w:val="24"/>
          <w14:ligatures w14:val="none"/>
        </w:rPr>
        <w:t xml:space="preserve">, each treatment-level dataset was considered individually. A </w:t>
      </w:r>
      <w:r w:rsidRPr="0085558C">
        <w:rPr>
          <w:rFonts w:eastAsia="Times New Roman" w:cs="Times New Roman"/>
          <w:kern w:val="0"/>
          <w:szCs w:val="24"/>
          <w14:ligatures w14:val="none"/>
        </w:rPr>
        <w:t>time series graph of the average daily flux (g N ha</w:t>
      </w:r>
      <w:r w:rsidRPr="0085558C">
        <w:rPr>
          <w:rFonts w:eastAsia="Times New Roman" w:cs="Times New Roman"/>
          <w:kern w:val="0"/>
          <w:szCs w:val="24"/>
          <w:vertAlign w:val="superscript"/>
          <w14:ligatures w14:val="none"/>
        </w:rPr>
        <w:t>-1</w:t>
      </w:r>
      <w:r w:rsidRPr="0085558C">
        <w:rPr>
          <w:rFonts w:eastAsia="Times New Roman" w:cs="Times New Roman"/>
          <w:kern w:val="0"/>
          <w:szCs w:val="24"/>
          <w14:ligatures w14:val="none"/>
        </w:rPr>
        <w:t xml:space="preserve"> d</w:t>
      </w:r>
      <w:r w:rsidRPr="0085558C">
        <w:rPr>
          <w:rFonts w:eastAsia="Times New Roman" w:cs="Times New Roman"/>
          <w:kern w:val="0"/>
          <w:szCs w:val="24"/>
          <w:vertAlign w:val="superscript"/>
          <w14:ligatures w14:val="none"/>
        </w:rPr>
        <w:t>-1</w:t>
      </w:r>
      <w:r w:rsidRPr="0085558C">
        <w:rPr>
          <w:rFonts w:eastAsia="Times New Roman" w:cs="Times New Roman"/>
          <w:kern w:val="0"/>
          <w:szCs w:val="24"/>
          <w14:ligatures w14:val="none"/>
        </w:rPr>
        <w:t xml:space="preserve">) and standard error of each measurement was constructed. Then, to </w:t>
      </w:r>
      <w:r>
        <w:rPr>
          <w:rFonts w:eastAsia="Times New Roman" w:cs="Times New Roman"/>
          <w:kern w:val="0"/>
          <w:szCs w:val="24"/>
          <w14:ligatures w14:val="none"/>
        </w:rPr>
        <w:t>contextualize these fluxes within</w:t>
      </w:r>
      <w:r w:rsidRPr="0085558C">
        <w:rPr>
          <w:rFonts w:eastAsia="Times New Roman" w:cs="Times New Roman"/>
          <w:kern w:val="0"/>
          <w:szCs w:val="24"/>
          <w14:ligatures w14:val="none"/>
        </w:rPr>
        <w:t xml:space="preserve"> environmental shifts </w:t>
      </w:r>
      <w:r>
        <w:rPr>
          <w:rFonts w:eastAsia="Times New Roman" w:cs="Times New Roman"/>
          <w:kern w:val="0"/>
          <w:szCs w:val="24"/>
          <w14:ligatures w14:val="none"/>
        </w:rPr>
        <w:t>indicative</w:t>
      </w:r>
      <w:r w:rsidRPr="0085558C">
        <w:rPr>
          <w:rFonts w:eastAsia="Times New Roman" w:cs="Times New Roman"/>
          <w:kern w:val="0"/>
          <w:szCs w:val="24"/>
          <w14:ligatures w14:val="none"/>
        </w:rPr>
        <w:t xml:space="preserve"> of hot moments, temporally scaled graphs were </w:t>
      </w:r>
      <w:r>
        <w:rPr>
          <w:rFonts w:eastAsia="Times New Roman" w:cs="Times New Roman"/>
          <w:kern w:val="0"/>
          <w:szCs w:val="24"/>
          <w14:ligatures w14:val="none"/>
        </w:rPr>
        <w:t>generated</w:t>
      </w:r>
      <w:r w:rsidRPr="0085558C">
        <w:rPr>
          <w:rFonts w:eastAsia="Times New Roman" w:cs="Times New Roman"/>
          <w:kern w:val="0"/>
          <w:szCs w:val="24"/>
          <w14:ligatures w14:val="none"/>
        </w:rPr>
        <w:t xml:space="preserve"> portraying the soil moisture, soil temperature, precipitation depth, and quantity and timing of </w:t>
      </w:r>
      <w:r>
        <w:rPr>
          <w:rFonts w:eastAsia="Times New Roman" w:cs="Times New Roman"/>
          <w:kern w:val="0"/>
          <w:szCs w:val="24"/>
          <w14:ligatures w14:val="none"/>
        </w:rPr>
        <w:t>N</w:t>
      </w:r>
      <w:r w:rsidRPr="0085558C">
        <w:rPr>
          <w:rFonts w:eastAsia="Times New Roman" w:cs="Times New Roman"/>
          <w:kern w:val="0"/>
          <w:szCs w:val="24"/>
          <w14:ligatures w14:val="none"/>
        </w:rPr>
        <w:t xml:space="preserve"> </w:t>
      </w:r>
      <w:r>
        <w:rPr>
          <w:rFonts w:eastAsia="Times New Roman" w:cs="Times New Roman"/>
          <w:kern w:val="0"/>
          <w:szCs w:val="24"/>
          <w14:ligatures w14:val="none"/>
        </w:rPr>
        <w:t>applications</w:t>
      </w:r>
      <w:r w:rsidRPr="0085558C">
        <w:rPr>
          <w:rFonts w:eastAsia="Times New Roman" w:cs="Times New Roman"/>
          <w:kern w:val="0"/>
          <w:szCs w:val="24"/>
          <w14:ligatures w14:val="none"/>
        </w:rPr>
        <w:t xml:space="preserve">. The magnitude, variability, and temporal and environmental context of each flux measurement was considered by the authors and a consensus expert decision was made whether the evidence supported a classification as either background level or hot moment. </w:t>
      </w:r>
      <w:r>
        <w:rPr>
          <w:rFonts w:eastAsia="Times New Roman" w:cs="Times New Roman"/>
          <w:kern w:val="0"/>
          <w:szCs w:val="24"/>
          <w14:ligatures w14:val="none"/>
        </w:rPr>
        <w:t>This process resulted in ~23% of flux measurements classified as hot moments and ~77% classified as background emissions.</w:t>
      </w:r>
    </w:p>
    <w:p w14:paraId="22BAE483" w14:textId="30BCEC58" w:rsidR="00871A3A" w:rsidRPr="0085558C" w:rsidRDefault="00871A3A" w:rsidP="001B567A">
      <w:pPr>
        <w:spacing w:after="0" w:line="480" w:lineRule="auto"/>
        <w:rPr>
          <w:rFonts w:eastAsia="Calibri" w:cs="Times New Roman"/>
          <w:kern w:val="0"/>
          <w:szCs w:val="24"/>
          <w14:ligatures w14:val="none"/>
        </w:rPr>
      </w:pPr>
      <w:r w:rsidRPr="0085558C">
        <w:rPr>
          <w:rFonts w:eastAsia="Calibri" w:cs="Times New Roman"/>
          <w:kern w:val="0"/>
          <w:szCs w:val="24"/>
          <w14:ligatures w14:val="none"/>
        </w:rPr>
        <w:t xml:space="preserve">In addition, we generated sets of data labels using statistical anomaly detection methods for hot moment identification </w:t>
      </w:r>
      <w:r w:rsidRPr="0085558C">
        <w:rPr>
          <w:rFonts w:eastAsia="Calibri" w:cs="Times New Roman"/>
          <w:kern w:val="0"/>
          <w:szCs w:val="24"/>
          <w14:ligatures w14:val="none"/>
        </w:rPr>
        <w:fldChar w:fldCharType="begin"/>
      </w:r>
      <w:r w:rsidR="00D74AD1">
        <w:rPr>
          <w:rFonts w:eastAsia="Calibri" w:cs="Times New Roman"/>
          <w:kern w:val="0"/>
          <w:szCs w:val="24"/>
          <w14:ligatures w14:val="none"/>
        </w:rPr>
        <w:instrText xml:space="preserve"> ADDIN ZOTERO_ITEM CSL_CITATION {"citationID":"pwxFWRxZ","properties":{"formattedCitation":"(Stuchiner et al., 2025)","plainCitation":"(Stuchiner et al., 2025)","noteIndex":0},"citationItems":[{"id":3046,"uris":["http://zotero.org/groups/4573874/items/GYIWTSML"],"itemData":{"id":3046,"type":"article-journal","abstract":"Effectively quantifying hot moments of nitrous oxide (N2O) emissions from agricultural soils is critical for managing this potent greenhouse gas. However, we are challenged by a lack of standard approaches for identifying hot moments, including (a) determining thresholds above which emissions are considered hot moments, and (b) considering seasonal variation in the magnitude and frequency distribution of net N2O fluxes. We used one year of hourly N2O flux measurements from 16 autochambers that varied in flux magnitude and frequency distribution in a conventionally tilled maize field in central Illinois, USA, to compare three approaches to identify hot moment thresholds: standard deviations (SD) above the mean, 1.5x the interquartile range (IQR), and isolation forest (IF) identification of anomalous values. We also compared these approaches on seasonally subdivided data (early, late, and non-growing seasons) versus the whole year. Our analyses revealed that 1.5x IQR method best identified N2O hot moments. In contrast, using 2 or 4 SD both yielded hot moment threshold values too high, and IF yielded threshold values too low, leading to missed N2O hot moments or low net N2O fluxes mischaracterized as hot moments, respectively. Furthermore, seasonally subdividing the data set not only facilitated identification of smaller hot moments in the late- and non-growing seasons when N2O hot moments were generally smaller but it also increased hot moment threshold values in the early growing season when N2O hot moments were larger. Consequently, of the methods evaluated here, we recommend using the 1.5x IQR method on whole year data sets to identify N2O hot moments.","container-title":"Journal of Geophysical Research: Biogeosciences","DOI":"10.1029/2024JG008138","ISSN":"2169-8961","issue":"1","language":"en","license":"© 2024. The Author(s).","note":"_eprint: https://onlinelibrary.wiley.com/doi/pdf/10.1029/2024JG008138","page":"e2024JG008138","source":"Wiley Online Library","title":"Hot or Not? An Evaluation of Methods for Identifying Hot Moments of Nitrous Oxide Emissions From Soils","title-short":"Hot or Not?","volume":"130","author":[{"family":"Stuchiner","given":"Emily R."},{"family":"Xu","given":"Jiacheng"},{"family":"Eddy","given":"William C."},{"family":"DeLucia","given":"Evan H."},{"family":"Yang","given":"Wendy H."}],"issued":{"date-parts":[["2025"]]}}}],"schema":"https://github.com/citation-style-language/schema/raw/master/csl-citation.json"} </w:instrText>
      </w:r>
      <w:r w:rsidRPr="0085558C">
        <w:rPr>
          <w:rFonts w:eastAsia="Calibri" w:cs="Times New Roman"/>
          <w:kern w:val="0"/>
          <w:szCs w:val="24"/>
          <w14:ligatures w14:val="none"/>
        </w:rPr>
        <w:fldChar w:fldCharType="separate"/>
      </w:r>
      <w:r w:rsidRPr="0085558C">
        <w:rPr>
          <w:rFonts w:eastAsia="Calibri" w:cs="Times New Roman"/>
          <w:kern w:val="0"/>
          <w:szCs w:val="24"/>
          <w14:ligatures w14:val="none"/>
        </w:rPr>
        <w:t>(Stuchiner et al., 2025)</w:t>
      </w:r>
      <w:r w:rsidRPr="0085558C">
        <w:rPr>
          <w:rFonts w:eastAsia="Calibri" w:cs="Times New Roman"/>
          <w:kern w:val="0"/>
          <w:szCs w:val="24"/>
          <w14:ligatures w14:val="none"/>
        </w:rPr>
        <w:fldChar w:fldCharType="end"/>
      </w:r>
      <w:r w:rsidRPr="0085558C">
        <w:rPr>
          <w:rFonts w:eastAsia="Calibri" w:cs="Times New Roman"/>
          <w:kern w:val="0"/>
          <w:szCs w:val="24"/>
          <w14:ligatures w14:val="none"/>
        </w:rPr>
        <w:t xml:space="preserve">. </w:t>
      </w:r>
      <w:r>
        <w:rPr>
          <w:rFonts w:eastAsia="Calibri" w:cs="Times New Roman"/>
          <w:kern w:val="0"/>
          <w:szCs w:val="24"/>
          <w14:ligatures w14:val="none"/>
        </w:rPr>
        <w:t>U</w:t>
      </w:r>
      <w:r w:rsidRPr="00112AD4">
        <w:rPr>
          <w:rFonts w:eastAsia="Calibri" w:cs="Times New Roman"/>
          <w:kern w:val="0"/>
          <w:szCs w:val="24"/>
          <w14:ligatures w14:val="none"/>
        </w:rPr>
        <w:t xml:space="preserve">nlike manual labeling, </w:t>
      </w:r>
      <w:r>
        <w:rPr>
          <w:rFonts w:eastAsia="Calibri" w:cs="Times New Roman"/>
          <w:kern w:val="0"/>
          <w:szCs w:val="24"/>
          <w14:ligatures w14:val="none"/>
        </w:rPr>
        <w:t>statistical classification approaches</w:t>
      </w:r>
      <w:r w:rsidRPr="0085558C">
        <w:rPr>
          <w:rFonts w:eastAsia="Calibri" w:cs="Times New Roman"/>
          <w:kern w:val="0"/>
          <w:szCs w:val="24"/>
          <w14:ligatures w14:val="none"/>
        </w:rPr>
        <w:t xml:space="preserve"> do not require significant time and labor inputs nor the availability of contextual environmental data, </w:t>
      </w:r>
      <w:r>
        <w:rPr>
          <w:rFonts w:eastAsia="Calibri" w:cs="Times New Roman"/>
          <w:kern w:val="0"/>
          <w:szCs w:val="24"/>
          <w14:ligatures w14:val="none"/>
        </w:rPr>
        <w:t xml:space="preserve">and </w:t>
      </w:r>
      <w:r w:rsidRPr="0085558C">
        <w:rPr>
          <w:rFonts w:eastAsia="Calibri" w:cs="Times New Roman"/>
          <w:kern w:val="0"/>
          <w:szCs w:val="24"/>
          <w14:ligatures w14:val="none"/>
        </w:rPr>
        <w:t xml:space="preserve">thus </w:t>
      </w:r>
      <w:r>
        <w:rPr>
          <w:rFonts w:eastAsia="Calibri" w:cs="Times New Roman"/>
          <w:kern w:val="0"/>
          <w:szCs w:val="24"/>
          <w14:ligatures w14:val="none"/>
        </w:rPr>
        <w:t>enable the rapid and easy</w:t>
      </w:r>
      <w:r w:rsidRPr="0085558C">
        <w:rPr>
          <w:rFonts w:eastAsia="Calibri" w:cs="Times New Roman"/>
          <w:kern w:val="0"/>
          <w:szCs w:val="24"/>
          <w14:ligatures w14:val="none"/>
        </w:rPr>
        <w:t xml:space="preserve"> generat</w:t>
      </w:r>
      <w:r>
        <w:rPr>
          <w:rFonts w:eastAsia="Calibri" w:cs="Times New Roman"/>
          <w:kern w:val="0"/>
          <w:szCs w:val="24"/>
          <w14:ligatures w14:val="none"/>
        </w:rPr>
        <w:t>ion of</w:t>
      </w:r>
      <w:r w:rsidRPr="0085558C">
        <w:rPr>
          <w:rFonts w:eastAsia="Calibri" w:cs="Times New Roman"/>
          <w:kern w:val="0"/>
          <w:szCs w:val="24"/>
          <w14:ligatures w14:val="none"/>
        </w:rPr>
        <w:t xml:space="preserve"> data labels for large datasets.</w:t>
      </w:r>
      <w:r>
        <w:rPr>
          <w:rFonts w:eastAsia="Calibri" w:cs="Times New Roman"/>
          <w:kern w:val="0"/>
          <w:szCs w:val="24"/>
          <w14:ligatures w14:val="none"/>
        </w:rPr>
        <w:t xml:space="preserve"> </w:t>
      </w:r>
      <w:r w:rsidRPr="0085558C">
        <w:rPr>
          <w:rFonts w:eastAsia="Calibri" w:cs="Times New Roman"/>
          <w:kern w:val="0"/>
          <w:szCs w:val="24"/>
          <w14:ligatures w14:val="none"/>
        </w:rPr>
        <w:t xml:space="preserve">However, anomaly detection methods differ in their quantitative approaches, each have strengths and weaknesses, and the selection of methods can have a dramatic impact on which </w:t>
      </w:r>
      <w:r w:rsidRPr="0085558C">
        <w:rPr>
          <w:rFonts w:eastAsia="Calibri" w:cs="Times New Roman"/>
          <w:kern w:val="0"/>
          <w:szCs w:val="24"/>
          <w14:ligatures w14:val="none"/>
        </w:rPr>
        <w:lastRenderedPageBreak/>
        <w:t xml:space="preserve">measurements will be identified as hot moments (Molodovskaya et al., 2012). </w:t>
      </w:r>
      <w:r w:rsidRPr="009D3138">
        <w:rPr>
          <w:rFonts w:eastAsia="Calibri" w:cs="Times New Roman"/>
          <w:kern w:val="0"/>
          <w:szCs w:val="24"/>
          <w14:ligatures w14:val="none"/>
        </w:rPr>
        <w:t>Consequently,</w:t>
      </w:r>
      <w:r w:rsidRPr="0085558C">
        <w:rPr>
          <w:rFonts w:eastAsia="Calibri" w:cs="Times New Roman"/>
          <w:kern w:val="0"/>
          <w:szCs w:val="24"/>
          <w14:ligatures w14:val="none"/>
        </w:rPr>
        <w:t xml:space="preserve"> the predictive performance and behavior of </w:t>
      </w:r>
      <w:r w:rsidRPr="009D3138">
        <w:rPr>
          <w:rFonts w:eastAsia="Calibri" w:cs="Times New Roman"/>
          <w:kern w:val="0"/>
          <w:szCs w:val="24"/>
          <w14:ligatures w14:val="none"/>
        </w:rPr>
        <w:t>ML</w:t>
      </w:r>
      <w:r w:rsidRPr="0085558C">
        <w:rPr>
          <w:rFonts w:eastAsia="Calibri" w:cs="Times New Roman"/>
          <w:kern w:val="0"/>
          <w:szCs w:val="24"/>
          <w14:ligatures w14:val="none"/>
        </w:rPr>
        <w:t xml:space="preserve"> models may be sensitive to the method used to classify fluxes in their training data</w:t>
      </w:r>
      <w:r>
        <w:rPr>
          <w:rFonts w:eastAsia="Calibri" w:cs="Times New Roman"/>
          <w:kern w:val="0"/>
          <w:szCs w:val="24"/>
          <w14:ligatures w14:val="none"/>
        </w:rPr>
        <w:t>, especially if some methods better capture the contextuality of anomalous data</w:t>
      </w:r>
      <w:r w:rsidRPr="0085558C">
        <w:rPr>
          <w:rFonts w:eastAsia="Calibri" w:cs="Times New Roman"/>
          <w:kern w:val="0"/>
          <w:szCs w:val="24"/>
          <w14:ligatures w14:val="none"/>
        </w:rPr>
        <w:t xml:space="preserve">. We </w:t>
      </w:r>
      <w:r w:rsidRPr="009D3138">
        <w:rPr>
          <w:rFonts w:eastAsia="Calibri" w:cs="Times New Roman"/>
          <w:kern w:val="0"/>
          <w:szCs w:val="24"/>
          <w14:ligatures w14:val="none"/>
        </w:rPr>
        <w:t>selected</w:t>
      </w:r>
      <w:r w:rsidRPr="0085558C">
        <w:rPr>
          <w:rFonts w:eastAsia="Calibri" w:cs="Times New Roman"/>
          <w:kern w:val="0"/>
          <w:szCs w:val="24"/>
          <w14:ligatures w14:val="none"/>
        </w:rPr>
        <w:t xml:space="preserve"> 1.5 interquartile range (IQR</w:t>
      </w:r>
      <w:r>
        <w:rPr>
          <w:rFonts w:eastAsia="Calibri" w:cs="Times New Roman"/>
          <w:kern w:val="0"/>
          <w:szCs w:val="24"/>
          <w14:ligatures w14:val="none"/>
        </w:rPr>
        <w:t xml:space="preserve">), </w:t>
      </w:r>
      <w:r w:rsidRPr="0085558C">
        <w:rPr>
          <w:rFonts w:eastAsia="Calibri" w:cs="Times New Roman"/>
          <w:kern w:val="0"/>
          <w:szCs w:val="24"/>
          <w14:ligatures w14:val="none"/>
        </w:rPr>
        <w:t xml:space="preserve">median absolute deviation (MAD), </w:t>
      </w:r>
      <w:r>
        <w:rPr>
          <w:rFonts w:eastAsia="Calibri" w:cs="Times New Roman"/>
          <w:kern w:val="0"/>
          <w:szCs w:val="24"/>
          <w14:ligatures w14:val="none"/>
        </w:rPr>
        <w:t>and</w:t>
      </w:r>
      <w:r w:rsidRPr="006537E4">
        <w:rPr>
          <w:rFonts w:eastAsia="Calibri" w:cs="Times New Roman"/>
          <w:kern w:val="0"/>
          <w:szCs w:val="24"/>
          <w14:ligatures w14:val="none"/>
        </w:rPr>
        <w:t xml:space="preserve"> </w:t>
      </w:r>
      <w:r w:rsidRPr="0085558C">
        <w:rPr>
          <w:rFonts w:eastAsia="Calibri" w:cs="Times New Roman"/>
          <w:kern w:val="0"/>
          <w:szCs w:val="24"/>
          <w14:ligatures w14:val="none"/>
        </w:rPr>
        <w:t>minimum covariance determinant (MCD)</w:t>
      </w:r>
      <w:r w:rsidRPr="009D3138">
        <w:rPr>
          <w:rFonts w:eastAsia="Calibri" w:cs="Times New Roman"/>
          <w:kern w:val="0"/>
          <w:szCs w:val="24"/>
          <w14:ligatures w14:val="none"/>
        </w:rPr>
        <w:t xml:space="preserve"> </w:t>
      </w:r>
      <w:r w:rsidRPr="0085558C">
        <w:rPr>
          <w:rFonts w:eastAsia="Calibri" w:cs="Times New Roman"/>
          <w:kern w:val="0"/>
          <w:szCs w:val="24"/>
          <w14:ligatures w14:val="none"/>
        </w:rPr>
        <w:t xml:space="preserve">for </w:t>
      </w:r>
      <w:r w:rsidRPr="009D3138">
        <w:rPr>
          <w:rFonts w:eastAsia="Calibri" w:cs="Times New Roman"/>
          <w:kern w:val="0"/>
          <w:szCs w:val="24"/>
          <w14:ligatures w14:val="none"/>
        </w:rPr>
        <w:t xml:space="preserve">labeling training data flux measurements based on prior studies and our own unpublished analysis </w:t>
      </w:r>
      <w:r w:rsidRPr="0085558C">
        <w:rPr>
          <w:rFonts w:eastAsia="Calibri" w:cs="Times New Roman"/>
          <w:kern w:val="0"/>
          <w:szCs w:val="24"/>
          <w14:ligatures w14:val="none"/>
        </w:rPr>
        <w:fldChar w:fldCharType="begin"/>
      </w:r>
      <w:r w:rsidR="00D74AD1">
        <w:rPr>
          <w:rFonts w:eastAsia="Calibri" w:cs="Times New Roman"/>
          <w:kern w:val="0"/>
          <w:szCs w:val="24"/>
          <w14:ligatures w14:val="none"/>
        </w:rPr>
        <w:instrText xml:space="preserve"> ADDIN ZOTERO_ITEM CSL_CITATION {"citationID":"MwOF8ybi","properties":{"formattedCitation":"(Molodovskaya et al., 2012; Stuchiner et al., 2025)","plainCitation":"(Molodovskaya et al., 2012; Stuchiner et al., 2025)","dontUpdate":true,"noteIndex":0},"citationItems":[{"id":692,"uris":["http://zotero.org/groups/4573874/items/97DFR7GJ"],"itemData":{"id":692,"type":"article-journal","abstract":"Nitrous oxide (N2O) emissions were monitored using the micrometeorological eddy covariance technique from manure-fertilized cropland on a large dairy farm in New York State in 2006 to 2009. Nitrous oxide emissions demonstrated episodic behavior with intermittent short-duration peak fluxes up to 39.7 mg N2O-N m−2 d−1, whereas most of background fluxes during the annual agricultural cycle were below 6.5 mg N2O-N m−2 d−1. This paper discusses temporal variability of measured N2O emissions using a “hot moment” approach. To identify and quantify peak events as potential hot moments and to determine whether or not they could be treated statistically as outliers, N2O daily fluxes were analyzed by the box plot method using multiple thresholds. Peak events exceeding outlier thresholds contributed up to 51% of cumulative annual N2O emissions, although they represented &lt;7% of the total observation time. Individual N2O peaks were also categorized by their duration, as single day spikes and multiday events. The highest contributing instances were multiday N2O peaks during summer precipitation and early spring thaw, largely enhanced by manure fertilization. These high-intensity emission events demonstrated repetitive seasonal responses to a combination of environmental factors and were therefore identified as hot moments. Abrupt rises in both temperature and soil moisture appeared to trigger major hot moments, whereas the availability of manure N controlled their magnitude. In the absence of strong correlations between time-series of individual environmental factors and N2O emissions, the hot moment approach can be a promising tool for the integrated analysis of most significant N2O events in cultivated fields receiving manure applications.","container-title":"Soil Science Society of America Journal","DOI":"10.2136/sssaj2012.0039","ISSN":"1435-0661","issue":"5","language":"en","note":"_eprint: https://onlinelibrary.wiley.com/doi/pdf/10.2136/sssaj2012.0039","page":"1728-1740","source":"Wiley Online Library","title":"Temporal Variability of Nitrous Oxide from Fertilized Croplands: Hot Moment Analysis","title-short":"Temporal Variability of Nitrous Oxide from Fertilized Croplands","volume":"76","author":[{"family":"Molodovskaya","given":"Marina"},{"family":"Singurindy","given":"Olga"},{"family":"Richards","given":"Brian K."},{"family":"Warland","given":"Jon"},{"family":"Johnson","given":"Mark S."},{"family":"Steenhuis","given":"Tammo S."}],"issued":{"date-parts":[["2012"]]}}},{"id":3046,"uris":["http://zotero.org/groups/4573874/items/GYIWTSML"],"itemData":{"id":3046,"type":"article-journal","abstract":"Effectively quantifying hot moments of nitrous oxide (N2O) emissions from agricultural soils is critical for managing this potent greenhouse gas. However, we are challenged by a lack of standard approaches for identifying hot moments, including (a) determining thresholds above which emissions are considered hot moments, and (b) considering seasonal variation in the magnitude and frequency distribution of net N2O fluxes. We used one year of hourly N2O flux measurements from 16 autochambers that varied in flux magnitude and frequency distribution in a conventionally tilled maize field in central Illinois, USA, to compare three approaches to identify hot moment thresholds: standard deviations (SD) above the mean, 1.5x the interquartile range (IQR), and isolation forest (IF) identification of anomalous values. We also compared these approaches on seasonally subdivided data (early, late, and non-growing seasons) versus the whole year. Our analyses revealed that 1.5x IQR method best identified N2O hot moments. In contrast, using 2 or 4 SD both yielded hot moment threshold values too high, and IF yielded threshold values too low, leading to missed N2O hot moments or low net N2O fluxes mischaracterized as hot moments, respectively. Furthermore, seasonally subdividing the data set not only facilitated identification of smaller hot moments in the late- and non-growing seasons when N2O hot moments were generally smaller but it also increased hot moment threshold values in the early growing season when N2O hot moments were larger. Consequently, of the methods evaluated here, we recommend using the 1.5x IQR method on whole year data sets to identify N2O hot moments.","container-title":"Journal of Geophysical Research: Biogeosciences","DOI":"10.1029/2024JG008138","ISSN":"2169-8961","issue":"1","language":"en","license":"© 2024. The Author(s).","note":"_eprint: https://onlinelibrary.wiley.com/doi/pdf/10.1029/2024JG008138","page":"e2024JG008138","source":"Wiley Online Library","title":"Hot or Not? An Evaluation of Methods for Identifying Hot Moments of Nitrous Oxide Emissions From Soils","title-short":"Hot or Not?","volume":"130","author":[{"family":"Stuchiner","given":"Emily R."},{"family":"Xu","given":"Jiacheng"},{"family":"Eddy","given":"William C."},{"family":"DeLucia","given":"Evan H."},{"family":"Yang","given":"Wendy H."}],"issued":{"date-parts":[["2025"]]}}}],"schema":"https://github.com/citation-style-language/schema/raw/master/csl-citation.json"} </w:instrText>
      </w:r>
      <w:r w:rsidRPr="0085558C">
        <w:rPr>
          <w:rFonts w:eastAsia="Calibri" w:cs="Times New Roman"/>
          <w:kern w:val="0"/>
          <w:szCs w:val="24"/>
          <w14:ligatures w14:val="none"/>
        </w:rPr>
        <w:fldChar w:fldCharType="separate"/>
      </w:r>
      <w:r w:rsidRPr="0085558C">
        <w:rPr>
          <w:rFonts w:eastAsia="Calibri" w:cs="Times New Roman"/>
          <w:kern w:val="0"/>
          <w:szCs w:val="24"/>
          <w14:ligatures w14:val="none"/>
        </w:rPr>
        <w:t>(Molodovskaya et al., 2012; Stuchiner et al., 2025)</w:t>
      </w:r>
      <w:r w:rsidRPr="0085558C">
        <w:rPr>
          <w:rFonts w:eastAsia="Calibri" w:cs="Times New Roman"/>
          <w:kern w:val="0"/>
          <w:szCs w:val="24"/>
          <w14:ligatures w14:val="none"/>
        </w:rPr>
        <w:fldChar w:fldCharType="end"/>
      </w:r>
      <w:r w:rsidRPr="0085558C">
        <w:rPr>
          <w:rFonts w:eastAsia="Calibri" w:cs="Times New Roman"/>
          <w:kern w:val="0"/>
          <w:szCs w:val="24"/>
          <w14:ligatures w14:val="none"/>
        </w:rPr>
        <w:t xml:space="preserve">. IQR has been recommended </w:t>
      </w:r>
      <w:r>
        <w:rPr>
          <w:rFonts w:eastAsia="Calibri" w:cs="Times New Roman"/>
          <w:kern w:val="0"/>
          <w:szCs w:val="24"/>
          <w14:ligatures w14:val="none"/>
        </w:rPr>
        <w:t>for</w:t>
      </w:r>
      <w:r w:rsidRPr="0085558C">
        <w:rPr>
          <w:rFonts w:eastAsia="Calibri" w:cs="Times New Roman"/>
          <w:kern w:val="0"/>
          <w:szCs w:val="24"/>
          <w14:ligatures w14:val="none"/>
        </w:rPr>
        <w:t xml:space="preserve"> hot moments </w:t>
      </w:r>
      <w:r>
        <w:rPr>
          <w:rFonts w:eastAsia="Calibri" w:cs="Times New Roman"/>
          <w:kern w:val="0"/>
          <w:szCs w:val="24"/>
          <w14:ligatures w14:val="none"/>
        </w:rPr>
        <w:t>identification</w:t>
      </w:r>
      <w:r w:rsidRPr="0085558C">
        <w:rPr>
          <w:rFonts w:eastAsia="Calibri" w:cs="Times New Roman"/>
          <w:kern w:val="0"/>
          <w:szCs w:val="24"/>
          <w14:ligatures w14:val="none"/>
        </w:rPr>
        <w:t xml:space="preserve"> </w:t>
      </w:r>
      <w:r>
        <w:rPr>
          <w:rFonts w:eastAsia="Calibri" w:cs="Times New Roman"/>
          <w:kern w:val="0"/>
          <w:szCs w:val="24"/>
          <w14:ligatures w14:val="none"/>
        </w:rPr>
        <w:t>for its</w:t>
      </w:r>
      <w:r w:rsidRPr="0085558C">
        <w:rPr>
          <w:rFonts w:eastAsia="Calibri" w:cs="Times New Roman"/>
          <w:kern w:val="0"/>
          <w:szCs w:val="24"/>
          <w14:ligatures w14:val="none"/>
        </w:rPr>
        <w:t xml:space="preserve"> performance over other simpl</w:t>
      </w:r>
      <w:r w:rsidRPr="009D3138">
        <w:rPr>
          <w:rFonts w:eastAsia="Calibri" w:cs="Times New Roman"/>
          <w:kern w:val="0"/>
          <w:szCs w:val="24"/>
          <w14:ligatures w14:val="none"/>
        </w:rPr>
        <w:t>e</w:t>
      </w:r>
      <w:r w:rsidRPr="0085558C">
        <w:rPr>
          <w:rFonts w:eastAsia="Calibri" w:cs="Times New Roman"/>
          <w:kern w:val="0"/>
          <w:szCs w:val="24"/>
          <w14:ligatures w14:val="none"/>
        </w:rPr>
        <w:t xml:space="preserve"> </w:t>
      </w:r>
      <w:r w:rsidRPr="009D3138">
        <w:rPr>
          <w:rFonts w:eastAsia="Calibri" w:cs="Times New Roman"/>
          <w:kern w:val="0"/>
          <w:szCs w:val="24"/>
          <w14:ligatures w14:val="none"/>
        </w:rPr>
        <w:t>methods like</w:t>
      </w:r>
      <w:r w:rsidRPr="0085558C">
        <w:rPr>
          <w:rFonts w:eastAsia="Calibri" w:cs="Times New Roman"/>
          <w:kern w:val="0"/>
          <w:szCs w:val="24"/>
          <w14:ligatures w14:val="none"/>
        </w:rPr>
        <w:t xml:space="preserve"> percentile thresholds </w:t>
      </w:r>
      <w:r w:rsidRPr="0085558C">
        <w:rPr>
          <w:rFonts w:eastAsia="Calibri" w:cs="Times New Roman"/>
          <w:kern w:val="0"/>
          <w:szCs w:val="24"/>
          <w14:ligatures w14:val="none"/>
        </w:rPr>
        <w:fldChar w:fldCharType="begin"/>
      </w:r>
      <w:r w:rsidR="00D74AD1">
        <w:rPr>
          <w:rFonts w:eastAsia="Calibri" w:cs="Times New Roman"/>
          <w:kern w:val="0"/>
          <w:szCs w:val="24"/>
          <w14:ligatures w14:val="none"/>
        </w:rPr>
        <w:instrText xml:space="preserve"> ADDIN ZOTERO_ITEM CSL_CITATION {"citationID":"C2xlSN3c","properties":{"formattedCitation":"(Molodovskaya et al., 2012; Stuchiner et al., 2025)","plainCitation":"(Molodovskaya et al., 2012; Stuchiner et al., 2025)","noteIndex":0},"citationItems":[{"id":692,"uris":["http://zotero.org/groups/4573874/items/97DFR7GJ"],"itemData":{"id":692,"type":"article-journal","abstract":"Nitrous oxide (N2O) emissions were monitored using the micrometeorological eddy covariance technique from manure-fertilized cropland on a large dairy farm in New York State in 2006 to 2009. Nitrous oxide emissions demonstrated episodic behavior with intermittent short-duration peak fluxes up to 39.7 mg N2O-N m−2 d−1, whereas most of background fluxes during the annual agricultural cycle were below 6.5 mg N2O-N m−2 d−1. This paper discusses temporal variability of measured N2O emissions using a “hot moment” approach. To identify and quantify peak events as potential hot moments and to determine whether or not they could be treated statistically as outliers, N2O daily fluxes were analyzed by the box plot method using multiple thresholds. Peak events exceeding outlier thresholds contributed up to 51% of cumulative annual N2O emissions, although they represented &lt;7% of the total observation time. Individual N2O peaks were also categorized by their duration, as single day spikes and multiday events. The highest contributing instances were multiday N2O peaks during summer precipitation and early spring thaw, largely enhanced by manure fertilization. These high-intensity emission events demonstrated repetitive seasonal responses to a combination of environmental factors and were therefore identified as hot moments. Abrupt rises in both temperature and soil moisture appeared to trigger major hot moments, whereas the availability of manure N controlled their magnitude. In the absence of strong correlations between time-series of individual environmental factors and N2O emissions, the hot moment approach can be a promising tool for the integrated analysis of most significant N2O events in cultivated fields receiving manure applications.","container-title":"Soil Science Society of America Journal","DOI":"10.2136/sssaj2012.0039","ISSN":"1435-0661","issue":"5","language":"en","note":"_eprint: https://onlinelibrary.wiley.com/doi/pdf/10.2136/sssaj2012.0039","page":"1728-1740","source":"Wiley Online Library","title":"Temporal Variability of Nitrous Oxide from Fertilized Croplands: Hot Moment Analysis","title-short":"Temporal Variability of Nitrous Oxide from Fertilized Croplands","volume":"76","author":[{"family":"Molodovskaya","given":"Marina"},{"family":"Singurindy","given":"Olga"},{"family":"Richards","given":"Brian K."},{"family":"Warland","given":"Jon"},{"family":"Johnson","given":"Mark S."},{"family":"Steenhuis","given":"Tammo S."}],"issued":{"date-parts":[["2012"]]}}},{"id":3046,"uris":["http://zotero.org/groups/4573874/items/GYIWTSML"],"itemData":{"id":3046,"type":"article-journal","abstract":"Effectively quantifying hot moments of nitrous oxide (N2O) emissions from agricultural soils is critical for managing this potent greenhouse gas. However, we are challenged by a lack of standard approaches for identifying hot moments, including (a) determining thresholds above which emissions are considered hot moments, and (b) considering seasonal variation in the magnitude and frequency distribution of net N2O fluxes. We used one year of hourly N2O flux measurements from 16 autochambers that varied in flux magnitude and frequency distribution in a conventionally tilled maize field in central Illinois, USA, to compare three approaches to identify hot moment thresholds: standard deviations (SD) above the mean, 1.5x the interquartile range (IQR), and isolation forest (IF) identification of anomalous values. We also compared these approaches on seasonally subdivided data (early, late, and non-growing seasons) versus the whole year. Our analyses revealed that 1.5x IQR method best identified N2O hot moments. In contrast, using 2 or 4 SD both yielded hot moment threshold values too high, and IF yielded threshold values too low, leading to missed N2O hot moments or low net N2O fluxes mischaracterized as hot moments, respectively. Furthermore, seasonally subdividing the data set not only facilitated identification of smaller hot moments in the late- and non-growing seasons when N2O hot moments were generally smaller but it also increased hot moment threshold values in the early growing season when N2O hot moments were larger. Consequently, of the methods evaluated here, we recommend using the 1.5x IQR method on whole year data sets to identify N2O hot moments.","container-title":"Journal of Geophysical Research: Biogeosciences","DOI":"10.1029/2024JG008138","ISSN":"2169-8961","issue":"1","language":"en","license":"© 2024. The Author(s).","note":"_eprint: https://onlinelibrary.wiley.com/doi/pdf/10.1029/2024JG008138","page":"e2024JG008138","source":"Wiley Online Library","title":"Hot or Not? An Evaluation of Methods for Identifying Hot Moments of Nitrous Oxide Emissions From Soils","title-short":"Hot or Not?","volume":"130","author":[{"family":"Stuchiner","given":"Emily R."},{"family":"Xu","given":"Jiacheng"},{"family":"Eddy","given":"William C."},{"family":"DeLucia","given":"Evan H."},{"family":"Yang","given":"Wendy H."}],"issued":{"date-parts":[["2025"]]}}}],"schema":"https://github.com/citation-style-language/schema/raw/master/csl-citation.json"} </w:instrText>
      </w:r>
      <w:r w:rsidRPr="0085558C">
        <w:rPr>
          <w:rFonts w:eastAsia="Calibri" w:cs="Times New Roman"/>
          <w:kern w:val="0"/>
          <w:szCs w:val="24"/>
          <w14:ligatures w14:val="none"/>
        </w:rPr>
        <w:fldChar w:fldCharType="separate"/>
      </w:r>
      <w:r w:rsidRPr="0085558C">
        <w:rPr>
          <w:rFonts w:eastAsia="Calibri" w:cs="Times New Roman"/>
          <w:kern w:val="0"/>
          <w:szCs w:val="24"/>
          <w14:ligatures w14:val="none"/>
        </w:rPr>
        <w:t>(Molodovskaya et al., 2012; Stuchiner et al., 2025)</w:t>
      </w:r>
      <w:r w:rsidRPr="0085558C">
        <w:rPr>
          <w:rFonts w:eastAsia="Calibri" w:cs="Times New Roman"/>
          <w:kern w:val="0"/>
          <w:szCs w:val="24"/>
          <w14:ligatures w14:val="none"/>
        </w:rPr>
        <w:fldChar w:fldCharType="end"/>
      </w:r>
      <w:r>
        <w:rPr>
          <w:rFonts w:eastAsia="Calibri" w:cs="Times New Roman"/>
          <w:kern w:val="0"/>
          <w:szCs w:val="24"/>
          <w14:ligatures w14:val="none"/>
        </w:rPr>
        <w:t xml:space="preserve"> </w:t>
      </w:r>
      <w:r w:rsidRPr="0085558C">
        <w:rPr>
          <w:rFonts w:eastAsia="Calibri" w:cs="Times New Roman"/>
          <w:kern w:val="0"/>
          <w:szCs w:val="24"/>
          <w14:ligatures w14:val="none"/>
        </w:rPr>
        <w:t>MAD simply identifies anomalies by their distance from the median. MC</w:t>
      </w:r>
      <w:r>
        <w:rPr>
          <w:rFonts w:eastAsia="Calibri" w:cs="Times New Roman"/>
          <w:kern w:val="0"/>
          <w:szCs w:val="24"/>
          <w14:ligatures w14:val="none"/>
        </w:rPr>
        <w:t>D</w:t>
      </w:r>
      <w:r w:rsidRPr="0085558C">
        <w:rPr>
          <w:rFonts w:eastAsia="Calibri" w:cs="Times New Roman"/>
          <w:kern w:val="0"/>
          <w:szCs w:val="24"/>
          <w14:ligatures w14:val="none"/>
        </w:rPr>
        <w:t xml:space="preserve"> subsamples data minimizing covariance, and identifies anomalies based on their difference from the minimum covariance subset. A comprehensive comparative analysis of these and other methods has been conducted in </w:t>
      </w:r>
      <w:r w:rsidR="00C02BA2">
        <w:rPr>
          <w:rFonts w:eastAsia="Calibri" w:cs="Times New Roman"/>
          <w:kern w:val="0"/>
          <w:szCs w:val="24"/>
          <w14:ligatures w14:val="none"/>
        </w:rPr>
        <w:t>the</w:t>
      </w:r>
      <w:r w:rsidRPr="0085558C">
        <w:rPr>
          <w:rFonts w:eastAsia="Calibri" w:cs="Times New Roman"/>
          <w:kern w:val="0"/>
          <w:szCs w:val="24"/>
          <w14:ligatures w14:val="none"/>
        </w:rPr>
        <w:t xml:space="preserve"> previous </w:t>
      </w:r>
      <w:r w:rsidR="00C02BA2">
        <w:rPr>
          <w:rFonts w:eastAsia="Calibri" w:cs="Times New Roman"/>
          <w:kern w:val="0"/>
          <w:szCs w:val="24"/>
          <w14:ligatures w14:val="none"/>
        </w:rPr>
        <w:t>chapter</w:t>
      </w:r>
      <w:r w:rsidRPr="0085558C">
        <w:rPr>
          <w:rFonts w:eastAsia="Calibri" w:cs="Times New Roman"/>
          <w:kern w:val="0"/>
          <w:szCs w:val="24"/>
          <w14:ligatures w14:val="none"/>
        </w:rPr>
        <w:t xml:space="preserve">. </w:t>
      </w:r>
    </w:p>
    <w:p w14:paraId="76DD282A" w14:textId="5D7DE1A1" w:rsidR="00871A3A" w:rsidRPr="0085558C" w:rsidRDefault="00871A3A" w:rsidP="001B567A">
      <w:pPr>
        <w:pStyle w:val="Heading3"/>
      </w:pPr>
      <w:bookmarkStart w:id="72" w:name="_Toc204282765"/>
      <w:r w:rsidRPr="0085558C">
        <w:t xml:space="preserve">Model </w:t>
      </w:r>
      <w:r w:rsidR="00FB5951">
        <w:t>t</w:t>
      </w:r>
      <w:r w:rsidRPr="0085558C">
        <w:t>uning</w:t>
      </w:r>
      <w:bookmarkEnd w:id="72"/>
    </w:p>
    <w:p w14:paraId="1D5AC467" w14:textId="18C71771" w:rsidR="00871A3A" w:rsidRPr="0085558C" w:rsidRDefault="00871A3A" w:rsidP="001B567A">
      <w:pPr>
        <w:spacing w:after="0" w:line="480" w:lineRule="auto"/>
        <w:rPr>
          <w:rFonts w:eastAsia="Calibri" w:cs="Times New Roman"/>
          <w:kern w:val="0"/>
          <w:szCs w:val="24"/>
          <w14:ligatures w14:val="none"/>
        </w:rPr>
      </w:pPr>
      <w:r w:rsidRPr="0085558C">
        <w:rPr>
          <w:rFonts w:eastAsia="Calibri" w:cs="Times New Roman"/>
          <w:kern w:val="0"/>
          <w:szCs w:val="24"/>
          <w14:ligatures w14:val="none"/>
        </w:rPr>
        <w:t xml:space="preserve">Five classification </w:t>
      </w:r>
      <w:r w:rsidRPr="009D3138">
        <w:rPr>
          <w:rFonts w:eastAsia="Calibri" w:cs="Times New Roman"/>
          <w:kern w:val="0"/>
          <w:szCs w:val="24"/>
          <w14:ligatures w14:val="none"/>
        </w:rPr>
        <w:t>ML</w:t>
      </w:r>
      <w:r w:rsidRPr="0085558C">
        <w:rPr>
          <w:rFonts w:eastAsia="Calibri" w:cs="Times New Roman"/>
          <w:kern w:val="0"/>
          <w:szCs w:val="24"/>
          <w14:ligatures w14:val="none"/>
        </w:rPr>
        <w:t xml:space="preserve"> architectures were selected based on their</w:t>
      </w:r>
      <w:r>
        <w:rPr>
          <w:rFonts w:eastAsia="Calibri" w:cs="Times New Roman"/>
          <w:kern w:val="0"/>
          <w:szCs w:val="24"/>
          <w14:ligatures w14:val="none"/>
        </w:rPr>
        <w:t xml:space="preserve"> suitability</w:t>
      </w:r>
      <w:r w:rsidRPr="0085558C">
        <w:rPr>
          <w:rFonts w:eastAsia="Calibri" w:cs="Times New Roman"/>
          <w:kern w:val="0"/>
          <w:szCs w:val="24"/>
          <w14:ligatures w14:val="none"/>
        </w:rPr>
        <w:t>: Random Forest (RF), XGBoost, multilayer perceptron (MLP), k-Nearest Neighbors (KNN), and Support Vector Classification (SVC). RF and XGB</w:t>
      </w:r>
      <w:r>
        <w:rPr>
          <w:rFonts w:eastAsia="Calibri" w:cs="Times New Roman"/>
          <w:kern w:val="0"/>
          <w:szCs w:val="24"/>
          <w14:ligatures w14:val="none"/>
        </w:rPr>
        <w:t>oost</w:t>
      </w:r>
      <w:r w:rsidRPr="0085558C">
        <w:rPr>
          <w:rFonts w:eastAsia="Calibri" w:cs="Times New Roman"/>
          <w:kern w:val="0"/>
          <w:szCs w:val="24"/>
          <w14:ligatures w14:val="none"/>
        </w:rPr>
        <w:t xml:space="preserve"> models are tree-based and have both demonstrated strong predictive power for soil N</w:t>
      </w:r>
      <w:r w:rsidRPr="0085558C">
        <w:rPr>
          <w:rFonts w:eastAsia="Calibri" w:cs="Times New Roman"/>
          <w:kern w:val="0"/>
          <w:szCs w:val="24"/>
          <w:vertAlign w:val="subscript"/>
          <w14:ligatures w14:val="none"/>
        </w:rPr>
        <w:t>2</w:t>
      </w:r>
      <w:r w:rsidRPr="0085558C">
        <w:rPr>
          <w:rFonts w:eastAsia="Calibri" w:cs="Times New Roman"/>
          <w:kern w:val="0"/>
          <w:szCs w:val="24"/>
          <w14:ligatures w14:val="none"/>
        </w:rPr>
        <w:t xml:space="preserve">O emissions relative to other ML algorithms in </w:t>
      </w:r>
      <w:r>
        <w:rPr>
          <w:rFonts w:eastAsia="Calibri" w:cs="Times New Roman"/>
          <w:kern w:val="0"/>
          <w:szCs w:val="24"/>
          <w14:ligatures w14:val="none"/>
        </w:rPr>
        <w:t>individual experiments</w:t>
      </w:r>
      <w:r w:rsidRPr="0085558C">
        <w:rPr>
          <w:rFonts w:eastAsia="Calibri" w:cs="Times New Roman"/>
          <w:kern w:val="0"/>
          <w:szCs w:val="24"/>
          <w14:ligatures w14:val="none"/>
        </w:rPr>
        <w:t xml:space="preserve"> </w:t>
      </w:r>
      <w:r w:rsidRPr="0085558C">
        <w:rPr>
          <w:rFonts w:eastAsia="Calibri" w:cs="Times New Roman"/>
          <w:kern w:val="0"/>
          <w:szCs w:val="24"/>
          <w14:ligatures w14:val="none"/>
        </w:rPr>
        <w:fldChar w:fldCharType="begin"/>
      </w:r>
      <w:r w:rsidR="00D74AD1">
        <w:rPr>
          <w:rFonts w:eastAsia="Calibri" w:cs="Times New Roman"/>
          <w:kern w:val="0"/>
          <w:szCs w:val="24"/>
          <w14:ligatures w14:val="none"/>
        </w:rPr>
        <w:instrText xml:space="preserve"> ADDIN ZOTERO_ITEM CSL_CITATION {"citationID":"Vr8JOkzD","properties":{"formattedCitation":"(Dhaliwal et al., 2025; S. Wang et al., 2024)","plainCitation":"(Dhaliwal et al., 2025; S. Wang et al., 2024)","dontUpdate":true,"noteIndex":0},"citationItems":[{"id":3126,"uris":["http://zotero.org/groups/4573874/items/KXHMG4CM"],"itemData":{"id":3126,"type":"article-journal","abstract":"Soil nitrous oxide (N2O) emissions exhibit high variability in intensively managed cropping systems, which challenges our ability to understand their complex interactions with controlling factors. We leveraged 17 years (2003–2019) of measurements at the Kellogg Biological Station Long-Term Ecological Research (LTER)/Long-Term Agroecosystem Research (LTAR) site to better understand the controls of N2O emissions in four corn–soybean–winter wheat rotations employing conventional, no-till, reduced input, and biologically based/organic inputs. We used a random forest machine learning model to predict daily N2O fluxes, trained separately for each system with 70% of observations, using variables such as crop species, daily air temperature, cumulative 2-day precipitation, water-filled pore space, and soil nitrate and ammonium concentrations. The model explained 29%–42% of daily N2O flux variability in the test data, with greater predictability for the corn phase in each system. The long-term rotations showed different controlling factors and threshold conditions influencing N2O emissions. In the conventional system, the model identified ammonium (&gt;15 kg N ha−1) and daily air temperature (&gt;23°C) as the most influential variables; in the no-till system, climate variables such as precipitation and air temperature were important variables. In low-input and organic systems, where red clover (Trifolium repens L.; before corn) and cereal rye (Secale cereale L.; before soybean) cover crops were integrated, nitrate was the predominant predictor of N2O emissions, followed by precipitation and air temperature. In low-input and biologically based systems, red clover residues increased soil nitrogen availability to influence N2O emissions. Long-term data facilitated machine learning for predicting N2O emissions in response to differential controls and threshold responses to management, environmental, and biogeochemical drivers.","container-title":"Journal of Environmental Quality","DOI":"10.1002/jeq2.20637","ISSN":"1537-2537","issue":"1","language":"en","license":"© 2024 The Author(s). Journal of Environmental Quality published by Wiley Periodicals LLC on behalf of American Society of Agronomy, Crop Science Society of America, and Soil Science Society of America.","note":"_eprint: https://onlinelibrary.wiley.com/doi/pdf/10.1002/jeq2.20637","page":"132-146","source":"Wiley Online Library","title":"Machine learning reveals dynamic controls of soil nitrous oxide emissions from diverse long-term cropping systems","volume":"54","author":[{"family":"Dhaliwal","given":"Jashanjeet Kaur"},{"family":"Panday","given":"Dinesh"},{"family":"Robertson","given":"G. Philip"},{"family":"Saha","given":"Debasish"}],"issued":{"date-parts":[["2025"]]}}},{"id":3136,"uris":["http://zotero.org/groups/4573874/items/7VD7GT3G"],"itemData":{"id":3136,"type":"article-journal","abstract":"Biochar effects on agricultural soils change over time as biochar ages. To better understand the long-term impacts of biochar application on climate change mitigation, the effect of biochar aging on nitrous oxide (N2O) emissions has been widely investigated in field experiments. However, the underlying relationship of N2O emissions with biochar properties, fertilization practices, soil properties, and weather conditions is poorly understood. We collected data from 30 peer-reviewed publications with 279 observations and used machine learning (ML) to model and explore critical factors affecting daily N2O fluxes. We established and compared models constructed using neural networks (NN), support vector regression (SVR), random forest (RF), and extreme gradient boosting (XGB). We found that the gradient boosting regression (GBR) model was the optimal algorithm for predicting daily N2O fluxes (R2 &gt; 0.90). The importance of factors driving daily N2O fluxes is as follows: fertilization practices (44%) &gt; weather conditions (30%) &gt; soil properties (21%) &gt; biochar properties (5%). In addition, the aging time of biochar, potassium application rate, soil clay fraction, and mean air temperature were critical factors affecting the daily N2O fluxes. When biochar is initially applied, it can reduce N2O emissions; however, it has no long-term effects in reducing N2O emissions. The accurate prediction and insights from the ML model benefit the assessment of the long-term effects of biochar aging on N2O emissions from agricultural soils.","container-title":"ACS Agricultural Science &amp; Technology","DOI":"10.1021/acsagscitech.4c00114","issue":"9","journalAbbreviation":"ACS Agric. Sci. Technol.","note":"publisher: American Chemical Society","page":"888-898","source":"ACS Publications","title":"Machine Learning Predicts Biochar Aging Effects on Nitrous Oxide Emissions from Agricultural Soils","volume":"4","author":[{"family":"Wang","given":"Shujun"},{"family":"Li","given":"Jie"},{"family":"Yuan","given":"Xiangzhou"},{"family":"Senadheera","given":"Sachini Supunsala"},{"family":"Chang","given":"Scott X."},{"family":"Wang","given":"Xiaonan"},{"family":"Ok","given":"Yong Sik"}],"issued":{"date-parts":[["2024",9,16]]}}}],"schema":"https://github.com/citation-style-language/schema/raw/master/csl-citation.json"} </w:instrText>
      </w:r>
      <w:r w:rsidRPr="0085558C">
        <w:rPr>
          <w:rFonts w:eastAsia="Calibri" w:cs="Times New Roman"/>
          <w:kern w:val="0"/>
          <w:szCs w:val="24"/>
          <w14:ligatures w14:val="none"/>
        </w:rPr>
        <w:fldChar w:fldCharType="separate"/>
      </w:r>
      <w:r w:rsidRPr="0074475B">
        <w:rPr>
          <w:rFonts w:cs="Times New Roman"/>
        </w:rPr>
        <w:t>(Dhaliwal et al., 2025; Wang et al., 2024)</w:t>
      </w:r>
      <w:r w:rsidRPr="0085558C">
        <w:rPr>
          <w:rFonts w:eastAsia="Calibri" w:cs="Times New Roman"/>
          <w:kern w:val="0"/>
          <w:szCs w:val="24"/>
          <w14:ligatures w14:val="none"/>
        </w:rPr>
        <w:fldChar w:fldCharType="end"/>
      </w:r>
      <w:r w:rsidRPr="0085558C">
        <w:rPr>
          <w:rFonts w:eastAsia="Calibri" w:cs="Times New Roman"/>
          <w:kern w:val="0"/>
          <w:szCs w:val="24"/>
          <w14:ligatures w14:val="none"/>
        </w:rPr>
        <w:t xml:space="preserve">. MLP, a neural network, is noteworthy for its strengths in time series classification </w:t>
      </w:r>
      <w:r>
        <w:rPr>
          <w:rFonts w:eastAsia="Calibri" w:cs="Times New Roman"/>
          <w:kern w:val="0"/>
          <w:szCs w:val="24"/>
          <w14:ligatures w14:val="none"/>
        </w:rPr>
        <w:t>and</w:t>
      </w:r>
      <w:r w:rsidRPr="0085558C">
        <w:rPr>
          <w:rFonts w:eastAsia="Calibri" w:cs="Times New Roman"/>
          <w:kern w:val="0"/>
          <w:szCs w:val="24"/>
          <w14:ligatures w14:val="none"/>
        </w:rPr>
        <w:t xml:space="preserve"> relative simplicity </w:t>
      </w:r>
      <w:r w:rsidRPr="0085558C">
        <w:rPr>
          <w:rFonts w:eastAsia="Calibri" w:cs="Times New Roman"/>
          <w:kern w:val="0"/>
          <w:szCs w:val="24"/>
          <w14:ligatures w14:val="none"/>
        </w:rPr>
        <w:fldChar w:fldCharType="begin"/>
      </w:r>
      <w:r w:rsidR="00D74AD1">
        <w:rPr>
          <w:rFonts w:eastAsia="Calibri" w:cs="Times New Roman"/>
          <w:kern w:val="0"/>
          <w:szCs w:val="24"/>
          <w14:ligatures w14:val="none"/>
        </w:rPr>
        <w:instrText xml:space="preserve"> ADDIN ZOTERO_ITEM CSL_CITATION {"citationID":"QjPPJnIm","properties":{"formattedCitation":"(Bachmann et al., 2023; Popov et al., 2024)","plainCitation":"(Bachmann et al., 2023; Popov et al., 2024)","noteIndex":0},"citationItems":[{"id":3304,"uris":["http://zotero.org/groups/5704038/items/5C3IX6ZH"],"itemData":{"id":3304,"type":"article-journal","container-title":"Advances in Neural Information Processing Systems","language":"en","page":"60821-60840","source":"proceedings.neurips.cc","title":"Scaling MLPs: A Tale of Inductive Bias","title-short":"Scaling MLPs","volume":"36","author":[{"family":"Bachmann","given":"Gregor"},{"family":"Anagnostidis","given":"Sotiris"},{"family":"Hofmann","given":"Thomas"}],"issued":{"date-parts":[["2023",12,15]]}}},{"id":3301,"uris":["http://zotero.org/groups/5704038/items/DPTADVZS"],"itemData":{"id":3301,"type":"article-journal","abstract":"Current neuroimaging studies frequently use complex machine learning models to classify human fMRI data, distinguishing healthy and disordered brains, often to validate new methods or enhance prediction accuracy. Yet, where prediction accuracy is a concern, our results suggest that precision in prediction does not always require such sophistication. When a classifier as simple as logistic regression is applied to feature-engineered fMRI data, it can match or even outperform more sophisticated recent models. Classification of the raw time series fMRI data generally benefits from complex parameter-rich models. However, this complexity often pushes them into the class of black-box models. Yet, we found that a relatively simple model can consistently outperform much more complex classifiers in both accuracy and speed. This model applies the same multi-layer perceptron repeatedly across time and averages the results. Thus, the complexity and black-box nature of the parameter rich models, often perceived as a necessary trade-off for higher performance, do not invariably yield superior results on fMRI., Given the success of straightforward approaches, we challenge the merit of research that concentrates solely on complex model development driven by classification. Instead, we advocate for increased focus on designing models that prioritize the explainability of fMRI data or pursue applicable objectives beyond mere classification accuracy, unless they significantly outperform logistic regression or our proposed model. To validate our claim, we explore possible reasons for the superior performance of our straightforward model by examining the innate characteristics of fMRI time series data. Our findings suggest that the sequential information hidden in the temporal order may be far less important for the accurate fMRI classification than the stand-alone pieces of information scattered across the frames of the time series.","container-title":"NeuroImage","DOI":"10.1016/j.neuroimage.2024.120909","ISSN":"1053-8119","journalAbbreviation":"Neuroimage","note":"PMID: 39515403\nPMCID: PMC11625415","page":"120909","source":"PubMed Central","title":"A simple but tough-to-beat baseline for fMRI time-series classification","volume":"303","author":[{"family":"Popov","given":"Pavel"},{"family":"Mahmood","given":"Usman"},{"family":"Fu","given":"Zening"},{"family":"Yang","given":"Carl"},{"family":"Calhoun","given":"Vince"},{"family":"Plis","given":"Sergey"}],"issued":{"date-parts":[["2024",12,1]]}}}],"schema":"https://github.com/citation-style-language/schema/raw/master/csl-citation.json"} </w:instrText>
      </w:r>
      <w:r w:rsidRPr="0085558C">
        <w:rPr>
          <w:rFonts w:eastAsia="Calibri" w:cs="Times New Roman"/>
          <w:kern w:val="0"/>
          <w:szCs w:val="24"/>
          <w14:ligatures w14:val="none"/>
        </w:rPr>
        <w:fldChar w:fldCharType="separate"/>
      </w:r>
      <w:r w:rsidRPr="0085558C">
        <w:rPr>
          <w:rFonts w:eastAsia="Calibri" w:cs="Times New Roman"/>
          <w:kern w:val="0"/>
          <w:szCs w:val="24"/>
          <w14:ligatures w14:val="none"/>
        </w:rPr>
        <w:t>(Bachmann et al., 2023; Popov et al., 2024)</w:t>
      </w:r>
      <w:r w:rsidRPr="0085558C">
        <w:rPr>
          <w:rFonts w:eastAsia="Calibri" w:cs="Times New Roman"/>
          <w:kern w:val="0"/>
          <w:szCs w:val="24"/>
          <w14:ligatures w14:val="none"/>
        </w:rPr>
        <w:fldChar w:fldCharType="end"/>
      </w:r>
      <w:r w:rsidRPr="0085558C">
        <w:rPr>
          <w:rFonts w:eastAsia="Calibri" w:cs="Times New Roman"/>
          <w:kern w:val="0"/>
          <w:szCs w:val="24"/>
          <w14:ligatures w14:val="none"/>
        </w:rPr>
        <w:t xml:space="preserve">. KNN is purposed to measure multidimensional density and thus classifies data within their local context </w:t>
      </w:r>
      <w:r w:rsidRPr="0085558C">
        <w:rPr>
          <w:rFonts w:eastAsia="Calibri" w:cs="Times New Roman"/>
          <w:kern w:val="0"/>
          <w:szCs w:val="24"/>
          <w14:ligatures w14:val="none"/>
        </w:rPr>
        <w:fldChar w:fldCharType="begin"/>
      </w:r>
      <w:r w:rsidR="00D74AD1">
        <w:rPr>
          <w:rFonts w:eastAsia="Calibri" w:cs="Times New Roman"/>
          <w:kern w:val="0"/>
          <w:szCs w:val="24"/>
          <w14:ligatures w14:val="none"/>
        </w:rPr>
        <w:instrText xml:space="preserve"> ADDIN ZOTERO_ITEM CSL_CITATION {"citationID":"r78CZTZV","properties":{"formattedCitation":"(Cover &amp; Hart, 1967)","plainCitation":"(Cover &amp; Hart, 1967)","noteIndex":0},"citationItems":[{"id":3306,"uris":["http://zotero.org/groups/5704038/items/G9H7QD9N"],"itemData":{"id":3306,"type":"article-journal","abstract":"The nearest neighbor decision rule assigns to an unclassified sample point the classification of the nearest of a set of previously classified points. This rule is independent of the underlying joint distribution on the sample points and their classifications, and hence the probability of errorRof such a rule must be at least as great as the Bayes probability of errorR^\\ast–the minimum probability of error over all decision rules taking underlying probability structure into account. However, in a large sample analysis, we will show in theM-category case thatR^\\ast łeq R łeq R^\\ast(2 –MR^\\ast/(M-1)), where these bounds are the tightest possible, for all suitably smooth underlying distributions. Thus for any number of categories, the probability of error of the nearest neighbor rule is bounded above by twice the Bayes probability of error. In this sense, it may be said that half the classification information in an infinite sample set is contained in the nearest neighbor.","container-title":"IEEE Transactions on Information Theory","DOI":"10.1109/TIT.1967.1053964","ISSN":"1557-9654","issue":"1","page":"21-27","source":"IEEE Xplore","title":"Nearest neighbor pattern classification","volume":"13","author":[{"family":"Cover","given":"T."},{"family":"Hart","given":"P."}],"issued":{"date-parts":[["1967",1]]}}}],"schema":"https://github.com/citation-style-language/schema/raw/master/csl-citation.json"} </w:instrText>
      </w:r>
      <w:r w:rsidRPr="0085558C">
        <w:rPr>
          <w:rFonts w:eastAsia="Calibri" w:cs="Times New Roman"/>
          <w:kern w:val="0"/>
          <w:szCs w:val="24"/>
          <w14:ligatures w14:val="none"/>
        </w:rPr>
        <w:fldChar w:fldCharType="separate"/>
      </w:r>
      <w:r w:rsidRPr="0085558C">
        <w:rPr>
          <w:rFonts w:eastAsia="Calibri" w:cs="Times New Roman"/>
          <w:kern w:val="0"/>
          <w:szCs w:val="24"/>
          <w14:ligatures w14:val="none"/>
        </w:rPr>
        <w:t>(Cover &amp; Hart, 1967)</w:t>
      </w:r>
      <w:r w:rsidRPr="0085558C">
        <w:rPr>
          <w:rFonts w:eastAsia="Calibri" w:cs="Times New Roman"/>
          <w:kern w:val="0"/>
          <w:szCs w:val="24"/>
          <w14:ligatures w14:val="none"/>
        </w:rPr>
        <w:fldChar w:fldCharType="end"/>
      </w:r>
      <w:r w:rsidRPr="0085558C">
        <w:rPr>
          <w:rFonts w:eastAsia="Calibri" w:cs="Times New Roman"/>
          <w:kern w:val="0"/>
          <w:szCs w:val="24"/>
          <w14:ligatures w14:val="none"/>
        </w:rPr>
        <w:t xml:space="preserve">. </w:t>
      </w:r>
      <w:r>
        <w:rPr>
          <w:rFonts w:eastAsia="Calibri" w:cs="Times New Roman"/>
          <w:kern w:val="0"/>
          <w:szCs w:val="24"/>
          <w14:ligatures w14:val="none"/>
        </w:rPr>
        <w:t xml:space="preserve">Finally, </w:t>
      </w:r>
      <w:r w:rsidRPr="0085558C">
        <w:rPr>
          <w:rFonts w:eastAsia="Calibri" w:cs="Times New Roman"/>
          <w:kern w:val="0"/>
          <w:szCs w:val="24"/>
          <w14:ligatures w14:val="none"/>
        </w:rPr>
        <w:t xml:space="preserve">SVC is well adapted to high dimensional data </w:t>
      </w:r>
      <w:r w:rsidRPr="0085558C">
        <w:rPr>
          <w:rFonts w:eastAsia="Calibri" w:cs="Times New Roman"/>
          <w:kern w:val="0"/>
          <w:szCs w:val="24"/>
          <w14:ligatures w14:val="none"/>
        </w:rPr>
        <w:fldChar w:fldCharType="begin"/>
      </w:r>
      <w:r w:rsidR="00D74AD1">
        <w:rPr>
          <w:rFonts w:eastAsia="Calibri" w:cs="Times New Roman"/>
          <w:kern w:val="0"/>
          <w:szCs w:val="24"/>
          <w14:ligatures w14:val="none"/>
        </w:rPr>
        <w:instrText xml:space="preserve"> ADDIN ZOTERO_ITEM CSL_CITATION {"citationID":"kpdms8GN","properties":{"formattedCitation":"(J. A. Gualtieri &amp; S. Chettri, 2000)","plainCitation":"(J. A. Gualtieri &amp; S. Chettri, 2000)","noteIndex":0},"citationItems":[{"id":3308,"uris":["http://zotero.org/groups/5704038/items/W58LRFNY"],"itemData":{"id":3308,"type":"paper-conference","container-title":"IGARSS 2000. IEEE 2000 International Geoscience and Remote Sensing Symposium. Taking the Pulse of the Planet: The Role of Remote Sensing in Managing the Environment. Proceedings (Cat. No.00CH37120)","DOI":"10.1109/IGARSS.2000.861712","event-title":"IGARSS 2000. IEEE 2000 International Geoscience and Remote Sensing Symposium. Taking the Pulse of the Planet: The Role of Remote Sensing in Managing the Environment. Proceedings (Cat. No.00CH37120)","note":"journalAbbreviation: IGARSS 2000. IEEE 2000 International Geoscience and Remote Sensing Symposium. Taking the Pulse of the Planet: The Role of Remote Sensing in Managing the Environment. Proceedings (Cat. No.00CH37120)","page":"813-815 vol.2","title":"Support vector machines for classification of hyperspectral data","volume":"2","author":[{"literal":"J. A. Gualtieri"},{"literal":"S. Chettri"}],"issued":{"date-parts":[["2000",7,24]]}}}],"schema":"https://github.com/citation-style-language/schema/raw/master/csl-citation.json"} </w:instrText>
      </w:r>
      <w:r w:rsidRPr="0085558C">
        <w:rPr>
          <w:rFonts w:eastAsia="Calibri" w:cs="Times New Roman"/>
          <w:kern w:val="0"/>
          <w:szCs w:val="24"/>
          <w14:ligatures w14:val="none"/>
        </w:rPr>
        <w:fldChar w:fldCharType="separate"/>
      </w:r>
      <w:r w:rsidRPr="0085558C">
        <w:rPr>
          <w:rFonts w:eastAsia="Calibri" w:cs="Times New Roman"/>
          <w:kern w:val="0"/>
          <w:szCs w:val="24"/>
          <w14:ligatures w14:val="none"/>
        </w:rPr>
        <w:t>(J. A. Gualtieri &amp; S. Chettri, 2000)</w:t>
      </w:r>
      <w:r w:rsidRPr="0085558C">
        <w:rPr>
          <w:rFonts w:eastAsia="Calibri" w:cs="Times New Roman"/>
          <w:kern w:val="0"/>
          <w:szCs w:val="24"/>
          <w14:ligatures w14:val="none"/>
        </w:rPr>
        <w:fldChar w:fldCharType="end"/>
      </w:r>
      <w:r w:rsidRPr="0085558C">
        <w:rPr>
          <w:rFonts w:eastAsia="Calibri" w:cs="Times New Roman"/>
          <w:kern w:val="0"/>
          <w:szCs w:val="24"/>
          <w14:ligatures w14:val="none"/>
        </w:rPr>
        <w:t>.</w:t>
      </w:r>
    </w:p>
    <w:p w14:paraId="3E2D61AF" w14:textId="70EC1081" w:rsidR="00871A3A" w:rsidRPr="0085558C" w:rsidRDefault="00871A3A" w:rsidP="001B567A">
      <w:pPr>
        <w:spacing w:after="0" w:line="480" w:lineRule="auto"/>
        <w:rPr>
          <w:rFonts w:eastAsia="Times New Roman" w:cs="Times New Roman"/>
          <w:kern w:val="0"/>
          <w:szCs w:val="24"/>
          <w14:ligatures w14:val="none"/>
        </w:rPr>
      </w:pPr>
      <w:r w:rsidRPr="0085558C">
        <w:rPr>
          <w:rFonts w:eastAsia="Calibri" w:cs="Times New Roman"/>
          <w:kern w:val="0"/>
          <w:szCs w:val="24"/>
          <w14:ligatures w14:val="none"/>
        </w:rPr>
        <w:lastRenderedPageBreak/>
        <w:t>Hyperparameter tuning of each model was performed through a grid search using stratified 10-fold cross-validation</w:t>
      </w:r>
      <w:r>
        <w:rPr>
          <w:rFonts w:eastAsia="Calibri" w:cs="Times New Roman"/>
          <w:kern w:val="0"/>
          <w:szCs w:val="24"/>
          <w14:ligatures w14:val="none"/>
        </w:rPr>
        <w:t xml:space="preserve">. </w:t>
      </w:r>
      <w:r w:rsidRPr="00B36C29">
        <w:rPr>
          <w:rFonts w:eastAsia="Calibri" w:cs="Times New Roman"/>
          <w:kern w:val="0"/>
          <w:szCs w:val="24"/>
          <w14:ligatures w14:val="none"/>
        </w:rPr>
        <w:t>Th</w:t>
      </w:r>
      <w:r>
        <w:rPr>
          <w:rFonts w:eastAsia="Calibri" w:cs="Times New Roman"/>
          <w:kern w:val="0"/>
          <w:szCs w:val="24"/>
          <w14:ligatures w14:val="none"/>
        </w:rPr>
        <w:t>e stratified cross-validation</w:t>
      </w:r>
      <w:r w:rsidRPr="00B36C29">
        <w:rPr>
          <w:rFonts w:eastAsia="Calibri" w:cs="Times New Roman"/>
          <w:kern w:val="0"/>
          <w:szCs w:val="24"/>
          <w14:ligatures w14:val="none"/>
        </w:rPr>
        <w:t xml:space="preserve"> approach ensured that hot moments were represented equally across all folds, maintaining balance in the dataset during </w:t>
      </w:r>
      <w:r>
        <w:rPr>
          <w:rFonts w:eastAsia="Calibri" w:cs="Times New Roman"/>
          <w:kern w:val="0"/>
          <w:szCs w:val="24"/>
          <w14:ligatures w14:val="none"/>
        </w:rPr>
        <w:t>model building</w:t>
      </w:r>
      <w:r w:rsidRPr="00B36C29">
        <w:rPr>
          <w:rFonts w:eastAsia="Calibri" w:cs="Times New Roman"/>
          <w:kern w:val="0"/>
          <w:szCs w:val="24"/>
          <w14:ligatures w14:val="none"/>
        </w:rPr>
        <w:t>.</w:t>
      </w:r>
      <w:r>
        <w:rPr>
          <w:rFonts w:eastAsia="Calibri" w:cs="Times New Roman"/>
          <w:kern w:val="0"/>
          <w:szCs w:val="24"/>
          <w14:ligatures w14:val="none"/>
        </w:rPr>
        <w:t xml:space="preserve"> Tuned</w:t>
      </w:r>
      <w:r w:rsidRPr="0085558C">
        <w:rPr>
          <w:rFonts w:eastAsia="Calibri" w:cs="Times New Roman"/>
          <w:kern w:val="0"/>
          <w:szCs w:val="24"/>
          <w14:ligatures w14:val="none"/>
        </w:rPr>
        <w:t xml:space="preserve"> hyperparameters were selected by highest Matthews correlation coefficient of predictions evaluated against the </w:t>
      </w:r>
      <w:r>
        <w:rPr>
          <w:rFonts w:eastAsia="Calibri" w:cs="Times New Roman"/>
          <w:kern w:val="0"/>
          <w:szCs w:val="24"/>
          <w14:ligatures w14:val="none"/>
        </w:rPr>
        <w:t>expert-</w:t>
      </w:r>
      <w:r w:rsidRPr="0085558C">
        <w:rPr>
          <w:rFonts w:eastAsia="Calibri" w:cs="Times New Roman"/>
          <w:kern w:val="0"/>
          <w:szCs w:val="24"/>
          <w14:ligatures w14:val="none"/>
        </w:rPr>
        <w:t>labeled data (MCC; Equation 2). Similar to the F</w:t>
      </w:r>
      <w:r>
        <w:rPr>
          <w:rFonts w:eastAsia="Calibri" w:cs="Times New Roman"/>
          <w:kern w:val="0"/>
          <w:szCs w:val="24"/>
          <w14:ligatures w14:val="none"/>
        </w:rPr>
        <w:t>1</w:t>
      </w:r>
      <w:r w:rsidRPr="0085558C">
        <w:rPr>
          <w:rFonts w:eastAsia="Calibri" w:cs="Times New Roman"/>
          <w:kern w:val="0"/>
          <w:szCs w:val="24"/>
          <w14:ligatures w14:val="none"/>
        </w:rPr>
        <w:t xml:space="preserve">-score, </w:t>
      </w:r>
      <w:r w:rsidRPr="0085558C">
        <w:rPr>
          <w:rFonts w:eastAsia="Times New Roman" w:cs="Times New Roman"/>
          <w:kern w:val="0"/>
          <w:szCs w:val="24"/>
          <w14:ligatures w14:val="none"/>
        </w:rPr>
        <w:t xml:space="preserve">MCC is a single-value performance summary metric derived from the confusion matrix (True Positive, TP; True Negative, TN; False Positive, FP; and False Negative, FN) notable for its reliability and rigor </w:t>
      </w:r>
      <w:r w:rsidRPr="0085558C">
        <w:rPr>
          <w:rFonts w:eastAsia="Times New Roman" w:cs="Times New Roman"/>
          <w:kern w:val="0"/>
          <w:szCs w:val="24"/>
          <w14:ligatures w14:val="none"/>
        </w:rPr>
        <w:fldChar w:fldCharType="begin"/>
      </w:r>
      <w:r w:rsidR="00D74AD1">
        <w:rPr>
          <w:rFonts w:eastAsia="Times New Roman" w:cs="Times New Roman"/>
          <w:kern w:val="0"/>
          <w:szCs w:val="24"/>
          <w14:ligatures w14:val="none"/>
        </w:rPr>
        <w:instrText xml:space="preserve"> ADDIN ZOTERO_ITEM CSL_CITATION {"citationID":"uHHXLURC","properties":{"formattedCitation":"(Chicco &amp; Jurman, 2020, 2023)","plainCitation":"(Chicco &amp; Jurman, 2020, 2023)","noteIndex":0},"citationItems":[{"id":1597,"uris":["http://zotero.org/groups/4573874/items/YRDULFH8"],"itemData":{"id":1597,"type":"article-journal","abstract":"To evaluate binary classifications and their confusion matrices, scientific researchers can employ several statistical rates, accordingly to the goal of the experiment they are investigating. Despite being a crucial issue in machine learning, no widespread consensus has been reached on a unified elective chosen measure yet. Accuracy and F1 score computed on confusion matrices have been (and still are) among the most popular adopted metrics in binary classification tasks. However, these statistical measures can dangerously show overoptimistic inflated results, especially on imbalanced datasets.","container-title":"BMC Genomics","DOI":"10.1186/s12864-019-6413-7","ISSN":"1471-2164","issue":"1","journalAbbreviation":"BMC Genomics","page":"6","source":"BioMed Central","title":"The advantages of the Matthews correlation coefficient (MCC) over F1 score and accuracy in binary classification evaluation","volume":"21","author":[{"family":"Chicco","given":"Davide"},{"family":"Jurman","given":"Giuseppe"}],"issued":{"date-parts":[["2020",1,2]]}}},{"id":1578,"uris":["http://zotero.org/groups/4573874/items/DUPX8K4T"],"itemData":{"id":1578,"type":"article-journal","abstract":"Binary classification is a common task for which machine learning and computational statistics are used, and the area under the receiver operating characteristic curve (ROC AUC) has become the common standard metric to evaluate binary classifications in most scientific fields. The ROC curve has true positive rate (also called sensitivity or recall) on the y axis and false positive rate on the x axis, and the ROC AUC can range from 0 (worst result) to 1 (perfect result). The ROC AUC, however, has several flaws and drawbacks. This score is generated including predictions that obtained insufficient sensitivity and specificity, and moreover it does not say anything about positive predictive value (also known as precision) nor negative predictive value (NPV) obtained by the classifier, therefore potentially generating inflated overoptimistic results. Since it is common to include ROC AUC alone without precision and negative predictive value, a researcher might erroneously conclude that their classification was successful. Furthermore, a given point in the ROC space does not identify a single confusion matrix nor a group of matrices sharing the same MCC value. Indeed, a given (sensitivity, specificity) pair can cover a broad MCC range, which casts doubts on the reliability of ROC AUC as a performance measure. In contrast, the Matthews correlation coefficient (MCC) generates a high score in its [Formula: see text] interval only if the classifier scored a high value for all the four basic rates of the confusion matrix: sensitivity, specificity, precision, and negative predictive value. A high MCC (for example, MCC [Formula: see text] 0.9), moreover, always corresponds to a high ROC AUC, and not vice versa. In this short study, we explain why the Matthews correlation coefficient should replace the ROC AUC as standard statistic in all the scientific studies involving a binary classification, in all scientific fields.","container-title":"BioData Mining","DOI":"10.1186/s13040-023-00322-4","ISSN":"1756-0381","issue":"1","journalAbbreviation":"BioData Min","language":"eng","note":"PMID: 36800973\nPMCID: PMC9938573","page":"4","source":"PubMed","title":"The Matthews correlation coefficient (MCC) should replace the ROC AUC as the standard metric for assessing binary classification","volume":"16","author":[{"family":"Chicco","given":"Davide"},{"family":"Jurman","given":"Giuseppe"}],"issued":{"date-parts":[["2023",2,17]]}}}],"schema":"https://github.com/citation-style-language/schema/raw/master/csl-citation.json"} </w:instrText>
      </w:r>
      <w:r w:rsidRPr="0085558C">
        <w:rPr>
          <w:rFonts w:eastAsia="Times New Roman" w:cs="Times New Roman"/>
          <w:kern w:val="0"/>
          <w:szCs w:val="24"/>
          <w14:ligatures w14:val="none"/>
        </w:rPr>
        <w:fldChar w:fldCharType="separate"/>
      </w:r>
      <w:r w:rsidRPr="0085558C">
        <w:rPr>
          <w:rFonts w:eastAsia="Calibri" w:cs="Times New Roman"/>
          <w:kern w:val="0"/>
          <w:szCs w:val="24"/>
          <w14:ligatures w14:val="none"/>
        </w:rPr>
        <w:t>(Chicco &amp; Jurman, 2020, 2023)</w:t>
      </w:r>
      <w:r w:rsidRPr="0085558C">
        <w:rPr>
          <w:rFonts w:eastAsia="Times New Roman" w:cs="Times New Roman"/>
          <w:kern w:val="0"/>
          <w:szCs w:val="24"/>
          <w14:ligatures w14:val="none"/>
        </w:rPr>
        <w:fldChar w:fldCharType="end"/>
      </w:r>
      <w:r>
        <w:rPr>
          <w:rFonts w:eastAsia="Times New Roman" w:cs="Times New Roman"/>
          <w:kern w:val="0"/>
          <w:szCs w:val="24"/>
          <w14:ligatures w14:val="none"/>
        </w:rPr>
        <w:t>.</w:t>
      </w:r>
      <w:r w:rsidRPr="0085558C">
        <w:rPr>
          <w:rFonts w:eastAsia="Times New Roman" w:cs="Times New Roman"/>
          <w:kern w:val="0"/>
          <w:szCs w:val="24"/>
          <w14:ligatures w14:val="none"/>
        </w:rPr>
        <w:t xml:space="preserve"> </w:t>
      </w:r>
      <w:r>
        <w:rPr>
          <w:rFonts w:eastAsia="Times New Roman" w:cs="Times New Roman"/>
          <w:kern w:val="0"/>
          <w:szCs w:val="24"/>
          <w14:ligatures w14:val="none"/>
        </w:rPr>
        <w:t>MCC</w:t>
      </w:r>
      <w:r w:rsidRPr="0085558C">
        <w:rPr>
          <w:rFonts w:eastAsia="Times New Roman" w:cs="Times New Roman"/>
          <w:kern w:val="0"/>
          <w:szCs w:val="24"/>
          <w14:ligatures w14:val="none"/>
        </w:rPr>
        <w:t xml:space="preserve"> is equivalent to Pearson’s Correlation Coefficient when all inputs are binary values. A MCC of 0 indicates a model performs equivalently to random guessing, while a MCC of 1 or -1 represents perfect classification or misclassification, respectively.</w:t>
      </w:r>
    </w:p>
    <w:tbl>
      <w:tblPr>
        <w:tblStyle w:val="TableGrid"/>
        <w:tblW w:w="96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80"/>
        <w:gridCol w:w="1379"/>
      </w:tblGrid>
      <w:tr w:rsidR="00871A3A" w:rsidRPr="0085558C" w14:paraId="2E9EF359" w14:textId="77777777">
        <w:trPr>
          <w:trHeight w:val="687"/>
        </w:trPr>
        <w:tc>
          <w:tcPr>
            <w:tcW w:w="8280" w:type="dxa"/>
          </w:tcPr>
          <w:p w14:paraId="6E094E3D" w14:textId="77777777" w:rsidR="00871A3A" w:rsidRPr="0085558C" w:rsidRDefault="006E6C17" w:rsidP="001B567A">
            <w:pPr>
              <w:spacing w:line="480" w:lineRule="auto"/>
            </w:pPr>
            <m:oMathPara>
              <m:oMath>
                <m:r>
                  <w:rPr>
                    <w:rFonts w:ascii="Cambria Math" w:eastAsia="Cambria Math" w:hAnsi="Cambria Math"/>
                  </w:rPr>
                  <m:t xml:space="preserve">MCC= </m:t>
                </m:r>
                <m:f>
                  <m:fPr>
                    <m:ctrlPr>
                      <w:rPr>
                        <w:rFonts w:ascii="Cambria Math" w:eastAsia="Cambria Math" w:hAnsi="Cambria Math"/>
                        <w:vertAlign w:val="superscript"/>
                      </w:rPr>
                    </m:ctrlPr>
                  </m:fPr>
                  <m:num>
                    <m:r>
                      <w:rPr>
                        <w:rFonts w:ascii="Cambria Math" w:eastAsia="Cambria Math" w:hAnsi="Cambria Math"/>
                      </w:rPr>
                      <m:t>TP * TN - FP * FN</m:t>
                    </m:r>
                  </m:num>
                  <m:den>
                    <m:sSup>
                      <m:sSupPr>
                        <m:ctrlPr>
                          <w:rPr>
                            <w:rFonts w:ascii="Cambria Math" w:eastAsia="Cambria Math" w:hAnsi="Cambria Math"/>
                            <w:vertAlign w:val="superscript"/>
                          </w:rPr>
                        </m:ctrlPr>
                      </m:sSupPr>
                      <m:e>
                        <m:r>
                          <w:rPr>
                            <w:rFonts w:ascii="Cambria Math" w:eastAsia="Cambria Math" w:hAnsi="Cambria Math"/>
                          </w:rPr>
                          <m:t>((TP + FP)(TP + FN)(TN + FP)(TN + FN))</m:t>
                        </m:r>
                      </m:e>
                      <m:sup>
                        <m:r>
                          <w:rPr>
                            <w:rFonts w:ascii="Cambria Math" w:eastAsia="Cambria Math" w:hAnsi="Cambria Math"/>
                            <w:vertAlign w:val="superscript"/>
                          </w:rPr>
                          <m:t>0.5</m:t>
                        </m:r>
                      </m:sup>
                    </m:sSup>
                  </m:den>
                </m:f>
              </m:oMath>
            </m:oMathPara>
          </w:p>
        </w:tc>
        <w:tc>
          <w:tcPr>
            <w:tcW w:w="1379" w:type="dxa"/>
            <w:vAlign w:val="center"/>
          </w:tcPr>
          <w:p w14:paraId="760B67ED" w14:textId="77777777" w:rsidR="00871A3A" w:rsidRPr="0085558C" w:rsidRDefault="00871A3A" w:rsidP="001B567A">
            <w:pPr>
              <w:spacing w:line="480" w:lineRule="auto"/>
            </w:pPr>
            <w:r w:rsidRPr="0085558C">
              <w:t>Equation 2</w:t>
            </w:r>
          </w:p>
        </w:tc>
      </w:tr>
    </w:tbl>
    <w:p w14:paraId="159A7F4D" w14:textId="092784A5" w:rsidR="00871A3A" w:rsidRPr="0085558C" w:rsidRDefault="00871A3A" w:rsidP="001B567A">
      <w:pPr>
        <w:pStyle w:val="Heading3"/>
      </w:pPr>
      <w:bookmarkStart w:id="73" w:name="_Toc204282766"/>
      <w:r w:rsidRPr="0085558C">
        <w:t xml:space="preserve">Model </w:t>
      </w:r>
      <w:r w:rsidR="00FB5951">
        <w:t>e</w:t>
      </w:r>
      <w:r w:rsidRPr="0085558C">
        <w:t>valuation</w:t>
      </w:r>
      <w:bookmarkEnd w:id="73"/>
    </w:p>
    <w:p w14:paraId="631264F1" w14:textId="77777777" w:rsidR="00871A3A" w:rsidRDefault="00871A3A" w:rsidP="001B567A">
      <w:pPr>
        <w:spacing w:after="0" w:line="480" w:lineRule="auto"/>
        <w:rPr>
          <w:rFonts w:eastAsia="Calibri" w:cs="Times New Roman"/>
          <w:kern w:val="0"/>
          <w:szCs w:val="24"/>
          <w14:ligatures w14:val="none"/>
        </w:rPr>
      </w:pPr>
      <w:r w:rsidRPr="0085558C">
        <w:rPr>
          <w:rFonts w:eastAsia="Calibri" w:cs="Times New Roman"/>
          <w:kern w:val="0"/>
          <w:szCs w:val="24"/>
          <w14:ligatures w14:val="none"/>
        </w:rPr>
        <w:t xml:space="preserve">Model performance was evaluated for all five </w:t>
      </w:r>
      <w:r>
        <w:rPr>
          <w:rFonts w:eastAsia="Calibri" w:cs="Times New Roman"/>
          <w:kern w:val="0"/>
          <w:szCs w:val="24"/>
          <w14:ligatures w14:val="none"/>
        </w:rPr>
        <w:t xml:space="preserve">ML </w:t>
      </w:r>
      <w:r w:rsidRPr="0085558C">
        <w:rPr>
          <w:rFonts w:eastAsia="Calibri" w:cs="Times New Roman"/>
          <w:kern w:val="0"/>
          <w:szCs w:val="24"/>
          <w14:ligatures w14:val="none"/>
        </w:rPr>
        <w:t>architectures and four methods of hot moment classification, resulting in a total of 20 models.</w:t>
      </w:r>
      <w:r w:rsidRPr="009D3138">
        <w:rPr>
          <w:rFonts w:eastAsia="Calibri" w:cs="Times New Roman"/>
          <w:kern w:val="0"/>
          <w:szCs w:val="24"/>
          <w14:ligatures w14:val="none"/>
        </w:rPr>
        <w:t xml:space="preserve"> </w:t>
      </w:r>
      <w:r>
        <w:rPr>
          <w:rFonts w:eastAsia="Calibri" w:cs="Times New Roman"/>
          <w:kern w:val="0"/>
          <w:szCs w:val="24"/>
          <w14:ligatures w14:val="none"/>
        </w:rPr>
        <w:t>We used a</w:t>
      </w:r>
      <w:r w:rsidRPr="0085558C">
        <w:rPr>
          <w:rFonts w:eastAsia="Calibri" w:cs="Times New Roman"/>
          <w:kern w:val="0"/>
          <w:szCs w:val="24"/>
          <w14:ligatures w14:val="none"/>
        </w:rPr>
        <w:t>10-fold stratified cross validation</w:t>
      </w:r>
      <w:r>
        <w:rPr>
          <w:rFonts w:eastAsia="Calibri" w:cs="Times New Roman"/>
          <w:kern w:val="0"/>
          <w:szCs w:val="24"/>
          <w14:ligatures w14:val="none"/>
        </w:rPr>
        <w:t>, where overall performance was</w:t>
      </w:r>
      <w:r w:rsidRPr="0085558C">
        <w:rPr>
          <w:rFonts w:eastAsia="Calibri" w:cs="Times New Roman"/>
          <w:kern w:val="0"/>
          <w:szCs w:val="24"/>
          <w14:ligatures w14:val="none"/>
        </w:rPr>
        <w:t xml:space="preserve"> the </w:t>
      </w:r>
      <w:r>
        <w:rPr>
          <w:rFonts w:eastAsia="Calibri" w:cs="Times New Roman"/>
          <w:kern w:val="0"/>
          <w:szCs w:val="24"/>
          <w14:ligatures w14:val="none"/>
        </w:rPr>
        <w:t xml:space="preserve">average </w:t>
      </w:r>
      <w:r w:rsidRPr="0085558C">
        <w:rPr>
          <w:rFonts w:eastAsia="Calibri" w:cs="Times New Roman"/>
          <w:kern w:val="0"/>
          <w:szCs w:val="24"/>
          <w14:ligatures w14:val="none"/>
        </w:rPr>
        <w:t xml:space="preserve">MCC </w:t>
      </w:r>
      <w:r w:rsidRPr="009D3138">
        <w:rPr>
          <w:rFonts w:eastAsia="Calibri" w:cs="Times New Roman"/>
          <w:kern w:val="0"/>
          <w:szCs w:val="24"/>
          <w14:ligatures w14:val="none"/>
        </w:rPr>
        <w:t>of predictions</w:t>
      </w:r>
      <w:r>
        <w:rPr>
          <w:rFonts w:eastAsia="Calibri" w:cs="Times New Roman"/>
          <w:kern w:val="0"/>
          <w:szCs w:val="24"/>
          <w14:ligatures w14:val="none"/>
        </w:rPr>
        <w:t xml:space="preserve"> across all folds.</w:t>
      </w:r>
      <w:r w:rsidRPr="009D3138">
        <w:rPr>
          <w:rFonts w:eastAsia="Calibri" w:cs="Times New Roman"/>
          <w:kern w:val="0"/>
          <w:szCs w:val="24"/>
          <w14:ligatures w14:val="none"/>
        </w:rPr>
        <w:t xml:space="preserve"> </w:t>
      </w:r>
      <w:r>
        <w:rPr>
          <w:rFonts w:eastAsia="Calibri" w:cs="Times New Roman"/>
          <w:kern w:val="0"/>
          <w:szCs w:val="24"/>
          <w14:ligatures w14:val="none"/>
        </w:rPr>
        <w:t>Predictions were always compared to</w:t>
      </w:r>
      <w:r w:rsidRPr="0085558C">
        <w:rPr>
          <w:rFonts w:eastAsia="Calibri" w:cs="Times New Roman"/>
          <w:kern w:val="0"/>
          <w:szCs w:val="24"/>
          <w14:ligatures w14:val="none"/>
        </w:rPr>
        <w:t xml:space="preserve"> context-informed data labels</w:t>
      </w:r>
      <w:r w:rsidRPr="00C43BA1">
        <w:rPr>
          <w:rFonts w:eastAsia="Calibri" w:cs="Times New Roman"/>
          <w:kern w:val="0"/>
          <w:szCs w:val="24"/>
          <w14:ligatures w14:val="none"/>
        </w:rPr>
        <w:t xml:space="preserve"> to prevent error propagation and to provide a consistent and high-quality measure of performance across models.</w:t>
      </w:r>
    </w:p>
    <w:p w14:paraId="53B765B0" w14:textId="77777777" w:rsidR="00871A3A" w:rsidRPr="00A826BF" w:rsidRDefault="00871A3A" w:rsidP="001B567A">
      <w:pPr>
        <w:spacing w:after="0" w:line="480" w:lineRule="auto"/>
        <w:rPr>
          <w:rFonts w:eastAsia="Calibri" w:cs="Times New Roman"/>
          <w:kern w:val="0"/>
          <w:szCs w:val="24"/>
          <w14:ligatures w14:val="none"/>
        </w:rPr>
      </w:pPr>
      <w:r w:rsidRPr="0085558C">
        <w:rPr>
          <w:rFonts w:eastAsia="Calibri" w:cs="Times New Roman"/>
          <w:kern w:val="0"/>
          <w:szCs w:val="24"/>
          <w14:ligatures w14:val="none"/>
        </w:rPr>
        <w:t>Additionally, classification prediction errors may have varying impacts based upon the magnitude of flux. For example, a false negative when flux is 20 g N ha</w:t>
      </w:r>
      <w:r w:rsidRPr="0085558C">
        <w:rPr>
          <w:rFonts w:eastAsia="Calibri" w:cs="Times New Roman"/>
          <w:kern w:val="0"/>
          <w:szCs w:val="24"/>
          <w:vertAlign w:val="superscript"/>
          <w14:ligatures w14:val="none"/>
        </w:rPr>
        <w:t>-1</w:t>
      </w:r>
      <w:r w:rsidRPr="0085558C">
        <w:rPr>
          <w:rFonts w:eastAsia="Calibri" w:cs="Times New Roman"/>
          <w:kern w:val="0"/>
          <w:szCs w:val="24"/>
          <w14:ligatures w14:val="none"/>
        </w:rPr>
        <w:t xml:space="preserve"> d</w:t>
      </w:r>
      <w:r w:rsidRPr="0085558C">
        <w:rPr>
          <w:rFonts w:eastAsia="Calibri" w:cs="Times New Roman"/>
          <w:kern w:val="0"/>
          <w:szCs w:val="24"/>
          <w:vertAlign w:val="superscript"/>
          <w14:ligatures w14:val="none"/>
        </w:rPr>
        <w:t>-1</w:t>
      </w:r>
      <w:r w:rsidRPr="0085558C">
        <w:rPr>
          <w:rFonts w:eastAsia="Calibri" w:cs="Times New Roman"/>
          <w:kern w:val="0"/>
          <w:szCs w:val="24"/>
          <w14:ligatures w14:val="none"/>
        </w:rPr>
        <w:t xml:space="preserve"> </w:t>
      </w:r>
      <w:r>
        <w:rPr>
          <w:rFonts w:eastAsia="Calibri" w:cs="Times New Roman"/>
          <w:kern w:val="0"/>
          <w:szCs w:val="24"/>
          <w14:ligatures w14:val="none"/>
        </w:rPr>
        <w:t>may</w:t>
      </w:r>
      <w:r w:rsidRPr="0085558C">
        <w:rPr>
          <w:rFonts w:eastAsia="Calibri" w:cs="Times New Roman"/>
          <w:kern w:val="0"/>
          <w:szCs w:val="24"/>
          <w14:ligatures w14:val="none"/>
        </w:rPr>
        <w:t xml:space="preserve"> be </w:t>
      </w:r>
      <w:r>
        <w:rPr>
          <w:rFonts w:eastAsia="Calibri" w:cs="Times New Roman"/>
          <w:kern w:val="0"/>
          <w:szCs w:val="24"/>
          <w14:ligatures w14:val="none"/>
        </w:rPr>
        <w:t>considered</w:t>
      </w:r>
      <w:r w:rsidRPr="0085558C">
        <w:rPr>
          <w:rFonts w:eastAsia="Calibri" w:cs="Times New Roman"/>
          <w:kern w:val="0"/>
          <w:szCs w:val="24"/>
          <w14:ligatures w14:val="none"/>
        </w:rPr>
        <w:t xml:space="preserve"> less consequential than a false negative when flux is 200 g N ha</w:t>
      </w:r>
      <w:r w:rsidRPr="0085558C">
        <w:rPr>
          <w:rFonts w:eastAsia="Calibri" w:cs="Times New Roman"/>
          <w:kern w:val="0"/>
          <w:szCs w:val="24"/>
          <w:vertAlign w:val="superscript"/>
          <w14:ligatures w14:val="none"/>
        </w:rPr>
        <w:t>-1</w:t>
      </w:r>
      <w:r w:rsidRPr="0085558C">
        <w:rPr>
          <w:rFonts w:eastAsia="Calibri" w:cs="Times New Roman"/>
          <w:kern w:val="0"/>
          <w:szCs w:val="24"/>
          <w14:ligatures w14:val="none"/>
        </w:rPr>
        <w:t xml:space="preserve"> d</w:t>
      </w:r>
      <w:r w:rsidRPr="0085558C">
        <w:rPr>
          <w:rFonts w:eastAsia="Calibri" w:cs="Times New Roman"/>
          <w:kern w:val="0"/>
          <w:szCs w:val="24"/>
          <w:vertAlign w:val="superscript"/>
          <w14:ligatures w14:val="none"/>
        </w:rPr>
        <w:t>-1</w:t>
      </w:r>
      <w:r w:rsidRPr="0085558C">
        <w:rPr>
          <w:rFonts w:eastAsia="Calibri" w:cs="Times New Roman"/>
          <w:kern w:val="0"/>
          <w:szCs w:val="24"/>
          <w14:ligatures w14:val="none"/>
        </w:rPr>
        <w:t xml:space="preserve">. Therefore, we assessed </w:t>
      </w:r>
      <w:r>
        <w:rPr>
          <w:rFonts w:eastAsia="Calibri" w:cs="Times New Roman"/>
          <w:kern w:val="0"/>
          <w:szCs w:val="24"/>
          <w14:ligatures w14:val="none"/>
        </w:rPr>
        <w:t xml:space="preserve">the </w:t>
      </w:r>
      <w:r w:rsidRPr="0085558C">
        <w:rPr>
          <w:rFonts w:eastAsia="Calibri" w:cs="Times New Roman"/>
          <w:kern w:val="0"/>
          <w:szCs w:val="24"/>
          <w14:ligatures w14:val="none"/>
        </w:rPr>
        <w:t>performance of the best overall model across magnitude</w:t>
      </w:r>
      <w:r>
        <w:rPr>
          <w:rFonts w:eastAsia="Calibri" w:cs="Times New Roman"/>
          <w:kern w:val="0"/>
          <w:szCs w:val="24"/>
          <w14:ligatures w14:val="none"/>
        </w:rPr>
        <w:t>s of fluxes</w:t>
      </w:r>
      <w:r w:rsidRPr="0085558C">
        <w:rPr>
          <w:rFonts w:eastAsia="Calibri" w:cs="Times New Roman"/>
          <w:kern w:val="0"/>
          <w:szCs w:val="24"/>
          <w14:ligatures w14:val="none"/>
        </w:rPr>
        <w:t xml:space="preserve"> by sorting all flux </w:t>
      </w:r>
      <w:r w:rsidRPr="0085558C">
        <w:rPr>
          <w:rFonts w:eastAsia="Calibri" w:cs="Times New Roman"/>
          <w:kern w:val="0"/>
          <w:szCs w:val="24"/>
          <w14:ligatures w14:val="none"/>
        </w:rPr>
        <w:lastRenderedPageBreak/>
        <w:t>measurements into bins by magnitude and computing a confusion matrix of model predictions on holdout data for each bin.</w:t>
      </w:r>
    </w:p>
    <w:p w14:paraId="3DC4FF9B" w14:textId="77777777" w:rsidR="00871A3A" w:rsidRPr="0085558C" w:rsidRDefault="00871A3A" w:rsidP="001B567A">
      <w:pPr>
        <w:spacing w:after="0" w:line="480" w:lineRule="auto"/>
        <w:rPr>
          <w:rFonts w:eastAsia="Calibri" w:cs="Times New Roman"/>
          <w:kern w:val="0"/>
          <w:szCs w:val="24"/>
          <w14:ligatures w14:val="none"/>
        </w:rPr>
      </w:pPr>
      <w:r w:rsidRPr="009D3138">
        <w:rPr>
          <w:rFonts w:eastAsia="Calibri" w:cs="Times New Roman"/>
          <w:kern w:val="0"/>
          <w:szCs w:val="24"/>
          <w14:ligatures w14:val="none"/>
        </w:rPr>
        <w:t>B</w:t>
      </w:r>
      <w:r w:rsidRPr="0085558C">
        <w:rPr>
          <w:rFonts w:eastAsia="Calibri" w:cs="Times New Roman"/>
          <w:kern w:val="0"/>
          <w:szCs w:val="24"/>
          <w14:ligatures w14:val="none"/>
        </w:rPr>
        <w:t xml:space="preserve">inary classification models assign a score or probability between 0 and 1 corresponding to the likelihood that the target belongs to each possible class, and a decision threshold is applied assigning scores above the threshold to one class and scores below the threshold to the other. By default, a probability score of 0.5 was used as the threshold for all models, such that a 50% or greater predicted probability of a hot moment resulted in a prediction of a hot moment, and probabilities less than 50% were predicted to be background emissions. </w:t>
      </w:r>
      <w:r w:rsidRPr="009D3138">
        <w:rPr>
          <w:rFonts w:eastAsia="Calibri" w:cs="Times New Roman"/>
          <w:kern w:val="0"/>
          <w:szCs w:val="24"/>
          <w14:ligatures w14:val="none"/>
        </w:rPr>
        <w:t>However</w:t>
      </w:r>
      <w:r w:rsidRPr="0085558C">
        <w:rPr>
          <w:rFonts w:eastAsia="Calibri" w:cs="Times New Roman"/>
          <w:kern w:val="0"/>
          <w:szCs w:val="24"/>
          <w14:ligatures w14:val="none"/>
        </w:rPr>
        <w:t xml:space="preserve">, applications of this model may encompass a variety of aims, some requiring higher sensitivity to hot moments and others benefitting from more conservative predictions. We investigated how different decision thresholds would affect predictions </w:t>
      </w:r>
      <w:r>
        <w:rPr>
          <w:rFonts w:eastAsia="Calibri" w:cs="Times New Roman"/>
          <w:kern w:val="0"/>
          <w:szCs w:val="24"/>
          <w14:ligatures w14:val="none"/>
        </w:rPr>
        <w:t>using</w:t>
      </w:r>
      <w:r w:rsidRPr="0085558C">
        <w:rPr>
          <w:rFonts w:eastAsia="Calibri" w:cs="Times New Roman"/>
          <w:kern w:val="0"/>
          <w:szCs w:val="24"/>
          <w14:ligatures w14:val="none"/>
        </w:rPr>
        <w:t xml:space="preserve"> a receiver operator characteristic</w:t>
      </w:r>
      <w:r>
        <w:rPr>
          <w:rFonts w:eastAsia="Calibri" w:cs="Times New Roman"/>
          <w:kern w:val="0"/>
          <w:szCs w:val="24"/>
          <w14:ligatures w14:val="none"/>
        </w:rPr>
        <w:t xml:space="preserve"> (ROC)</w:t>
      </w:r>
      <w:r w:rsidRPr="0085558C">
        <w:rPr>
          <w:rFonts w:eastAsia="Calibri" w:cs="Times New Roman"/>
          <w:kern w:val="0"/>
          <w:szCs w:val="24"/>
          <w14:ligatures w14:val="none"/>
        </w:rPr>
        <w:t xml:space="preserve"> curve, which plots the resulting true positive rate and false positive rate for all possible decision thresholds</w:t>
      </w:r>
      <w:r>
        <w:rPr>
          <w:rFonts w:eastAsia="Calibri" w:cs="Times New Roman"/>
          <w:kern w:val="0"/>
          <w:szCs w:val="24"/>
          <w14:ligatures w14:val="none"/>
        </w:rPr>
        <w:t>.</w:t>
      </w:r>
      <w:r w:rsidRPr="0085558C">
        <w:rPr>
          <w:rFonts w:eastAsia="Calibri" w:cs="Times New Roman"/>
          <w:kern w:val="0"/>
          <w:szCs w:val="24"/>
          <w14:ligatures w14:val="none"/>
        </w:rPr>
        <w:t xml:space="preserve"> </w:t>
      </w:r>
      <w:r>
        <w:rPr>
          <w:rFonts w:eastAsia="Calibri" w:cs="Times New Roman"/>
          <w:kern w:val="0"/>
          <w:szCs w:val="24"/>
          <w14:ligatures w14:val="none"/>
        </w:rPr>
        <w:t>We also</w:t>
      </w:r>
      <w:r w:rsidRPr="0085558C">
        <w:rPr>
          <w:rFonts w:eastAsia="Calibri" w:cs="Times New Roman"/>
          <w:kern w:val="0"/>
          <w:szCs w:val="24"/>
          <w14:ligatures w14:val="none"/>
        </w:rPr>
        <w:t xml:space="preserve"> plott</w:t>
      </w:r>
      <w:r>
        <w:rPr>
          <w:rFonts w:eastAsia="Calibri" w:cs="Times New Roman"/>
          <w:kern w:val="0"/>
          <w:szCs w:val="24"/>
          <w14:ligatures w14:val="none"/>
        </w:rPr>
        <w:t>ed</w:t>
      </w:r>
      <w:r w:rsidRPr="00017093">
        <w:rPr>
          <w:rFonts w:eastAsia="Calibri" w:cs="Times New Roman"/>
          <w:kern w:val="0"/>
          <w:szCs w:val="24"/>
          <w14:ligatures w14:val="none"/>
        </w:rPr>
        <w:t xml:space="preserve"> </w:t>
      </w:r>
      <w:r w:rsidRPr="0085558C">
        <w:rPr>
          <w:rFonts w:eastAsia="Calibri" w:cs="Times New Roman"/>
          <w:kern w:val="0"/>
          <w:szCs w:val="24"/>
          <w14:ligatures w14:val="none"/>
        </w:rPr>
        <w:t>the true N</w:t>
      </w:r>
      <w:r w:rsidRPr="0085558C">
        <w:rPr>
          <w:rFonts w:eastAsia="Calibri" w:cs="Times New Roman"/>
          <w:kern w:val="0"/>
          <w:szCs w:val="24"/>
          <w:vertAlign w:val="subscript"/>
          <w14:ligatures w14:val="none"/>
        </w:rPr>
        <w:t>2</w:t>
      </w:r>
      <w:r w:rsidRPr="0085558C">
        <w:rPr>
          <w:rFonts w:eastAsia="Calibri" w:cs="Times New Roman"/>
          <w:kern w:val="0"/>
          <w:szCs w:val="24"/>
          <w14:ligatures w14:val="none"/>
        </w:rPr>
        <w:t>O flux</w:t>
      </w:r>
      <w:r>
        <w:rPr>
          <w:rFonts w:eastAsia="Calibri" w:cs="Times New Roman"/>
          <w:kern w:val="0"/>
          <w:szCs w:val="24"/>
          <w14:ligatures w14:val="none"/>
        </w:rPr>
        <w:t xml:space="preserve"> magnitude</w:t>
      </w:r>
      <w:r w:rsidRPr="0085558C">
        <w:rPr>
          <w:rFonts w:eastAsia="Calibri" w:cs="Times New Roman"/>
          <w:kern w:val="0"/>
          <w:szCs w:val="24"/>
          <w14:ligatures w14:val="none"/>
        </w:rPr>
        <w:t xml:space="preserve"> </w:t>
      </w:r>
      <w:r>
        <w:rPr>
          <w:rFonts w:eastAsia="Calibri" w:cs="Times New Roman"/>
          <w:kern w:val="0"/>
          <w:szCs w:val="24"/>
          <w14:ligatures w14:val="none"/>
        </w:rPr>
        <w:t>of</w:t>
      </w:r>
      <w:r w:rsidRPr="0085558C">
        <w:rPr>
          <w:rFonts w:eastAsia="Calibri" w:cs="Times New Roman"/>
          <w:kern w:val="0"/>
          <w:szCs w:val="24"/>
          <w14:ligatures w14:val="none"/>
        </w:rPr>
        <w:t xml:space="preserve"> each measurement </w:t>
      </w:r>
      <w:r>
        <w:rPr>
          <w:rFonts w:eastAsia="Calibri" w:cs="Times New Roman"/>
          <w:kern w:val="0"/>
          <w:szCs w:val="24"/>
          <w14:ligatures w14:val="none"/>
        </w:rPr>
        <w:t>against</w:t>
      </w:r>
      <w:r w:rsidRPr="0085558C">
        <w:rPr>
          <w:rFonts w:eastAsia="Calibri" w:cs="Times New Roman"/>
          <w:kern w:val="0"/>
          <w:szCs w:val="24"/>
          <w14:ligatures w14:val="none"/>
        </w:rPr>
        <w:t xml:space="preserve"> </w:t>
      </w:r>
      <w:r>
        <w:rPr>
          <w:rFonts w:eastAsia="Calibri" w:cs="Times New Roman"/>
          <w:kern w:val="0"/>
          <w:szCs w:val="24"/>
          <w14:ligatures w14:val="none"/>
        </w:rPr>
        <w:t>our model’s</w:t>
      </w:r>
      <w:r w:rsidRPr="0085558C">
        <w:rPr>
          <w:rFonts w:eastAsia="Calibri" w:cs="Times New Roman"/>
          <w:kern w:val="0"/>
          <w:szCs w:val="24"/>
          <w14:ligatures w14:val="none"/>
        </w:rPr>
        <w:t xml:space="preserve"> predicted </w:t>
      </w:r>
      <w:r>
        <w:rPr>
          <w:rFonts w:eastAsia="Calibri" w:cs="Times New Roman"/>
          <w:kern w:val="0"/>
          <w:szCs w:val="24"/>
          <w14:ligatures w14:val="none"/>
        </w:rPr>
        <w:t>likelihood</w:t>
      </w:r>
      <w:r w:rsidRPr="0085558C">
        <w:rPr>
          <w:rFonts w:eastAsia="Calibri" w:cs="Times New Roman"/>
          <w:kern w:val="0"/>
          <w:szCs w:val="24"/>
          <w14:ligatures w14:val="none"/>
        </w:rPr>
        <w:t xml:space="preserve"> of a hot moment </w:t>
      </w:r>
      <w:r>
        <w:rPr>
          <w:rFonts w:eastAsia="Calibri" w:cs="Times New Roman"/>
          <w:kern w:val="0"/>
          <w:szCs w:val="24"/>
          <w14:ligatures w14:val="none"/>
        </w:rPr>
        <w:t>occurring</w:t>
      </w:r>
      <w:r w:rsidRPr="0085558C">
        <w:rPr>
          <w:rFonts w:eastAsia="Calibri" w:cs="Times New Roman"/>
          <w:kern w:val="0"/>
          <w:szCs w:val="24"/>
          <w14:ligatures w14:val="none"/>
        </w:rPr>
        <w:t>.</w:t>
      </w:r>
    </w:p>
    <w:p w14:paraId="498EC203" w14:textId="1A795835" w:rsidR="001154C0" w:rsidRPr="0085558C" w:rsidRDefault="00871A3A" w:rsidP="001B567A">
      <w:pPr>
        <w:pStyle w:val="Heading3"/>
      </w:pPr>
      <w:bookmarkStart w:id="74" w:name="_Toc204282767"/>
      <w:r w:rsidRPr="0085558C">
        <w:t xml:space="preserve">Model </w:t>
      </w:r>
      <w:r w:rsidR="00FB5951">
        <w:t>i</w:t>
      </w:r>
      <w:r w:rsidRPr="0085558C">
        <w:t>nterpretation</w:t>
      </w:r>
      <w:bookmarkEnd w:id="74"/>
    </w:p>
    <w:p w14:paraId="04B5CBBA" w14:textId="77777777" w:rsidR="001154C0" w:rsidRPr="00994531" w:rsidRDefault="001154C0" w:rsidP="001B567A">
      <w:pPr>
        <w:spacing w:after="0" w:line="480" w:lineRule="auto"/>
        <w:rPr>
          <w:rFonts w:eastAsia="Calibri" w:cs="Times New Roman"/>
          <w:kern w:val="0"/>
          <w:szCs w:val="24"/>
          <w14:ligatures w14:val="none"/>
        </w:rPr>
      </w:pPr>
      <w:r w:rsidRPr="00994531">
        <w:rPr>
          <w:rFonts w:eastAsia="Calibri" w:cs="Times New Roman"/>
          <w:kern w:val="0"/>
          <w:szCs w:val="24"/>
          <w14:ligatures w14:val="none"/>
        </w:rPr>
        <w:t xml:space="preserve">One deficit of ML is that these models are often considered “black boxes” due to their high complexity which makes </w:t>
      </w:r>
      <w:r w:rsidR="00871A3A">
        <w:rPr>
          <w:rFonts w:eastAsia="Calibri" w:cs="Times New Roman"/>
          <w:kern w:val="0"/>
          <w:szCs w:val="24"/>
          <w14:ligatures w14:val="none"/>
        </w:rPr>
        <w:t xml:space="preserve">interpretation </w:t>
      </w:r>
      <w:r w:rsidR="00871A3A" w:rsidRPr="0085558C">
        <w:rPr>
          <w:rFonts w:eastAsia="Calibri" w:cs="Times New Roman"/>
          <w:kern w:val="0"/>
          <w:szCs w:val="24"/>
          <w14:ligatures w14:val="none"/>
        </w:rPr>
        <w:t>challenging.</w:t>
      </w:r>
      <w:r w:rsidRPr="00994531">
        <w:rPr>
          <w:rFonts w:eastAsia="Calibri" w:cs="Times New Roman"/>
          <w:kern w:val="0"/>
          <w:szCs w:val="24"/>
          <w14:ligatures w14:val="none"/>
        </w:rPr>
        <w:t xml:space="preserve"> In addition to limiting the potential for using ML modeling to advance understandings of biogeochemical processes, this also lowers trust in ML models and therefore their usage. We aimed to address this limitation both in the diversity of our input data and through model interpretation techniques illuminating underlying model drivers and relationships.</w:t>
      </w:r>
    </w:p>
    <w:p w14:paraId="4D5561DB" w14:textId="77777777" w:rsidR="001154C0" w:rsidRPr="00994531" w:rsidRDefault="001154C0" w:rsidP="001B567A">
      <w:pPr>
        <w:spacing w:after="0" w:line="480" w:lineRule="auto"/>
        <w:rPr>
          <w:rFonts w:eastAsia="Calibri" w:cs="Times New Roman"/>
          <w:kern w:val="0"/>
          <w:szCs w:val="24"/>
          <w14:ligatures w14:val="none"/>
        </w:rPr>
      </w:pPr>
      <w:r w:rsidRPr="00994531">
        <w:rPr>
          <w:rFonts w:eastAsia="Calibri" w:cs="Times New Roman"/>
          <w:kern w:val="0"/>
          <w:szCs w:val="24"/>
          <w14:ligatures w14:val="none"/>
        </w:rPr>
        <w:t xml:space="preserve">We first investigated the relative importance and impact of model predictors by </w:t>
      </w:r>
      <w:r w:rsidR="00871A3A">
        <w:rPr>
          <w:rFonts w:eastAsia="Calibri" w:cs="Times New Roman"/>
          <w:kern w:val="0"/>
          <w:szCs w:val="24"/>
          <w14:ligatures w14:val="none"/>
        </w:rPr>
        <w:t>plotting</w:t>
      </w:r>
      <w:r w:rsidR="00871A3A" w:rsidRPr="0085558C">
        <w:rPr>
          <w:rFonts w:eastAsia="Calibri" w:cs="Times New Roman"/>
          <w:kern w:val="0"/>
          <w:szCs w:val="24"/>
          <w14:ligatures w14:val="none"/>
        </w:rPr>
        <w:t xml:space="preserve"> Shapley values. Shapley values are an interpretable ML technique derived from game theory which </w:t>
      </w:r>
      <w:r w:rsidR="00871A3A" w:rsidRPr="0085558C">
        <w:rPr>
          <w:rFonts w:eastAsia="Calibri" w:cs="Times New Roman"/>
          <w:kern w:val="0"/>
          <w:szCs w:val="24"/>
          <w14:ligatures w14:val="none"/>
        </w:rPr>
        <w:lastRenderedPageBreak/>
        <w:t xml:space="preserve">quantify the marginal contribution of multiple factors toward a collective output. </w:t>
      </w:r>
      <w:r w:rsidR="00871A3A">
        <w:rPr>
          <w:rFonts w:eastAsia="Calibri" w:cs="Times New Roman"/>
          <w:kern w:val="0"/>
          <w:szCs w:val="24"/>
          <w14:ligatures w14:val="none"/>
        </w:rPr>
        <w:t>Positive and negative Shapley values indicate influence toward predicting hot moments and background emissions, respectively. T</w:t>
      </w:r>
      <w:r w:rsidR="00871A3A" w:rsidRPr="0085558C">
        <w:rPr>
          <w:rFonts w:eastAsia="Calibri" w:cs="Times New Roman"/>
          <w:kern w:val="0"/>
          <w:szCs w:val="24"/>
          <w14:ligatures w14:val="none"/>
        </w:rPr>
        <w:t xml:space="preserve">he magnitude of the Shapley value indicates the magnitude of impact on the prediction. </w:t>
      </w:r>
      <w:r w:rsidR="00871A3A">
        <w:rPr>
          <w:rFonts w:eastAsia="Calibri" w:cs="Times New Roman"/>
          <w:kern w:val="0"/>
          <w:szCs w:val="24"/>
          <w14:ligatures w14:val="none"/>
        </w:rPr>
        <w:t>E</w:t>
      </w:r>
      <w:r w:rsidR="00871A3A" w:rsidRPr="0085558C">
        <w:rPr>
          <w:rFonts w:eastAsia="Calibri" w:cs="Times New Roman"/>
          <w:kern w:val="0"/>
          <w:szCs w:val="24"/>
          <w14:ligatures w14:val="none"/>
        </w:rPr>
        <w:t>qual values of a predictor may have varying impacts on the model output depending upon relationships with other predictors.</w:t>
      </w:r>
      <w:r w:rsidRPr="00994531">
        <w:rPr>
          <w:rFonts w:eastAsia="Calibri" w:cs="Times New Roman"/>
          <w:kern w:val="0"/>
          <w:szCs w:val="24"/>
          <w14:ligatures w14:val="none"/>
        </w:rPr>
        <w:t xml:space="preserve"> Because of the large number of predictors, and that many were autocorrelated (such as the time-lagged soil moisture and temperature values), we plotted the ten most significant predictors based on having an absolute Shapley value of at least 0.05 and at most 90% redundancy with any other predictor.</w:t>
      </w:r>
    </w:p>
    <w:p w14:paraId="5F97ECBE" w14:textId="77777777" w:rsidR="00871A3A" w:rsidRPr="0085558C" w:rsidRDefault="00871A3A" w:rsidP="001B567A">
      <w:pPr>
        <w:spacing w:after="0" w:line="480" w:lineRule="auto"/>
        <w:rPr>
          <w:rFonts w:eastAsia="Calibri" w:cs="Times New Roman"/>
          <w:kern w:val="0"/>
          <w:szCs w:val="24"/>
          <w14:ligatures w14:val="none"/>
        </w:rPr>
      </w:pPr>
      <w:r w:rsidRPr="0085558C">
        <w:rPr>
          <w:rFonts w:eastAsia="Calibri" w:cs="Times New Roman"/>
          <w:kern w:val="0"/>
          <w:szCs w:val="24"/>
          <w14:ligatures w14:val="none"/>
        </w:rPr>
        <w:t xml:space="preserve">We further investigated the impact and interactions of four predictors- days since fertilization, type of fertilizer, soil VWC, and soil temperature- on the best </w:t>
      </w:r>
      <w:r>
        <w:rPr>
          <w:rFonts w:eastAsia="Calibri" w:cs="Times New Roman"/>
          <w:kern w:val="0"/>
          <w:szCs w:val="24"/>
          <w14:ligatures w14:val="none"/>
        </w:rPr>
        <w:t xml:space="preserve">overall </w:t>
      </w:r>
      <w:r w:rsidRPr="0085558C">
        <w:rPr>
          <w:rFonts w:eastAsia="Calibri" w:cs="Times New Roman"/>
          <w:kern w:val="0"/>
          <w:szCs w:val="24"/>
          <w14:ligatures w14:val="none"/>
        </w:rPr>
        <w:t xml:space="preserve">performing model. </w:t>
      </w:r>
      <w:r>
        <w:rPr>
          <w:rFonts w:eastAsia="Calibri" w:cs="Times New Roman"/>
          <w:kern w:val="0"/>
          <w:szCs w:val="24"/>
          <w14:ligatures w14:val="none"/>
        </w:rPr>
        <w:t>W</w:t>
      </w:r>
      <w:r w:rsidRPr="0085558C">
        <w:rPr>
          <w:rFonts w:eastAsia="Calibri" w:cs="Times New Roman"/>
          <w:kern w:val="0"/>
          <w:szCs w:val="24"/>
          <w14:ligatures w14:val="none"/>
        </w:rPr>
        <w:t>e</w:t>
      </w:r>
      <w:r>
        <w:rPr>
          <w:rFonts w:eastAsia="Calibri" w:cs="Times New Roman"/>
          <w:kern w:val="0"/>
          <w:szCs w:val="24"/>
          <w14:ligatures w14:val="none"/>
        </w:rPr>
        <w:t xml:space="preserve"> created heatmaps of predictions</w:t>
      </w:r>
      <w:r w:rsidRPr="0085558C">
        <w:rPr>
          <w:rFonts w:eastAsia="Calibri" w:cs="Times New Roman"/>
          <w:kern w:val="0"/>
          <w:szCs w:val="24"/>
          <w14:ligatures w14:val="none"/>
        </w:rPr>
        <w:t xml:space="preserve"> binned</w:t>
      </w:r>
      <w:r>
        <w:rPr>
          <w:rFonts w:eastAsia="Calibri" w:cs="Times New Roman"/>
          <w:kern w:val="0"/>
          <w:szCs w:val="24"/>
          <w14:ligatures w14:val="none"/>
        </w:rPr>
        <w:t xml:space="preserve"> by contemporaneous</w:t>
      </w:r>
      <w:r w:rsidRPr="0085558C">
        <w:rPr>
          <w:rFonts w:eastAsia="Calibri" w:cs="Times New Roman"/>
          <w:kern w:val="0"/>
          <w:szCs w:val="24"/>
          <w14:ligatures w14:val="none"/>
        </w:rPr>
        <w:t xml:space="preserve"> values of these four predictors</w:t>
      </w:r>
      <w:r>
        <w:rPr>
          <w:rFonts w:eastAsia="Calibri" w:cs="Times New Roman"/>
          <w:kern w:val="0"/>
          <w:szCs w:val="24"/>
          <w14:ligatures w14:val="none"/>
        </w:rPr>
        <w:t>. The result was similar to a two-factor partial dependence plot,</w:t>
      </w:r>
      <w:r w:rsidRPr="0085558C">
        <w:rPr>
          <w:rFonts w:eastAsia="Calibri" w:cs="Times New Roman"/>
          <w:kern w:val="0"/>
          <w:szCs w:val="24"/>
          <w14:ligatures w14:val="none"/>
        </w:rPr>
        <w:t xml:space="preserve"> </w:t>
      </w:r>
      <w:r>
        <w:rPr>
          <w:rFonts w:eastAsia="Calibri" w:cs="Times New Roman"/>
          <w:kern w:val="0"/>
          <w:szCs w:val="24"/>
          <w14:ligatures w14:val="none"/>
        </w:rPr>
        <w:t>visualizing trends of binary predictions in response to interactions between predictors</w:t>
      </w:r>
      <w:r w:rsidRPr="0085558C">
        <w:rPr>
          <w:rFonts w:eastAsia="Calibri" w:cs="Times New Roman"/>
          <w:kern w:val="0"/>
          <w:szCs w:val="24"/>
          <w14:ligatures w14:val="none"/>
        </w:rPr>
        <w:t xml:space="preserve">. </w:t>
      </w:r>
    </w:p>
    <w:p w14:paraId="62621B39" w14:textId="1F854EB2" w:rsidR="00871A3A" w:rsidRPr="0085558C" w:rsidRDefault="00871A3A" w:rsidP="001B567A">
      <w:pPr>
        <w:pStyle w:val="Heading2"/>
      </w:pPr>
      <w:bookmarkStart w:id="75" w:name="_Toc204282768"/>
      <w:r w:rsidRPr="0085558C">
        <w:t>Results</w:t>
      </w:r>
      <w:bookmarkEnd w:id="75"/>
    </w:p>
    <w:p w14:paraId="68BB509E" w14:textId="2040AAAD" w:rsidR="00871A3A" w:rsidRPr="0085558C" w:rsidRDefault="00871A3A" w:rsidP="001B567A">
      <w:pPr>
        <w:pStyle w:val="Heading3"/>
      </w:pPr>
      <w:bookmarkStart w:id="76" w:name="_Toc204282769"/>
      <w:r w:rsidRPr="0085558C">
        <w:t xml:space="preserve">Model </w:t>
      </w:r>
      <w:r w:rsidR="00FB5951">
        <w:t>p</w:t>
      </w:r>
      <w:r w:rsidRPr="0085558C">
        <w:t>erformances</w:t>
      </w:r>
      <w:bookmarkEnd w:id="76"/>
    </w:p>
    <w:p w14:paraId="01DE74D1" w14:textId="77777777" w:rsidR="00827B75" w:rsidRDefault="00871A3A" w:rsidP="001B567A">
      <w:pPr>
        <w:spacing w:after="0" w:line="480" w:lineRule="auto"/>
        <w:rPr>
          <w:rFonts w:eastAsia="Calibri" w:cs="Times New Roman"/>
          <w:kern w:val="0"/>
          <w:szCs w:val="24"/>
          <w14:ligatures w14:val="none"/>
        </w:rPr>
      </w:pPr>
      <w:r w:rsidRPr="0085558C">
        <w:rPr>
          <w:rFonts w:eastAsia="Calibri" w:cs="Times New Roman"/>
          <w:kern w:val="0"/>
          <w:szCs w:val="24"/>
          <w14:ligatures w14:val="none"/>
        </w:rPr>
        <w:t>The performance of models evaluated by MCC varied from 0.47 to 0.69 (</w:t>
      </w:r>
      <w:r w:rsidRPr="0071535E">
        <w:rPr>
          <w:rFonts w:eastAsia="Calibri" w:cs="Times New Roman"/>
          <w:b/>
          <w:kern w:val="0"/>
          <w:szCs w:val="24"/>
          <w14:ligatures w14:val="none"/>
        </w:rPr>
        <w:t xml:space="preserve">Table </w:t>
      </w:r>
      <w:r w:rsidR="0071535E" w:rsidRPr="0071535E">
        <w:rPr>
          <w:rFonts w:eastAsia="Calibri" w:cs="Times New Roman"/>
          <w:b/>
          <w:bCs/>
          <w:kern w:val="0"/>
          <w:szCs w:val="24"/>
          <w14:ligatures w14:val="none"/>
        </w:rPr>
        <w:t>3.</w:t>
      </w:r>
      <w:r w:rsidRPr="0071535E">
        <w:rPr>
          <w:rFonts w:eastAsia="Calibri" w:cs="Times New Roman"/>
          <w:b/>
          <w:kern w:val="0"/>
          <w:szCs w:val="24"/>
          <w14:ligatures w14:val="none"/>
        </w:rPr>
        <w:t>2</w:t>
      </w:r>
      <w:r w:rsidRPr="0085558C">
        <w:rPr>
          <w:rFonts w:eastAsia="Calibri" w:cs="Times New Roman"/>
          <w:kern w:val="0"/>
          <w:szCs w:val="24"/>
          <w14:ligatures w14:val="none"/>
        </w:rPr>
        <w:t xml:space="preserve">). Overall, RF and XGBoost models performed similarly and better than other model architectures. </w:t>
      </w:r>
      <w:r w:rsidRPr="009D3138">
        <w:rPr>
          <w:rFonts w:eastAsia="Calibri" w:cs="Times New Roman"/>
          <w:kern w:val="0"/>
          <w:szCs w:val="24"/>
          <w14:ligatures w14:val="none"/>
        </w:rPr>
        <w:t>M</w:t>
      </w:r>
      <w:r w:rsidRPr="0085558C">
        <w:rPr>
          <w:rFonts w:eastAsia="Calibri" w:cs="Times New Roman"/>
          <w:kern w:val="0"/>
          <w:szCs w:val="24"/>
          <w14:ligatures w14:val="none"/>
        </w:rPr>
        <w:t>odels trained on context-informed data labels achieved the highest prediction performance across model architectures</w:t>
      </w:r>
      <w:r>
        <w:rPr>
          <w:rFonts w:eastAsia="Calibri" w:cs="Times New Roman"/>
          <w:kern w:val="0"/>
          <w:szCs w:val="24"/>
          <w14:ligatures w14:val="none"/>
        </w:rPr>
        <w:t xml:space="preserve"> (0.62). T</w:t>
      </w:r>
      <w:r w:rsidRPr="0085558C">
        <w:rPr>
          <w:rFonts w:eastAsia="Calibri" w:cs="Times New Roman"/>
          <w:kern w:val="0"/>
          <w:szCs w:val="24"/>
          <w14:ligatures w14:val="none"/>
        </w:rPr>
        <w:t xml:space="preserve">he use of MAD or MCD for labeling training data </w:t>
      </w:r>
      <w:r>
        <w:rPr>
          <w:rFonts w:eastAsia="Calibri" w:cs="Times New Roman"/>
          <w:kern w:val="0"/>
          <w:szCs w:val="24"/>
          <w14:ligatures w14:val="none"/>
        </w:rPr>
        <w:t>each resulted in an</w:t>
      </w:r>
      <w:r w:rsidRPr="0085558C">
        <w:rPr>
          <w:rFonts w:eastAsia="Calibri" w:cs="Times New Roman"/>
          <w:kern w:val="0"/>
          <w:szCs w:val="24"/>
          <w14:ligatures w14:val="none"/>
        </w:rPr>
        <w:t xml:space="preserve"> </w:t>
      </w:r>
      <w:r>
        <w:rPr>
          <w:rFonts w:eastAsia="Calibri" w:cs="Times New Roman"/>
          <w:kern w:val="0"/>
          <w:szCs w:val="24"/>
          <w14:ligatures w14:val="none"/>
        </w:rPr>
        <w:t xml:space="preserve">average </w:t>
      </w:r>
      <w:r w:rsidRPr="0085558C">
        <w:rPr>
          <w:rFonts w:eastAsia="Calibri" w:cs="Times New Roman"/>
          <w:kern w:val="0"/>
          <w:szCs w:val="24"/>
          <w14:ligatures w14:val="none"/>
        </w:rPr>
        <w:t>MCC of 0.</w:t>
      </w:r>
      <w:r>
        <w:rPr>
          <w:rFonts w:eastAsia="Calibri" w:cs="Times New Roman"/>
          <w:kern w:val="0"/>
          <w:szCs w:val="24"/>
          <w14:ligatures w14:val="none"/>
        </w:rPr>
        <w:t>58, which was slightly lower (8%)</w:t>
      </w:r>
      <w:r w:rsidRPr="0085558C">
        <w:rPr>
          <w:rFonts w:eastAsia="Calibri" w:cs="Times New Roman"/>
          <w:kern w:val="0"/>
          <w:szCs w:val="24"/>
          <w14:ligatures w14:val="none"/>
        </w:rPr>
        <w:t xml:space="preserve"> </w:t>
      </w:r>
      <w:r>
        <w:rPr>
          <w:rFonts w:eastAsia="Calibri" w:cs="Times New Roman"/>
          <w:kern w:val="0"/>
          <w:szCs w:val="24"/>
          <w14:ligatures w14:val="none"/>
        </w:rPr>
        <w:t>than hand labeling</w:t>
      </w:r>
      <w:r w:rsidRPr="0085558C">
        <w:rPr>
          <w:rFonts w:eastAsia="Calibri" w:cs="Times New Roman"/>
          <w:kern w:val="0"/>
          <w:szCs w:val="24"/>
          <w14:ligatures w14:val="none"/>
        </w:rPr>
        <w:t>. IQR</w:t>
      </w:r>
      <w:r>
        <w:rPr>
          <w:rFonts w:eastAsia="Calibri" w:cs="Times New Roman"/>
          <w:kern w:val="0"/>
          <w:szCs w:val="24"/>
          <w14:ligatures w14:val="none"/>
        </w:rPr>
        <w:t xml:space="preserve"> </w:t>
      </w:r>
      <w:r w:rsidRPr="0085558C">
        <w:rPr>
          <w:rFonts w:eastAsia="Calibri" w:cs="Times New Roman"/>
          <w:kern w:val="0"/>
          <w:szCs w:val="24"/>
          <w14:ligatures w14:val="none"/>
        </w:rPr>
        <w:t xml:space="preserve">produced </w:t>
      </w:r>
      <w:r>
        <w:rPr>
          <w:rFonts w:eastAsia="Calibri" w:cs="Times New Roman"/>
          <w:kern w:val="0"/>
          <w:szCs w:val="24"/>
          <w14:ligatures w14:val="none"/>
        </w:rPr>
        <w:t xml:space="preserve">the lowest performing </w:t>
      </w:r>
      <w:r w:rsidRPr="0085558C">
        <w:rPr>
          <w:rFonts w:eastAsia="Calibri" w:cs="Times New Roman"/>
          <w:kern w:val="0"/>
          <w:szCs w:val="24"/>
          <w14:ligatures w14:val="none"/>
        </w:rPr>
        <w:t>models with an average MCC of 0.5</w:t>
      </w:r>
      <w:r>
        <w:rPr>
          <w:rFonts w:eastAsia="Calibri" w:cs="Times New Roman"/>
          <w:kern w:val="0"/>
          <w:szCs w:val="24"/>
          <w14:ligatures w14:val="none"/>
        </w:rPr>
        <w:t>3</w:t>
      </w:r>
      <w:r w:rsidRPr="0085558C">
        <w:rPr>
          <w:rFonts w:eastAsia="Calibri" w:cs="Times New Roman"/>
          <w:kern w:val="0"/>
          <w:szCs w:val="24"/>
          <w14:ligatures w14:val="none"/>
        </w:rPr>
        <w:t xml:space="preserve"> across architectures- 1</w:t>
      </w:r>
      <w:r>
        <w:rPr>
          <w:rFonts w:eastAsia="Calibri" w:cs="Times New Roman"/>
          <w:kern w:val="0"/>
          <w:szCs w:val="24"/>
          <w14:ligatures w14:val="none"/>
        </w:rPr>
        <w:t>4</w:t>
      </w:r>
      <w:r w:rsidRPr="0085558C">
        <w:rPr>
          <w:rFonts w:eastAsia="Calibri" w:cs="Times New Roman"/>
          <w:kern w:val="0"/>
          <w:szCs w:val="24"/>
          <w14:ligatures w14:val="none"/>
        </w:rPr>
        <w:t xml:space="preserve">% lower than when trained on hand-labeled data. The top performing model overall was therefore the </w:t>
      </w:r>
      <w:r w:rsidR="00340069">
        <w:rPr>
          <w:rFonts w:eastAsia="Calibri" w:cs="Times New Roman"/>
          <w:kern w:val="0"/>
          <w:szCs w:val="24"/>
          <w14:ligatures w14:val="none"/>
        </w:rPr>
        <w:t xml:space="preserve"> </w:t>
      </w:r>
    </w:p>
    <w:p w14:paraId="428CA170" w14:textId="77777777" w:rsidR="00827B75" w:rsidRDefault="00827B75" w:rsidP="00871A3A">
      <w:pPr>
        <w:spacing w:line="480" w:lineRule="auto"/>
        <w:rPr>
          <w:rFonts w:eastAsia="Calibri" w:cs="Times New Roman"/>
          <w:kern w:val="0"/>
          <w:szCs w:val="24"/>
          <w14:ligatures w14:val="none"/>
        </w:rPr>
      </w:pPr>
    </w:p>
    <w:p w14:paraId="5437A480" w14:textId="76B9DC13" w:rsidR="00340069" w:rsidRPr="00340069" w:rsidRDefault="00340069" w:rsidP="00340069">
      <w:pPr>
        <w:spacing w:line="240" w:lineRule="auto"/>
        <w:rPr>
          <w:rFonts w:eastAsia="Calibri" w:cs="Times New Roman"/>
          <w:noProof/>
          <w:kern w:val="0"/>
          <w:szCs w:val="24"/>
          <w14:ligatures w14:val="none"/>
        </w:rPr>
      </w:pPr>
      <w:bookmarkStart w:id="77" w:name="_Toc204261966"/>
      <w:r w:rsidRPr="00340069">
        <w:rPr>
          <w:b/>
          <w:bCs/>
        </w:rPr>
        <w:lastRenderedPageBreak/>
        <w:t>Table 3.</w:t>
      </w:r>
      <w:r w:rsidRPr="00340069">
        <w:rPr>
          <w:b/>
          <w:bCs/>
        </w:rPr>
        <w:fldChar w:fldCharType="begin"/>
      </w:r>
      <w:r w:rsidRPr="00340069">
        <w:rPr>
          <w:b/>
          <w:bCs/>
        </w:rPr>
        <w:instrText xml:space="preserve"> SEQ Table \* ARABIC \s 1 </w:instrText>
      </w:r>
      <w:r w:rsidRPr="00340069">
        <w:rPr>
          <w:b/>
          <w:bCs/>
        </w:rPr>
        <w:fldChar w:fldCharType="separate"/>
      </w:r>
      <w:r w:rsidRPr="00340069">
        <w:rPr>
          <w:b/>
          <w:bCs/>
          <w:noProof/>
        </w:rPr>
        <w:t>2</w:t>
      </w:r>
      <w:r w:rsidRPr="00340069">
        <w:rPr>
          <w:b/>
          <w:bCs/>
        </w:rPr>
        <w:fldChar w:fldCharType="end"/>
      </w:r>
      <w:r w:rsidRPr="0085558C">
        <w:rPr>
          <w:rFonts w:eastAsia="Calibri" w:cs="Times New Roman"/>
          <w:kern w:val="0"/>
          <w:szCs w:val="24"/>
          <w14:ligatures w14:val="none"/>
        </w:rPr>
        <w:t xml:space="preserve">: Matthews Correlation Coefficient </w:t>
      </w:r>
      <w:r w:rsidRPr="009D3138">
        <w:rPr>
          <w:rFonts w:eastAsia="Calibri" w:cs="Times New Roman"/>
          <w:kern w:val="0"/>
          <w:szCs w:val="24"/>
          <w14:ligatures w14:val="none"/>
        </w:rPr>
        <w:t xml:space="preserve">assesses the overall predictive power </w:t>
      </w:r>
      <w:r w:rsidRPr="0085558C">
        <w:rPr>
          <w:rFonts w:eastAsia="Calibri" w:cs="Times New Roman"/>
          <w:kern w:val="0"/>
          <w:szCs w:val="24"/>
          <w14:ligatures w14:val="none"/>
        </w:rPr>
        <w:t xml:space="preserve">of 20 hot moment prediction models which varied by </w:t>
      </w:r>
      <w:r w:rsidRPr="009D3138">
        <w:rPr>
          <w:rFonts w:eastAsia="Calibri" w:cs="Times New Roman"/>
          <w:kern w:val="0"/>
          <w:szCs w:val="24"/>
          <w14:ligatures w14:val="none"/>
        </w:rPr>
        <w:t>ML</w:t>
      </w:r>
      <w:r w:rsidRPr="0085558C">
        <w:rPr>
          <w:rFonts w:eastAsia="Calibri" w:cs="Times New Roman"/>
          <w:kern w:val="0"/>
          <w:szCs w:val="24"/>
          <w14:ligatures w14:val="none"/>
        </w:rPr>
        <w:t xml:space="preserve"> architecture and the method of classifying N</w:t>
      </w:r>
      <w:r w:rsidRPr="0085558C">
        <w:rPr>
          <w:rFonts w:eastAsia="Calibri" w:cs="Times New Roman"/>
          <w:kern w:val="0"/>
          <w:szCs w:val="24"/>
          <w:vertAlign w:val="subscript"/>
          <w14:ligatures w14:val="none"/>
        </w:rPr>
        <w:t>2</w:t>
      </w:r>
      <w:r w:rsidRPr="0085558C">
        <w:rPr>
          <w:rFonts w:eastAsia="Calibri" w:cs="Times New Roman"/>
          <w:kern w:val="0"/>
          <w:szCs w:val="24"/>
          <w14:ligatures w14:val="none"/>
        </w:rPr>
        <w:t>O fluxes as hot moments and background emissions in training data</w:t>
      </w:r>
      <w:r w:rsidRPr="009D3138">
        <w:rPr>
          <w:rFonts w:eastAsia="Calibri" w:cs="Times New Roman"/>
          <w:kern w:val="0"/>
          <w:szCs w:val="24"/>
          <w14:ligatures w14:val="none"/>
        </w:rPr>
        <w:t>. Average MCC</w:t>
      </w:r>
      <w:r w:rsidRPr="0085558C">
        <w:rPr>
          <w:rFonts w:eastAsia="Calibri" w:cs="Times New Roman"/>
          <w:noProof/>
          <w:kern w:val="0"/>
          <w:szCs w:val="24"/>
          <w14:ligatures w14:val="none"/>
        </w:rPr>
        <w:t xml:space="preserve"> </w:t>
      </w:r>
      <w:r w:rsidRPr="009D3138">
        <w:rPr>
          <w:rFonts w:eastAsia="Calibri" w:cs="Times New Roman"/>
          <w:noProof/>
          <w:kern w:val="0"/>
          <w:szCs w:val="24"/>
          <w14:ligatures w14:val="none"/>
        </w:rPr>
        <w:t>of models grouped by architecture and labeling method are also given.</w:t>
      </w:r>
      <w:bookmarkEnd w:id="77"/>
    </w:p>
    <w:tbl>
      <w:tblPr>
        <w:tblW w:w="9895" w:type="dxa"/>
        <w:tblLayout w:type="fixed"/>
        <w:tblCellMar>
          <w:top w:w="100" w:type="dxa"/>
          <w:left w:w="100" w:type="dxa"/>
          <w:bottom w:w="100" w:type="dxa"/>
          <w:right w:w="100" w:type="dxa"/>
        </w:tblCellMar>
        <w:tblLook w:val="0600" w:firstRow="0" w:lastRow="0" w:firstColumn="0" w:lastColumn="0" w:noHBand="1" w:noVBand="1"/>
      </w:tblPr>
      <w:tblGrid>
        <w:gridCol w:w="1530"/>
        <w:gridCol w:w="1297"/>
        <w:gridCol w:w="1414"/>
        <w:gridCol w:w="1413"/>
        <w:gridCol w:w="1414"/>
        <w:gridCol w:w="1413"/>
        <w:gridCol w:w="1414"/>
      </w:tblGrid>
      <w:tr w:rsidR="00340069" w:rsidRPr="0085558C" w14:paraId="5F86F0FF" w14:textId="77777777">
        <w:trPr>
          <w:trHeight w:val="649"/>
        </w:trPr>
        <w:tc>
          <w:tcPr>
            <w:tcW w:w="1530" w:type="dxa"/>
            <w:tcBorders>
              <w:top w:val="single" w:sz="4" w:space="0" w:color="auto"/>
              <w:bottom w:val="single" w:sz="12" w:space="0" w:color="auto"/>
              <w:right w:val="single" w:sz="4" w:space="0" w:color="auto"/>
            </w:tcBorders>
            <w:tcMar>
              <w:top w:w="100" w:type="dxa"/>
              <w:left w:w="100" w:type="dxa"/>
              <w:bottom w:w="100" w:type="dxa"/>
              <w:right w:w="100" w:type="dxa"/>
            </w:tcMar>
            <w:vAlign w:val="center"/>
          </w:tcPr>
          <w:p w14:paraId="75AEB284" w14:textId="77777777" w:rsidR="00340069" w:rsidRPr="0085558C" w:rsidRDefault="00340069">
            <w:pPr>
              <w:spacing w:line="240" w:lineRule="auto"/>
              <w:jc w:val="center"/>
              <w:rPr>
                <w:rFonts w:eastAsia="Calibri" w:cs="Times New Roman"/>
                <w:kern w:val="0"/>
                <w:szCs w:val="24"/>
                <w14:ligatures w14:val="none"/>
              </w:rPr>
            </w:pPr>
            <w:r w:rsidRPr="0085558C">
              <w:rPr>
                <w:rFonts w:eastAsia="Calibri" w:cs="Times New Roman"/>
                <w:kern w:val="0"/>
                <w:szCs w:val="24"/>
                <w14:ligatures w14:val="none"/>
              </w:rPr>
              <w:t>Classification Method</w:t>
            </w:r>
          </w:p>
        </w:tc>
        <w:tc>
          <w:tcPr>
            <w:tcW w:w="1297" w:type="dxa"/>
            <w:tcBorders>
              <w:top w:val="single" w:sz="4" w:space="0" w:color="auto"/>
              <w:left w:val="single" w:sz="4" w:space="0" w:color="auto"/>
              <w:bottom w:val="single" w:sz="12" w:space="0" w:color="auto"/>
            </w:tcBorders>
            <w:tcMar>
              <w:top w:w="100" w:type="dxa"/>
              <w:left w:w="100" w:type="dxa"/>
              <w:bottom w:w="100" w:type="dxa"/>
              <w:right w:w="100" w:type="dxa"/>
            </w:tcMar>
            <w:vAlign w:val="center"/>
          </w:tcPr>
          <w:p w14:paraId="4A0360FF" w14:textId="77777777" w:rsidR="00340069" w:rsidRPr="0085558C" w:rsidRDefault="00340069">
            <w:pPr>
              <w:spacing w:line="240" w:lineRule="auto"/>
              <w:jc w:val="center"/>
              <w:rPr>
                <w:rFonts w:eastAsia="Calibri" w:cs="Times New Roman"/>
                <w:kern w:val="0"/>
                <w:szCs w:val="24"/>
                <w14:ligatures w14:val="none"/>
              </w:rPr>
            </w:pPr>
            <w:r w:rsidRPr="0085558C">
              <w:rPr>
                <w:rFonts w:eastAsia="Calibri" w:cs="Times New Roman"/>
                <w:kern w:val="0"/>
                <w:szCs w:val="24"/>
                <w14:ligatures w14:val="none"/>
              </w:rPr>
              <w:t>Random Forest</w:t>
            </w:r>
          </w:p>
        </w:tc>
        <w:tc>
          <w:tcPr>
            <w:tcW w:w="1414" w:type="dxa"/>
            <w:tcBorders>
              <w:top w:val="single" w:sz="4" w:space="0" w:color="auto"/>
              <w:bottom w:val="single" w:sz="12" w:space="0" w:color="auto"/>
            </w:tcBorders>
            <w:vAlign w:val="center"/>
          </w:tcPr>
          <w:p w14:paraId="7EACF7F7" w14:textId="77777777" w:rsidR="00340069" w:rsidRPr="0085558C" w:rsidRDefault="00340069">
            <w:pPr>
              <w:spacing w:line="240" w:lineRule="auto"/>
              <w:jc w:val="center"/>
              <w:rPr>
                <w:rFonts w:eastAsia="Calibri" w:cs="Times New Roman"/>
                <w:kern w:val="0"/>
                <w:szCs w:val="24"/>
                <w14:ligatures w14:val="none"/>
              </w:rPr>
            </w:pPr>
            <w:r w:rsidRPr="0085558C">
              <w:rPr>
                <w:rFonts w:eastAsia="Calibri" w:cs="Times New Roman"/>
                <w:kern w:val="0"/>
                <w:szCs w:val="24"/>
                <w14:ligatures w14:val="none"/>
              </w:rPr>
              <w:t>Multilayer Perceptron</w:t>
            </w:r>
          </w:p>
        </w:tc>
        <w:tc>
          <w:tcPr>
            <w:tcW w:w="1413" w:type="dxa"/>
            <w:tcBorders>
              <w:top w:val="single" w:sz="4" w:space="0" w:color="auto"/>
              <w:bottom w:val="single" w:sz="12" w:space="0" w:color="auto"/>
            </w:tcBorders>
            <w:vAlign w:val="center"/>
          </w:tcPr>
          <w:p w14:paraId="4CB1BD0F" w14:textId="77777777" w:rsidR="00340069" w:rsidRPr="0085558C" w:rsidRDefault="00340069">
            <w:pPr>
              <w:spacing w:line="240" w:lineRule="auto"/>
              <w:jc w:val="center"/>
              <w:rPr>
                <w:rFonts w:eastAsia="Calibri" w:cs="Times New Roman"/>
                <w:kern w:val="0"/>
                <w:szCs w:val="24"/>
                <w14:ligatures w14:val="none"/>
              </w:rPr>
            </w:pPr>
            <w:r w:rsidRPr="0085558C">
              <w:rPr>
                <w:rFonts w:eastAsia="Calibri" w:cs="Times New Roman"/>
                <w:kern w:val="0"/>
                <w:szCs w:val="24"/>
                <w14:ligatures w14:val="none"/>
              </w:rPr>
              <w:t>XGBoost</w:t>
            </w:r>
          </w:p>
        </w:tc>
        <w:tc>
          <w:tcPr>
            <w:tcW w:w="1414" w:type="dxa"/>
            <w:tcBorders>
              <w:top w:val="single" w:sz="4" w:space="0" w:color="auto"/>
              <w:bottom w:val="single" w:sz="12" w:space="0" w:color="auto"/>
            </w:tcBorders>
            <w:vAlign w:val="center"/>
          </w:tcPr>
          <w:p w14:paraId="59AECBE1" w14:textId="77777777" w:rsidR="00340069" w:rsidRPr="0085558C" w:rsidRDefault="00340069">
            <w:pPr>
              <w:spacing w:line="240" w:lineRule="auto"/>
              <w:jc w:val="center"/>
              <w:rPr>
                <w:rFonts w:eastAsia="Calibri" w:cs="Times New Roman"/>
                <w:kern w:val="0"/>
                <w:szCs w:val="24"/>
                <w14:ligatures w14:val="none"/>
              </w:rPr>
            </w:pPr>
            <w:r w:rsidRPr="0085558C">
              <w:rPr>
                <w:rFonts w:eastAsia="Calibri" w:cs="Times New Roman"/>
                <w:kern w:val="0"/>
                <w:szCs w:val="24"/>
                <w14:ligatures w14:val="none"/>
              </w:rPr>
              <w:t>KNN</w:t>
            </w:r>
          </w:p>
        </w:tc>
        <w:tc>
          <w:tcPr>
            <w:tcW w:w="1413" w:type="dxa"/>
            <w:tcBorders>
              <w:top w:val="single" w:sz="4" w:space="0" w:color="auto"/>
              <w:bottom w:val="single" w:sz="12" w:space="0" w:color="auto"/>
              <w:right w:val="single" w:sz="4" w:space="0" w:color="auto"/>
            </w:tcBorders>
            <w:vAlign w:val="center"/>
          </w:tcPr>
          <w:p w14:paraId="21D05201" w14:textId="77777777" w:rsidR="00340069" w:rsidRPr="0085558C" w:rsidRDefault="00340069">
            <w:pPr>
              <w:spacing w:line="240" w:lineRule="auto"/>
              <w:jc w:val="center"/>
              <w:rPr>
                <w:rFonts w:eastAsia="Calibri" w:cs="Times New Roman"/>
                <w:kern w:val="0"/>
                <w:szCs w:val="24"/>
                <w14:ligatures w14:val="none"/>
              </w:rPr>
            </w:pPr>
            <w:r w:rsidRPr="0085558C">
              <w:rPr>
                <w:rFonts w:eastAsia="Calibri" w:cs="Times New Roman"/>
                <w:kern w:val="0"/>
                <w:szCs w:val="24"/>
                <w14:ligatures w14:val="none"/>
              </w:rPr>
              <w:t>SVC</w:t>
            </w:r>
          </w:p>
        </w:tc>
        <w:tc>
          <w:tcPr>
            <w:tcW w:w="1414" w:type="dxa"/>
            <w:tcBorders>
              <w:top w:val="single" w:sz="4" w:space="0" w:color="auto"/>
              <w:left w:val="single" w:sz="4" w:space="0" w:color="auto"/>
              <w:bottom w:val="single" w:sz="12" w:space="0" w:color="auto"/>
            </w:tcBorders>
            <w:vAlign w:val="center"/>
          </w:tcPr>
          <w:p w14:paraId="4FE6ACFB" w14:textId="77777777" w:rsidR="00340069" w:rsidRPr="0085558C" w:rsidRDefault="00340069">
            <w:pPr>
              <w:spacing w:line="240" w:lineRule="auto"/>
              <w:jc w:val="center"/>
              <w:rPr>
                <w:rFonts w:eastAsia="Calibri" w:cs="Times New Roman"/>
                <w:kern w:val="0"/>
                <w:szCs w:val="24"/>
                <w14:ligatures w14:val="none"/>
              </w:rPr>
            </w:pPr>
            <w:r w:rsidRPr="0085558C">
              <w:rPr>
                <w:rFonts w:eastAsia="Calibri" w:cs="Times New Roman"/>
                <w:kern w:val="0"/>
                <w:szCs w:val="24"/>
                <w14:ligatures w14:val="none"/>
              </w:rPr>
              <w:t>Average</w:t>
            </w:r>
          </w:p>
        </w:tc>
      </w:tr>
      <w:tr w:rsidR="00340069" w:rsidRPr="0085558C" w14:paraId="04462E67" w14:textId="77777777">
        <w:trPr>
          <w:trHeight w:val="18"/>
        </w:trPr>
        <w:tc>
          <w:tcPr>
            <w:tcW w:w="1530" w:type="dxa"/>
            <w:tcBorders>
              <w:top w:val="single" w:sz="12" w:space="0" w:color="auto"/>
              <w:right w:val="single" w:sz="4" w:space="0" w:color="auto"/>
            </w:tcBorders>
            <w:tcMar>
              <w:top w:w="100" w:type="dxa"/>
              <w:left w:w="100" w:type="dxa"/>
              <w:bottom w:w="100" w:type="dxa"/>
              <w:right w:w="100" w:type="dxa"/>
            </w:tcMar>
          </w:tcPr>
          <w:p w14:paraId="56D86258" w14:textId="77777777" w:rsidR="00340069" w:rsidRPr="0085558C" w:rsidRDefault="00340069">
            <w:pPr>
              <w:spacing w:line="240" w:lineRule="auto"/>
              <w:jc w:val="center"/>
              <w:rPr>
                <w:rFonts w:eastAsia="Calibri" w:cs="Times New Roman"/>
                <w:kern w:val="0"/>
                <w:szCs w:val="24"/>
                <w14:ligatures w14:val="none"/>
              </w:rPr>
            </w:pPr>
            <w:r w:rsidRPr="0085558C">
              <w:rPr>
                <w:rFonts w:eastAsia="Calibri" w:cs="Times New Roman"/>
                <w:kern w:val="0"/>
                <w:szCs w:val="24"/>
                <w14:ligatures w14:val="none"/>
              </w:rPr>
              <w:t>MAD</w:t>
            </w:r>
          </w:p>
        </w:tc>
        <w:tc>
          <w:tcPr>
            <w:tcW w:w="1297" w:type="dxa"/>
            <w:tcBorders>
              <w:top w:val="single" w:sz="12" w:space="0" w:color="auto"/>
              <w:left w:val="single" w:sz="4" w:space="0" w:color="auto"/>
            </w:tcBorders>
            <w:tcMar>
              <w:top w:w="100" w:type="dxa"/>
              <w:left w:w="100" w:type="dxa"/>
              <w:bottom w:w="100" w:type="dxa"/>
              <w:right w:w="100" w:type="dxa"/>
            </w:tcMar>
          </w:tcPr>
          <w:p w14:paraId="46419F89" w14:textId="77777777" w:rsidR="00340069" w:rsidRPr="0085558C" w:rsidRDefault="00340069">
            <w:pPr>
              <w:spacing w:line="240" w:lineRule="auto"/>
              <w:jc w:val="center"/>
              <w:rPr>
                <w:rFonts w:eastAsia="Calibri" w:cs="Times New Roman"/>
                <w:kern w:val="0"/>
                <w:szCs w:val="24"/>
                <w14:ligatures w14:val="none"/>
              </w:rPr>
            </w:pPr>
            <w:r w:rsidRPr="0085558C">
              <w:rPr>
                <w:rFonts w:eastAsia="Calibri" w:cs="Times New Roman"/>
                <w:kern w:val="0"/>
                <w:szCs w:val="24"/>
                <w14:ligatures w14:val="none"/>
              </w:rPr>
              <w:t>0.63</w:t>
            </w:r>
          </w:p>
        </w:tc>
        <w:tc>
          <w:tcPr>
            <w:tcW w:w="1414" w:type="dxa"/>
            <w:tcBorders>
              <w:top w:val="single" w:sz="12" w:space="0" w:color="auto"/>
            </w:tcBorders>
          </w:tcPr>
          <w:p w14:paraId="5E92353E" w14:textId="77777777" w:rsidR="00340069" w:rsidRPr="0085558C" w:rsidRDefault="00340069">
            <w:pPr>
              <w:spacing w:line="240" w:lineRule="auto"/>
              <w:jc w:val="center"/>
              <w:rPr>
                <w:rFonts w:eastAsia="Calibri" w:cs="Times New Roman"/>
                <w:kern w:val="0"/>
                <w:szCs w:val="24"/>
                <w14:ligatures w14:val="none"/>
              </w:rPr>
            </w:pPr>
            <w:r w:rsidRPr="0085558C">
              <w:rPr>
                <w:rFonts w:eastAsia="Calibri" w:cs="Times New Roman"/>
                <w:kern w:val="0"/>
                <w:szCs w:val="24"/>
                <w14:ligatures w14:val="none"/>
              </w:rPr>
              <w:t>0.54</w:t>
            </w:r>
          </w:p>
        </w:tc>
        <w:tc>
          <w:tcPr>
            <w:tcW w:w="1413" w:type="dxa"/>
            <w:tcBorders>
              <w:top w:val="single" w:sz="12" w:space="0" w:color="auto"/>
            </w:tcBorders>
          </w:tcPr>
          <w:p w14:paraId="2A1169A3" w14:textId="77777777" w:rsidR="00340069" w:rsidRPr="0085558C" w:rsidRDefault="00340069">
            <w:pPr>
              <w:spacing w:line="240" w:lineRule="auto"/>
              <w:jc w:val="center"/>
              <w:rPr>
                <w:rFonts w:eastAsia="Calibri" w:cs="Times New Roman"/>
                <w:kern w:val="0"/>
                <w:szCs w:val="24"/>
                <w14:ligatures w14:val="none"/>
              </w:rPr>
            </w:pPr>
            <w:r w:rsidRPr="0085558C">
              <w:rPr>
                <w:rFonts w:eastAsia="Calibri" w:cs="Times New Roman"/>
                <w:kern w:val="0"/>
                <w:szCs w:val="24"/>
                <w14:ligatures w14:val="none"/>
              </w:rPr>
              <w:t>0.6</w:t>
            </w:r>
            <w:r>
              <w:rPr>
                <w:rFonts w:eastAsia="Calibri" w:cs="Times New Roman"/>
                <w:kern w:val="0"/>
                <w:szCs w:val="24"/>
                <w14:ligatures w14:val="none"/>
              </w:rPr>
              <w:t>4</w:t>
            </w:r>
          </w:p>
        </w:tc>
        <w:tc>
          <w:tcPr>
            <w:tcW w:w="1414" w:type="dxa"/>
            <w:tcBorders>
              <w:top w:val="single" w:sz="12" w:space="0" w:color="auto"/>
            </w:tcBorders>
          </w:tcPr>
          <w:p w14:paraId="790E4B15" w14:textId="77777777" w:rsidR="00340069" w:rsidRPr="0085558C" w:rsidRDefault="00340069">
            <w:pPr>
              <w:spacing w:line="240" w:lineRule="auto"/>
              <w:jc w:val="center"/>
              <w:rPr>
                <w:rFonts w:eastAsia="Calibri" w:cs="Times New Roman"/>
                <w:kern w:val="0"/>
                <w:szCs w:val="24"/>
                <w14:ligatures w14:val="none"/>
              </w:rPr>
            </w:pPr>
            <w:r w:rsidRPr="0085558C">
              <w:rPr>
                <w:rFonts w:eastAsia="Calibri" w:cs="Times New Roman"/>
                <w:kern w:val="0"/>
                <w:szCs w:val="24"/>
                <w14:ligatures w14:val="none"/>
              </w:rPr>
              <w:t>0.52</w:t>
            </w:r>
          </w:p>
        </w:tc>
        <w:tc>
          <w:tcPr>
            <w:tcW w:w="1413" w:type="dxa"/>
            <w:tcBorders>
              <w:top w:val="single" w:sz="12" w:space="0" w:color="auto"/>
              <w:right w:val="single" w:sz="4" w:space="0" w:color="auto"/>
            </w:tcBorders>
          </w:tcPr>
          <w:p w14:paraId="34635FAA" w14:textId="77777777" w:rsidR="00340069" w:rsidRPr="0085558C" w:rsidRDefault="00340069">
            <w:pPr>
              <w:spacing w:line="240" w:lineRule="auto"/>
              <w:jc w:val="center"/>
              <w:rPr>
                <w:rFonts w:eastAsia="Calibri" w:cs="Times New Roman"/>
                <w:kern w:val="0"/>
                <w:szCs w:val="24"/>
                <w14:ligatures w14:val="none"/>
              </w:rPr>
            </w:pPr>
            <w:r w:rsidRPr="0085558C">
              <w:rPr>
                <w:rFonts w:eastAsia="Calibri" w:cs="Times New Roman"/>
                <w:kern w:val="0"/>
                <w:szCs w:val="24"/>
                <w14:ligatures w14:val="none"/>
              </w:rPr>
              <w:t>0.57</w:t>
            </w:r>
          </w:p>
        </w:tc>
        <w:tc>
          <w:tcPr>
            <w:tcW w:w="1414" w:type="dxa"/>
            <w:tcBorders>
              <w:top w:val="single" w:sz="12" w:space="0" w:color="auto"/>
              <w:left w:val="single" w:sz="4" w:space="0" w:color="auto"/>
            </w:tcBorders>
          </w:tcPr>
          <w:p w14:paraId="6359BA1F" w14:textId="77777777" w:rsidR="00340069" w:rsidRPr="0085558C" w:rsidRDefault="00340069">
            <w:pPr>
              <w:spacing w:line="240" w:lineRule="auto"/>
              <w:jc w:val="center"/>
              <w:rPr>
                <w:rFonts w:eastAsia="Calibri" w:cs="Times New Roman"/>
                <w:kern w:val="0"/>
                <w:szCs w:val="24"/>
                <w14:ligatures w14:val="none"/>
              </w:rPr>
            </w:pPr>
            <w:r w:rsidRPr="0085558C">
              <w:rPr>
                <w:rFonts w:eastAsia="Calibri" w:cs="Times New Roman"/>
                <w:kern w:val="0"/>
                <w:szCs w:val="24"/>
                <w14:ligatures w14:val="none"/>
              </w:rPr>
              <w:t>0.58</w:t>
            </w:r>
          </w:p>
        </w:tc>
      </w:tr>
      <w:tr w:rsidR="00340069" w:rsidRPr="0085558C" w14:paraId="48E76D29" w14:textId="77777777">
        <w:trPr>
          <w:trHeight w:val="359"/>
        </w:trPr>
        <w:tc>
          <w:tcPr>
            <w:tcW w:w="1530" w:type="dxa"/>
            <w:tcBorders>
              <w:right w:val="single" w:sz="4" w:space="0" w:color="auto"/>
            </w:tcBorders>
            <w:tcMar>
              <w:top w:w="100" w:type="dxa"/>
              <w:left w:w="100" w:type="dxa"/>
              <w:bottom w:w="100" w:type="dxa"/>
              <w:right w:w="100" w:type="dxa"/>
            </w:tcMar>
          </w:tcPr>
          <w:p w14:paraId="136ED18E" w14:textId="77777777" w:rsidR="00340069" w:rsidRPr="0085558C" w:rsidRDefault="00340069">
            <w:pPr>
              <w:spacing w:line="240" w:lineRule="auto"/>
              <w:jc w:val="center"/>
              <w:rPr>
                <w:rFonts w:eastAsia="Calibri" w:cs="Times New Roman"/>
                <w:kern w:val="0"/>
                <w:szCs w:val="24"/>
                <w14:ligatures w14:val="none"/>
              </w:rPr>
            </w:pPr>
            <w:r w:rsidRPr="0085558C">
              <w:rPr>
                <w:rFonts w:eastAsia="Calibri" w:cs="Times New Roman"/>
                <w:kern w:val="0"/>
                <w:szCs w:val="24"/>
                <w14:ligatures w14:val="none"/>
              </w:rPr>
              <w:t>MCD</w:t>
            </w:r>
          </w:p>
        </w:tc>
        <w:tc>
          <w:tcPr>
            <w:tcW w:w="1297" w:type="dxa"/>
            <w:tcBorders>
              <w:left w:val="single" w:sz="4" w:space="0" w:color="auto"/>
            </w:tcBorders>
            <w:tcMar>
              <w:top w:w="100" w:type="dxa"/>
              <w:left w:w="100" w:type="dxa"/>
              <w:bottom w:w="100" w:type="dxa"/>
              <w:right w:w="100" w:type="dxa"/>
            </w:tcMar>
          </w:tcPr>
          <w:p w14:paraId="1D69E78A" w14:textId="77777777" w:rsidR="00340069" w:rsidRPr="0085558C" w:rsidRDefault="00340069">
            <w:pPr>
              <w:spacing w:line="240" w:lineRule="auto"/>
              <w:jc w:val="center"/>
              <w:rPr>
                <w:rFonts w:eastAsia="Calibri" w:cs="Times New Roman"/>
                <w:kern w:val="0"/>
                <w:szCs w:val="24"/>
                <w14:ligatures w14:val="none"/>
              </w:rPr>
            </w:pPr>
            <w:r w:rsidRPr="0085558C">
              <w:rPr>
                <w:rFonts w:eastAsia="Calibri" w:cs="Times New Roman"/>
                <w:kern w:val="0"/>
                <w:szCs w:val="24"/>
                <w14:ligatures w14:val="none"/>
              </w:rPr>
              <w:t>0.62</w:t>
            </w:r>
          </w:p>
        </w:tc>
        <w:tc>
          <w:tcPr>
            <w:tcW w:w="1414" w:type="dxa"/>
          </w:tcPr>
          <w:p w14:paraId="02E46065" w14:textId="77777777" w:rsidR="00340069" w:rsidRPr="0085558C" w:rsidRDefault="00340069">
            <w:pPr>
              <w:spacing w:line="240" w:lineRule="auto"/>
              <w:jc w:val="center"/>
              <w:rPr>
                <w:rFonts w:eastAsia="Calibri" w:cs="Times New Roman"/>
                <w:kern w:val="0"/>
                <w:szCs w:val="24"/>
                <w14:ligatures w14:val="none"/>
              </w:rPr>
            </w:pPr>
            <w:r w:rsidRPr="0085558C">
              <w:rPr>
                <w:rFonts w:eastAsia="Calibri" w:cs="Times New Roman"/>
                <w:kern w:val="0"/>
                <w:szCs w:val="24"/>
                <w14:ligatures w14:val="none"/>
              </w:rPr>
              <w:t>0.55</w:t>
            </w:r>
          </w:p>
        </w:tc>
        <w:tc>
          <w:tcPr>
            <w:tcW w:w="1413" w:type="dxa"/>
          </w:tcPr>
          <w:p w14:paraId="0E52AC34" w14:textId="77777777" w:rsidR="00340069" w:rsidRPr="0085558C" w:rsidRDefault="00340069">
            <w:pPr>
              <w:spacing w:line="240" w:lineRule="auto"/>
              <w:jc w:val="center"/>
              <w:rPr>
                <w:rFonts w:eastAsia="Calibri" w:cs="Times New Roman"/>
                <w:kern w:val="0"/>
                <w:szCs w:val="24"/>
                <w14:ligatures w14:val="none"/>
              </w:rPr>
            </w:pPr>
            <w:r w:rsidRPr="0085558C">
              <w:rPr>
                <w:rFonts w:eastAsia="Calibri" w:cs="Times New Roman"/>
                <w:kern w:val="0"/>
                <w:szCs w:val="24"/>
                <w14:ligatures w14:val="none"/>
              </w:rPr>
              <w:t>0.6</w:t>
            </w:r>
            <w:r>
              <w:rPr>
                <w:rFonts w:eastAsia="Calibri" w:cs="Times New Roman"/>
                <w:kern w:val="0"/>
                <w:szCs w:val="24"/>
                <w14:ligatures w14:val="none"/>
              </w:rPr>
              <w:t>3</w:t>
            </w:r>
          </w:p>
        </w:tc>
        <w:tc>
          <w:tcPr>
            <w:tcW w:w="1414" w:type="dxa"/>
          </w:tcPr>
          <w:p w14:paraId="14A51280" w14:textId="77777777" w:rsidR="00340069" w:rsidRPr="0085558C" w:rsidRDefault="00340069">
            <w:pPr>
              <w:spacing w:line="240" w:lineRule="auto"/>
              <w:jc w:val="center"/>
              <w:rPr>
                <w:rFonts w:eastAsia="Calibri" w:cs="Times New Roman"/>
                <w:kern w:val="0"/>
                <w:szCs w:val="24"/>
                <w14:ligatures w14:val="none"/>
              </w:rPr>
            </w:pPr>
            <w:r w:rsidRPr="0085558C">
              <w:rPr>
                <w:rFonts w:eastAsia="Calibri" w:cs="Times New Roman"/>
                <w:kern w:val="0"/>
                <w:szCs w:val="24"/>
                <w14:ligatures w14:val="none"/>
              </w:rPr>
              <w:t>0.51</w:t>
            </w:r>
          </w:p>
        </w:tc>
        <w:tc>
          <w:tcPr>
            <w:tcW w:w="1413" w:type="dxa"/>
            <w:tcBorders>
              <w:right w:val="single" w:sz="4" w:space="0" w:color="auto"/>
            </w:tcBorders>
          </w:tcPr>
          <w:p w14:paraId="1BC3672F" w14:textId="77777777" w:rsidR="00340069" w:rsidRPr="0085558C" w:rsidRDefault="00340069">
            <w:pPr>
              <w:spacing w:line="240" w:lineRule="auto"/>
              <w:jc w:val="center"/>
              <w:rPr>
                <w:rFonts w:eastAsia="Calibri" w:cs="Times New Roman"/>
                <w:kern w:val="0"/>
                <w:szCs w:val="24"/>
                <w14:ligatures w14:val="none"/>
              </w:rPr>
            </w:pPr>
            <w:r w:rsidRPr="0085558C">
              <w:rPr>
                <w:rFonts w:eastAsia="Calibri" w:cs="Times New Roman"/>
                <w:kern w:val="0"/>
                <w:szCs w:val="24"/>
                <w14:ligatures w14:val="none"/>
              </w:rPr>
              <w:t>0.58</w:t>
            </w:r>
          </w:p>
        </w:tc>
        <w:tc>
          <w:tcPr>
            <w:tcW w:w="1414" w:type="dxa"/>
            <w:tcBorders>
              <w:left w:val="single" w:sz="4" w:space="0" w:color="auto"/>
            </w:tcBorders>
          </w:tcPr>
          <w:p w14:paraId="325A2FC5" w14:textId="77777777" w:rsidR="00340069" w:rsidRPr="0085558C" w:rsidRDefault="00340069">
            <w:pPr>
              <w:spacing w:line="240" w:lineRule="auto"/>
              <w:jc w:val="center"/>
              <w:rPr>
                <w:rFonts w:eastAsia="Calibri" w:cs="Times New Roman"/>
                <w:kern w:val="0"/>
                <w:szCs w:val="24"/>
                <w14:ligatures w14:val="none"/>
              </w:rPr>
            </w:pPr>
            <w:r w:rsidRPr="0085558C">
              <w:rPr>
                <w:rFonts w:eastAsia="Calibri" w:cs="Times New Roman"/>
                <w:kern w:val="0"/>
                <w:szCs w:val="24"/>
                <w14:ligatures w14:val="none"/>
              </w:rPr>
              <w:t>0.58</w:t>
            </w:r>
          </w:p>
        </w:tc>
      </w:tr>
      <w:tr w:rsidR="00340069" w:rsidRPr="0085558C" w14:paraId="0D48E4E5" w14:textId="77777777">
        <w:trPr>
          <w:trHeight w:val="347"/>
        </w:trPr>
        <w:tc>
          <w:tcPr>
            <w:tcW w:w="1530" w:type="dxa"/>
            <w:tcBorders>
              <w:right w:val="single" w:sz="4" w:space="0" w:color="auto"/>
            </w:tcBorders>
            <w:tcMar>
              <w:top w:w="100" w:type="dxa"/>
              <w:left w:w="100" w:type="dxa"/>
              <w:bottom w:w="100" w:type="dxa"/>
              <w:right w:w="100" w:type="dxa"/>
            </w:tcMar>
          </w:tcPr>
          <w:p w14:paraId="71539A81" w14:textId="77777777" w:rsidR="00340069" w:rsidRPr="0085558C" w:rsidRDefault="00340069">
            <w:pPr>
              <w:spacing w:line="240" w:lineRule="auto"/>
              <w:jc w:val="center"/>
              <w:rPr>
                <w:rFonts w:eastAsia="Calibri" w:cs="Times New Roman"/>
                <w:kern w:val="0"/>
                <w:szCs w:val="24"/>
                <w14:ligatures w14:val="none"/>
              </w:rPr>
            </w:pPr>
            <w:r w:rsidRPr="0085558C">
              <w:rPr>
                <w:rFonts w:eastAsia="Calibri" w:cs="Times New Roman"/>
                <w:kern w:val="0"/>
                <w:szCs w:val="24"/>
                <w14:ligatures w14:val="none"/>
              </w:rPr>
              <w:t>1.5 IQR</w:t>
            </w:r>
          </w:p>
        </w:tc>
        <w:tc>
          <w:tcPr>
            <w:tcW w:w="1297" w:type="dxa"/>
            <w:tcBorders>
              <w:left w:val="single" w:sz="4" w:space="0" w:color="auto"/>
            </w:tcBorders>
            <w:tcMar>
              <w:top w:w="100" w:type="dxa"/>
              <w:left w:w="100" w:type="dxa"/>
              <w:bottom w:w="100" w:type="dxa"/>
              <w:right w:w="100" w:type="dxa"/>
            </w:tcMar>
          </w:tcPr>
          <w:p w14:paraId="2F5B342F" w14:textId="77777777" w:rsidR="00340069" w:rsidRPr="0085558C" w:rsidRDefault="00340069">
            <w:pPr>
              <w:spacing w:line="240" w:lineRule="auto"/>
              <w:jc w:val="center"/>
              <w:rPr>
                <w:rFonts w:eastAsia="Calibri" w:cs="Times New Roman"/>
                <w:kern w:val="0"/>
                <w:szCs w:val="24"/>
                <w14:ligatures w14:val="none"/>
              </w:rPr>
            </w:pPr>
            <w:r w:rsidRPr="0085558C">
              <w:rPr>
                <w:rFonts w:eastAsia="Calibri" w:cs="Times New Roman"/>
                <w:kern w:val="0"/>
                <w:szCs w:val="24"/>
                <w14:ligatures w14:val="none"/>
              </w:rPr>
              <w:t>0.57</w:t>
            </w:r>
          </w:p>
        </w:tc>
        <w:tc>
          <w:tcPr>
            <w:tcW w:w="1414" w:type="dxa"/>
          </w:tcPr>
          <w:p w14:paraId="58EDC983" w14:textId="77777777" w:rsidR="00340069" w:rsidRPr="0085558C" w:rsidRDefault="00340069">
            <w:pPr>
              <w:spacing w:line="240" w:lineRule="auto"/>
              <w:jc w:val="center"/>
              <w:rPr>
                <w:rFonts w:eastAsia="Calibri" w:cs="Times New Roman"/>
                <w:kern w:val="0"/>
                <w:szCs w:val="24"/>
                <w14:ligatures w14:val="none"/>
              </w:rPr>
            </w:pPr>
            <w:r w:rsidRPr="0085558C">
              <w:rPr>
                <w:rFonts w:eastAsia="Calibri" w:cs="Times New Roman"/>
                <w:kern w:val="0"/>
                <w:szCs w:val="24"/>
                <w14:ligatures w14:val="none"/>
              </w:rPr>
              <w:t>0.47</w:t>
            </w:r>
          </w:p>
        </w:tc>
        <w:tc>
          <w:tcPr>
            <w:tcW w:w="1413" w:type="dxa"/>
          </w:tcPr>
          <w:p w14:paraId="355889A5" w14:textId="77777777" w:rsidR="00340069" w:rsidRPr="0085558C" w:rsidRDefault="00340069">
            <w:pPr>
              <w:spacing w:line="240" w:lineRule="auto"/>
              <w:jc w:val="center"/>
              <w:rPr>
                <w:rFonts w:eastAsia="Calibri" w:cs="Times New Roman"/>
                <w:kern w:val="0"/>
                <w:szCs w:val="24"/>
                <w14:ligatures w14:val="none"/>
              </w:rPr>
            </w:pPr>
            <w:r w:rsidRPr="0085558C">
              <w:rPr>
                <w:rFonts w:eastAsia="Calibri" w:cs="Times New Roman"/>
                <w:kern w:val="0"/>
                <w:szCs w:val="24"/>
                <w14:ligatures w14:val="none"/>
              </w:rPr>
              <w:t>0.60</w:t>
            </w:r>
          </w:p>
        </w:tc>
        <w:tc>
          <w:tcPr>
            <w:tcW w:w="1414" w:type="dxa"/>
          </w:tcPr>
          <w:p w14:paraId="20A55DBA" w14:textId="77777777" w:rsidR="00340069" w:rsidRPr="0085558C" w:rsidRDefault="00340069">
            <w:pPr>
              <w:spacing w:line="240" w:lineRule="auto"/>
              <w:jc w:val="center"/>
              <w:rPr>
                <w:rFonts w:eastAsia="Calibri" w:cs="Times New Roman"/>
                <w:kern w:val="0"/>
                <w:szCs w:val="24"/>
                <w14:ligatures w14:val="none"/>
              </w:rPr>
            </w:pPr>
            <w:r w:rsidRPr="0085558C">
              <w:rPr>
                <w:rFonts w:eastAsia="Calibri" w:cs="Times New Roman"/>
                <w:kern w:val="0"/>
                <w:szCs w:val="24"/>
                <w14:ligatures w14:val="none"/>
              </w:rPr>
              <w:t>0.49</w:t>
            </w:r>
          </w:p>
        </w:tc>
        <w:tc>
          <w:tcPr>
            <w:tcW w:w="1413" w:type="dxa"/>
            <w:tcBorders>
              <w:right w:val="single" w:sz="4" w:space="0" w:color="auto"/>
            </w:tcBorders>
          </w:tcPr>
          <w:p w14:paraId="030979CC" w14:textId="77777777" w:rsidR="00340069" w:rsidRPr="0085558C" w:rsidRDefault="00340069">
            <w:pPr>
              <w:spacing w:line="240" w:lineRule="auto"/>
              <w:jc w:val="center"/>
              <w:rPr>
                <w:rFonts w:eastAsia="Calibri" w:cs="Times New Roman"/>
                <w:kern w:val="0"/>
                <w:szCs w:val="24"/>
                <w14:ligatures w14:val="none"/>
              </w:rPr>
            </w:pPr>
            <w:r w:rsidRPr="0085558C">
              <w:rPr>
                <w:rFonts w:eastAsia="Calibri" w:cs="Times New Roman"/>
                <w:kern w:val="0"/>
                <w:szCs w:val="24"/>
                <w14:ligatures w14:val="none"/>
              </w:rPr>
              <w:t>0.53</w:t>
            </w:r>
          </w:p>
        </w:tc>
        <w:tc>
          <w:tcPr>
            <w:tcW w:w="1414" w:type="dxa"/>
            <w:tcBorders>
              <w:left w:val="single" w:sz="4" w:space="0" w:color="auto"/>
            </w:tcBorders>
          </w:tcPr>
          <w:p w14:paraId="1D9236B1" w14:textId="77777777" w:rsidR="00340069" w:rsidRPr="0085558C" w:rsidRDefault="00340069">
            <w:pPr>
              <w:spacing w:line="240" w:lineRule="auto"/>
              <w:jc w:val="center"/>
              <w:rPr>
                <w:rFonts w:eastAsia="Calibri" w:cs="Times New Roman"/>
                <w:kern w:val="0"/>
                <w:szCs w:val="24"/>
                <w14:ligatures w14:val="none"/>
              </w:rPr>
            </w:pPr>
            <w:r w:rsidRPr="0085558C">
              <w:rPr>
                <w:rFonts w:eastAsia="Calibri" w:cs="Times New Roman"/>
                <w:kern w:val="0"/>
                <w:szCs w:val="24"/>
                <w14:ligatures w14:val="none"/>
              </w:rPr>
              <w:t>0.53</w:t>
            </w:r>
          </w:p>
        </w:tc>
      </w:tr>
      <w:tr w:rsidR="00340069" w:rsidRPr="0085558C" w14:paraId="0766D698" w14:textId="77777777">
        <w:trPr>
          <w:trHeight w:val="347"/>
        </w:trPr>
        <w:tc>
          <w:tcPr>
            <w:tcW w:w="1530" w:type="dxa"/>
            <w:tcBorders>
              <w:bottom w:val="single" w:sz="4" w:space="0" w:color="auto"/>
              <w:right w:val="single" w:sz="4" w:space="0" w:color="auto"/>
            </w:tcBorders>
            <w:tcMar>
              <w:top w:w="100" w:type="dxa"/>
              <w:left w:w="100" w:type="dxa"/>
              <w:bottom w:w="100" w:type="dxa"/>
              <w:right w:w="100" w:type="dxa"/>
            </w:tcMar>
          </w:tcPr>
          <w:p w14:paraId="4081DF56" w14:textId="77777777" w:rsidR="00340069" w:rsidRPr="0085558C" w:rsidRDefault="00340069">
            <w:pPr>
              <w:spacing w:line="240" w:lineRule="auto"/>
              <w:jc w:val="center"/>
              <w:rPr>
                <w:rFonts w:eastAsia="Calibri" w:cs="Times New Roman"/>
                <w:kern w:val="0"/>
                <w:szCs w:val="24"/>
                <w14:ligatures w14:val="none"/>
              </w:rPr>
            </w:pPr>
            <w:r>
              <w:rPr>
                <w:rFonts w:eastAsia="Calibri" w:cs="Times New Roman"/>
                <w:kern w:val="0"/>
                <w:szCs w:val="24"/>
                <w14:ligatures w14:val="none"/>
              </w:rPr>
              <w:t xml:space="preserve">Hand- </w:t>
            </w:r>
            <w:r w:rsidRPr="0085558C">
              <w:rPr>
                <w:rFonts w:eastAsia="Calibri" w:cs="Times New Roman"/>
                <w:kern w:val="0"/>
                <w:szCs w:val="24"/>
                <w14:ligatures w14:val="none"/>
              </w:rPr>
              <w:t>Labeling</w:t>
            </w:r>
          </w:p>
        </w:tc>
        <w:tc>
          <w:tcPr>
            <w:tcW w:w="1297" w:type="dxa"/>
            <w:tcBorders>
              <w:left w:val="single" w:sz="4" w:space="0" w:color="auto"/>
              <w:bottom w:val="single" w:sz="4" w:space="0" w:color="auto"/>
            </w:tcBorders>
            <w:tcMar>
              <w:top w:w="100" w:type="dxa"/>
              <w:left w:w="100" w:type="dxa"/>
              <w:bottom w:w="100" w:type="dxa"/>
              <w:right w:w="100" w:type="dxa"/>
            </w:tcMar>
          </w:tcPr>
          <w:p w14:paraId="5161BE48" w14:textId="77777777" w:rsidR="00340069" w:rsidRPr="0085558C" w:rsidRDefault="00340069">
            <w:pPr>
              <w:spacing w:line="240" w:lineRule="auto"/>
              <w:jc w:val="center"/>
              <w:rPr>
                <w:rFonts w:eastAsia="Calibri" w:cs="Times New Roman"/>
                <w:kern w:val="0"/>
                <w:szCs w:val="24"/>
                <w14:ligatures w14:val="none"/>
              </w:rPr>
            </w:pPr>
            <w:r w:rsidRPr="0085558C">
              <w:rPr>
                <w:rFonts w:eastAsia="Calibri" w:cs="Times New Roman"/>
                <w:kern w:val="0"/>
                <w:szCs w:val="24"/>
                <w14:ligatures w14:val="none"/>
              </w:rPr>
              <w:t>0.67</w:t>
            </w:r>
          </w:p>
        </w:tc>
        <w:tc>
          <w:tcPr>
            <w:tcW w:w="1414" w:type="dxa"/>
            <w:tcBorders>
              <w:bottom w:val="single" w:sz="4" w:space="0" w:color="auto"/>
            </w:tcBorders>
          </w:tcPr>
          <w:p w14:paraId="2DCDBA68" w14:textId="77777777" w:rsidR="00340069" w:rsidRPr="0085558C" w:rsidRDefault="00340069">
            <w:pPr>
              <w:spacing w:line="240" w:lineRule="auto"/>
              <w:jc w:val="center"/>
              <w:rPr>
                <w:rFonts w:eastAsia="Calibri" w:cs="Times New Roman"/>
                <w:kern w:val="0"/>
                <w:szCs w:val="24"/>
                <w14:ligatures w14:val="none"/>
              </w:rPr>
            </w:pPr>
            <w:r w:rsidRPr="0085558C">
              <w:rPr>
                <w:rFonts w:eastAsia="Calibri" w:cs="Times New Roman"/>
                <w:kern w:val="0"/>
                <w:szCs w:val="24"/>
                <w14:ligatures w14:val="none"/>
              </w:rPr>
              <w:t>0.56</w:t>
            </w:r>
          </w:p>
        </w:tc>
        <w:tc>
          <w:tcPr>
            <w:tcW w:w="1413" w:type="dxa"/>
            <w:tcBorders>
              <w:bottom w:val="single" w:sz="4" w:space="0" w:color="auto"/>
            </w:tcBorders>
          </w:tcPr>
          <w:p w14:paraId="4874F0FC" w14:textId="77777777" w:rsidR="00340069" w:rsidRPr="0085558C" w:rsidRDefault="00340069">
            <w:pPr>
              <w:spacing w:line="240" w:lineRule="auto"/>
              <w:jc w:val="center"/>
              <w:rPr>
                <w:rFonts w:eastAsia="Calibri" w:cs="Times New Roman"/>
                <w:kern w:val="0"/>
                <w:szCs w:val="24"/>
                <w14:ligatures w14:val="none"/>
              </w:rPr>
            </w:pPr>
            <w:r w:rsidRPr="0085558C">
              <w:rPr>
                <w:rFonts w:eastAsia="Calibri" w:cs="Times New Roman"/>
                <w:kern w:val="0"/>
                <w:szCs w:val="24"/>
                <w14:ligatures w14:val="none"/>
              </w:rPr>
              <w:t>0.69</w:t>
            </w:r>
          </w:p>
        </w:tc>
        <w:tc>
          <w:tcPr>
            <w:tcW w:w="1414" w:type="dxa"/>
            <w:tcBorders>
              <w:bottom w:val="single" w:sz="4" w:space="0" w:color="auto"/>
            </w:tcBorders>
          </w:tcPr>
          <w:p w14:paraId="494DDF25" w14:textId="77777777" w:rsidR="00340069" w:rsidRPr="0085558C" w:rsidRDefault="00340069">
            <w:pPr>
              <w:spacing w:line="240" w:lineRule="auto"/>
              <w:jc w:val="center"/>
              <w:rPr>
                <w:rFonts w:eastAsia="Calibri" w:cs="Times New Roman"/>
                <w:kern w:val="0"/>
                <w:szCs w:val="24"/>
                <w14:ligatures w14:val="none"/>
              </w:rPr>
            </w:pPr>
            <w:r w:rsidRPr="0085558C">
              <w:rPr>
                <w:rFonts w:eastAsia="Calibri" w:cs="Times New Roman"/>
                <w:kern w:val="0"/>
                <w:szCs w:val="24"/>
                <w14:ligatures w14:val="none"/>
              </w:rPr>
              <w:t>0.57</w:t>
            </w:r>
          </w:p>
        </w:tc>
        <w:tc>
          <w:tcPr>
            <w:tcW w:w="1413" w:type="dxa"/>
            <w:tcBorders>
              <w:bottom w:val="single" w:sz="4" w:space="0" w:color="auto"/>
              <w:right w:val="single" w:sz="4" w:space="0" w:color="auto"/>
            </w:tcBorders>
          </w:tcPr>
          <w:p w14:paraId="4B7661FC" w14:textId="77777777" w:rsidR="00340069" w:rsidRPr="0085558C" w:rsidRDefault="00340069">
            <w:pPr>
              <w:spacing w:line="240" w:lineRule="auto"/>
              <w:jc w:val="center"/>
              <w:rPr>
                <w:rFonts w:eastAsia="Calibri" w:cs="Times New Roman"/>
                <w:kern w:val="0"/>
                <w:szCs w:val="24"/>
                <w14:ligatures w14:val="none"/>
              </w:rPr>
            </w:pPr>
            <w:r w:rsidRPr="0085558C">
              <w:rPr>
                <w:rFonts w:eastAsia="Calibri" w:cs="Times New Roman"/>
                <w:kern w:val="0"/>
                <w:szCs w:val="24"/>
                <w14:ligatures w14:val="none"/>
              </w:rPr>
              <w:t>0.62</w:t>
            </w:r>
          </w:p>
        </w:tc>
        <w:tc>
          <w:tcPr>
            <w:tcW w:w="1414" w:type="dxa"/>
            <w:tcBorders>
              <w:left w:val="single" w:sz="4" w:space="0" w:color="auto"/>
              <w:bottom w:val="single" w:sz="4" w:space="0" w:color="auto"/>
            </w:tcBorders>
          </w:tcPr>
          <w:p w14:paraId="1799EEB2" w14:textId="77777777" w:rsidR="00340069" w:rsidRPr="0085558C" w:rsidRDefault="00340069">
            <w:pPr>
              <w:spacing w:line="240" w:lineRule="auto"/>
              <w:jc w:val="center"/>
              <w:rPr>
                <w:rFonts w:eastAsia="Calibri" w:cs="Times New Roman"/>
                <w:kern w:val="0"/>
                <w:szCs w:val="24"/>
                <w14:ligatures w14:val="none"/>
              </w:rPr>
            </w:pPr>
            <w:r w:rsidRPr="0085558C">
              <w:rPr>
                <w:rFonts w:eastAsia="Calibri" w:cs="Times New Roman"/>
                <w:kern w:val="0"/>
                <w:szCs w:val="24"/>
                <w14:ligatures w14:val="none"/>
              </w:rPr>
              <w:t>0.62</w:t>
            </w:r>
          </w:p>
        </w:tc>
      </w:tr>
      <w:tr w:rsidR="00340069" w:rsidRPr="0085558C" w14:paraId="3B1733DA" w14:textId="77777777">
        <w:trPr>
          <w:trHeight w:val="347"/>
        </w:trPr>
        <w:tc>
          <w:tcPr>
            <w:tcW w:w="1530" w:type="dxa"/>
            <w:tcBorders>
              <w:top w:val="single" w:sz="4" w:space="0" w:color="auto"/>
              <w:bottom w:val="single" w:sz="4" w:space="0" w:color="auto"/>
              <w:right w:val="single" w:sz="4" w:space="0" w:color="auto"/>
            </w:tcBorders>
            <w:tcMar>
              <w:top w:w="100" w:type="dxa"/>
              <w:left w:w="100" w:type="dxa"/>
              <w:bottom w:w="100" w:type="dxa"/>
              <w:right w:w="100" w:type="dxa"/>
            </w:tcMar>
          </w:tcPr>
          <w:p w14:paraId="0F4333FA" w14:textId="77777777" w:rsidR="00340069" w:rsidRPr="0085558C" w:rsidRDefault="00340069">
            <w:pPr>
              <w:spacing w:line="240" w:lineRule="auto"/>
              <w:jc w:val="center"/>
              <w:rPr>
                <w:rFonts w:eastAsia="Calibri" w:cs="Times New Roman"/>
                <w:kern w:val="0"/>
                <w:szCs w:val="24"/>
                <w14:ligatures w14:val="none"/>
              </w:rPr>
            </w:pPr>
            <w:r w:rsidRPr="0085558C">
              <w:rPr>
                <w:rFonts w:eastAsia="Calibri" w:cs="Times New Roman"/>
                <w:kern w:val="0"/>
                <w:szCs w:val="24"/>
                <w14:ligatures w14:val="none"/>
              </w:rPr>
              <w:t>Average</w:t>
            </w:r>
          </w:p>
        </w:tc>
        <w:tc>
          <w:tcPr>
            <w:tcW w:w="1297" w:type="dxa"/>
            <w:tcBorders>
              <w:top w:val="single" w:sz="4" w:space="0" w:color="auto"/>
              <w:left w:val="single" w:sz="4" w:space="0" w:color="auto"/>
              <w:bottom w:val="single" w:sz="4" w:space="0" w:color="auto"/>
            </w:tcBorders>
            <w:tcMar>
              <w:top w:w="100" w:type="dxa"/>
              <w:left w:w="100" w:type="dxa"/>
              <w:bottom w:w="100" w:type="dxa"/>
              <w:right w:w="100" w:type="dxa"/>
            </w:tcMar>
          </w:tcPr>
          <w:p w14:paraId="202DBE7C" w14:textId="77777777" w:rsidR="00340069" w:rsidRPr="0085558C" w:rsidRDefault="00340069">
            <w:pPr>
              <w:spacing w:line="240" w:lineRule="auto"/>
              <w:jc w:val="center"/>
              <w:rPr>
                <w:rFonts w:eastAsia="Calibri" w:cs="Times New Roman"/>
                <w:kern w:val="0"/>
                <w:szCs w:val="24"/>
                <w14:ligatures w14:val="none"/>
              </w:rPr>
            </w:pPr>
            <w:r w:rsidRPr="0085558C">
              <w:rPr>
                <w:rFonts w:eastAsia="Calibri" w:cs="Times New Roman"/>
                <w:kern w:val="0"/>
                <w:szCs w:val="24"/>
                <w14:ligatures w14:val="none"/>
              </w:rPr>
              <w:t>0.62</w:t>
            </w:r>
          </w:p>
        </w:tc>
        <w:tc>
          <w:tcPr>
            <w:tcW w:w="1414" w:type="dxa"/>
            <w:tcBorders>
              <w:top w:val="single" w:sz="4" w:space="0" w:color="auto"/>
              <w:bottom w:val="single" w:sz="4" w:space="0" w:color="auto"/>
            </w:tcBorders>
          </w:tcPr>
          <w:p w14:paraId="15F16B86" w14:textId="77777777" w:rsidR="00340069" w:rsidRPr="0085558C" w:rsidRDefault="00340069">
            <w:pPr>
              <w:spacing w:line="240" w:lineRule="auto"/>
              <w:jc w:val="center"/>
              <w:rPr>
                <w:rFonts w:eastAsia="Calibri" w:cs="Times New Roman"/>
                <w:kern w:val="0"/>
                <w:szCs w:val="24"/>
                <w14:ligatures w14:val="none"/>
              </w:rPr>
            </w:pPr>
            <w:r w:rsidRPr="0085558C">
              <w:rPr>
                <w:rFonts w:eastAsia="Calibri" w:cs="Times New Roman"/>
                <w:kern w:val="0"/>
                <w:szCs w:val="24"/>
                <w14:ligatures w14:val="none"/>
              </w:rPr>
              <w:t>0.53</w:t>
            </w:r>
          </w:p>
        </w:tc>
        <w:tc>
          <w:tcPr>
            <w:tcW w:w="1413" w:type="dxa"/>
            <w:tcBorders>
              <w:top w:val="single" w:sz="4" w:space="0" w:color="auto"/>
              <w:bottom w:val="single" w:sz="4" w:space="0" w:color="auto"/>
            </w:tcBorders>
          </w:tcPr>
          <w:p w14:paraId="69B6AA4D" w14:textId="77777777" w:rsidR="00340069" w:rsidRPr="0085558C" w:rsidRDefault="00340069">
            <w:pPr>
              <w:spacing w:line="240" w:lineRule="auto"/>
              <w:jc w:val="center"/>
              <w:rPr>
                <w:rFonts w:eastAsia="Calibri" w:cs="Times New Roman"/>
                <w:kern w:val="0"/>
                <w:szCs w:val="24"/>
                <w14:ligatures w14:val="none"/>
              </w:rPr>
            </w:pPr>
            <w:r w:rsidRPr="0085558C">
              <w:rPr>
                <w:rFonts w:eastAsia="Calibri" w:cs="Times New Roman"/>
                <w:kern w:val="0"/>
                <w:szCs w:val="24"/>
                <w14:ligatures w14:val="none"/>
              </w:rPr>
              <w:t>0.64</w:t>
            </w:r>
          </w:p>
        </w:tc>
        <w:tc>
          <w:tcPr>
            <w:tcW w:w="1414" w:type="dxa"/>
            <w:tcBorders>
              <w:top w:val="single" w:sz="4" w:space="0" w:color="auto"/>
              <w:bottom w:val="single" w:sz="4" w:space="0" w:color="auto"/>
            </w:tcBorders>
          </w:tcPr>
          <w:p w14:paraId="1FB035C6" w14:textId="77777777" w:rsidR="00340069" w:rsidRPr="0085558C" w:rsidRDefault="00340069">
            <w:pPr>
              <w:spacing w:line="240" w:lineRule="auto"/>
              <w:jc w:val="center"/>
              <w:rPr>
                <w:rFonts w:eastAsia="Calibri" w:cs="Times New Roman"/>
                <w:kern w:val="0"/>
                <w:szCs w:val="24"/>
                <w14:ligatures w14:val="none"/>
              </w:rPr>
            </w:pPr>
            <w:r w:rsidRPr="0085558C">
              <w:rPr>
                <w:rFonts w:eastAsia="Calibri" w:cs="Times New Roman"/>
                <w:kern w:val="0"/>
                <w:szCs w:val="24"/>
                <w14:ligatures w14:val="none"/>
              </w:rPr>
              <w:t>0.52</w:t>
            </w:r>
          </w:p>
        </w:tc>
        <w:tc>
          <w:tcPr>
            <w:tcW w:w="1413" w:type="dxa"/>
            <w:tcBorders>
              <w:top w:val="single" w:sz="4" w:space="0" w:color="auto"/>
              <w:bottom w:val="single" w:sz="4" w:space="0" w:color="auto"/>
              <w:right w:val="single" w:sz="4" w:space="0" w:color="auto"/>
            </w:tcBorders>
          </w:tcPr>
          <w:p w14:paraId="460BB2B0" w14:textId="77777777" w:rsidR="00340069" w:rsidRPr="0085558C" w:rsidRDefault="00340069">
            <w:pPr>
              <w:spacing w:line="240" w:lineRule="auto"/>
              <w:jc w:val="center"/>
              <w:rPr>
                <w:rFonts w:eastAsia="Calibri" w:cs="Times New Roman"/>
                <w:kern w:val="0"/>
                <w:szCs w:val="24"/>
                <w14:ligatures w14:val="none"/>
              </w:rPr>
            </w:pPr>
            <w:r w:rsidRPr="0085558C">
              <w:rPr>
                <w:rFonts w:eastAsia="Calibri" w:cs="Times New Roman"/>
                <w:kern w:val="0"/>
                <w:szCs w:val="24"/>
                <w14:ligatures w14:val="none"/>
              </w:rPr>
              <w:t>0.58</w:t>
            </w:r>
          </w:p>
        </w:tc>
        <w:tc>
          <w:tcPr>
            <w:tcW w:w="1414" w:type="dxa"/>
            <w:tcBorders>
              <w:top w:val="single" w:sz="4" w:space="0" w:color="auto"/>
              <w:left w:val="single" w:sz="4" w:space="0" w:color="auto"/>
              <w:bottom w:val="single" w:sz="4" w:space="0" w:color="auto"/>
            </w:tcBorders>
          </w:tcPr>
          <w:p w14:paraId="49D2E7E6" w14:textId="77777777" w:rsidR="00340069" w:rsidRPr="0085558C" w:rsidRDefault="00340069">
            <w:pPr>
              <w:spacing w:line="240" w:lineRule="auto"/>
              <w:jc w:val="center"/>
              <w:rPr>
                <w:rFonts w:eastAsia="Calibri" w:cs="Times New Roman"/>
                <w:kern w:val="0"/>
                <w:szCs w:val="24"/>
                <w14:ligatures w14:val="none"/>
              </w:rPr>
            </w:pPr>
          </w:p>
        </w:tc>
      </w:tr>
    </w:tbl>
    <w:p w14:paraId="042D0F1C" w14:textId="77777777" w:rsidR="00340069" w:rsidRPr="0085558C" w:rsidRDefault="00340069" w:rsidP="00340069">
      <w:pPr>
        <w:spacing w:line="480" w:lineRule="auto"/>
        <w:rPr>
          <w:rFonts w:eastAsia="Calibri" w:cs="Times New Roman"/>
          <w:noProof/>
          <w:kern w:val="0"/>
          <w:szCs w:val="24"/>
          <w14:ligatures w14:val="none"/>
        </w:rPr>
      </w:pPr>
    </w:p>
    <w:p w14:paraId="0B9D4236" w14:textId="1BA04861" w:rsidR="00827B75" w:rsidRDefault="00827B75">
      <w:pPr>
        <w:rPr>
          <w:rFonts w:eastAsia="Calibri" w:cs="Times New Roman"/>
          <w:kern w:val="0"/>
          <w:szCs w:val="24"/>
          <w14:ligatures w14:val="none"/>
        </w:rPr>
      </w:pPr>
      <w:r>
        <w:rPr>
          <w:rFonts w:eastAsia="Calibri" w:cs="Times New Roman"/>
          <w:kern w:val="0"/>
          <w:szCs w:val="24"/>
          <w14:ligatures w14:val="none"/>
        </w:rPr>
        <w:br w:type="page"/>
      </w:r>
    </w:p>
    <w:p w14:paraId="7510A15A" w14:textId="4FA961A3" w:rsidR="00871A3A" w:rsidRPr="0085558C" w:rsidRDefault="00871A3A" w:rsidP="001B567A">
      <w:pPr>
        <w:spacing w:after="0" w:line="480" w:lineRule="auto"/>
        <w:rPr>
          <w:rFonts w:eastAsia="Calibri" w:cs="Times New Roman"/>
          <w:kern w:val="0"/>
          <w:szCs w:val="24"/>
          <w14:ligatures w14:val="none"/>
        </w:rPr>
      </w:pPr>
      <w:r w:rsidRPr="0085558C">
        <w:rPr>
          <w:rFonts w:eastAsia="Calibri" w:cs="Times New Roman"/>
          <w:kern w:val="0"/>
          <w:szCs w:val="24"/>
          <w14:ligatures w14:val="none"/>
        </w:rPr>
        <w:lastRenderedPageBreak/>
        <w:t>XGB</w:t>
      </w:r>
      <w:r>
        <w:rPr>
          <w:rFonts w:eastAsia="Calibri" w:cs="Times New Roman"/>
          <w:kern w:val="0"/>
          <w:szCs w:val="24"/>
          <w14:ligatures w14:val="none"/>
        </w:rPr>
        <w:t>oost</w:t>
      </w:r>
      <w:r w:rsidRPr="0085558C">
        <w:rPr>
          <w:rFonts w:eastAsia="Calibri" w:cs="Times New Roman"/>
          <w:kern w:val="0"/>
          <w:szCs w:val="24"/>
          <w14:ligatures w14:val="none"/>
        </w:rPr>
        <w:t xml:space="preserve"> trained on context informed data labels, with a MCC of 0.69</w:t>
      </w:r>
      <w:r>
        <w:rPr>
          <w:rFonts w:eastAsia="Calibri" w:cs="Times New Roman"/>
          <w:kern w:val="0"/>
          <w:szCs w:val="24"/>
          <w14:ligatures w14:val="none"/>
        </w:rPr>
        <w:t xml:space="preserve"> indicating a strong correlation between predictions and data labels</w:t>
      </w:r>
      <w:r w:rsidRPr="0085558C">
        <w:rPr>
          <w:rFonts w:eastAsia="Calibri" w:cs="Times New Roman"/>
          <w:kern w:val="0"/>
          <w:szCs w:val="24"/>
          <w14:ligatures w14:val="none"/>
        </w:rPr>
        <w:t>.</w:t>
      </w:r>
    </w:p>
    <w:p w14:paraId="56EFDC9E" w14:textId="66C4EEF2" w:rsidR="000945EB" w:rsidRPr="0085558C" w:rsidRDefault="000945EB" w:rsidP="001B567A">
      <w:pPr>
        <w:spacing w:after="0" w:line="480" w:lineRule="auto"/>
        <w:rPr>
          <w:rFonts w:eastAsia="Calibri" w:cs="Times New Roman"/>
          <w:kern w:val="0"/>
          <w:szCs w:val="24"/>
          <w14:ligatures w14:val="none"/>
        </w:rPr>
      </w:pPr>
      <w:r>
        <w:rPr>
          <w:rFonts w:eastAsia="Calibri" w:cs="Times New Roman"/>
          <w:kern w:val="0"/>
          <w:szCs w:val="24"/>
          <w14:ligatures w14:val="none"/>
        </w:rPr>
        <w:t>Once identified as the best performing model, XGBoost using hand-labeled data was used for f</w:t>
      </w:r>
      <w:r w:rsidRPr="0085558C">
        <w:rPr>
          <w:rFonts w:eastAsia="Calibri" w:cs="Times New Roman"/>
          <w:kern w:val="0"/>
          <w:szCs w:val="24"/>
          <w14:ligatures w14:val="none"/>
        </w:rPr>
        <w:t>urther analysis</w:t>
      </w:r>
      <w:r>
        <w:rPr>
          <w:rFonts w:eastAsia="Calibri" w:cs="Times New Roman"/>
          <w:kern w:val="0"/>
          <w:szCs w:val="24"/>
          <w14:ligatures w14:val="none"/>
        </w:rPr>
        <w:t>.</w:t>
      </w:r>
      <w:r w:rsidRPr="0085558C">
        <w:rPr>
          <w:rFonts w:eastAsia="Calibri" w:cs="Times New Roman"/>
          <w:kern w:val="0"/>
          <w:szCs w:val="24"/>
          <w14:ligatures w14:val="none"/>
        </w:rPr>
        <w:t xml:space="preserve"> </w:t>
      </w:r>
      <w:r>
        <w:rPr>
          <w:rFonts w:eastAsia="Calibri" w:cs="Times New Roman"/>
          <w:kern w:val="0"/>
          <w:szCs w:val="24"/>
          <w14:ligatures w14:val="none"/>
        </w:rPr>
        <w:t>We analyzed</w:t>
      </w:r>
      <w:r w:rsidRPr="0085558C">
        <w:rPr>
          <w:rFonts w:eastAsia="Calibri" w:cs="Times New Roman"/>
          <w:kern w:val="0"/>
          <w:szCs w:val="24"/>
          <w14:ligatures w14:val="none"/>
        </w:rPr>
        <w:t xml:space="preserve"> how the rate and type of prediction errors made were related to the magnitude of flux (</w:t>
      </w:r>
      <w:r w:rsidRPr="00140F97">
        <w:rPr>
          <w:rFonts w:eastAsia="Calibri" w:cs="Times New Roman"/>
          <w:b/>
          <w:kern w:val="0"/>
          <w:szCs w:val="24"/>
          <w14:ligatures w14:val="none"/>
        </w:rPr>
        <w:t xml:space="preserve">Figure </w:t>
      </w:r>
      <w:r w:rsidR="00D24801">
        <w:rPr>
          <w:rFonts w:eastAsia="Calibri" w:cs="Times New Roman"/>
          <w:b/>
          <w:bCs/>
          <w:kern w:val="0"/>
          <w:szCs w:val="24"/>
          <w14:ligatures w14:val="none"/>
        </w:rPr>
        <w:t>3.</w:t>
      </w:r>
      <w:r w:rsidRPr="00140F97">
        <w:rPr>
          <w:rFonts w:eastAsia="Calibri" w:cs="Times New Roman"/>
          <w:b/>
          <w:kern w:val="0"/>
          <w:szCs w:val="24"/>
          <w14:ligatures w14:val="none"/>
        </w:rPr>
        <w:t>4a</w:t>
      </w:r>
      <w:r w:rsidRPr="0085558C">
        <w:rPr>
          <w:rFonts w:eastAsia="Calibri" w:cs="Times New Roman"/>
          <w:kern w:val="0"/>
          <w:szCs w:val="24"/>
          <w14:ligatures w14:val="none"/>
        </w:rPr>
        <w:t>). Th</w:t>
      </w:r>
      <w:r>
        <w:rPr>
          <w:rFonts w:eastAsia="Calibri" w:cs="Times New Roman"/>
          <w:kern w:val="0"/>
          <w:szCs w:val="24"/>
          <w14:ligatures w14:val="none"/>
        </w:rPr>
        <w:t>is</w:t>
      </w:r>
      <w:r w:rsidRPr="0085558C">
        <w:rPr>
          <w:rFonts w:eastAsia="Calibri" w:cs="Times New Roman"/>
          <w:kern w:val="0"/>
          <w:szCs w:val="24"/>
          <w14:ligatures w14:val="none"/>
        </w:rPr>
        <w:t xml:space="preserve"> model made errors most frequently (~35%) when fluxes ranged from 15 to 30 g N ha</w:t>
      </w:r>
      <w:r w:rsidRPr="0085558C">
        <w:rPr>
          <w:rFonts w:eastAsia="Calibri" w:cs="Times New Roman"/>
          <w:kern w:val="0"/>
          <w:szCs w:val="24"/>
          <w:vertAlign w:val="superscript"/>
          <w14:ligatures w14:val="none"/>
        </w:rPr>
        <w:t>-1</w:t>
      </w:r>
      <w:r w:rsidRPr="0085558C">
        <w:rPr>
          <w:rFonts w:eastAsia="Calibri" w:cs="Times New Roman"/>
          <w:kern w:val="0"/>
          <w:szCs w:val="24"/>
          <w14:ligatures w14:val="none"/>
        </w:rPr>
        <w:t xml:space="preserve"> d</w:t>
      </w:r>
      <w:r w:rsidRPr="0085558C">
        <w:rPr>
          <w:rFonts w:eastAsia="Calibri" w:cs="Times New Roman"/>
          <w:kern w:val="0"/>
          <w:szCs w:val="24"/>
          <w:vertAlign w:val="superscript"/>
          <w14:ligatures w14:val="none"/>
        </w:rPr>
        <w:t>-1</w:t>
      </w:r>
      <w:r>
        <w:rPr>
          <w:rFonts w:eastAsia="Calibri" w:cs="Times New Roman"/>
          <w:kern w:val="0"/>
          <w:szCs w:val="24"/>
          <w14:ligatures w14:val="none"/>
        </w:rPr>
        <w:t>,</w:t>
      </w:r>
      <w:r w:rsidRPr="0085558C">
        <w:rPr>
          <w:rFonts w:eastAsia="Calibri" w:cs="Times New Roman"/>
          <w:kern w:val="0"/>
          <w:szCs w:val="24"/>
          <w14:ligatures w14:val="none"/>
        </w:rPr>
        <w:t xml:space="preserve"> </w:t>
      </w:r>
      <w:r>
        <w:rPr>
          <w:rFonts w:eastAsia="Calibri" w:cs="Times New Roman"/>
          <w:kern w:val="0"/>
          <w:szCs w:val="24"/>
          <w14:ligatures w14:val="none"/>
        </w:rPr>
        <w:t xml:space="preserve">and </w:t>
      </w:r>
      <w:r w:rsidRPr="0085558C">
        <w:rPr>
          <w:rFonts w:eastAsia="Calibri" w:cs="Times New Roman"/>
          <w:kern w:val="0"/>
          <w:szCs w:val="24"/>
          <w14:ligatures w14:val="none"/>
        </w:rPr>
        <w:t>declined as flux deviated from this range</w:t>
      </w:r>
      <w:r>
        <w:rPr>
          <w:rFonts w:eastAsia="Calibri" w:cs="Times New Roman"/>
          <w:kern w:val="0"/>
          <w:szCs w:val="24"/>
          <w14:ligatures w14:val="none"/>
        </w:rPr>
        <w:t>.</w:t>
      </w:r>
      <w:r w:rsidRPr="0085558C">
        <w:rPr>
          <w:rFonts w:eastAsia="Calibri" w:cs="Times New Roman"/>
          <w:kern w:val="0"/>
          <w:szCs w:val="24"/>
          <w14:ligatures w14:val="none"/>
        </w:rPr>
        <w:t xml:space="preserve"> </w:t>
      </w:r>
      <w:r>
        <w:rPr>
          <w:rFonts w:eastAsia="Calibri" w:cs="Times New Roman"/>
          <w:kern w:val="0"/>
          <w:szCs w:val="24"/>
          <w14:ligatures w14:val="none"/>
        </w:rPr>
        <w:t xml:space="preserve">Error rates in predictions of hot moment were reduced </w:t>
      </w:r>
      <w:r w:rsidRPr="0085558C">
        <w:rPr>
          <w:rFonts w:eastAsia="Calibri" w:cs="Times New Roman"/>
          <w:kern w:val="0"/>
          <w:szCs w:val="24"/>
          <w14:ligatures w14:val="none"/>
        </w:rPr>
        <w:t>to ~10% when measured flux was greater than 50 g N ha</w:t>
      </w:r>
      <w:r w:rsidRPr="0085558C">
        <w:rPr>
          <w:rFonts w:eastAsia="Calibri" w:cs="Times New Roman"/>
          <w:kern w:val="0"/>
          <w:szCs w:val="24"/>
          <w:vertAlign w:val="superscript"/>
          <w14:ligatures w14:val="none"/>
        </w:rPr>
        <w:t>-1</w:t>
      </w:r>
      <w:r w:rsidRPr="0085558C">
        <w:rPr>
          <w:rFonts w:eastAsia="Calibri" w:cs="Times New Roman"/>
          <w:kern w:val="0"/>
          <w:szCs w:val="24"/>
          <w14:ligatures w14:val="none"/>
        </w:rPr>
        <w:t xml:space="preserve"> d</w:t>
      </w:r>
      <w:r w:rsidRPr="0085558C">
        <w:rPr>
          <w:rFonts w:eastAsia="Calibri" w:cs="Times New Roman"/>
          <w:kern w:val="0"/>
          <w:szCs w:val="24"/>
          <w:vertAlign w:val="superscript"/>
          <w14:ligatures w14:val="none"/>
        </w:rPr>
        <w:t xml:space="preserve">-1 </w:t>
      </w:r>
      <w:r w:rsidRPr="0085558C">
        <w:rPr>
          <w:rFonts w:eastAsia="Calibri" w:cs="Times New Roman"/>
          <w:kern w:val="0"/>
          <w:szCs w:val="24"/>
          <w14:ligatures w14:val="none"/>
        </w:rPr>
        <w:t>and less than 1% when flux was less than 5 g N ha</w:t>
      </w:r>
      <w:r w:rsidRPr="0085558C">
        <w:rPr>
          <w:rFonts w:eastAsia="Calibri" w:cs="Times New Roman"/>
          <w:kern w:val="0"/>
          <w:szCs w:val="24"/>
          <w:vertAlign w:val="superscript"/>
          <w14:ligatures w14:val="none"/>
        </w:rPr>
        <w:t>-1</w:t>
      </w:r>
      <w:r w:rsidRPr="0085558C">
        <w:rPr>
          <w:rFonts w:eastAsia="Calibri" w:cs="Times New Roman"/>
          <w:kern w:val="0"/>
          <w:szCs w:val="24"/>
          <w14:ligatures w14:val="none"/>
        </w:rPr>
        <w:t xml:space="preserve"> d</w:t>
      </w:r>
      <w:r w:rsidRPr="0085558C">
        <w:rPr>
          <w:rFonts w:eastAsia="Calibri" w:cs="Times New Roman"/>
          <w:kern w:val="0"/>
          <w:szCs w:val="24"/>
          <w:vertAlign w:val="superscript"/>
          <w14:ligatures w14:val="none"/>
        </w:rPr>
        <w:t>-1</w:t>
      </w:r>
      <w:r w:rsidRPr="0085558C">
        <w:rPr>
          <w:rFonts w:eastAsia="Calibri" w:cs="Times New Roman"/>
          <w:kern w:val="0"/>
          <w:szCs w:val="24"/>
          <w14:ligatures w14:val="none"/>
        </w:rPr>
        <w:t>. False positives were rare when</w:t>
      </w:r>
      <w:r>
        <w:rPr>
          <w:rFonts w:eastAsia="Calibri" w:cs="Times New Roman"/>
          <w:kern w:val="0"/>
          <w:szCs w:val="24"/>
          <w14:ligatures w14:val="none"/>
        </w:rPr>
        <w:t xml:space="preserve"> </w:t>
      </w:r>
      <w:r w:rsidRPr="0085558C">
        <w:rPr>
          <w:rFonts w:eastAsia="Calibri" w:cs="Times New Roman"/>
          <w:kern w:val="0"/>
          <w:szCs w:val="24"/>
          <w14:ligatures w14:val="none"/>
        </w:rPr>
        <w:t>flux was above 20 g N ha</w:t>
      </w:r>
      <w:r w:rsidRPr="0085558C">
        <w:rPr>
          <w:rFonts w:eastAsia="Calibri" w:cs="Times New Roman"/>
          <w:kern w:val="0"/>
          <w:szCs w:val="24"/>
          <w:vertAlign w:val="superscript"/>
          <w14:ligatures w14:val="none"/>
        </w:rPr>
        <w:t>-1</w:t>
      </w:r>
      <w:r w:rsidRPr="0085558C">
        <w:rPr>
          <w:rFonts w:eastAsia="Calibri" w:cs="Times New Roman"/>
          <w:kern w:val="0"/>
          <w:szCs w:val="24"/>
          <w14:ligatures w14:val="none"/>
        </w:rPr>
        <w:t xml:space="preserve"> d</w:t>
      </w:r>
      <w:r w:rsidRPr="0085558C">
        <w:rPr>
          <w:rFonts w:eastAsia="Calibri" w:cs="Times New Roman"/>
          <w:kern w:val="0"/>
          <w:szCs w:val="24"/>
          <w:vertAlign w:val="superscript"/>
          <w14:ligatures w14:val="none"/>
        </w:rPr>
        <w:t>-1</w:t>
      </w:r>
      <w:r w:rsidRPr="0085558C">
        <w:rPr>
          <w:rFonts w:eastAsia="Calibri" w:cs="Times New Roman"/>
          <w:kern w:val="0"/>
          <w:szCs w:val="24"/>
          <w14:ligatures w14:val="none"/>
        </w:rPr>
        <w:t>, with nearly all errors made in this range being false negatives</w:t>
      </w:r>
      <w:r>
        <w:rPr>
          <w:rFonts w:eastAsia="Calibri" w:cs="Times New Roman"/>
          <w:kern w:val="0"/>
          <w:szCs w:val="24"/>
          <w14:ligatures w14:val="none"/>
        </w:rPr>
        <w:t xml:space="preserve"> (</w:t>
      </w:r>
      <w:r w:rsidRPr="00140F97">
        <w:rPr>
          <w:rFonts w:eastAsia="Calibri" w:cs="Times New Roman"/>
          <w:b/>
          <w:kern w:val="0"/>
          <w:szCs w:val="24"/>
          <w14:ligatures w14:val="none"/>
        </w:rPr>
        <w:t xml:space="preserve">Figure </w:t>
      </w:r>
      <w:r w:rsidR="00F04D58" w:rsidRPr="00140F97">
        <w:rPr>
          <w:rFonts w:eastAsia="Calibri" w:cs="Times New Roman"/>
          <w:b/>
          <w:kern w:val="0"/>
          <w:szCs w:val="24"/>
          <w14:ligatures w14:val="none"/>
        </w:rPr>
        <w:t>3.</w:t>
      </w:r>
      <w:r w:rsidRPr="00140F97">
        <w:rPr>
          <w:rFonts w:eastAsia="Calibri" w:cs="Times New Roman"/>
          <w:b/>
          <w:kern w:val="0"/>
          <w:szCs w:val="24"/>
          <w14:ligatures w14:val="none"/>
        </w:rPr>
        <w:t>4a</w:t>
      </w:r>
      <w:r>
        <w:rPr>
          <w:rFonts w:eastAsia="Calibri" w:cs="Times New Roman"/>
          <w:kern w:val="0"/>
          <w:szCs w:val="24"/>
          <w14:ligatures w14:val="none"/>
        </w:rPr>
        <w:t>)</w:t>
      </w:r>
      <w:r w:rsidRPr="0085558C">
        <w:rPr>
          <w:rFonts w:eastAsia="Calibri" w:cs="Times New Roman"/>
          <w:kern w:val="0"/>
          <w:szCs w:val="24"/>
          <w14:ligatures w14:val="none"/>
        </w:rPr>
        <w:t>.</w:t>
      </w:r>
    </w:p>
    <w:p w14:paraId="4857B36C" w14:textId="77777777" w:rsidR="00444129" w:rsidRDefault="000945EB" w:rsidP="001B567A">
      <w:pPr>
        <w:keepNext/>
        <w:spacing w:after="0" w:line="480" w:lineRule="auto"/>
        <w:rPr>
          <w:rFonts w:eastAsia="Calibri" w:cs="Times New Roman"/>
          <w:kern w:val="0"/>
          <w:szCs w:val="24"/>
          <w14:ligatures w14:val="none"/>
        </w:rPr>
      </w:pPr>
      <w:r>
        <w:rPr>
          <w:rFonts w:eastAsia="Calibri" w:cs="Times New Roman"/>
          <w:kern w:val="0"/>
          <w:szCs w:val="24"/>
          <w14:ligatures w14:val="none"/>
        </w:rPr>
        <w:t xml:space="preserve">The </w:t>
      </w:r>
      <w:r w:rsidRPr="0085558C">
        <w:rPr>
          <w:rFonts w:eastAsia="Calibri" w:cs="Times New Roman"/>
          <w:kern w:val="0"/>
          <w:szCs w:val="24"/>
          <w14:ligatures w14:val="none"/>
        </w:rPr>
        <w:t xml:space="preserve">probability </w:t>
      </w:r>
      <w:r>
        <w:rPr>
          <w:rFonts w:eastAsia="Calibri" w:cs="Times New Roman"/>
          <w:kern w:val="0"/>
          <w:szCs w:val="24"/>
          <w14:ligatures w14:val="none"/>
        </w:rPr>
        <w:t xml:space="preserve">decision </w:t>
      </w:r>
      <w:r w:rsidRPr="0085558C">
        <w:rPr>
          <w:rFonts w:eastAsia="Calibri" w:cs="Times New Roman"/>
          <w:kern w:val="0"/>
          <w:szCs w:val="24"/>
          <w14:ligatures w14:val="none"/>
        </w:rPr>
        <w:t xml:space="preserve">threshold may </w:t>
      </w:r>
      <w:r>
        <w:rPr>
          <w:rFonts w:eastAsia="Calibri" w:cs="Times New Roman"/>
          <w:kern w:val="0"/>
          <w:szCs w:val="24"/>
          <w14:ligatures w14:val="none"/>
        </w:rPr>
        <w:t>also be adjusted</w:t>
      </w:r>
      <w:r w:rsidRPr="0085558C">
        <w:rPr>
          <w:rFonts w:eastAsia="Calibri" w:cs="Times New Roman"/>
          <w:kern w:val="0"/>
          <w:szCs w:val="24"/>
          <w14:ligatures w14:val="none"/>
        </w:rPr>
        <w:t xml:space="preserve"> to </w:t>
      </w:r>
      <w:r>
        <w:rPr>
          <w:rFonts w:eastAsia="Calibri" w:cs="Times New Roman"/>
          <w:kern w:val="0"/>
          <w:szCs w:val="24"/>
          <w14:ligatures w14:val="none"/>
        </w:rPr>
        <w:t xml:space="preserve">achieve a </w:t>
      </w:r>
      <w:r w:rsidRPr="0085558C">
        <w:rPr>
          <w:rFonts w:eastAsia="Calibri" w:cs="Times New Roman"/>
          <w:kern w:val="0"/>
          <w:szCs w:val="24"/>
          <w14:ligatures w14:val="none"/>
        </w:rPr>
        <w:t xml:space="preserve">different </w:t>
      </w:r>
      <w:r>
        <w:rPr>
          <w:rFonts w:eastAsia="Calibri" w:cs="Times New Roman"/>
          <w:kern w:val="0"/>
          <w:szCs w:val="24"/>
          <w14:ligatures w14:val="none"/>
        </w:rPr>
        <w:t>balance of</w:t>
      </w:r>
      <w:r w:rsidR="00444129">
        <w:rPr>
          <w:rFonts w:eastAsia="Calibri" w:cs="Times New Roman"/>
          <w:kern w:val="0"/>
          <w:szCs w:val="24"/>
          <w14:ligatures w14:val="none"/>
        </w:rPr>
        <w:t xml:space="preserve"> sensitivity and specificity of predictions.</w:t>
      </w:r>
      <w:r w:rsidR="00444129" w:rsidRPr="0085558C">
        <w:rPr>
          <w:rFonts w:eastAsia="Calibri" w:cs="Times New Roman"/>
          <w:kern w:val="0"/>
          <w:szCs w:val="24"/>
          <w14:ligatures w14:val="none"/>
        </w:rPr>
        <w:t xml:space="preserve"> For example, a conservative probability threshold of 0.7 resulted in lower model sensitivity (~20% TP rate) but nearly zero FP, while a more liberal threshold of 0.3 correctly identified ~80% of hot moments but made more Type 1 errors (</w:t>
      </w:r>
      <w:r w:rsidR="00444129" w:rsidRPr="00140F97">
        <w:rPr>
          <w:rFonts w:eastAsia="Calibri" w:cs="Times New Roman"/>
          <w:b/>
          <w:kern w:val="0"/>
          <w:szCs w:val="24"/>
          <w14:ligatures w14:val="none"/>
        </w:rPr>
        <w:t>Figure 3.4b</w:t>
      </w:r>
      <w:r w:rsidR="00444129" w:rsidRPr="0085558C">
        <w:rPr>
          <w:rFonts w:eastAsia="Calibri" w:cs="Times New Roman"/>
          <w:kern w:val="0"/>
          <w:szCs w:val="24"/>
          <w14:ligatures w14:val="none"/>
        </w:rPr>
        <w:t>). Greater model confidence in the occurrence of a hot moment was also associated with a higher magnitude of flux (</w:t>
      </w:r>
      <w:r w:rsidR="00444129" w:rsidRPr="00140F97">
        <w:rPr>
          <w:rFonts w:eastAsia="Calibri" w:cs="Times New Roman"/>
          <w:b/>
          <w:kern w:val="0"/>
          <w:szCs w:val="24"/>
          <w14:ligatures w14:val="none"/>
        </w:rPr>
        <w:t>Figure 3.4c</w:t>
      </w:r>
      <w:r w:rsidR="00444129">
        <w:rPr>
          <w:rFonts w:eastAsia="Calibri" w:cs="Times New Roman"/>
          <w:kern w:val="0"/>
          <w:szCs w:val="24"/>
          <w14:ligatures w14:val="none"/>
        </w:rPr>
        <w:t>)</w:t>
      </w:r>
      <w:r w:rsidR="00444129" w:rsidRPr="0085558C">
        <w:rPr>
          <w:rFonts w:eastAsia="Calibri" w:cs="Times New Roman"/>
          <w:kern w:val="0"/>
          <w:szCs w:val="24"/>
          <w14:ligatures w14:val="none"/>
        </w:rPr>
        <w:t xml:space="preserve">. </w:t>
      </w:r>
    </w:p>
    <w:p w14:paraId="47E6997D" w14:textId="4A10B77B" w:rsidR="00B35EE0" w:rsidRPr="0085558C" w:rsidRDefault="00B35EE0" w:rsidP="001B567A">
      <w:pPr>
        <w:pStyle w:val="Heading3"/>
      </w:pPr>
      <w:bookmarkStart w:id="78" w:name="_Toc204282770"/>
      <w:r w:rsidRPr="0085558C">
        <w:t xml:space="preserve">Key </w:t>
      </w:r>
      <w:r w:rsidR="00FB5951">
        <w:t>m</w:t>
      </w:r>
      <w:r w:rsidRPr="0085558C">
        <w:t xml:space="preserve">odel </w:t>
      </w:r>
      <w:r w:rsidR="00FB5951">
        <w:t>d</w:t>
      </w:r>
      <w:r w:rsidRPr="0085558C">
        <w:t xml:space="preserve">rivers and </w:t>
      </w:r>
      <w:r w:rsidR="00FB5951">
        <w:t>i</w:t>
      </w:r>
      <w:r w:rsidRPr="0085558C">
        <w:t>nteractions</w:t>
      </w:r>
      <w:bookmarkEnd w:id="78"/>
    </w:p>
    <w:p w14:paraId="296E7310" w14:textId="412D200E" w:rsidR="001F717B" w:rsidRDefault="00B35EE0" w:rsidP="001B567A">
      <w:pPr>
        <w:spacing w:after="0" w:line="480" w:lineRule="auto"/>
        <w:rPr>
          <w:rFonts w:eastAsia="Calibri" w:cs="Times New Roman"/>
          <w:kern w:val="0"/>
          <w:szCs w:val="24"/>
          <w14:ligatures w14:val="none"/>
        </w:rPr>
      </w:pPr>
      <w:r>
        <w:rPr>
          <w:rFonts w:eastAsia="Calibri" w:cs="Times New Roman"/>
          <w:kern w:val="0"/>
          <w:szCs w:val="24"/>
          <w14:ligatures w14:val="none"/>
        </w:rPr>
        <w:t>Predictions of hot moments were positively influenced by recent fertilization events, soil wetting events, and higher soil temperature (</w:t>
      </w:r>
      <w:r w:rsidRPr="00140F97">
        <w:rPr>
          <w:rFonts w:eastAsia="Calibri" w:cs="Times New Roman"/>
          <w:b/>
          <w:kern w:val="0"/>
          <w:szCs w:val="24"/>
          <w14:ligatures w14:val="none"/>
        </w:rPr>
        <w:t xml:space="preserve">Figure </w:t>
      </w:r>
      <w:r w:rsidR="00D24801">
        <w:rPr>
          <w:rFonts w:eastAsia="Calibri" w:cs="Times New Roman"/>
          <w:b/>
          <w:bCs/>
          <w:kern w:val="0"/>
          <w:szCs w:val="24"/>
          <w14:ligatures w14:val="none"/>
        </w:rPr>
        <w:t>3.</w:t>
      </w:r>
      <w:r w:rsidRPr="00140F97">
        <w:rPr>
          <w:rFonts w:eastAsia="Calibri" w:cs="Times New Roman"/>
          <w:b/>
          <w:kern w:val="0"/>
          <w:szCs w:val="24"/>
          <w14:ligatures w14:val="none"/>
        </w:rPr>
        <w:t>5</w:t>
      </w:r>
      <w:r>
        <w:rPr>
          <w:rFonts w:eastAsia="Calibri" w:cs="Times New Roman"/>
          <w:kern w:val="0"/>
          <w:szCs w:val="24"/>
          <w14:ligatures w14:val="none"/>
        </w:rPr>
        <w:t xml:space="preserve">). </w:t>
      </w:r>
      <w:r w:rsidRPr="0085558C">
        <w:rPr>
          <w:rFonts w:eastAsia="Calibri" w:cs="Times New Roman"/>
          <w:kern w:val="0"/>
          <w:szCs w:val="24"/>
          <w14:ligatures w14:val="none"/>
        </w:rPr>
        <w:t xml:space="preserve">Fertilization events (recency and quantity) constituted two of the three most important </w:t>
      </w:r>
      <w:r w:rsidR="00444129" w:rsidRPr="00994531">
        <w:rPr>
          <w:rFonts w:eastAsia="Calibri" w:cs="Times New Roman"/>
          <w:kern w:val="0"/>
          <w:szCs w:val="24"/>
          <w14:ligatures w14:val="none"/>
        </w:rPr>
        <w:t xml:space="preserve">predictors </w:t>
      </w:r>
      <w:r w:rsidRPr="0085558C">
        <w:rPr>
          <w:rFonts w:eastAsia="Calibri" w:cs="Times New Roman"/>
          <w:kern w:val="0"/>
          <w:szCs w:val="24"/>
          <w14:ligatures w14:val="none"/>
        </w:rPr>
        <w:t xml:space="preserve">on average, with more recent and greater quantities of fertilizer having strong </w:t>
      </w:r>
      <w:r w:rsidR="00444129" w:rsidRPr="00994531">
        <w:rPr>
          <w:rFonts w:eastAsia="Calibri" w:cs="Times New Roman"/>
          <w:kern w:val="0"/>
          <w:szCs w:val="24"/>
          <w14:ligatures w14:val="none"/>
        </w:rPr>
        <w:t xml:space="preserve">positive impacts on the </w:t>
      </w:r>
      <w:r w:rsidRPr="0085558C">
        <w:rPr>
          <w:rFonts w:eastAsia="Calibri" w:cs="Times New Roman"/>
          <w:kern w:val="0"/>
          <w:szCs w:val="24"/>
          <w14:ligatures w14:val="none"/>
        </w:rPr>
        <w:t>model prediction of hot moments</w:t>
      </w:r>
      <w:r>
        <w:rPr>
          <w:rFonts w:eastAsia="Calibri" w:cs="Times New Roman"/>
          <w:kern w:val="0"/>
          <w:szCs w:val="24"/>
          <w14:ligatures w14:val="none"/>
        </w:rPr>
        <w:t xml:space="preserve"> (</w:t>
      </w:r>
      <w:r w:rsidRPr="00D24801">
        <w:rPr>
          <w:rFonts w:eastAsia="Calibri" w:cs="Times New Roman"/>
          <w:b/>
          <w:kern w:val="0"/>
          <w:szCs w:val="24"/>
          <w14:ligatures w14:val="none"/>
        </w:rPr>
        <w:t xml:space="preserve">Figure </w:t>
      </w:r>
      <w:r w:rsidR="00D24801">
        <w:rPr>
          <w:rFonts w:eastAsia="Calibri" w:cs="Times New Roman"/>
          <w:b/>
          <w:bCs/>
          <w:kern w:val="0"/>
          <w:szCs w:val="24"/>
          <w14:ligatures w14:val="none"/>
        </w:rPr>
        <w:t>3.</w:t>
      </w:r>
      <w:r w:rsidRPr="00D24801">
        <w:rPr>
          <w:rFonts w:eastAsia="Calibri" w:cs="Times New Roman"/>
          <w:b/>
          <w:kern w:val="0"/>
          <w:szCs w:val="24"/>
          <w14:ligatures w14:val="none"/>
        </w:rPr>
        <w:t>5</w:t>
      </w:r>
      <w:r>
        <w:rPr>
          <w:rFonts w:eastAsia="Calibri" w:cs="Times New Roman"/>
          <w:kern w:val="0"/>
          <w:szCs w:val="24"/>
          <w14:ligatures w14:val="none"/>
        </w:rPr>
        <w:t>)</w:t>
      </w:r>
      <w:r w:rsidRPr="0085558C">
        <w:rPr>
          <w:rFonts w:eastAsia="Calibri" w:cs="Times New Roman"/>
          <w:kern w:val="0"/>
          <w:szCs w:val="24"/>
          <w14:ligatures w14:val="none"/>
        </w:rPr>
        <w:t>.</w:t>
      </w:r>
      <w:r w:rsidR="00444129" w:rsidRPr="00994531">
        <w:rPr>
          <w:rFonts w:eastAsia="Calibri" w:cs="Times New Roman"/>
          <w:kern w:val="0"/>
          <w:szCs w:val="24"/>
          <w14:ligatures w14:val="none"/>
        </w:rPr>
        <w:t xml:space="preserve"> The amount of precipitation received on the prior day had a greater effect size than the amount of precipitation received on the day of N</w:t>
      </w:r>
      <w:r w:rsidR="00444129" w:rsidRPr="00994531">
        <w:rPr>
          <w:rFonts w:eastAsia="Calibri" w:cs="Times New Roman"/>
          <w:kern w:val="0"/>
          <w:szCs w:val="24"/>
          <w:vertAlign w:val="subscript"/>
          <w14:ligatures w14:val="none"/>
        </w:rPr>
        <w:t>2</w:t>
      </w:r>
      <w:r w:rsidR="00444129" w:rsidRPr="00994531">
        <w:rPr>
          <w:rFonts w:eastAsia="Calibri" w:cs="Times New Roman"/>
          <w:kern w:val="0"/>
          <w:szCs w:val="24"/>
          <w14:ligatures w14:val="none"/>
        </w:rPr>
        <w:t xml:space="preserve">O measurement, indicating the importance </w:t>
      </w:r>
    </w:p>
    <w:p w14:paraId="3FFA284E" w14:textId="24752343" w:rsidR="00BC098F" w:rsidRPr="00994531" w:rsidRDefault="00F04D58" w:rsidP="00690D4A">
      <w:pPr>
        <w:keepNext/>
        <w:spacing w:after="0" w:line="480" w:lineRule="auto"/>
      </w:pPr>
      <w:r>
        <w:rPr>
          <w:noProof/>
        </w:rPr>
        <w:lastRenderedPageBreak/>
        <w:drawing>
          <wp:inline distT="0" distB="0" distL="0" distR="0" wp14:anchorId="3CD687A0" wp14:editId="45ABECF9">
            <wp:extent cx="5943600" cy="4647989"/>
            <wp:effectExtent l="0" t="0" r="0" b="635"/>
            <wp:docPr id="1644636008"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4636008" name="Graphic 1"/>
                    <pic:cNvPicPr/>
                  </pic:nvPicPr>
                  <pic:blipFill>
                    <a:blip r:embed="rId34">
                      <a:extLst>
                        <a:ext uri="{96DAC541-7B7A-43D3-8B79-37D633B846F1}">
                          <asvg:svgBlip xmlns:asvg="http://schemas.microsoft.com/office/drawing/2016/SVG/main" r:embed="rId35"/>
                        </a:ext>
                      </a:extLst>
                    </a:blip>
                    <a:srcRect l="14038" r="14038"/>
                    <a:stretch>
                      <a:fillRect/>
                    </a:stretch>
                  </pic:blipFill>
                  <pic:spPr bwMode="auto">
                    <a:xfrm>
                      <a:off x="0" y="0"/>
                      <a:ext cx="5943600" cy="4647989"/>
                    </a:xfrm>
                    <a:prstGeom prst="rect">
                      <a:avLst/>
                    </a:prstGeom>
                    <a:extLst>
                      <a:ext uri="{53640926-AAD7-44D8-BBD7-CCE9431645EC}">
                        <a14:shadowObscured xmlns:a14="http://schemas.microsoft.com/office/drawing/2010/main"/>
                      </a:ext>
                    </a:extLst>
                  </pic:spPr>
                </pic:pic>
              </a:graphicData>
            </a:graphic>
          </wp:inline>
        </w:drawing>
      </w:r>
    </w:p>
    <w:p w14:paraId="7AE90463" w14:textId="0C9BF92F" w:rsidR="001154C0" w:rsidRPr="008200C8" w:rsidRDefault="00BC098F" w:rsidP="00BC098F">
      <w:pPr>
        <w:pStyle w:val="Caption"/>
        <w:rPr>
          <w:b/>
          <w:i w:val="0"/>
          <w:color w:val="auto"/>
          <w:sz w:val="24"/>
          <w:szCs w:val="24"/>
        </w:rPr>
      </w:pPr>
      <w:bookmarkStart w:id="79" w:name="_Toc204263363"/>
      <w:r w:rsidRPr="00EF75A5">
        <w:rPr>
          <w:b/>
          <w:bCs/>
          <w:i w:val="0"/>
          <w:iCs w:val="0"/>
          <w:color w:val="auto"/>
          <w:sz w:val="24"/>
          <w:szCs w:val="24"/>
        </w:rPr>
        <w:t>Figure 3</w:t>
      </w:r>
      <w:r w:rsidR="008200C8">
        <w:rPr>
          <w:b/>
          <w:bCs/>
          <w:i w:val="0"/>
          <w:iCs w:val="0"/>
          <w:color w:val="auto"/>
          <w:sz w:val="24"/>
          <w:szCs w:val="24"/>
        </w:rPr>
        <w:t>.</w:t>
      </w:r>
      <w:r w:rsidR="008200C8">
        <w:rPr>
          <w:b/>
          <w:bCs/>
          <w:i w:val="0"/>
          <w:iCs w:val="0"/>
          <w:color w:val="auto"/>
          <w:sz w:val="24"/>
          <w:szCs w:val="24"/>
        </w:rPr>
        <w:fldChar w:fldCharType="begin"/>
      </w:r>
      <w:r w:rsidR="008200C8">
        <w:rPr>
          <w:b/>
          <w:bCs/>
          <w:i w:val="0"/>
          <w:iCs w:val="0"/>
          <w:color w:val="auto"/>
          <w:sz w:val="24"/>
          <w:szCs w:val="24"/>
        </w:rPr>
        <w:instrText xml:space="preserve"> SEQ Figure \* ARABIC \s 1 </w:instrText>
      </w:r>
      <w:r w:rsidR="008200C8">
        <w:rPr>
          <w:b/>
          <w:bCs/>
          <w:i w:val="0"/>
          <w:iCs w:val="0"/>
          <w:color w:val="auto"/>
          <w:sz w:val="24"/>
          <w:szCs w:val="24"/>
        </w:rPr>
        <w:fldChar w:fldCharType="separate"/>
      </w:r>
      <w:r w:rsidR="008200C8">
        <w:rPr>
          <w:b/>
          <w:bCs/>
          <w:i w:val="0"/>
          <w:iCs w:val="0"/>
          <w:noProof/>
          <w:color w:val="auto"/>
          <w:sz w:val="24"/>
          <w:szCs w:val="24"/>
        </w:rPr>
        <w:t>4</w:t>
      </w:r>
      <w:r w:rsidR="008200C8">
        <w:rPr>
          <w:b/>
          <w:bCs/>
          <w:i w:val="0"/>
          <w:iCs w:val="0"/>
          <w:color w:val="auto"/>
          <w:sz w:val="24"/>
          <w:szCs w:val="24"/>
        </w:rPr>
        <w:fldChar w:fldCharType="end"/>
      </w:r>
      <w:r w:rsidRPr="004A4E9B">
        <w:rPr>
          <w:i w:val="0"/>
          <w:iCs w:val="0"/>
          <w:color w:val="auto"/>
          <w:sz w:val="24"/>
          <w:szCs w:val="24"/>
        </w:rPr>
        <w:t xml:space="preserve">: </w:t>
      </w:r>
      <w:r w:rsidRPr="004A4E9B">
        <w:rPr>
          <w:rFonts w:eastAsia="Calibri" w:cs="Times New Roman"/>
          <w:i w:val="0"/>
          <w:iCs w:val="0"/>
          <w:color w:val="auto"/>
          <w:kern w:val="0"/>
          <w:sz w:val="24"/>
          <w:szCs w:val="24"/>
          <w14:ligatures w14:val="none"/>
        </w:rPr>
        <w:t>Prediction performance of XGBoost model trained using context-informed data labels. a) Prediction results varied with N</w:t>
      </w:r>
      <w:r w:rsidRPr="004A4E9B">
        <w:rPr>
          <w:rFonts w:eastAsia="Calibri" w:cs="Times New Roman"/>
          <w:i w:val="0"/>
          <w:iCs w:val="0"/>
          <w:color w:val="auto"/>
          <w:kern w:val="0"/>
          <w:sz w:val="24"/>
          <w:szCs w:val="24"/>
          <w:vertAlign w:val="subscript"/>
          <w14:ligatures w14:val="none"/>
        </w:rPr>
        <w:t>2</w:t>
      </w:r>
      <w:r w:rsidRPr="004A4E9B">
        <w:rPr>
          <w:rFonts w:eastAsia="Calibri" w:cs="Times New Roman"/>
          <w:i w:val="0"/>
          <w:iCs w:val="0"/>
          <w:color w:val="auto"/>
          <w:kern w:val="0"/>
          <w:sz w:val="24"/>
          <w:szCs w:val="24"/>
          <w14:ligatures w14:val="none"/>
        </w:rPr>
        <w:t xml:space="preserve">O flux magnitude, with error rate peaking when flux was moderate (which often defines the top of the background level and the lowest hot moments) and decreasing as flux approached more extreme magnitudes, low and high. Probability threshold used was 0.5, and overall model accuracy was 90%. b) The receiver operator characteristic curve plots the true positive rate (TPR) and false positive rate (FPR) across different probability thresholds (p). </w:t>
      </w:r>
      <w:r w:rsidRPr="004A4E9B">
        <w:rPr>
          <w:i w:val="0"/>
          <w:iCs w:val="0"/>
          <w:color w:val="auto"/>
          <w:sz w:val="24"/>
          <w:szCs w:val="24"/>
        </w:rPr>
        <w:t xml:space="preserve">Using the default probability threshold of 0.5 (50% probability of a hot moment), the model resulted in a TP rate ~60% and a FP rate ~6%. </w:t>
      </w:r>
      <w:r w:rsidRPr="004A4E9B">
        <w:rPr>
          <w:rFonts w:eastAsia="Calibri" w:cs="Times New Roman"/>
          <w:i w:val="0"/>
          <w:iCs w:val="0"/>
          <w:color w:val="auto"/>
          <w:kern w:val="0"/>
          <w:sz w:val="24"/>
          <w:szCs w:val="24"/>
          <w14:ligatures w14:val="none"/>
        </w:rPr>
        <w:t xml:space="preserve"> c) The predicted probability of a hot moment was correlated with the magnitude of N</w:t>
      </w:r>
      <w:r w:rsidRPr="004A4E9B">
        <w:rPr>
          <w:rFonts w:eastAsia="Calibri" w:cs="Times New Roman"/>
          <w:i w:val="0"/>
          <w:iCs w:val="0"/>
          <w:color w:val="auto"/>
          <w:kern w:val="0"/>
          <w:sz w:val="24"/>
          <w:szCs w:val="24"/>
          <w:vertAlign w:val="subscript"/>
          <w14:ligatures w14:val="none"/>
        </w:rPr>
        <w:t>2</w:t>
      </w:r>
      <w:r w:rsidRPr="004A4E9B">
        <w:rPr>
          <w:rFonts w:eastAsia="Calibri" w:cs="Times New Roman"/>
          <w:i w:val="0"/>
          <w:iCs w:val="0"/>
          <w:color w:val="auto"/>
          <w:kern w:val="0"/>
          <w:sz w:val="24"/>
          <w:szCs w:val="24"/>
          <w14:ligatures w14:val="none"/>
        </w:rPr>
        <w:t>O flux, with greater model certainty associated with higher fluxes.</w:t>
      </w:r>
      <w:bookmarkEnd w:id="79"/>
    </w:p>
    <w:p w14:paraId="5CE86D92" w14:textId="5BC05B25" w:rsidR="001F717B" w:rsidRDefault="001F717B">
      <w:r>
        <w:br w:type="page"/>
      </w:r>
    </w:p>
    <w:p w14:paraId="0B30D8EA" w14:textId="77777777" w:rsidR="00BC098F" w:rsidRPr="00994531" w:rsidRDefault="001154C0" w:rsidP="00D80F3C">
      <w:pPr>
        <w:keepNext/>
        <w:spacing w:after="0" w:line="480" w:lineRule="auto"/>
        <w:jc w:val="center"/>
      </w:pPr>
      <w:r w:rsidRPr="00994531">
        <w:rPr>
          <w:rFonts w:eastAsia="Calibri" w:cs="Times New Roman"/>
          <w:noProof/>
          <w:kern w:val="0"/>
          <w:szCs w:val="24"/>
          <w14:ligatures w14:val="none"/>
        </w:rPr>
        <w:lastRenderedPageBreak/>
        <w:drawing>
          <wp:inline distT="0" distB="0" distL="0" distR="0" wp14:anchorId="5FC6AB27" wp14:editId="58E1BEAF">
            <wp:extent cx="4562475" cy="2388475"/>
            <wp:effectExtent l="0" t="0" r="0" b="0"/>
            <wp:docPr id="1602414433" name="Picture 2" descr="A graph with different colored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2414433" name="Picture 2" descr="A graph with different colored lines&#10;&#10;AI-generated content may be incorrect."/>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4580458" cy="2397889"/>
                    </a:xfrm>
                    <a:prstGeom prst="rect">
                      <a:avLst/>
                    </a:prstGeom>
                    <a:noFill/>
                    <a:ln>
                      <a:noFill/>
                    </a:ln>
                  </pic:spPr>
                </pic:pic>
              </a:graphicData>
            </a:graphic>
          </wp:inline>
        </w:drawing>
      </w:r>
    </w:p>
    <w:p w14:paraId="6BFE4852" w14:textId="373A3273" w:rsidR="001154C0" w:rsidRPr="008200C8" w:rsidRDefault="00BC098F" w:rsidP="00BC098F">
      <w:pPr>
        <w:pStyle w:val="Caption"/>
        <w:rPr>
          <w:b/>
          <w:i w:val="0"/>
          <w:color w:val="auto"/>
          <w:sz w:val="24"/>
          <w:szCs w:val="24"/>
        </w:rPr>
      </w:pPr>
      <w:bookmarkStart w:id="80" w:name="_Toc204263364"/>
      <w:r w:rsidRPr="00EF75A5">
        <w:rPr>
          <w:b/>
          <w:bCs/>
          <w:i w:val="0"/>
          <w:iCs w:val="0"/>
          <w:color w:val="auto"/>
          <w:sz w:val="24"/>
          <w:szCs w:val="24"/>
        </w:rPr>
        <w:t>Figure 3</w:t>
      </w:r>
      <w:r w:rsidR="008200C8">
        <w:rPr>
          <w:b/>
          <w:bCs/>
          <w:i w:val="0"/>
          <w:iCs w:val="0"/>
          <w:color w:val="auto"/>
          <w:sz w:val="24"/>
          <w:szCs w:val="24"/>
        </w:rPr>
        <w:t>.</w:t>
      </w:r>
      <w:r w:rsidR="008200C8">
        <w:rPr>
          <w:b/>
          <w:bCs/>
          <w:i w:val="0"/>
          <w:iCs w:val="0"/>
          <w:color w:val="auto"/>
          <w:sz w:val="24"/>
          <w:szCs w:val="24"/>
        </w:rPr>
        <w:fldChar w:fldCharType="begin"/>
      </w:r>
      <w:r w:rsidR="008200C8">
        <w:rPr>
          <w:b/>
          <w:bCs/>
          <w:i w:val="0"/>
          <w:iCs w:val="0"/>
          <w:color w:val="auto"/>
          <w:sz w:val="24"/>
          <w:szCs w:val="24"/>
        </w:rPr>
        <w:instrText xml:space="preserve"> SEQ Figure \* ARABIC \s 1 </w:instrText>
      </w:r>
      <w:r w:rsidR="008200C8">
        <w:rPr>
          <w:b/>
          <w:bCs/>
          <w:i w:val="0"/>
          <w:iCs w:val="0"/>
          <w:color w:val="auto"/>
          <w:sz w:val="24"/>
          <w:szCs w:val="24"/>
        </w:rPr>
        <w:fldChar w:fldCharType="separate"/>
      </w:r>
      <w:r w:rsidR="008200C8">
        <w:rPr>
          <w:b/>
          <w:bCs/>
          <w:i w:val="0"/>
          <w:iCs w:val="0"/>
          <w:noProof/>
          <w:color w:val="auto"/>
          <w:sz w:val="24"/>
          <w:szCs w:val="24"/>
        </w:rPr>
        <w:t>5</w:t>
      </w:r>
      <w:r w:rsidR="008200C8">
        <w:rPr>
          <w:b/>
          <w:bCs/>
          <w:i w:val="0"/>
          <w:iCs w:val="0"/>
          <w:color w:val="auto"/>
          <w:sz w:val="24"/>
          <w:szCs w:val="24"/>
        </w:rPr>
        <w:fldChar w:fldCharType="end"/>
      </w:r>
      <w:r w:rsidRPr="00994531">
        <w:rPr>
          <w:i w:val="0"/>
          <w:iCs w:val="0"/>
          <w:color w:val="auto"/>
          <w:sz w:val="24"/>
          <w:szCs w:val="24"/>
        </w:rPr>
        <w:t xml:space="preserve">: </w:t>
      </w:r>
      <w:r w:rsidRPr="00994531">
        <w:rPr>
          <w:rFonts w:eastAsia="Calibri" w:cs="Times New Roman"/>
          <w:i w:val="0"/>
          <w:iCs w:val="0"/>
          <w:color w:val="auto"/>
          <w:kern w:val="0"/>
          <w:sz w:val="24"/>
          <w:szCs w:val="24"/>
          <w14:ligatures w14:val="none"/>
        </w:rPr>
        <w:t>Violin plot of Shapley values of model predictors sorted from greatest (top) to least (bottom) average absolute impact. Color represents the value of the predictor, while the X-axis represents the magnitude of impact that predictor had on the output. The widths of violins indicate the frequency of data with a given Shapley value. Most violins are widest near 0 on the X-axis, indicating low impact.</w:t>
      </w:r>
      <w:bookmarkEnd w:id="80"/>
    </w:p>
    <w:p w14:paraId="239CA30F" w14:textId="18594122" w:rsidR="00D80F3C" w:rsidRDefault="00D80F3C" w:rsidP="001B567A">
      <w:pPr>
        <w:spacing w:after="0" w:line="480" w:lineRule="auto"/>
      </w:pPr>
      <w:r w:rsidRPr="0085558C">
        <w:rPr>
          <w:rFonts w:eastAsia="Calibri" w:cs="Times New Roman"/>
          <w:kern w:val="0"/>
          <w:szCs w:val="24"/>
          <w14:ligatures w14:val="none"/>
        </w:rPr>
        <w:t xml:space="preserve">of antecedent conditions. </w:t>
      </w:r>
      <w:r>
        <w:rPr>
          <w:rFonts w:eastAsia="Calibri" w:cs="Times New Roman"/>
          <w:kern w:val="0"/>
          <w:szCs w:val="24"/>
          <w14:ligatures w14:val="none"/>
        </w:rPr>
        <w:t xml:space="preserve">In general, the moderately low values of Day of Year, representative of early Spring, most influenced predictions of </w:t>
      </w:r>
      <w:r w:rsidRPr="0085558C">
        <w:rPr>
          <w:rFonts w:eastAsia="Calibri" w:cs="Times New Roman"/>
          <w:kern w:val="0"/>
          <w:szCs w:val="24"/>
          <w14:ligatures w14:val="none"/>
        </w:rPr>
        <w:t>hot moment</w:t>
      </w:r>
      <w:r>
        <w:rPr>
          <w:rFonts w:eastAsia="Calibri" w:cs="Times New Roman"/>
          <w:kern w:val="0"/>
          <w:szCs w:val="24"/>
          <w14:ligatures w14:val="none"/>
        </w:rPr>
        <w:t>.</w:t>
      </w:r>
      <w:r w:rsidRPr="0085558C">
        <w:rPr>
          <w:rFonts w:eastAsia="Calibri" w:cs="Times New Roman"/>
          <w:kern w:val="0"/>
          <w:szCs w:val="24"/>
          <w14:ligatures w14:val="none"/>
        </w:rPr>
        <w:t xml:space="preserve"> </w:t>
      </w:r>
      <w:r>
        <w:rPr>
          <w:rFonts w:eastAsia="Calibri" w:cs="Times New Roman"/>
          <w:kern w:val="0"/>
          <w:szCs w:val="24"/>
          <w14:ligatures w14:val="none"/>
        </w:rPr>
        <w:t>T</w:t>
      </w:r>
      <w:r w:rsidRPr="0085558C">
        <w:rPr>
          <w:rFonts w:eastAsia="Calibri" w:cs="Times New Roman"/>
          <w:kern w:val="0"/>
          <w:szCs w:val="24"/>
          <w14:ligatures w14:val="none"/>
        </w:rPr>
        <w:t>he use of urea had a positive impact on predictions of hot moments</w:t>
      </w:r>
      <w:r>
        <w:rPr>
          <w:rFonts w:eastAsia="Calibri" w:cs="Times New Roman"/>
          <w:kern w:val="0"/>
          <w:szCs w:val="24"/>
          <w14:ligatures w14:val="none"/>
        </w:rPr>
        <w:t xml:space="preserve"> </w:t>
      </w:r>
      <w:r>
        <w:rPr>
          <w:rFonts w:eastAsia="Calibri" w:cs="Times New Roman"/>
          <w:kern w:val="0"/>
          <w:szCs w:val="24"/>
          <w14:ligatures w14:val="none"/>
        </w:rPr>
        <w:fldChar w:fldCharType="begin"/>
      </w:r>
      <w:r w:rsidR="00D74AD1">
        <w:rPr>
          <w:rFonts w:eastAsia="Calibri" w:cs="Times New Roman"/>
          <w:kern w:val="0"/>
          <w:szCs w:val="24"/>
          <w14:ligatures w14:val="none"/>
        </w:rPr>
        <w:instrText xml:space="preserve"> ADDIN ZOTERO_ITEM CSL_CITATION {"citationID":"5qthsoAh","properties":{"formattedCitation":"(Tierling &amp; Kuhlmann, 2018)","plainCitation":"(Tierling &amp; Kuhlmann, 2018)","noteIndex":0},"citationItems":[{"id":3393,"uris":["http://zotero.org/groups/5631027/items/4ZWFF7BJ"],"itemData":{"id":3393,"type":"article-journal","abstract":"The potential of nitrogen (N) fertilizer forms to mitigate N2O emissions from agricultural fields is not very well understood. It is known that both reduced and oxidized N forms can be beneficial, depending on site-specific edaphic and climatic conditions. In the present study four laboratory incubation experiments were conducted under conditions that should minimize denitrification to investigate N2O emissions during the nitrification of solid N fertilizers. It was found that on two loamy sand soils with pH values slightly above pH5, urea caused 2.7–3.8 fold higher cumulative N2O emissions than ammonium sulphate (AS). N2O emission rates from urea were accompanied by elevated soil nitrite levels, while those of AS were not. The direct addition of a NaNO2 solution revealed an exponential relationship between soil nitrite levels and cumulative N2O emissions, indicating that soil nitrite induces N2O emissions, probably by nitrite reduction via nitrifier denitrification. When the soil pH was increased to 6.3 (soil from a long-term liming experiment) nitrite accumulation during nitrification was observed for both N forms. Cumulative N2O emissions did not differ between N forms on the latter soil, but N2O emission kinetics were faster for urea. Cumulative N2O emissions from AS at soil pH6.3 were significantly higher than those of AS at pH values around 5. It was concluded that i) nitrite accumulation during nitrification of reduced N fertilizer forms can significantly contribute to N2O emissions under non-denitrifying conditions, ii) the risk of nitrite accumulation increases with higher soil pH values, and iii) that the alkalizing hydrolysis of urea increases the risk of nitrite accumulation and thus higher N2O emissions as well. This mechanism would explain why urea causes higher N2O emissions than fertilizers in the form of ammonium salts.","container-title":"Geoderma","DOI":"10.1016/j.geoderma.2017.08.040","ISSN":"0016-7061","journalAbbreviation":"Geoderma","page":"12-21","source":"ScienceDirect","title":"Emissions of nitrous oxide (N2O) affected by pH-related nitrite accumulation during nitrification of N fertilizers","volume":"310","author":[{"family":"Tierling","given":"Jens"},{"family":"Kuhlmann","given":"Hermann"}],"issued":{"date-parts":[["2018",1,15]]}}}],"schema":"https://github.com/citation-style-language/schema/raw/master/csl-citation.json"} </w:instrText>
      </w:r>
      <w:r>
        <w:rPr>
          <w:rFonts w:eastAsia="Calibri" w:cs="Times New Roman"/>
          <w:kern w:val="0"/>
          <w:szCs w:val="24"/>
          <w14:ligatures w14:val="none"/>
        </w:rPr>
        <w:fldChar w:fldCharType="separate"/>
      </w:r>
      <w:r w:rsidRPr="00F52228">
        <w:rPr>
          <w:rFonts w:cs="Times New Roman"/>
        </w:rPr>
        <w:t>(Tierling &amp; Kuhlmann, 2018)</w:t>
      </w:r>
      <w:r>
        <w:rPr>
          <w:rFonts w:eastAsia="Calibri" w:cs="Times New Roman"/>
          <w:kern w:val="0"/>
          <w:szCs w:val="24"/>
          <w14:ligatures w14:val="none"/>
        </w:rPr>
        <w:fldChar w:fldCharType="end"/>
      </w:r>
      <w:r w:rsidRPr="0085558C">
        <w:rPr>
          <w:rFonts w:eastAsia="Calibri" w:cs="Times New Roman"/>
          <w:kern w:val="0"/>
          <w:szCs w:val="24"/>
          <w14:ligatures w14:val="none"/>
        </w:rPr>
        <w:t xml:space="preserve">, while the use of environmentally smart nitrogen (ESN) had a negative effect, and </w:t>
      </w:r>
      <w:r>
        <w:rPr>
          <w:rFonts w:eastAsia="Calibri" w:cs="Times New Roman"/>
          <w:kern w:val="0"/>
          <w:szCs w:val="24"/>
          <w14:ligatures w14:val="none"/>
        </w:rPr>
        <w:t>urea ammonium nitrate’s (</w:t>
      </w:r>
      <w:r w:rsidRPr="0085558C">
        <w:rPr>
          <w:rFonts w:eastAsia="Calibri" w:cs="Times New Roman"/>
          <w:kern w:val="0"/>
          <w:szCs w:val="24"/>
          <w14:ligatures w14:val="none"/>
        </w:rPr>
        <w:t>UAN</w:t>
      </w:r>
      <w:r>
        <w:rPr>
          <w:rFonts w:eastAsia="Calibri" w:cs="Times New Roman"/>
          <w:kern w:val="0"/>
          <w:szCs w:val="24"/>
          <w14:ligatures w14:val="none"/>
        </w:rPr>
        <w:t>)</w:t>
      </w:r>
      <w:r w:rsidRPr="0085558C">
        <w:rPr>
          <w:rFonts w:eastAsia="Calibri" w:cs="Times New Roman"/>
          <w:kern w:val="0"/>
          <w:szCs w:val="24"/>
          <w14:ligatures w14:val="none"/>
        </w:rPr>
        <w:t xml:space="preserve"> impact was ambiguous.</w:t>
      </w:r>
    </w:p>
    <w:p w14:paraId="6CDC2C16" w14:textId="78E4552D" w:rsidR="004A3CEE" w:rsidRPr="0085558C" w:rsidRDefault="004A3CEE" w:rsidP="001B567A">
      <w:pPr>
        <w:spacing w:after="0" w:line="480" w:lineRule="auto"/>
        <w:rPr>
          <w:rFonts w:eastAsia="Calibri" w:cs="Times New Roman"/>
          <w:kern w:val="0"/>
          <w:szCs w:val="24"/>
          <w14:ligatures w14:val="none"/>
        </w:rPr>
      </w:pPr>
      <w:r w:rsidRPr="0085558C">
        <w:rPr>
          <w:rFonts w:eastAsia="Calibri" w:cs="Times New Roman"/>
          <w:kern w:val="0"/>
          <w:szCs w:val="24"/>
          <w14:ligatures w14:val="none"/>
        </w:rPr>
        <w:t>Beyond the individual impact of predictors, the model</w:t>
      </w:r>
      <w:r>
        <w:rPr>
          <w:rFonts w:eastAsia="Calibri" w:cs="Times New Roman"/>
          <w:kern w:val="0"/>
          <w:szCs w:val="24"/>
          <w14:ligatures w14:val="none"/>
        </w:rPr>
        <w:t xml:space="preserve"> predicted the greatest</w:t>
      </w:r>
      <w:r w:rsidRPr="0085558C">
        <w:rPr>
          <w:rFonts w:eastAsia="Calibri" w:cs="Times New Roman"/>
          <w:kern w:val="0"/>
          <w:szCs w:val="24"/>
          <w14:ligatures w14:val="none"/>
        </w:rPr>
        <w:t xml:space="preserve"> probability hot moments when multiple environmental factors were conducive to denitrification</w:t>
      </w:r>
      <w:r>
        <w:rPr>
          <w:rFonts w:eastAsia="Calibri" w:cs="Times New Roman"/>
          <w:kern w:val="0"/>
          <w:szCs w:val="24"/>
          <w14:ligatures w14:val="none"/>
        </w:rPr>
        <w:t xml:space="preserve">. </w:t>
      </w:r>
      <w:r w:rsidRPr="0085558C">
        <w:rPr>
          <w:rFonts w:eastAsia="Calibri" w:cs="Times New Roman"/>
          <w:kern w:val="0"/>
          <w:szCs w:val="24"/>
          <w14:ligatures w14:val="none"/>
        </w:rPr>
        <w:t>For example, fertilization within the prior 20 days was still unlikely to lead to prediction of hot moments unless VWC was at least 25% (</w:t>
      </w:r>
      <w:r w:rsidRPr="00D24801">
        <w:rPr>
          <w:rFonts w:eastAsia="Calibri" w:cs="Times New Roman"/>
          <w:b/>
          <w:kern w:val="0"/>
          <w:szCs w:val="24"/>
          <w14:ligatures w14:val="none"/>
        </w:rPr>
        <w:t xml:space="preserve">Figure </w:t>
      </w:r>
      <w:r w:rsidR="00D24801">
        <w:rPr>
          <w:rFonts w:eastAsia="Calibri" w:cs="Times New Roman"/>
          <w:b/>
          <w:bCs/>
          <w:kern w:val="0"/>
          <w:szCs w:val="24"/>
          <w14:ligatures w14:val="none"/>
        </w:rPr>
        <w:t>3.</w:t>
      </w:r>
      <w:r>
        <w:rPr>
          <w:rFonts w:eastAsia="Calibri" w:cs="Times New Roman"/>
          <w:b/>
          <w:kern w:val="0"/>
          <w:szCs w:val="24"/>
          <w14:ligatures w14:val="none"/>
        </w:rPr>
        <w:t>6</w:t>
      </w:r>
      <w:r w:rsidRPr="0085558C">
        <w:rPr>
          <w:rFonts w:eastAsia="Calibri" w:cs="Times New Roman"/>
          <w:kern w:val="0"/>
          <w:szCs w:val="24"/>
          <w14:ligatures w14:val="none"/>
        </w:rPr>
        <w:t xml:space="preserve">). Similarly, high soil moisture generally could not alone drive hot moment predictions if the temperature was very low, and the highest rates of hot moments were predicted when both moisture and temperature were high.   </w:t>
      </w:r>
    </w:p>
    <w:p w14:paraId="559426A0" w14:textId="6A6B91B4" w:rsidR="004A3CEE" w:rsidRPr="0085558C" w:rsidRDefault="004A3CEE" w:rsidP="001B567A">
      <w:pPr>
        <w:spacing w:after="0" w:line="480" w:lineRule="auto"/>
        <w:rPr>
          <w:rFonts w:eastAsia="Calibri" w:cs="Times New Roman"/>
          <w:kern w:val="0"/>
          <w:szCs w:val="24"/>
          <w14:ligatures w14:val="none"/>
        </w:rPr>
      </w:pPr>
      <w:r w:rsidRPr="0085558C">
        <w:rPr>
          <w:rFonts w:eastAsia="Calibri" w:cs="Times New Roman"/>
          <w:kern w:val="0"/>
          <w:szCs w:val="24"/>
          <w14:ligatures w14:val="none"/>
        </w:rPr>
        <w:t xml:space="preserve">The form of </w:t>
      </w:r>
      <w:r>
        <w:rPr>
          <w:rFonts w:eastAsia="Calibri" w:cs="Times New Roman"/>
          <w:kern w:val="0"/>
          <w:szCs w:val="24"/>
          <w14:ligatures w14:val="none"/>
        </w:rPr>
        <w:t>N</w:t>
      </w:r>
      <w:r w:rsidRPr="0085558C">
        <w:rPr>
          <w:rFonts w:eastAsia="Calibri" w:cs="Times New Roman"/>
          <w:kern w:val="0"/>
          <w:szCs w:val="24"/>
          <w14:ligatures w14:val="none"/>
        </w:rPr>
        <w:t xml:space="preserve"> fertilizer applied also produced differential results on the timing and rates of hot moments. The application of urea ammonium nitrate, manure, and cover crop residue produced </w:t>
      </w:r>
    </w:p>
    <w:p w14:paraId="44B2CA0F" w14:textId="77777777" w:rsidR="00BC098F" w:rsidRPr="00994531" w:rsidRDefault="001154C0" w:rsidP="000B7E6B">
      <w:pPr>
        <w:keepNext/>
        <w:spacing w:after="0" w:line="480" w:lineRule="auto"/>
      </w:pPr>
      <w:r w:rsidRPr="00994531">
        <w:rPr>
          <w:rFonts w:eastAsia="Calibri" w:cs="Times New Roman"/>
          <w:noProof/>
          <w:kern w:val="0"/>
          <w:szCs w:val="24"/>
          <w14:ligatures w14:val="none"/>
        </w:rPr>
        <w:lastRenderedPageBreak/>
        <w:drawing>
          <wp:inline distT="0" distB="0" distL="0" distR="0" wp14:anchorId="2B372EA2" wp14:editId="693BFBE8">
            <wp:extent cx="5518484" cy="5518484"/>
            <wp:effectExtent l="0" t="0" r="6350" b="6350"/>
            <wp:docPr id="612123912"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2123912" name="Graphic 1"/>
                    <pic:cNvPicPr/>
                  </pic:nvPicPr>
                  <pic:blipFill>
                    <a:blip r:embed="rId37">
                      <a:extLst>
                        <a:ext uri="{96DAC541-7B7A-43D3-8B79-37D633B846F1}">
                          <asvg:svgBlip xmlns:asvg="http://schemas.microsoft.com/office/drawing/2016/SVG/main" r:embed="rId38"/>
                        </a:ext>
                      </a:extLst>
                    </a:blip>
                    <a:stretch>
                      <a:fillRect/>
                    </a:stretch>
                  </pic:blipFill>
                  <pic:spPr>
                    <a:xfrm>
                      <a:off x="0" y="0"/>
                      <a:ext cx="5528926" cy="5528926"/>
                    </a:xfrm>
                    <a:prstGeom prst="rect">
                      <a:avLst/>
                    </a:prstGeom>
                  </pic:spPr>
                </pic:pic>
              </a:graphicData>
            </a:graphic>
          </wp:inline>
        </w:drawing>
      </w:r>
    </w:p>
    <w:p w14:paraId="19FE8063" w14:textId="226ABEAA" w:rsidR="001154C0" w:rsidRPr="008200C8" w:rsidRDefault="00BC098F" w:rsidP="00BC098F">
      <w:pPr>
        <w:pStyle w:val="Caption"/>
        <w:rPr>
          <w:b/>
          <w:i w:val="0"/>
          <w:color w:val="auto"/>
          <w:sz w:val="24"/>
          <w:szCs w:val="24"/>
        </w:rPr>
      </w:pPr>
      <w:bookmarkStart w:id="81" w:name="_Toc204263365"/>
      <w:r w:rsidRPr="00EF75A5">
        <w:rPr>
          <w:b/>
          <w:bCs/>
          <w:i w:val="0"/>
          <w:iCs w:val="0"/>
          <w:color w:val="auto"/>
          <w:sz w:val="24"/>
          <w:szCs w:val="24"/>
        </w:rPr>
        <w:t>Figure 3</w:t>
      </w:r>
      <w:r w:rsidR="008200C8" w:rsidRPr="008200C8">
        <w:rPr>
          <w:b/>
          <w:bCs/>
          <w:i w:val="0"/>
          <w:iCs w:val="0"/>
          <w:color w:val="auto"/>
          <w:sz w:val="24"/>
          <w:szCs w:val="24"/>
        </w:rPr>
        <w:t>.</w:t>
      </w:r>
      <w:r w:rsidR="008200C8" w:rsidRPr="008200C8">
        <w:rPr>
          <w:b/>
          <w:bCs/>
          <w:i w:val="0"/>
          <w:iCs w:val="0"/>
          <w:color w:val="auto"/>
          <w:sz w:val="24"/>
          <w:szCs w:val="24"/>
        </w:rPr>
        <w:fldChar w:fldCharType="begin"/>
      </w:r>
      <w:r w:rsidR="008200C8" w:rsidRPr="008200C8">
        <w:rPr>
          <w:b/>
          <w:bCs/>
          <w:i w:val="0"/>
          <w:iCs w:val="0"/>
          <w:color w:val="auto"/>
          <w:sz w:val="24"/>
          <w:szCs w:val="24"/>
        </w:rPr>
        <w:instrText xml:space="preserve"> SEQ Figure \* ARABIC \s 1 </w:instrText>
      </w:r>
      <w:r w:rsidR="008200C8" w:rsidRPr="008200C8">
        <w:rPr>
          <w:b/>
          <w:bCs/>
          <w:i w:val="0"/>
          <w:iCs w:val="0"/>
          <w:color w:val="auto"/>
          <w:sz w:val="24"/>
          <w:szCs w:val="24"/>
        </w:rPr>
        <w:fldChar w:fldCharType="separate"/>
      </w:r>
      <w:r w:rsidR="008200C8" w:rsidRPr="008200C8">
        <w:rPr>
          <w:b/>
          <w:bCs/>
          <w:i w:val="0"/>
          <w:iCs w:val="0"/>
          <w:noProof/>
          <w:color w:val="auto"/>
          <w:sz w:val="24"/>
          <w:szCs w:val="24"/>
        </w:rPr>
        <w:t>6</w:t>
      </w:r>
      <w:r w:rsidR="008200C8" w:rsidRPr="008200C8">
        <w:rPr>
          <w:b/>
          <w:bCs/>
          <w:i w:val="0"/>
          <w:iCs w:val="0"/>
          <w:color w:val="auto"/>
          <w:sz w:val="24"/>
          <w:szCs w:val="24"/>
        </w:rPr>
        <w:fldChar w:fldCharType="end"/>
      </w:r>
      <w:r w:rsidRPr="00994531">
        <w:rPr>
          <w:i w:val="0"/>
          <w:iCs w:val="0"/>
          <w:color w:val="auto"/>
          <w:sz w:val="24"/>
          <w:szCs w:val="24"/>
        </w:rPr>
        <w:t xml:space="preserve">: </w:t>
      </w:r>
      <w:r w:rsidRPr="00994531">
        <w:rPr>
          <w:rFonts w:eastAsia="Calibri" w:cs="Times New Roman"/>
          <w:i w:val="0"/>
          <w:iCs w:val="0"/>
          <w:color w:val="auto"/>
          <w:kern w:val="0"/>
          <w:sz w:val="24"/>
          <w:szCs w:val="24"/>
          <w14:ligatures w14:val="none"/>
        </w:rPr>
        <w:t>Heatmaps indicate the proportions of N</w:t>
      </w:r>
      <w:r w:rsidRPr="00994531">
        <w:rPr>
          <w:rFonts w:eastAsia="Calibri" w:cs="Times New Roman"/>
          <w:i w:val="0"/>
          <w:iCs w:val="0"/>
          <w:color w:val="auto"/>
          <w:kern w:val="0"/>
          <w:sz w:val="24"/>
          <w:szCs w:val="24"/>
          <w:vertAlign w:val="subscript"/>
          <w14:ligatures w14:val="none"/>
        </w:rPr>
        <w:t>2</w:t>
      </w:r>
      <w:r w:rsidRPr="00994531">
        <w:rPr>
          <w:rFonts w:eastAsia="Calibri" w:cs="Times New Roman"/>
          <w:i w:val="0"/>
          <w:iCs w:val="0"/>
          <w:color w:val="auto"/>
          <w:kern w:val="0"/>
          <w:sz w:val="24"/>
          <w:szCs w:val="24"/>
          <w14:ligatures w14:val="none"/>
        </w:rPr>
        <w:t>O flux measurements predicted to be hot moments when segmented into bins based on the synergy of two key predictors: days since fertilization and volumetric water content (VWC), soil temperature and VWC, and days since fertilization and fertilizer form. Color of each tile indicates the proportion of flux measurements within tiles were predicted to be hot moments, where dark red indicates 100% of measurements predicted to be hot moments. The numbers within each tile indicate the total number data points within each tile.</w:t>
      </w:r>
      <w:bookmarkEnd w:id="81"/>
    </w:p>
    <w:p w14:paraId="0FF08FCC" w14:textId="77777777" w:rsidR="00E73BF4" w:rsidRDefault="00E73BF4" w:rsidP="00D01951">
      <w:pPr>
        <w:spacing w:after="0" w:line="480" w:lineRule="auto"/>
        <w:rPr>
          <w:rFonts w:eastAsia="Calibri" w:cs="Times New Roman"/>
          <w:kern w:val="0"/>
          <w:szCs w:val="24"/>
          <w14:ligatures w14:val="none"/>
        </w:rPr>
      </w:pPr>
    </w:p>
    <w:p w14:paraId="3484048E" w14:textId="77777777" w:rsidR="00E73BF4" w:rsidRDefault="00E73BF4" w:rsidP="00D01951">
      <w:pPr>
        <w:spacing w:after="0" w:line="480" w:lineRule="auto"/>
        <w:rPr>
          <w:rFonts w:eastAsia="Calibri" w:cs="Times New Roman"/>
          <w:kern w:val="0"/>
          <w:szCs w:val="24"/>
          <w14:ligatures w14:val="none"/>
        </w:rPr>
      </w:pPr>
    </w:p>
    <w:p w14:paraId="21F4B728" w14:textId="77777777" w:rsidR="00E73BF4" w:rsidRDefault="00E73BF4" w:rsidP="00D01951">
      <w:pPr>
        <w:spacing w:after="0" w:line="480" w:lineRule="auto"/>
        <w:rPr>
          <w:rFonts w:eastAsia="Calibri" w:cs="Times New Roman"/>
          <w:kern w:val="0"/>
          <w:szCs w:val="24"/>
          <w14:ligatures w14:val="none"/>
        </w:rPr>
      </w:pPr>
    </w:p>
    <w:p w14:paraId="180709F5" w14:textId="3B46E658" w:rsidR="004A3CEE" w:rsidRPr="004A3CEE" w:rsidRDefault="004A3CEE" w:rsidP="001B567A">
      <w:pPr>
        <w:spacing w:after="0" w:line="480" w:lineRule="auto"/>
      </w:pPr>
      <w:r w:rsidRPr="0085558C">
        <w:rPr>
          <w:rFonts w:eastAsia="Calibri" w:cs="Times New Roman"/>
          <w:kern w:val="0"/>
          <w:szCs w:val="24"/>
          <w14:ligatures w14:val="none"/>
        </w:rPr>
        <w:lastRenderedPageBreak/>
        <w:t>strong and immediate impacts on hot moments, while</w:t>
      </w:r>
      <w:r>
        <w:rPr>
          <w:rFonts w:eastAsia="Calibri" w:cs="Times New Roman"/>
          <w:kern w:val="0"/>
          <w:szCs w:val="24"/>
          <w14:ligatures w14:val="none"/>
        </w:rPr>
        <w:t xml:space="preserve"> </w:t>
      </w:r>
      <w:r w:rsidRPr="0085558C">
        <w:rPr>
          <w:rFonts w:eastAsia="Calibri" w:cs="Times New Roman"/>
          <w:kern w:val="0"/>
          <w:szCs w:val="24"/>
          <w14:ligatures w14:val="none"/>
        </w:rPr>
        <w:t>ESN and anhydrous ammonia (AA) were associated with delayed responses in hot moment predictions (</w:t>
      </w:r>
      <w:r w:rsidRPr="00D24801">
        <w:rPr>
          <w:rFonts w:eastAsia="Calibri" w:cs="Times New Roman"/>
          <w:b/>
          <w:kern w:val="0"/>
          <w:szCs w:val="24"/>
          <w14:ligatures w14:val="none"/>
        </w:rPr>
        <w:t xml:space="preserve">Figure </w:t>
      </w:r>
      <w:r w:rsidR="00D24801">
        <w:rPr>
          <w:rFonts w:eastAsia="Calibri" w:cs="Times New Roman"/>
          <w:b/>
          <w:bCs/>
          <w:kern w:val="0"/>
          <w:szCs w:val="24"/>
          <w14:ligatures w14:val="none"/>
        </w:rPr>
        <w:t>3.</w:t>
      </w:r>
      <w:r>
        <w:rPr>
          <w:rFonts w:eastAsia="Calibri" w:cs="Times New Roman"/>
          <w:b/>
          <w:kern w:val="0"/>
          <w:szCs w:val="24"/>
          <w14:ligatures w14:val="none"/>
        </w:rPr>
        <w:t>6</w:t>
      </w:r>
      <w:r w:rsidRPr="0085558C">
        <w:rPr>
          <w:rFonts w:eastAsia="Calibri" w:cs="Times New Roman"/>
          <w:kern w:val="0"/>
          <w:szCs w:val="24"/>
          <w14:ligatures w14:val="none"/>
        </w:rPr>
        <w:t>).</w:t>
      </w:r>
    </w:p>
    <w:p w14:paraId="53900EC2" w14:textId="4BAB1A41" w:rsidR="001154C0" w:rsidRPr="00994531" w:rsidRDefault="001154C0" w:rsidP="001B567A">
      <w:pPr>
        <w:pStyle w:val="Heading2"/>
      </w:pPr>
      <w:bookmarkStart w:id="82" w:name="_Toc204282771"/>
      <w:r w:rsidRPr="00994531">
        <w:t>Discussion</w:t>
      </w:r>
      <w:bookmarkEnd w:id="82"/>
    </w:p>
    <w:p w14:paraId="34334DB0" w14:textId="77777777" w:rsidR="00D01951" w:rsidRPr="0085558C" w:rsidRDefault="00D01951" w:rsidP="001B567A">
      <w:pPr>
        <w:spacing w:after="0" w:line="480" w:lineRule="auto"/>
        <w:rPr>
          <w:rFonts w:eastAsia="Calibri" w:cs="Times New Roman"/>
          <w:kern w:val="0"/>
          <w:szCs w:val="24"/>
          <w14:ligatures w14:val="none"/>
        </w:rPr>
      </w:pPr>
      <w:r w:rsidRPr="0085558C">
        <w:rPr>
          <w:rFonts w:eastAsia="Calibri" w:cs="Times New Roman"/>
          <w:kern w:val="0"/>
          <w:szCs w:val="24"/>
          <w14:ligatures w14:val="none"/>
        </w:rPr>
        <w:t xml:space="preserve">To improve GHG emission estimates from agriculture and drive mitigation efforts, there is a need to improve the accuracy and accessibility of </w:t>
      </w:r>
      <w:r>
        <w:rPr>
          <w:rFonts w:eastAsia="Calibri" w:cs="Times New Roman"/>
          <w:kern w:val="0"/>
          <w:szCs w:val="24"/>
          <w14:ligatures w14:val="none"/>
        </w:rPr>
        <w:t xml:space="preserve">soil </w:t>
      </w:r>
      <w:r w:rsidRPr="0085558C">
        <w:rPr>
          <w:rFonts w:eastAsia="Calibri" w:cs="Times New Roman"/>
          <w:kern w:val="0"/>
          <w:szCs w:val="24"/>
          <w14:ligatures w14:val="none"/>
        </w:rPr>
        <w:t>N</w:t>
      </w:r>
      <w:r w:rsidRPr="0085558C">
        <w:rPr>
          <w:rFonts w:eastAsia="Calibri" w:cs="Times New Roman"/>
          <w:kern w:val="0"/>
          <w:szCs w:val="24"/>
          <w:vertAlign w:val="subscript"/>
          <w14:ligatures w14:val="none"/>
        </w:rPr>
        <w:t>2</w:t>
      </w:r>
      <w:r w:rsidRPr="0085558C">
        <w:rPr>
          <w:rFonts w:eastAsia="Calibri" w:cs="Times New Roman"/>
          <w:kern w:val="0"/>
          <w:szCs w:val="24"/>
          <w14:ligatures w14:val="none"/>
        </w:rPr>
        <w:t>O flux models with high temporal and spatial resolution, particularly during highly dynamic hot moments. Our results demonstrate that ML classification models can accurately predict the occurrences of hot moments, with potential applications of informing mitigation efforts and differentially modeling the biogeochemical processes underlying background emissions and hot moments. Our dataset was notable for its applicability both in terms of its global scope, including N</w:t>
      </w:r>
      <w:r w:rsidRPr="0085558C">
        <w:rPr>
          <w:rFonts w:eastAsia="Calibri" w:cs="Times New Roman"/>
          <w:kern w:val="0"/>
          <w:szCs w:val="24"/>
          <w:vertAlign w:val="subscript"/>
          <w14:ligatures w14:val="none"/>
        </w:rPr>
        <w:t>2</w:t>
      </w:r>
      <w:r w:rsidRPr="0085558C">
        <w:rPr>
          <w:rFonts w:eastAsia="Calibri" w:cs="Times New Roman"/>
          <w:kern w:val="0"/>
          <w:szCs w:val="24"/>
          <w14:ligatures w14:val="none"/>
        </w:rPr>
        <w:t xml:space="preserve">O fluxes and environmental measurements from a diverse array of climate, soil, and agronomic practices, as well as its dependence on a limited set of easy to measure input data. </w:t>
      </w:r>
    </w:p>
    <w:p w14:paraId="1EBAC1D6" w14:textId="4FF0E069" w:rsidR="001154C0" w:rsidRPr="00994531" w:rsidRDefault="001154C0" w:rsidP="001B567A">
      <w:pPr>
        <w:pStyle w:val="Heading3"/>
      </w:pPr>
      <w:bookmarkStart w:id="83" w:name="_Toc204282772"/>
      <w:r w:rsidRPr="00994531">
        <w:t>ML classification models accurately predict the occurrences of hot moments</w:t>
      </w:r>
      <w:bookmarkEnd w:id="83"/>
    </w:p>
    <w:p w14:paraId="2E7A2EDA" w14:textId="6565A37F" w:rsidR="006B1A6B" w:rsidRDefault="006B1A6B" w:rsidP="001B567A">
      <w:pPr>
        <w:spacing w:after="0" w:line="480" w:lineRule="auto"/>
        <w:rPr>
          <w:rFonts w:eastAsia="Calibri" w:cs="Times New Roman"/>
          <w:kern w:val="0"/>
          <w:szCs w:val="24"/>
          <w14:ligatures w14:val="none"/>
        </w:rPr>
      </w:pPr>
      <w:r w:rsidRPr="0085558C">
        <w:rPr>
          <w:rFonts w:eastAsia="Calibri" w:cs="Times New Roman"/>
          <w:kern w:val="0"/>
          <w:szCs w:val="24"/>
          <w14:ligatures w14:val="none"/>
        </w:rPr>
        <w:t>The RF architecture has often been shown to exhibit relatively strong performance in predicting soil N</w:t>
      </w:r>
      <w:r w:rsidRPr="0085558C">
        <w:rPr>
          <w:rFonts w:eastAsia="Calibri" w:cs="Times New Roman"/>
          <w:kern w:val="0"/>
          <w:szCs w:val="24"/>
          <w:vertAlign w:val="subscript"/>
          <w14:ligatures w14:val="none"/>
        </w:rPr>
        <w:t>2</w:t>
      </w:r>
      <w:r w:rsidRPr="0085558C">
        <w:rPr>
          <w:rFonts w:eastAsia="Calibri" w:cs="Times New Roman"/>
          <w:kern w:val="0"/>
          <w:szCs w:val="24"/>
          <w14:ligatures w14:val="none"/>
        </w:rPr>
        <w:t>O emissions</w:t>
      </w:r>
      <w:r>
        <w:rPr>
          <w:rFonts w:eastAsia="Calibri" w:cs="Times New Roman"/>
          <w:kern w:val="0"/>
          <w:szCs w:val="24"/>
          <w14:ligatures w14:val="none"/>
        </w:rPr>
        <w:t>, as</w:t>
      </w:r>
      <w:r w:rsidRPr="0085558C">
        <w:rPr>
          <w:rFonts w:eastAsia="Calibri" w:cs="Times New Roman"/>
          <w:kern w:val="0"/>
          <w:szCs w:val="24"/>
          <w14:ligatures w14:val="none"/>
        </w:rPr>
        <w:t xml:space="preserve"> was observed in this study </w:t>
      </w:r>
      <w:r w:rsidRPr="0085558C">
        <w:rPr>
          <w:rFonts w:eastAsia="Calibri" w:cs="Times New Roman"/>
          <w:kern w:val="0"/>
          <w:szCs w:val="24"/>
          <w14:ligatures w14:val="none"/>
        </w:rPr>
        <w:fldChar w:fldCharType="begin"/>
      </w:r>
      <w:r w:rsidR="00FB5341">
        <w:rPr>
          <w:rFonts w:eastAsia="Calibri" w:cs="Times New Roman"/>
          <w:kern w:val="0"/>
          <w:szCs w:val="24"/>
          <w14:ligatures w14:val="none"/>
        </w:rPr>
        <w:instrText xml:space="preserve"> ADDIN ZOTERO_ITEM CSL_CITATION {"citationID":"a64ko0r0bn","properties":{"formattedCitation":"(Chiaravalloti et al., 2023; Dhaliwal et al., 2025; Joshi et al., 2024; Kotlar et al., 2022; Philibert et al., 2013; Saha, Basso, et al., 2021b)","plainCitation":"(Chiaravalloti et al., 2023; Dhaliwal et al., 2025; Joshi et al., 2024; Kotlar et al., 2022; Philibert et al., 2013; Saha, Basso, et al., 2021b)","noteIndex":0},"citationItems":[{"id":3112,"uris":["http://zotero.org/groups/4573874/items/4ZP7MW4Q"],"itemData":{"id":3112,"type":"article-journal","abstract":"Nitrous oxide (N2O) is a potent and long-lived greenhouse gas that accounts for roughly 6% of global anthropogenic greenhouse gas emissions, and it has risen from its preindustrial concentration of 270 ppb N2O to 332 ppb N2O as a result of human activities. The majority of anthropogenic N2O emissions (52–80%) come from agricultural settings due to high rates of reactive nitrogen fertilizer application. Amending soils with fine-grained basalt is gaining traction as a carbon dioxide removal (CDR) pathway, and model simulations suggest that this process may also significantly decrease soil N2O emissions. Here, we continuously measure N2O fluxes from large-scale maize mesocosms in a greenhouse setting and use a machine learning framework to assess the relative importance of the levers on N2O fluxes. We observe significant decreases in cumulative N2O emissions (between 29–32%) from mesocosm systems with basalt addition. We find that basalt application rate, soil pH, and surface soil moisture are the strongest levers on N2O emissions depending on the system settings. These results provide empirical support for a potentially significant co-benefit of deploying enhanced rock weathering of silicates (ERW) on managed lands, particularly those subject to elevated rates of reactive nitrogen input.","container-title":"Frontiers in Climate","DOI":"10.3389/fclim.2023.1203043","ISSN":"2624-9553","journalAbbreviation":"Front. Clim.","language":"English","note":"publisher: Frontiers","source":"Frontiers","title":"Mitigation of soil nitrous oxide emissions during maize production with basalt amendments","URL":"https://www.frontiersin.orghttps://www.frontiersin.org/journals/climate/articles/10.3389/fclim.2023.1203043/full","volume":"5","author":[{"family":"Chiaravalloti","given":"Isabella"},{"family":"Theunissen","given":"Nicolas"},{"family":"Zhang","given":"Shuang"},{"family":"Wang","given":"Jiuyuan"},{"family":"Sun","given":"Fengchao"},{"family":"Ahmed","given":"Ayesha A."},{"family":"Pihlap","given":"Evelin"},{"family":"Reinhard","given":"Christopher T."},{"family":"Planavsky","given":"Noah J."}],"accessed":{"date-parts":[["2025",4,14]]},"issued":{"date-parts":[["2023",6,22]]}}},{"id":3126,"uris":["http://zotero.org/groups/4573874/items/KXHMG4CM"],"itemData":{"id":3126,"type":"article-journal","abstract":"Soil nitrous oxide (N2O) emissions exhibit high variability in intensively managed cropping systems, which challenges our ability to understand their complex interactions with controlling factors. We leveraged 17 years (2003–2019) of measurements at the Kellogg Biological Station Long-Term Ecological Research (LTER)/Long-Term Agroecosystem Research (LTAR) site to better understand the controls of N2O emissions in four corn–soybean–winter wheat rotations employing conventional, no-till, reduced input, and biologically based/organic inputs. We used a random forest machine learning model to predict daily N2O fluxes, trained separately for each system with 70% of observations, using variables such as crop species, daily air temperature, cumulative 2-day precipitation, water-filled pore space, and soil nitrate and ammonium concentrations. The model explained 29%–42% of daily N2O flux variability in the test data, with greater predictability for the corn phase in each system. The long-term rotations showed different controlling factors and threshold conditions influencing N2O emissions. In the conventional system, the model identified ammonium (&gt;15 kg N ha−1) and daily air temperature (&gt;23°C) as the most influential variables; in the no-till system, climate variables such as precipitation and air temperature were important variables. In low-input and organic systems, where red clover (Trifolium repens L.; before corn) and cereal rye (Secale cereale L.; before soybean) cover crops were integrated, nitrate was the predominant predictor of N2O emissions, followed by precipitation and air temperature. In low-input and biologically based systems, red clover residues increased soil nitrogen availability to influence N2O emissions. Long-term data facilitated machine learning for predicting N2O emissions in response to differential controls and threshold responses to management, environmental, and biogeochemical drivers.","container-title":"Journal of Environmental Quality","DOI":"10.1002/jeq2.20637","ISSN":"1537-2537","issue":"1","language":"en","license":"© 2024 The Author(s). Journal of Environmental Quality published by Wiley Periodicals LLC on behalf of American Society of Agronomy, Crop Science Society of America, and Soil Science Society of America.","note":"_eprint: https://onlinelibrary.wiley.com/doi/pdf/10.1002/jeq2.20637","page":"132-146","source":"Wiley Online Library","title":"Machine learning reveals dynamic controls of soil nitrous oxide emissions from diverse long-term cropping systems","volume":"54","author":[{"family":"Dhaliwal","given":"Jashanjeet Kaur"},{"family":"Panday","given":"Dinesh"},{"family":"Robertson","given":"G. Philip"},{"family":"Saha","given":"Debasish"}],"issued":{"date-parts":[["2025"]]}}},{"id":3116,"uris":["http://zotero.org/groups/4573874/items/ASSALIBK"],"itemData":{"id":3116,"type":"article-journal","abstract":"Cover crops improve soil health and reduce the risk of soil erosion. However, their impact on the carbon dioxide equivalence (CO2e) is unknown. Therefore, the objective of this 2-yr study was to quantify the effect of cover crop-induced differences in soil moisture, temperature, organic C, and microorganisms on CO2e, and to develop machine learning algorithms that predict daily N2O–N and CO2–C emissions. The prediction models tested were multiple linear regression, partial least square regression, support vector machine, random forest (RF), and artificial neural network. Models’ performance was accessed using R2, RMSE and mean of absolute value of error. Rye (Secale cereale L.) was dormant seeded in mid-October, and in the following spring it was terminated at corn's (Zea mays L.) V4 growth stage. Soil temperature, moisture, and N2O–N and CO2–C emissions were measured near continuously from soil thaw to harvest in 2019 and 2020. Prior to termination, the cover crop decreased N2O–N emissions by 34% (p = .05), and over the entire season, N2O–N emissions from cover crop and no cover crop treatments were similar (p = .71). Based on N2O–N and CO2–C emissions over the entire season and the estimated fixed cover crop-C remaining in the soil, the partial CO2e were −1,061 and 496 kg CO2e ha–1 in the cover crop and no cover crop treatments, respectively. The RF algorithm explained more of the daily N2O–N (73%) and CO2–C (85%) emissions variability during validation than the other models. Across models, the most important variables were temperature and the amount of cover crop-C added to the soil.","container-title":"Agronomy Journal","DOI":"10.1002/agj2.21185","ISSN":"1435-0645","issue":"3","language":"en","license":"© 2022 The Authors. Agronomy Journal published by Wiley Periodicals LLC on behalf of American Society of Agronomy.","note":"_eprint: https://onlinelibrary.wiley.com/doi/pdf/10.1002/agj2.21185","page":"795-809","source":"Wiley Online Library","title":"Quantification and machine learning based N2O–N and CO2–C emissions predictions from a decomposing rye cover crop","volume":"116","author":[{"family":"Joshi","given":"Deepak R."},{"family":"Clay","given":"David E."},{"family":"Clay","given":"Sharon A."},{"family":"Moriles-Miller","given":"Janet"},{"family":"Daigh","given":"Aaron L. M."},{"family":"Reicks","given":"Graig"},{"family":"Westhoff","given":"Shaina"}],"issued":{"date-parts":[["2024"]]}}},{"id":3122,"uris":["http://zotero.org/groups/4573874/items/IPYPH87V"],"itemData":{"id":3122,"type":"article-journal","container-title":"Soil Science Society of America Journal","ISSN":"0361-5995","issue":"5","journalAbbreviation":"Soil Science Society of America Journal","note":"publisher: Wiley Online Library","page":"1227-1240","title":"Prediction of greenhouse gas emissions from agricultural fields with and without cover crops","volume":"86","author":[{"family":"Kotlar","given":"Ali Mehmandoost"},{"family":"Singh","given":"Jasdeep"},{"family":"Kumar","given":"Sandeep"}],"issued":{"date-parts":[["2022"]]}}},{"id":3159,"uris":["http://zotero.org/groups/5704038/items/PBFQYVF4"],"itemData":{"id":3159,"type":"article-journal","abstract":"Nitrous oxide is a potent greenhouse gas, with a global warming potential 298 times greater than that of CO2. In agricultural soils, N2O emissions are influenced by a large number of environmental characteristics and crop management techniques that are not systematically reported in experiments. Random Forest (RF) is a machine learning method that can handle missing data and ranks input variables on the basis of their importance. We aimed to predict N2O emission on the basis of local information, to rank environmental and crop management variables according to their influence on N2O emission, and to compare the performances of RF with several regression models. RF outperformed the regression models for predictive purposes, and this approach led to the identification of three important input variables: N fertilization, type of crop, and experiment duration. This method could be used in the future for prediction of N2O emissions from local information.","container-title":"Environmental Pollution","DOI":"10.1016/j.envpol.2013.02.019","ISSN":"0269-7491","journalAbbreviation":"Environmental Pollution","page":"156-163","source":"ScienceDirect","title":"Prediction of N2O emission from local information with Random Forest","volume":"177","author":[{"family":"Philibert","given":"Aurore"},{"family":"Loyce","given":"Chantal"},{"family":"Makowski","given":"David"}],"issued":{"date-parts":[["2013",6,1]]}}},{"id":1924,"uris":["http://zotero.org/groups/5631027/items/H3K3AIZ8"],"itemData":{"id":1924,"type":"article-journal","abstract":"The potent greenhouse gas nitrous oxide (N2O) is accumulating in the atmosphere at unprecedented rates largely due to agricultural intensification, and cultivated soils contribute </w:instrText>
      </w:r>
      <w:r w:rsidR="00FB5341">
        <w:rPr>
          <w:rFonts w:ascii="Cambria Math" w:eastAsia="Calibri" w:hAnsi="Cambria Math" w:cs="Cambria Math"/>
          <w:kern w:val="0"/>
          <w:szCs w:val="24"/>
          <w14:ligatures w14:val="none"/>
        </w:rPr>
        <w:instrText>∼</w:instrText>
      </w:r>
      <w:r w:rsidR="00FB5341">
        <w:rPr>
          <w:rFonts w:eastAsia="Calibri" w:cs="Times New Roman"/>
          <w:kern w:val="0"/>
          <w:szCs w:val="24"/>
          <w14:ligatures w14:val="none"/>
        </w:rPr>
        <w:instrText>60% of the agricultural flux. Empirical models of N2O fluxes for intensively managed cropping systems are confounded by highly variable fluxes and limited geographic coverage; process-based biogeochemical models are rarely able to predict daily to monthly emissions with &gt;20% accuracy even with site-specific calibration. Here we show the promise for machine learning (ML) to significantly improve field-level flux predictions, especially when coupled with a cropping systems model to simulate unmeasured soil parameters. We used sub-daily N2O flux data from six years of automated flux chambers installed in a continuous corn rotation at a site in the upper US Midwest (</w:instrText>
      </w:r>
      <w:r w:rsidR="00FB5341">
        <w:rPr>
          <w:rFonts w:ascii="Cambria Math" w:eastAsia="Calibri" w:hAnsi="Cambria Math" w:cs="Cambria Math"/>
          <w:kern w:val="0"/>
          <w:szCs w:val="24"/>
          <w14:ligatures w14:val="none"/>
        </w:rPr>
        <w:instrText>∼</w:instrText>
      </w:r>
      <w:r w:rsidR="00FB5341">
        <w:rPr>
          <w:rFonts w:eastAsia="Calibri" w:cs="Times New Roman"/>
          <w:kern w:val="0"/>
          <w:szCs w:val="24"/>
          <w14:ligatures w14:val="none"/>
        </w:rPr>
        <w:instrText>3000 sub-daily flux observations), supplemented with weekly to biweekly manual chamber measurements (</w:instrText>
      </w:r>
      <w:r w:rsidR="00FB5341">
        <w:rPr>
          <w:rFonts w:ascii="Cambria Math" w:eastAsia="Calibri" w:hAnsi="Cambria Math" w:cs="Cambria Math"/>
          <w:kern w:val="0"/>
          <w:szCs w:val="24"/>
          <w14:ligatures w14:val="none"/>
        </w:rPr>
        <w:instrText>∼</w:instrText>
      </w:r>
      <w:r w:rsidR="00FB5341">
        <w:rPr>
          <w:rFonts w:eastAsia="Calibri" w:cs="Times New Roman"/>
          <w:kern w:val="0"/>
          <w:szCs w:val="24"/>
          <w14:ligatures w14:val="none"/>
        </w:rPr>
        <w:instrText xml:space="preserve">1100 daily fluxes), to train an ML model that explained 65%–89% of daily flux variance with very few input variables—soil moisture, days after fertilization, soil texture, air temperature, soil carbon, precipitation, and nitrogen (N) fertilizer rate. When applied to a long-term test site not used to train the model, the model explained 38% of the variation observed in weekly to biweekly manual chamber measurements from corn, and 51% upon coupling the ML model with a cropping systems model that predicted daily soil N availability. This represents a two to three times improvement over conventional process-based models and with substantially fewer input requirements. This coupled approach offers promise for better predictions of agricultural N2O emissions and thus more precise global models and more effective agricultural mitigation interventions.","container-title":"Environmental Research Letters","DOI":"10.1088/1748-9326/abd2f3","ISSN":"1748-9326","issue":"2","journalAbbreviation":"Environ. Res. Lett.","language":"en","note":"publisher: IOP Publishing","page":"024004","source":"Institute of Physics","title":"Machine learning improves predictions of agricultural nitrous oxide (N2O) emissions from intensively managed cropping systems","volume":"16","author":[{"family":"Saha","given":"Debasish"},{"family":"Basso","given":"Bruno"},{"family":"Robertson","given":"G. Philip"}],"issued":{"date-parts":[["2021",1]]}}}],"schema":"https://github.com/citation-style-language/schema/raw/master/csl-citation.json"} </w:instrText>
      </w:r>
      <w:r w:rsidRPr="0085558C">
        <w:rPr>
          <w:rFonts w:eastAsia="Calibri" w:cs="Times New Roman"/>
          <w:kern w:val="0"/>
          <w:szCs w:val="24"/>
          <w14:ligatures w14:val="none"/>
        </w:rPr>
        <w:fldChar w:fldCharType="separate"/>
      </w:r>
      <w:r w:rsidR="00FB5341" w:rsidRPr="00FB5341">
        <w:rPr>
          <w:rFonts w:cs="Times New Roman"/>
          <w:kern w:val="0"/>
        </w:rPr>
        <w:t>(Chiaravalloti et al., 2023; Dhaliwal et al., 2025; Joshi et al., 2024; Kotlar et al., 2022; Philibert et al., 2013; Saha, Basso, et al., 2021b)</w:t>
      </w:r>
      <w:r w:rsidRPr="0085558C">
        <w:rPr>
          <w:rFonts w:eastAsia="Calibri" w:cs="Times New Roman"/>
          <w:kern w:val="0"/>
          <w:szCs w:val="24"/>
          <w14:ligatures w14:val="none"/>
        </w:rPr>
        <w:fldChar w:fldCharType="end"/>
      </w:r>
      <w:r w:rsidRPr="0085558C">
        <w:rPr>
          <w:rFonts w:eastAsia="Calibri" w:cs="Times New Roman"/>
          <w:kern w:val="0"/>
          <w:szCs w:val="24"/>
          <w14:ligatures w14:val="none"/>
        </w:rPr>
        <w:t>.</w:t>
      </w:r>
      <w:r>
        <w:rPr>
          <w:rFonts w:eastAsia="Calibri" w:cs="Times New Roman"/>
          <w:kern w:val="0"/>
          <w:szCs w:val="24"/>
          <w14:ligatures w14:val="none"/>
        </w:rPr>
        <w:t xml:space="preserve"> However, XGBoost achieved slightly higher overall performance across all labeling methods in this study, as in </w:t>
      </w:r>
      <w:r w:rsidRPr="0085558C">
        <w:rPr>
          <w:rFonts w:eastAsia="Calibri" w:cs="Times New Roman"/>
          <w:kern w:val="0"/>
          <w:szCs w:val="24"/>
          <w14:ligatures w14:val="none"/>
        </w:rPr>
        <w:t>Wang et al. (2024)</w:t>
      </w:r>
      <w:r>
        <w:rPr>
          <w:rFonts w:eastAsia="Calibri" w:cs="Times New Roman"/>
          <w:kern w:val="0"/>
          <w:szCs w:val="24"/>
          <w14:ligatures w14:val="none"/>
        </w:rPr>
        <w:t>.</w:t>
      </w:r>
      <w:r w:rsidRPr="0085558C">
        <w:rPr>
          <w:rFonts w:eastAsia="Calibri" w:cs="Times New Roman"/>
          <w:kern w:val="0"/>
          <w:szCs w:val="24"/>
          <w14:ligatures w14:val="none"/>
        </w:rPr>
        <w:t xml:space="preserve"> </w:t>
      </w:r>
    </w:p>
    <w:p w14:paraId="20643D5C" w14:textId="31938040" w:rsidR="006B1A6B" w:rsidRPr="0085558C" w:rsidRDefault="006B1A6B" w:rsidP="001B567A">
      <w:pPr>
        <w:spacing w:after="0" w:line="480" w:lineRule="auto"/>
        <w:rPr>
          <w:rFonts w:eastAsia="Calibri" w:cs="Times New Roman"/>
          <w:kern w:val="0"/>
          <w:szCs w:val="24"/>
          <w14:ligatures w14:val="none"/>
        </w:rPr>
      </w:pPr>
      <w:r w:rsidRPr="0085558C">
        <w:rPr>
          <w:rFonts w:eastAsia="Calibri" w:cs="Times New Roman"/>
          <w:kern w:val="0"/>
          <w:szCs w:val="24"/>
          <w14:ligatures w14:val="none"/>
        </w:rPr>
        <w:t>Hand-labeled training data resulted in best model performance (</w:t>
      </w:r>
      <w:r>
        <w:rPr>
          <w:rFonts w:eastAsia="Calibri" w:cs="Times New Roman"/>
          <w:kern w:val="0"/>
          <w:szCs w:val="24"/>
          <w14:ligatures w14:val="none"/>
        </w:rPr>
        <w:t xml:space="preserve">average </w:t>
      </w:r>
      <w:r w:rsidRPr="0085558C">
        <w:rPr>
          <w:rFonts w:eastAsia="Calibri" w:cs="Times New Roman"/>
          <w:kern w:val="0"/>
          <w:szCs w:val="24"/>
          <w14:ligatures w14:val="none"/>
        </w:rPr>
        <w:t>MCC of 0.6</w:t>
      </w:r>
      <w:r>
        <w:rPr>
          <w:rFonts w:eastAsia="Calibri" w:cs="Times New Roman"/>
          <w:kern w:val="0"/>
          <w:szCs w:val="24"/>
          <w14:ligatures w14:val="none"/>
        </w:rPr>
        <w:t>2</w:t>
      </w:r>
      <w:r w:rsidRPr="0085558C">
        <w:rPr>
          <w:rFonts w:eastAsia="Calibri" w:cs="Times New Roman"/>
          <w:kern w:val="0"/>
          <w:szCs w:val="24"/>
          <w14:ligatures w14:val="none"/>
        </w:rPr>
        <w:t xml:space="preserve">), though it comes at the cost of high labor inputs </w:t>
      </w:r>
      <w:r w:rsidRPr="0085558C">
        <w:rPr>
          <w:rFonts w:eastAsia="Calibri" w:cs="Times New Roman"/>
          <w:kern w:val="0"/>
          <w:szCs w:val="24"/>
          <w14:ligatures w14:val="none"/>
        </w:rPr>
        <w:fldChar w:fldCharType="begin"/>
      </w:r>
      <w:r w:rsidR="00D74AD1">
        <w:rPr>
          <w:rFonts w:eastAsia="Calibri" w:cs="Times New Roman"/>
          <w:kern w:val="0"/>
          <w:szCs w:val="24"/>
          <w14:ligatures w14:val="none"/>
        </w:rPr>
        <w:instrText xml:space="preserve"> ADDIN ZOTERO_ITEM CSL_CITATION {"citationID":"fHpvj7FJ","properties":{"formattedCitation":"(Russo et al., 2021)","plainCitation":"(Russo et al., 2021)","noteIndex":0},"citationItems":[{"id":1999,"uris":["http://zotero.org/groups/4573874/items/WI6S3YKM"],"itemData":{"id":1999,"type":"article-journal","abstract":"Anomaly detection is the process of identifying unexpected data samples in datasets. Automated anomaly detection is either performed using supervised machine learning models, which require a labelled dataset for their calibration, or unsupervised models, which do not require labels. While academic research has produced a vast array of tools and machine learning models for automated anomaly detection, the research community focused on environmental systems still lacks a comparative analysis that is simultaneously comprehensive, objective, and systematic. This knowledge gap is addressed for the first time in this study, where 15 different supervised and unsupervised anomaly detection models are evaluated on 5 different environmental datasets from engineered and natural aquatic systems. To this end, anomaly detection performance, labelling efforts, as well as the impact of model and algorithm tuning are taken into account. As a result, our analysis reveals the relative strengths and weaknesses of the different approaches in an objective manner without bias for any particular paradigm in machine learning. Most importantly, our results show that expert-based data annotation is extremely valuable for anomaly detection based on machine learning.","container-title":"Water Research","DOI":"10.1016/j.watres.2021.117695","ISSN":"0043-1354","journalAbbreviation":"Water Research","page":"117695","source":"ScienceDirect","title":"The value of human data annotation for machine learning based anomaly detection in environmental systems","volume":"206","author":[{"family":"Russo","given":"Stefania"},{"family":"Besmer","given":"Michael D."},{"family":"Blumensaat","given":"Frank"},{"family":"Bouffard","given":"Damien"},{"family":"Disch","given":"Andy"},{"family":"Hammes","given":"Frederik"},{"family":"Hess","given":"Angelika"},{"family":"Lürig","given":"Moritz"},{"family":"Matthews","given":"Blake"},{"family":"Minaudo","given":"Camille"},{"family":"Morgenroth","given":"Eberhard"},{"family":"Tran-Khac","given":"Viet"},{"family":"Villez","given":"Kris"}],"issued":{"date-parts":[["2021",11,1]]}}}],"schema":"https://github.com/citation-style-language/schema/raw/master/csl-citation.json"} </w:instrText>
      </w:r>
      <w:r w:rsidRPr="0085558C">
        <w:rPr>
          <w:rFonts w:eastAsia="Calibri" w:cs="Times New Roman"/>
          <w:kern w:val="0"/>
          <w:szCs w:val="24"/>
          <w14:ligatures w14:val="none"/>
        </w:rPr>
        <w:fldChar w:fldCharType="separate"/>
      </w:r>
      <w:r w:rsidRPr="0085558C">
        <w:rPr>
          <w:rFonts w:eastAsia="Calibri" w:cs="Times New Roman"/>
          <w:kern w:val="0"/>
          <w:szCs w:val="24"/>
          <w14:ligatures w14:val="none"/>
        </w:rPr>
        <w:t>(Russo et al., 2021)</w:t>
      </w:r>
      <w:r w:rsidRPr="0085558C">
        <w:rPr>
          <w:rFonts w:eastAsia="Calibri" w:cs="Times New Roman"/>
          <w:kern w:val="0"/>
          <w:szCs w:val="24"/>
          <w14:ligatures w14:val="none"/>
        </w:rPr>
        <w:fldChar w:fldCharType="end"/>
      </w:r>
      <w:r w:rsidRPr="0085558C">
        <w:rPr>
          <w:rFonts w:eastAsia="Calibri" w:cs="Times New Roman"/>
          <w:kern w:val="0"/>
          <w:szCs w:val="24"/>
          <w14:ligatures w14:val="none"/>
        </w:rPr>
        <w:t>. Statistical labeling serves as a rapid replacement for hand-labeling, which may be increasingly advantageous as data availability grows.</w:t>
      </w:r>
      <w:r>
        <w:rPr>
          <w:rFonts w:eastAsia="Calibri" w:cs="Times New Roman"/>
          <w:kern w:val="0"/>
          <w:szCs w:val="24"/>
          <w14:ligatures w14:val="none"/>
        </w:rPr>
        <w:t xml:space="preserve"> </w:t>
      </w:r>
      <w:r w:rsidRPr="0085558C">
        <w:rPr>
          <w:rFonts w:eastAsia="Calibri" w:cs="Times New Roman"/>
          <w:kern w:val="0"/>
          <w:szCs w:val="24"/>
          <w14:ligatures w14:val="none"/>
        </w:rPr>
        <w:t>Th</w:t>
      </w:r>
      <w:r>
        <w:rPr>
          <w:rFonts w:eastAsia="Calibri" w:cs="Times New Roman"/>
          <w:kern w:val="0"/>
          <w:szCs w:val="24"/>
          <w14:ligatures w14:val="none"/>
        </w:rPr>
        <w:t>e</w:t>
      </w:r>
      <w:r w:rsidRPr="0085558C">
        <w:rPr>
          <w:rFonts w:eastAsia="Calibri" w:cs="Times New Roman"/>
          <w:kern w:val="0"/>
          <w:szCs w:val="24"/>
          <w14:ligatures w14:val="none"/>
        </w:rPr>
        <w:t xml:space="preserve"> greater predictive accuracy </w:t>
      </w:r>
      <w:r>
        <w:rPr>
          <w:rFonts w:eastAsia="Calibri" w:cs="Times New Roman"/>
          <w:kern w:val="0"/>
          <w:szCs w:val="24"/>
          <w14:ligatures w14:val="none"/>
        </w:rPr>
        <w:t>of</w:t>
      </w:r>
      <w:r w:rsidRPr="0085558C">
        <w:rPr>
          <w:rFonts w:eastAsia="Calibri" w:cs="Times New Roman"/>
          <w:kern w:val="0"/>
          <w:szCs w:val="24"/>
          <w14:ligatures w14:val="none"/>
        </w:rPr>
        <w:t xml:space="preserve"> </w:t>
      </w:r>
      <w:r>
        <w:rPr>
          <w:rFonts w:eastAsia="Calibri" w:cs="Times New Roman"/>
          <w:kern w:val="0"/>
          <w:szCs w:val="24"/>
          <w14:ligatures w14:val="none"/>
        </w:rPr>
        <w:t xml:space="preserve">models using </w:t>
      </w:r>
      <w:r w:rsidRPr="0085558C">
        <w:rPr>
          <w:rFonts w:eastAsia="Calibri" w:cs="Times New Roman"/>
          <w:kern w:val="0"/>
          <w:szCs w:val="24"/>
          <w14:ligatures w14:val="none"/>
        </w:rPr>
        <w:t>MAD and MCD labeled fluxes</w:t>
      </w:r>
      <w:r>
        <w:rPr>
          <w:rFonts w:eastAsia="Calibri" w:cs="Times New Roman"/>
          <w:kern w:val="0"/>
          <w:szCs w:val="24"/>
          <w14:ligatures w14:val="none"/>
        </w:rPr>
        <w:t xml:space="preserve"> over IQR suggests</w:t>
      </w:r>
      <w:r w:rsidRPr="0085558C">
        <w:rPr>
          <w:rFonts w:eastAsia="Calibri" w:cs="Times New Roman"/>
          <w:kern w:val="0"/>
          <w:szCs w:val="24"/>
          <w14:ligatures w14:val="none"/>
        </w:rPr>
        <w:t xml:space="preserve"> better accordance with underlying biogeochemical trends</w:t>
      </w:r>
      <w:r>
        <w:rPr>
          <w:rFonts w:eastAsia="Calibri" w:cs="Times New Roman"/>
          <w:kern w:val="0"/>
          <w:szCs w:val="24"/>
          <w14:ligatures w14:val="none"/>
        </w:rPr>
        <w:t>,</w:t>
      </w:r>
      <w:r w:rsidRPr="0085558C">
        <w:rPr>
          <w:rFonts w:eastAsia="Calibri" w:cs="Times New Roman"/>
          <w:kern w:val="0"/>
          <w:szCs w:val="24"/>
          <w14:ligatures w14:val="none"/>
        </w:rPr>
        <w:t xml:space="preserve"> leading to improved learning</w:t>
      </w:r>
      <w:r>
        <w:rPr>
          <w:rFonts w:eastAsia="Calibri" w:cs="Times New Roman"/>
          <w:kern w:val="0"/>
          <w:szCs w:val="24"/>
          <w14:ligatures w14:val="none"/>
        </w:rPr>
        <w:t>.</w:t>
      </w:r>
      <w:r w:rsidRPr="0085558C">
        <w:rPr>
          <w:rFonts w:eastAsia="Calibri" w:cs="Times New Roman"/>
          <w:kern w:val="0"/>
          <w:szCs w:val="24"/>
          <w14:ligatures w14:val="none"/>
        </w:rPr>
        <w:t xml:space="preserve"> </w:t>
      </w:r>
      <w:r>
        <w:rPr>
          <w:rFonts w:eastAsia="Calibri" w:cs="Times New Roman"/>
          <w:kern w:val="0"/>
          <w:szCs w:val="24"/>
          <w14:ligatures w14:val="none"/>
        </w:rPr>
        <w:lastRenderedPageBreak/>
        <w:t>MAD and MCD could therefore</w:t>
      </w:r>
      <w:r w:rsidRPr="0085558C">
        <w:rPr>
          <w:rFonts w:eastAsia="Calibri" w:cs="Times New Roman"/>
          <w:kern w:val="0"/>
          <w:szCs w:val="24"/>
          <w14:ligatures w14:val="none"/>
        </w:rPr>
        <w:t xml:space="preserve"> be used to label large quantities of training data</w:t>
      </w:r>
      <w:r>
        <w:rPr>
          <w:rFonts w:eastAsia="Calibri" w:cs="Times New Roman"/>
          <w:kern w:val="0"/>
          <w:szCs w:val="24"/>
          <w14:ligatures w14:val="none"/>
        </w:rPr>
        <w:t xml:space="preserve"> for new model development in the future, while incurring only about half the penalty</w:t>
      </w:r>
      <w:r w:rsidRPr="0085558C">
        <w:rPr>
          <w:rFonts w:eastAsia="Calibri" w:cs="Times New Roman"/>
          <w:kern w:val="0"/>
          <w:szCs w:val="24"/>
          <w14:ligatures w14:val="none"/>
        </w:rPr>
        <w:t xml:space="preserve"> </w:t>
      </w:r>
      <w:r>
        <w:rPr>
          <w:rFonts w:eastAsia="Calibri" w:cs="Times New Roman"/>
          <w:kern w:val="0"/>
          <w:szCs w:val="24"/>
          <w14:ligatures w14:val="none"/>
        </w:rPr>
        <w:t xml:space="preserve">to </w:t>
      </w:r>
      <w:r w:rsidRPr="0085558C">
        <w:rPr>
          <w:rFonts w:eastAsia="Calibri" w:cs="Times New Roman"/>
          <w:kern w:val="0"/>
          <w:szCs w:val="24"/>
          <w14:ligatures w14:val="none"/>
        </w:rPr>
        <w:t xml:space="preserve">predictive power </w:t>
      </w:r>
      <w:r>
        <w:rPr>
          <w:rFonts w:eastAsia="Calibri" w:cs="Times New Roman"/>
          <w:kern w:val="0"/>
          <w:szCs w:val="24"/>
          <w14:ligatures w14:val="none"/>
        </w:rPr>
        <w:t xml:space="preserve">as IQR when </w:t>
      </w:r>
      <w:r w:rsidRPr="0085558C">
        <w:rPr>
          <w:rFonts w:eastAsia="Calibri" w:cs="Times New Roman"/>
          <w:kern w:val="0"/>
          <w:szCs w:val="24"/>
          <w14:ligatures w14:val="none"/>
        </w:rPr>
        <w:t>compared to hand labeling.</w:t>
      </w:r>
    </w:p>
    <w:p w14:paraId="4092B5EF" w14:textId="0E568759" w:rsidR="006B1A6B" w:rsidRPr="009D3138" w:rsidRDefault="006B1A6B" w:rsidP="001B567A">
      <w:pPr>
        <w:spacing w:after="0" w:line="480" w:lineRule="auto"/>
        <w:rPr>
          <w:rFonts w:eastAsia="Calibri" w:cs="Times New Roman"/>
          <w:kern w:val="0"/>
          <w:szCs w:val="24"/>
          <w14:ligatures w14:val="none"/>
        </w:rPr>
      </w:pPr>
      <w:r w:rsidRPr="0085558C">
        <w:rPr>
          <w:rFonts w:eastAsia="Calibri" w:cs="Times New Roman"/>
          <w:kern w:val="0"/>
          <w:szCs w:val="24"/>
          <w14:ligatures w14:val="none"/>
        </w:rPr>
        <w:t xml:space="preserve">Predictions made by the best model and training data combination- XGBoost trained on hand-labeled data- were accurate and strongly correlated to true classifications (MCC: 0.69; Accuracy: 90%). Subjectively, model performance further improved when considering that relatively few errors </w:t>
      </w:r>
      <w:r>
        <w:rPr>
          <w:rFonts w:eastAsia="Calibri" w:cs="Times New Roman"/>
          <w:kern w:val="0"/>
          <w:szCs w:val="24"/>
          <w14:ligatures w14:val="none"/>
        </w:rPr>
        <w:t xml:space="preserve">were </w:t>
      </w:r>
      <w:r w:rsidRPr="0085558C">
        <w:rPr>
          <w:rFonts w:eastAsia="Calibri" w:cs="Times New Roman"/>
          <w:kern w:val="0"/>
          <w:szCs w:val="24"/>
          <w14:ligatures w14:val="none"/>
        </w:rPr>
        <w:t>when N</w:t>
      </w:r>
      <w:r w:rsidRPr="0085558C">
        <w:rPr>
          <w:rFonts w:eastAsia="Calibri" w:cs="Times New Roman"/>
          <w:kern w:val="0"/>
          <w:szCs w:val="24"/>
          <w:vertAlign w:val="subscript"/>
          <w14:ligatures w14:val="none"/>
        </w:rPr>
        <w:t>2</w:t>
      </w:r>
      <w:r w:rsidRPr="0085558C">
        <w:rPr>
          <w:rFonts w:eastAsia="Calibri" w:cs="Times New Roman"/>
          <w:kern w:val="0"/>
          <w:szCs w:val="24"/>
          <w14:ligatures w14:val="none"/>
        </w:rPr>
        <w:t>O fluxes</w:t>
      </w:r>
      <w:r>
        <w:rPr>
          <w:rFonts w:eastAsia="Calibri" w:cs="Times New Roman"/>
          <w:kern w:val="0"/>
          <w:szCs w:val="24"/>
          <w14:ligatures w14:val="none"/>
        </w:rPr>
        <w:t xml:space="preserve"> more obviously belonged to either class</w:t>
      </w:r>
      <w:r w:rsidRPr="0085558C">
        <w:rPr>
          <w:rFonts w:eastAsia="Calibri" w:cs="Times New Roman"/>
          <w:kern w:val="0"/>
          <w:szCs w:val="24"/>
          <w14:ligatures w14:val="none"/>
        </w:rPr>
        <w:t>.</w:t>
      </w:r>
      <w:r>
        <w:rPr>
          <w:rFonts w:eastAsia="Calibri" w:cs="Times New Roman"/>
          <w:kern w:val="0"/>
          <w:szCs w:val="24"/>
          <w14:ligatures w14:val="none"/>
        </w:rPr>
        <w:t xml:space="preserve"> For example, there is little subjectivity in the classification of fluxes of either 0 or 500 </w:t>
      </w:r>
      <w:r w:rsidRPr="0085558C">
        <w:rPr>
          <w:rFonts w:eastAsia="Calibri" w:cs="Times New Roman"/>
          <w:kern w:val="0"/>
          <w:szCs w:val="24"/>
          <w14:ligatures w14:val="none"/>
        </w:rPr>
        <w:t>g N ha</w:t>
      </w:r>
      <w:r w:rsidRPr="0085558C">
        <w:rPr>
          <w:rFonts w:eastAsia="Calibri" w:cs="Times New Roman"/>
          <w:kern w:val="0"/>
          <w:szCs w:val="24"/>
          <w:vertAlign w:val="superscript"/>
          <w14:ligatures w14:val="none"/>
        </w:rPr>
        <w:t>-1</w:t>
      </w:r>
      <w:r w:rsidRPr="0085558C">
        <w:rPr>
          <w:rFonts w:eastAsia="Calibri" w:cs="Times New Roman"/>
          <w:kern w:val="0"/>
          <w:szCs w:val="24"/>
          <w14:ligatures w14:val="none"/>
        </w:rPr>
        <w:t xml:space="preserve"> d</w:t>
      </w:r>
      <w:r w:rsidRPr="0085558C">
        <w:rPr>
          <w:rFonts w:eastAsia="Calibri" w:cs="Times New Roman"/>
          <w:kern w:val="0"/>
          <w:szCs w:val="24"/>
          <w:vertAlign w:val="superscript"/>
          <w14:ligatures w14:val="none"/>
        </w:rPr>
        <w:t>-1</w:t>
      </w:r>
      <w:r>
        <w:rPr>
          <w:rFonts w:eastAsia="Calibri" w:cs="Times New Roman"/>
          <w:kern w:val="0"/>
          <w:szCs w:val="24"/>
          <w14:ligatures w14:val="none"/>
        </w:rPr>
        <w:t>, but a</w:t>
      </w:r>
      <w:r w:rsidRPr="0085558C">
        <w:rPr>
          <w:rFonts w:eastAsia="Calibri" w:cs="Times New Roman"/>
          <w:kern w:val="0"/>
          <w:szCs w:val="24"/>
          <w14:ligatures w14:val="none"/>
        </w:rPr>
        <w:t xml:space="preserve"> flux of 10 g N ha</w:t>
      </w:r>
      <w:r w:rsidRPr="0085558C">
        <w:rPr>
          <w:rFonts w:eastAsia="Calibri" w:cs="Times New Roman"/>
          <w:kern w:val="0"/>
          <w:szCs w:val="24"/>
          <w:vertAlign w:val="superscript"/>
          <w14:ligatures w14:val="none"/>
        </w:rPr>
        <w:t>-1</w:t>
      </w:r>
      <w:r w:rsidRPr="0085558C">
        <w:rPr>
          <w:rFonts w:eastAsia="Calibri" w:cs="Times New Roman"/>
          <w:kern w:val="0"/>
          <w:szCs w:val="24"/>
          <w14:ligatures w14:val="none"/>
        </w:rPr>
        <w:t xml:space="preserve"> d</w:t>
      </w:r>
      <w:r w:rsidRPr="0085558C">
        <w:rPr>
          <w:rFonts w:eastAsia="Calibri" w:cs="Times New Roman"/>
          <w:kern w:val="0"/>
          <w:szCs w:val="24"/>
          <w:vertAlign w:val="superscript"/>
          <w14:ligatures w14:val="none"/>
        </w:rPr>
        <w:t>-1</w:t>
      </w:r>
      <w:r w:rsidRPr="0085558C">
        <w:rPr>
          <w:rFonts w:eastAsia="Calibri" w:cs="Times New Roman"/>
          <w:kern w:val="0"/>
          <w:szCs w:val="24"/>
          <w14:ligatures w14:val="none"/>
        </w:rPr>
        <w:t xml:space="preserve"> may represent a hot moment in one system </w:t>
      </w:r>
      <w:r>
        <w:rPr>
          <w:rFonts w:eastAsia="Calibri" w:cs="Times New Roman"/>
          <w:kern w:val="0"/>
          <w:szCs w:val="24"/>
          <w14:ligatures w14:val="none"/>
        </w:rPr>
        <w:t>while reflecting</w:t>
      </w:r>
      <w:r w:rsidRPr="0085558C">
        <w:rPr>
          <w:rFonts w:eastAsia="Calibri" w:cs="Times New Roman"/>
          <w:kern w:val="0"/>
          <w:szCs w:val="24"/>
          <w14:ligatures w14:val="none"/>
        </w:rPr>
        <w:t xml:space="preserve"> </w:t>
      </w:r>
      <w:r w:rsidRPr="009D3138">
        <w:rPr>
          <w:rFonts w:eastAsia="Calibri" w:cs="Times New Roman"/>
          <w:kern w:val="0"/>
          <w:szCs w:val="24"/>
          <w14:ligatures w14:val="none"/>
        </w:rPr>
        <w:t xml:space="preserve">the </w:t>
      </w:r>
      <w:r w:rsidRPr="0085558C">
        <w:rPr>
          <w:rFonts w:eastAsia="Calibri" w:cs="Times New Roman"/>
          <w:kern w:val="0"/>
          <w:szCs w:val="24"/>
          <w14:ligatures w14:val="none"/>
        </w:rPr>
        <w:t xml:space="preserve">background level of another </w:t>
      </w:r>
      <w:r w:rsidRPr="0085558C">
        <w:rPr>
          <w:rFonts w:eastAsia="Calibri" w:cs="Times New Roman"/>
          <w:kern w:val="0"/>
          <w:szCs w:val="24"/>
          <w14:ligatures w14:val="none"/>
        </w:rPr>
        <w:fldChar w:fldCharType="begin"/>
      </w:r>
      <w:r w:rsidR="00D74AD1">
        <w:rPr>
          <w:rFonts w:eastAsia="Calibri" w:cs="Times New Roman"/>
          <w:kern w:val="0"/>
          <w:szCs w:val="24"/>
          <w14:ligatures w14:val="none"/>
        </w:rPr>
        <w:instrText xml:space="preserve"> ADDIN ZOTERO_ITEM CSL_CITATION {"citationID":"AkcGoJmC","properties":{"formattedCitation":"(Yin et al., 2022)","plainCitation":"(Yin et al., 2022)","noteIndex":0},"citationItems":[{"id":607,"uris":["http://zotero.org/groups/4573874/items/UFAM7YSK"],"itemData":{"id":607,"type":"article-journal","abstract":"Robust global simulation of soil background N2O emissions (BNEs) is a challenge due to the lack of a comprehensive system for quantification of the variations in their magnitude and location. We mapped global BNEs based on 1353 field observations from globally distributed sites and high-resolution climate and soil data. We then calculated global and national total BNE budgets and compared them to the IPCC-estimated values. The average BNE was 1.10, 0.92, and 0.84 kg N ha−1 year−1 with variations from 0.18 to 3.47 (5th–95th percentile, hereafter), 0.20 to 3.44, and −1.16 to 3.70 kg N ha−1 year−1 for cropland, forestland, and grassland, respectively. Soil pH, soil N mineralization, atmospheric N deposition, soil volumetric water content, and soil temperature were the principle significant drivers of BNEs. The total BNEs of three land use types was lower than IPCC-estimated total BNEs by 0.83 Tg (1012 g) N year−1, ranging from −47% to 94% across countries. The estimated BNE with cropland values were slightly higher than the IPCC estimates by 0.11 Tg N year−1, and forestland and grassland lower than the IPCC estimates by 0.4 and 0.54 Tg N year−1, respectively. Our study underlined the necessity for detailed estimation of the spatial distribution of BNEs to improve the estimates of global N2O emissions and enable the establishment of more realistic and effective mitigation measures.","container-title":"Global Change Biology","DOI":"10.1111/gcb.15860","ISSN":"1365-2486","issue":"2","language":"en","note":"_eprint: https://onlinelibrary.wiley.com/doi/pdf/10.1111/gcb.15860","page":"480-492","source":"Wiley Online Library","title":"Evaluation of variation in background nitrous oxide emissions: A new global synthesis integrating the impacts of climate, soil, and management conditions","title-short":"Evaluation of variation in background nitrous oxide emissions","volume":"28","author":[{"family":"Yin","given":"Yulong"},{"family":"Wang","given":"Zihan"},{"family":"Tian","given":"Xingshuai"},{"family":"Wang","given":"Yingcheng"},{"family":"Cong","given":"Jiahui"},{"family":"Cui","given":"Zhenling"}],"issued":{"date-parts":[["2022"]]}}}],"schema":"https://github.com/citation-style-language/schema/raw/master/csl-citation.json"} </w:instrText>
      </w:r>
      <w:r w:rsidRPr="0085558C">
        <w:rPr>
          <w:rFonts w:eastAsia="Calibri" w:cs="Times New Roman"/>
          <w:kern w:val="0"/>
          <w:szCs w:val="24"/>
          <w14:ligatures w14:val="none"/>
        </w:rPr>
        <w:fldChar w:fldCharType="separate"/>
      </w:r>
      <w:r w:rsidRPr="0085558C">
        <w:rPr>
          <w:rFonts w:eastAsia="Calibri" w:cs="Times New Roman"/>
          <w:kern w:val="0"/>
          <w:szCs w:val="24"/>
          <w14:ligatures w14:val="none"/>
        </w:rPr>
        <w:t>(Yin et al., 2022)</w:t>
      </w:r>
      <w:r w:rsidRPr="0085558C">
        <w:rPr>
          <w:rFonts w:eastAsia="Calibri" w:cs="Times New Roman"/>
          <w:kern w:val="0"/>
          <w:szCs w:val="24"/>
          <w14:ligatures w14:val="none"/>
        </w:rPr>
        <w:fldChar w:fldCharType="end"/>
      </w:r>
      <w:r w:rsidRPr="0085558C">
        <w:rPr>
          <w:rFonts w:eastAsia="Calibri" w:cs="Times New Roman"/>
          <w:kern w:val="0"/>
          <w:szCs w:val="24"/>
          <w14:ligatures w14:val="none"/>
        </w:rPr>
        <w:t xml:space="preserve">. Errors were most often made when fluxes were within </w:t>
      </w:r>
      <w:r>
        <w:rPr>
          <w:rFonts w:eastAsia="Calibri" w:cs="Times New Roman"/>
          <w:kern w:val="0"/>
          <w:szCs w:val="24"/>
          <w14:ligatures w14:val="none"/>
        </w:rPr>
        <w:t>this</w:t>
      </w:r>
      <w:r w:rsidRPr="0085558C">
        <w:rPr>
          <w:rFonts w:eastAsia="Calibri" w:cs="Times New Roman"/>
          <w:kern w:val="0"/>
          <w:szCs w:val="24"/>
          <w14:ligatures w14:val="none"/>
        </w:rPr>
        <w:t xml:space="preserve"> range adjacent to the lower</w:t>
      </w:r>
      <w:r>
        <w:rPr>
          <w:rFonts w:eastAsia="Calibri" w:cs="Times New Roman"/>
          <w:kern w:val="0"/>
          <w:szCs w:val="24"/>
          <w14:ligatures w14:val="none"/>
        </w:rPr>
        <w:t xml:space="preserve"> bound of hot moments</w:t>
      </w:r>
      <w:r w:rsidRPr="0085558C">
        <w:rPr>
          <w:rFonts w:eastAsia="Calibri" w:cs="Times New Roman"/>
          <w:kern w:val="0"/>
          <w:szCs w:val="24"/>
          <w14:ligatures w14:val="none"/>
        </w:rPr>
        <w:t xml:space="preserve"> and </w:t>
      </w:r>
      <w:r>
        <w:rPr>
          <w:rFonts w:eastAsia="Calibri" w:cs="Times New Roman"/>
          <w:kern w:val="0"/>
          <w:szCs w:val="24"/>
          <w14:ligatures w14:val="none"/>
        </w:rPr>
        <w:t xml:space="preserve">the </w:t>
      </w:r>
      <w:r w:rsidRPr="0085558C">
        <w:rPr>
          <w:rFonts w:eastAsia="Calibri" w:cs="Times New Roman"/>
          <w:kern w:val="0"/>
          <w:szCs w:val="24"/>
          <w14:ligatures w14:val="none"/>
        </w:rPr>
        <w:t xml:space="preserve">upper </w:t>
      </w:r>
      <w:r>
        <w:rPr>
          <w:rFonts w:eastAsia="Calibri" w:cs="Times New Roman"/>
          <w:kern w:val="0"/>
          <w:szCs w:val="24"/>
          <w14:ligatures w14:val="none"/>
        </w:rPr>
        <w:t>bound</w:t>
      </w:r>
      <w:r w:rsidRPr="0085558C">
        <w:rPr>
          <w:rFonts w:eastAsia="Calibri" w:cs="Times New Roman"/>
          <w:kern w:val="0"/>
          <w:szCs w:val="24"/>
          <w14:ligatures w14:val="none"/>
        </w:rPr>
        <w:t xml:space="preserve"> o</w:t>
      </w:r>
      <w:r>
        <w:rPr>
          <w:rFonts w:eastAsia="Calibri" w:cs="Times New Roman"/>
          <w:kern w:val="0"/>
          <w:szCs w:val="24"/>
          <w14:ligatures w14:val="none"/>
        </w:rPr>
        <w:t>f</w:t>
      </w:r>
      <w:r w:rsidRPr="0085558C">
        <w:rPr>
          <w:rFonts w:eastAsia="Calibri" w:cs="Times New Roman"/>
          <w:kern w:val="0"/>
          <w:szCs w:val="24"/>
          <w14:ligatures w14:val="none"/>
        </w:rPr>
        <w:t xml:space="preserve"> background emissions within the local context</w:t>
      </w:r>
      <w:r>
        <w:rPr>
          <w:rFonts w:eastAsia="Calibri" w:cs="Times New Roman"/>
          <w:kern w:val="0"/>
          <w:szCs w:val="24"/>
          <w14:ligatures w14:val="none"/>
        </w:rPr>
        <w:t xml:space="preserve"> </w:t>
      </w:r>
      <w:r w:rsidRPr="0085558C">
        <w:rPr>
          <w:rFonts w:eastAsia="Calibri" w:cs="Times New Roman"/>
          <w:kern w:val="0"/>
          <w:szCs w:val="24"/>
          <w14:ligatures w14:val="none"/>
        </w:rPr>
        <w:t>(</w:t>
      </w:r>
      <w:r w:rsidRPr="00D24801">
        <w:rPr>
          <w:rFonts w:eastAsia="Calibri" w:cs="Times New Roman"/>
          <w:b/>
          <w:bCs/>
          <w:kern w:val="0"/>
          <w:szCs w:val="24"/>
          <w14:ligatures w14:val="none"/>
        </w:rPr>
        <w:t xml:space="preserve">Figure </w:t>
      </w:r>
      <w:r w:rsidR="00D24801">
        <w:rPr>
          <w:rFonts w:eastAsia="Calibri" w:cs="Times New Roman"/>
          <w:b/>
          <w:bCs/>
          <w:kern w:val="0"/>
          <w:szCs w:val="24"/>
          <w14:ligatures w14:val="none"/>
        </w:rPr>
        <w:t>3.</w:t>
      </w:r>
      <w:r w:rsidRPr="00D24801">
        <w:rPr>
          <w:rFonts w:eastAsia="Calibri" w:cs="Times New Roman"/>
          <w:b/>
          <w:bCs/>
          <w:kern w:val="0"/>
          <w:szCs w:val="24"/>
          <w14:ligatures w14:val="none"/>
        </w:rPr>
        <w:t>4a</w:t>
      </w:r>
      <w:r w:rsidRPr="0085558C">
        <w:rPr>
          <w:rFonts w:eastAsia="Calibri" w:cs="Times New Roman"/>
          <w:kern w:val="0"/>
          <w:szCs w:val="24"/>
          <w14:ligatures w14:val="none"/>
        </w:rPr>
        <w:t xml:space="preserve">). </w:t>
      </w:r>
    </w:p>
    <w:p w14:paraId="730BCEFC" w14:textId="7917A597" w:rsidR="001154C0" w:rsidRPr="00994531" w:rsidRDefault="001154C0" w:rsidP="001B567A">
      <w:pPr>
        <w:pStyle w:val="Heading3"/>
      </w:pPr>
      <w:bookmarkStart w:id="84" w:name="_Toc204282773"/>
      <w:r w:rsidRPr="00994531">
        <w:t>Model behavior replicates biogeochemical processes</w:t>
      </w:r>
      <w:bookmarkEnd w:id="84"/>
    </w:p>
    <w:p w14:paraId="27109C00" w14:textId="32E0A92E" w:rsidR="001154C0" w:rsidRPr="00994531" w:rsidRDefault="00E73BF4" w:rsidP="001B567A">
      <w:pPr>
        <w:spacing w:after="0" w:line="480" w:lineRule="auto"/>
        <w:rPr>
          <w:rFonts w:eastAsia="Calibri" w:cs="Times New Roman"/>
          <w:kern w:val="0"/>
          <w:szCs w:val="24"/>
          <w14:ligatures w14:val="none"/>
        </w:rPr>
      </w:pPr>
      <w:r w:rsidRPr="0085558C">
        <w:rPr>
          <w:rFonts w:eastAsia="Calibri" w:cs="Times New Roman"/>
          <w:kern w:val="0"/>
          <w:szCs w:val="24"/>
          <w14:ligatures w14:val="none"/>
        </w:rPr>
        <w:t>N</w:t>
      </w:r>
      <w:r w:rsidRPr="0085558C">
        <w:rPr>
          <w:rFonts w:eastAsia="Calibri" w:cs="Times New Roman"/>
          <w:kern w:val="0"/>
          <w:szCs w:val="24"/>
          <w:vertAlign w:val="subscript"/>
          <w14:ligatures w14:val="none"/>
        </w:rPr>
        <w:t>2</w:t>
      </w:r>
      <w:r w:rsidRPr="0085558C">
        <w:rPr>
          <w:rFonts w:eastAsia="Calibri" w:cs="Times New Roman"/>
          <w:kern w:val="0"/>
          <w:szCs w:val="24"/>
          <w14:ligatures w14:val="none"/>
        </w:rPr>
        <w:t xml:space="preserve">O hot moments are driven by a confluence of environmental factors, multiple of which must coincide within favorable ranges for reaction rates to </w:t>
      </w:r>
      <w:r>
        <w:rPr>
          <w:rFonts w:eastAsia="Calibri" w:cs="Times New Roman"/>
          <w:kern w:val="0"/>
          <w:szCs w:val="24"/>
          <w14:ligatures w14:val="none"/>
        </w:rPr>
        <w:t>result in</w:t>
      </w:r>
      <w:r w:rsidRPr="0085558C">
        <w:rPr>
          <w:rFonts w:eastAsia="Calibri" w:cs="Times New Roman"/>
          <w:kern w:val="0"/>
          <w:szCs w:val="24"/>
          <w14:ligatures w14:val="none"/>
        </w:rPr>
        <w:t xml:space="preserve"> a hot moment </w:t>
      </w:r>
      <w:r w:rsidRPr="0085558C">
        <w:rPr>
          <w:rFonts w:eastAsia="Calibri" w:cs="Times New Roman"/>
          <w:kern w:val="0"/>
          <w:szCs w:val="24"/>
          <w14:ligatures w14:val="none"/>
        </w:rPr>
        <w:fldChar w:fldCharType="begin"/>
      </w:r>
      <w:r w:rsidR="00D74AD1">
        <w:rPr>
          <w:rFonts w:eastAsia="Calibri" w:cs="Times New Roman"/>
          <w:kern w:val="0"/>
          <w:szCs w:val="24"/>
          <w14:ligatures w14:val="none"/>
        </w:rPr>
        <w:instrText xml:space="preserve"> ADDIN ZOTERO_ITEM CSL_CITATION {"citationID":"wdQZvOyi","properties":{"formattedCitation":"(McClain et al., 2003)","plainCitation":"(McClain et al., 2003)","noteIndex":0},"citationItems":[{"id":1273,"uris":["http://zotero.org/groups/4573874/items/XVDDXTU7"],"itemData":{"id":1273,"type":"article-journal","container-title":"Ecosystems","DOI":"10.1007/s10021-003-0161-9","ISSN":"1432-9840","issue":"4","journalAbbreviation":"Ecosystems","language":"en","page":"301-312","source":"Springer Link","title":"Biogeochemical Hot Spots and Hot Moments at the Interface of Terrestrial and Aquatic Ecosystems","volume":"6","author":[{"family":"McClain","given":"Michael E."},{"family":"Boyer","given":"Elizabeth W."},{"family":"Dent","given":"C. Lisa"},{"family":"Gergel","given":"Sarah E."},{"family":"Grimm","given":"Nancy B."},{"family":"Groffman","given":"Peter M."},{"family":"Hart","given":"Stephen C."},{"family":"Harvey","given":"Judson W."},{"family":"Johnston","given":"Carol A."},{"family":"Mayorga","given":"Emilio"},{"family":"McDowell","given":"William H."},{"family":"Pinay","given":"Gilles"}],"issued":{"date-parts":[["2003",6,1]]}}}],"schema":"https://github.com/citation-style-language/schema/raw/master/csl-citation.json"} </w:instrText>
      </w:r>
      <w:r w:rsidRPr="0085558C">
        <w:rPr>
          <w:rFonts w:eastAsia="Calibri" w:cs="Times New Roman"/>
          <w:kern w:val="0"/>
          <w:szCs w:val="24"/>
          <w14:ligatures w14:val="none"/>
        </w:rPr>
        <w:fldChar w:fldCharType="separate"/>
      </w:r>
      <w:r w:rsidRPr="0085558C">
        <w:rPr>
          <w:rFonts w:eastAsia="Calibri" w:cs="Times New Roman"/>
          <w:kern w:val="0"/>
          <w:szCs w:val="24"/>
          <w14:ligatures w14:val="none"/>
        </w:rPr>
        <w:t>(McClain et al., 2003)</w:t>
      </w:r>
      <w:r w:rsidRPr="0085558C">
        <w:rPr>
          <w:rFonts w:eastAsia="Calibri" w:cs="Times New Roman"/>
          <w:kern w:val="0"/>
          <w:szCs w:val="24"/>
          <w14:ligatures w14:val="none"/>
        </w:rPr>
        <w:fldChar w:fldCharType="end"/>
      </w:r>
      <w:r w:rsidRPr="009D3138">
        <w:rPr>
          <w:rFonts w:eastAsia="Calibri" w:cs="Times New Roman"/>
          <w:kern w:val="0"/>
          <w:szCs w:val="24"/>
          <w14:ligatures w14:val="none"/>
        </w:rPr>
        <w:t xml:space="preserve">. </w:t>
      </w:r>
      <w:r w:rsidRPr="0085558C">
        <w:rPr>
          <w:rFonts w:eastAsia="Calibri" w:cs="Times New Roman"/>
          <w:kern w:val="0"/>
          <w:szCs w:val="24"/>
          <w14:ligatures w14:val="none"/>
        </w:rPr>
        <w:t xml:space="preserve">For example, convergence of abundant carbon and </w:t>
      </w:r>
      <w:r>
        <w:rPr>
          <w:rFonts w:eastAsia="Calibri" w:cs="Times New Roman"/>
          <w:kern w:val="0"/>
          <w:szCs w:val="24"/>
          <w14:ligatures w14:val="none"/>
        </w:rPr>
        <w:t>N</w:t>
      </w:r>
      <w:r w:rsidRPr="0085558C">
        <w:rPr>
          <w:rFonts w:eastAsia="Calibri" w:cs="Times New Roman"/>
          <w:kern w:val="0"/>
          <w:szCs w:val="24"/>
          <w14:ligatures w14:val="none"/>
        </w:rPr>
        <w:t xml:space="preserve"> substrate along with anoxia is required to produce a N</w:t>
      </w:r>
      <w:r w:rsidRPr="0085558C">
        <w:rPr>
          <w:rFonts w:eastAsia="Calibri" w:cs="Times New Roman"/>
          <w:kern w:val="0"/>
          <w:szCs w:val="24"/>
          <w:vertAlign w:val="subscript"/>
          <w14:ligatures w14:val="none"/>
        </w:rPr>
        <w:t>2</w:t>
      </w:r>
      <w:r w:rsidRPr="0085558C">
        <w:rPr>
          <w:rFonts w:eastAsia="Calibri" w:cs="Times New Roman"/>
          <w:kern w:val="0"/>
          <w:szCs w:val="24"/>
          <w14:ligatures w14:val="none"/>
        </w:rPr>
        <w:t xml:space="preserve">O hot moment from denitrification </w:t>
      </w:r>
      <w:r w:rsidRPr="0085558C">
        <w:rPr>
          <w:rFonts w:eastAsia="Calibri" w:cs="Times New Roman"/>
          <w:kern w:val="0"/>
          <w:szCs w:val="24"/>
          <w14:ligatures w14:val="none"/>
        </w:rPr>
        <w:fldChar w:fldCharType="begin"/>
      </w:r>
      <w:r w:rsidR="00D74AD1">
        <w:rPr>
          <w:rFonts w:eastAsia="Calibri" w:cs="Times New Roman"/>
          <w:kern w:val="0"/>
          <w:szCs w:val="24"/>
          <w14:ligatures w14:val="none"/>
        </w:rPr>
        <w:instrText xml:space="preserve"> ADDIN ZOTERO_ITEM CSL_CITATION {"citationID":"d3hpxe05","properties":{"formattedCitation":"(Wagner-Riddle et al., 2020)","plainCitation":"(Wagner-Riddle et al., 2020)","noteIndex":0},"citationItems":[{"id":738,"uris":["http://zotero.org/groups/4573874/items/ASMIL7DP"],"itemData":{"id":738,"type":"article-journal","abstract":"Across landscape and field scales, nitrogen (N) transformation rates are enhanced in hot spots (HS) and transient hot moments (HM), leading to losses of environmentally reactive N. Nitrous oxide (N2O) emission trends follow these spatial and temporal patterns. Consequently, landscape features can accelerate N2O emissions, and significant fractions of total annual emissions occur in these N2O emissions HS and HM. In agroecosystems, naturally occurring and management-induced HS and HM can be exacerbated or ameliorated through mitigation management practices. Although mitigation practices have been recommended for reduction of N2O emissions, these have not explicitly targeted HS and HM. Here we review, and synthesize, N2O mitigation practices with an emphasis on how they can be aligned to reduce the occurrence of HS and HM of N2O emission.","collection-title":"Climate Change, Reactive Nitrogen, Food Security and Sustainable Agriculture","container-title":"Current Opinion in Environmental Sustainability","DOI":"10.1016/j.cosust.2020.08.002","ISSN":"1877-3435","journalAbbreviation":"Current Opinion in Environmental Sustainability","language":"en","page":"46-53","source":"ScienceDirect","title":"Mitigation of nitrous oxide emissions in the context of nitrogen loss reduction from agroecosystems: managing hot spots and hot moments","title-short":"Mitigation of nitrous oxide emissions in the context of nitrogen loss reduction from agroecosystems","volume":"47","author":[{"family":"Wagner-Riddle","given":"Claudia"},{"family":"Baggs","given":"Elizabeth M"},{"family":"Clough","given":"Tim J"},{"family":"Fuchs","given":"Kathrin"},{"family":"Petersen","given":"Søren O"}],"issued":{"date-parts":[["2020",12,1]]}}}],"schema":"https://github.com/citation-style-language/schema/raw/master/csl-citation.json"} </w:instrText>
      </w:r>
      <w:r w:rsidRPr="0085558C">
        <w:rPr>
          <w:rFonts w:eastAsia="Calibri" w:cs="Times New Roman"/>
          <w:kern w:val="0"/>
          <w:szCs w:val="24"/>
          <w14:ligatures w14:val="none"/>
        </w:rPr>
        <w:fldChar w:fldCharType="separate"/>
      </w:r>
      <w:r w:rsidRPr="0085558C">
        <w:rPr>
          <w:rFonts w:eastAsia="Calibri" w:cs="Times New Roman"/>
          <w:kern w:val="0"/>
          <w:szCs w:val="24"/>
          <w14:ligatures w14:val="none"/>
        </w:rPr>
        <w:t>(Wagner-Riddle et al., 2020)</w:t>
      </w:r>
      <w:r w:rsidRPr="0085558C">
        <w:rPr>
          <w:rFonts w:eastAsia="Calibri" w:cs="Times New Roman"/>
          <w:kern w:val="0"/>
          <w:szCs w:val="24"/>
          <w14:ligatures w14:val="none"/>
        </w:rPr>
        <w:fldChar w:fldCharType="end"/>
      </w:r>
      <w:r w:rsidRPr="0085558C">
        <w:rPr>
          <w:rFonts w:eastAsia="Calibri" w:cs="Times New Roman"/>
          <w:kern w:val="0"/>
          <w:szCs w:val="24"/>
          <w14:ligatures w14:val="none"/>
        </w:rPr>
        <w:t xml:space="preserve">. </w:t>
      </w:r>
      <w:r>
        <w:rPr>
          <w:rFonts w:eastAsia="Calibri" w:cs="Times New Roman"/>
          <w:kern w:val="0"/>
          <w:szCs w:val="24"/>
          <w14:ligatures w14:val="none"/>
        </w:rPr>
        <w:t>O</w:t>
      </w:r>
      <w:r w:rsidRPr="0085558C">
        <w:rPr>
          <w:rFonts w:eastAsia="Calibri" w:cs="Times New Roman"/>
          <w:kern w:val="0"/>
          <w:szCs w:val="24"/>
          <w14:ligatures w14:val="none"/>
        </w:rPr>
        <w:t>ur model predicted a low frequency of hot moments</w:t>
      </w:r>
      <w:r>
        <w:rPr>
          <w:rFonts w:eastAsia="Calibri" w:cs="Times New Roman"/>
          <w:kern w:val="0"/>
          <w:szCs w:val="24"/>
          <w14:ligatures w14:val="none"/>
        </w:rPr>
        <w:t xml:space="preserve"> even</w:t>
      </w:r>
      <w:r w:rsidRPr="0085558C">
        <w:rPr>
          <w:rFonts w:eastAsia="Calibri" w:cs="Times New Roman"/>
          <w:kern w:val="0"/>
          <w:szCs w:val="24"/>
          <w14:ligatures w14:val="none"/>
        </w:rPr>
        <w:t xml:space="preserve"> after </w:t>
      </w:r>
      <w:r>
        <w:rPr>
          <w:rFonts w:eastAsia="Calibri" w:cs="Times New Roman"/>
          <w:kern w:val="0"/>
          <w:szCs w:val="24"/>
          <w14:ligatures w14:val="none"/>
        </w:rPr>
        <w:t xml:space="preserve">recent </w:t>
      </w:r>
      <w:r w:rsidRPr="0085558C">
        <w:rPr>
          <w:rFonts w:eastAsia="Calibri" w:cs="Times New Roman"/>
          <w:kern w:val="0"/>
          <w:szCs w:val="24"/>
          <w14:ligatures w14:val="none"/>
        </w:rPr>
        <w:t>fertilization when VWC was ≤ 25%</w:t>
      </w:r>
      <w:r w:rsidRPr="009D3138">
        <w:rPr>
          <w:rFonts w:eastAsia="Calibri" w:cs="Times New Roman"/>
          <w:kern w:val="0"/>
          <w:szCs w:val="24"/>
          <w14:ligatures w14:val="none"/>
        </w:rPr>
        <w:t xml:space="preserve">, as aerobic conditions stymied </w:t>
      </w:r>
      <w:r>
        <w:rPr>
          <w:rFonts w:eastAsia="Calibri" w:cs="Times New Roman"/>
          <w:kern w:val="0"/>
          <w:szCs w:val="24"/>
          <w14:ligatures w14:val="none"/>
        </w:rPr>
        <w:t>anaerobic N</w:t>
      </w:r>
      <w:r>
        <w:rPr>
          <w:rFonts w:eastAsia="Calibri" w:cs="Times New Roman"/>
          <w:kern w:val="0"/>
          <w:szCs w:val="24"/>
          <w:vertAlign w:val="subscript"/>
          <w14:ligatures w14:val="none"/>
        </w:rPr>
        <w:t>2</w:t>
      </w:r>
      <w:r>
        <w:rPr>
          <w:rFonts w:eastAsia="Calibri" w:cs="Times New Roman"/>
          <w:kern w:val="0"/>
          <w:szCs w:val="24"/>
          <w14:ligatures w14:val="none"/>
        </w:rPr>
        <w:t>O producing processes like</w:t>
      </w:r>
      <w:r w:rsidRPr="009D3138">
        <w:rPr>
          <w:rFonts w:eastAsia="Calibri" w:cs="Times New Roman"/>
          <w:kern w:val="0"/>
          <w:szCs w:val="24"/>
          <w14:ligatures w14:val="none"/>
        </w:rPr>
        <w:t xml:space="preserve"> denitrification</w:t>
      </w:r>
      <w:r w:rsidRPr="0085558C">
        <w:rPr>
          <w:rFonts w:eastAsia="Calibri" w:cs="Times New Roman"/>
          <w:kern w:val="0"/>
          <w:szCs w:val="24"/>
          <w14:ligatures w14:val="none"/>
        </w:rPr>
        <w:t xml:space="preserve"> (</w:t>
      </w:r>
      <w:r w:rsidRPr="00D24801">
        <w:rPr>
          <w:rFonts w:eastAsia="Calibri" w:cs="Times New Roman"/>
          <w:b/>
          <w:bCs/>
          <w:kern w:val="0"/>
          <w:szCs w:val="24"/>
          <w14:ligatures w14:val="none"/>
        </w:rPr>
        <w:t xml:space="preserve">Figure </w:t>
      </w:r>
      <w:r w:rsidR="00D24801">
        <w:rPr>
          <w:rFonts w:eastAsia="Calibri" w:cs="Times New Roman"/>
          <w:b/>
          <w:bCs/>
          <w:kern w:val="0"/>
          <w:szCs w:val="24"/>
          <w14:ligatures w14:val="none"/>
        </w:rPr>
        <w:t>3.</w:t>
      </w:r>
      <w:r w:rsidRPr="00D24801">
        <w:rPr>
          <w:rFonts w:eastAsia="Calibri" w:cs="Times New Roman"/>
          <w:b/>
          <w:bCs/>
          <w:kern w:val="0"/>
          <w:szCs w:val="24"/>
          <w14:ligatures w14:val="none"/>
        </w:rPr>
        <w:t>6</w:t>
      </w:r>
      <w:r w:rsidRPr="009D3138">
        <w:rPr>
          <w:rFonts w:eastAsia="Calibri" w:cs="Times New Roman"/>
          <w:kern w:val="0"/>
          <w:szCs w:val="24"/>
          <w14:ligatures w14:val="none"/>
        </w:rPr>
        <w:t>)</w:t>
      </w:r>
      <w:r>
        <w:rPr>
          <w:rFonts w:eastAsia="Calibri" w:cs="Times New Roman"/>
          <w:kern w:val="0"/>
          <w:szCs w:val="24"/>
          <w14:ligatures w14:val="none"/>
        </w:rPr>
        <w:t xml:space="preserve"> </w:t>
      </w:r>
      <w:r>
        <w:rPr>
          <w:rFonts w:eastAsia="Calibri" w:cs="Times New Roman"/>
          <w:kern w:val="0"/>
          <w:szCs w:val="24"/>
          <w14:ligatures w14:val="none"/>
        </w:rPr>
        <w:fldChar w:fldCharType="begin"/>
      </w:r>
      <w:r w:rsidR="00D74AD1">
        <w:rPr>
          <w:rFonts w:eastAsia="Calibri" w:cs="Times New Roman"/>
          <w:kern w:val="0"/>
          <w:szCs w:val="24"/>
          <w14:ligatures w14:val="none"/>
        </w:rPr>
        <w:instrText xml:space="preserve"> ADDIN ZOTERO_ITEM CSL_CITATION {"citationID":"LLn9xeSv","properties":{"formattedCitation":"(Anthony &amp; Silver, 2021; Wagner-Riddle et al., 2020)","plainCitation":"(Anthony &amp; Silver, 2021; Wagner-Riddle et al., 2020)","noteIndex":0},"citationItems":[{"id":794,"uris":["http://zotero.org/groups/4573874/items/UNBCKZAX"],"itemData":{"id":794,"type":"article-journal","abstract":"Agricultural peatlands are estimated to emit approximately one third of global greenhouse gas (GHG) emissions from croplands, but the temporal dynamics and controls of these emissions are poorly understood, particularly for nitrous oxide (N2O). We used cavity ring-down spectroscopy and automated chambers in a drained agricultural peatland to measure over 70,000 individual N2O, methane (CH4), and carbon dioxide (CO2) fluxes over 3 years. Our results showed that N2O fluxes were high, contributing 26% (annual range: 16%–35%) of annual CO2e emissions. Total N2O fluxes averaged 26 ± 0.5 kg N2O-N ha−1 y−1 and exhibited significant inter- and intra-annual variability with a maximum annual flux of 42 ± 1.8 kg N2O-N ha−1 y−1. Hot moments of N2O and CH4 emissions represented 1.1 ± 0.2 and 1.3 ± 0.2% of measurements, respectively, but contributed to 45 ± 1% of mean annual N2O fluxes and to 140 ± 9% of mean annual CH4 fluxes. Soil moisture, soil temperature, and bulk soil oxygen (O2) concentrations were strongly correlated with soil N2O and CH4 emissions; soil nitrate () concentrations were also significantly correlated with soil N2O emissions. These results suggest that IPCC benchmarks underestimate N2O emissions from these high emitting agricultural peatlands by up to 70%. Scaling to regional agricultural peatlands with similar management suggests these ecosystems could emit up to 1.86 Tg CO2e y−1 (range: 1.58–2.21 Tg CO2e y−1). Data suggest that these agricultural peatlands are large sources of GHGs, and that short-term hot moments of N2O and CH4 are a significant fraction of total greenhouse budgets.","container-title":"Global Change Biology","DOI":"10.1111/gcb.15802","ISSN":"1365-2486","issue":"20","language":"en","note":"_eprint: https://onlinelibrary.wiley.com/doi/pdf/10.1111/gcb.15802","page":"5141-5153","source":"Wiley Online Library","title":"Hot moments drive extreme nitrous oxide and methane emissions from agricultural peatlands","volume":"27","author":[{"family":"Anthony","given":"Tyler L."},{"family":"Silver","given":"Whendee L."}],"issued":{"date-parts":[["2021"]]}}},{"id":738,"uris":["http://zotero.org/groups/4573874/items/ASMIL7DP"],"itemData":{"id":738,"type":"article-journal","abstract":"Across landscape and field scales, nitrogen (N) transformation rates are enhanced in hot spots (HS) and transient hot moments (HM), leading to losses of environmentally reactive N. Nitrous oxide (N2O) emission trends follow these spatial and temporal patterns. Consequently, landscape features can accelerate N2O emissions, and significant fractions of total annual emissions occur in these N2O emissions HS and HM. In agroecosystems, naturally occurring and management-induced HS and HM can be exacerbated or ameliorated through mitigation management practices. Although mitigation practices have been recommended for reduction of N2O emissions, these have not explicitly targeted HS and HM. Here we review, and synthesize, N2O mitigation practices with an emphasis on how they can be aligned to reduce the occurrence of HS and HM of N2O emission.","collection-title":"Climate Change, Reactive Nitrogen, Food Security and Sustainable Agriculture","container-title":"Current Opinion in Environmental Sustainability","DOI":"10.1016/j.cosust.2020.08.002","ISSN":"1877-3435","journalAbbreviation":"Current Opinion in Environmental Sustainability","language":"en","page":"46-53","source":"ScienceDirect","title":"Mitigation of nitrous oxide emissions in the context of nitrogen loss reduction from agroecosystems: managing hot spots and hot moments","title-short":"Mitigation of nitrous oxide emissions in the context of nitrogen loss reduction from agroecosystems","volume":"47","author":[{"family":"Wagner-Riddle","given":"Claudia"},{"family":"Baggs","given":"Elizabeth M"},{"family":"Clough","given":"Tim J"},{"family":"Fuchs","given":"Kathrin"},{"family":"Petersen","given":"Søren O"}],"issued":{"date-parts":[["2020",12,1]]}}}],"schema":"https://github.com/citation-style-language/schema/raw/master/csl-citation.json"} </w:instrText>
      </w:r>
      <w:r>
        <w:rPr>
          <w:rFonts w:eastAsia="Calibri" w:cs="Times New Roman"/>
          <w:kern w:val="0"/>
          <w:szCs w:val="24"/>
          <w14:ligatures w14:val="none"/>
        </w:rPr>
        <w:fldChar w:fldCharType="separate"/>
      </w:r>
      <w:r w:rsidRPr="00C23718">
        <w:rPr>
          <w:rFonts w:cs="Times New Roman"/>
        </w:rPr>
        <w:t>(Anthony &amp; Silver, 2021; Wagner-Riddle et al., 2020)</w:t>
      </w:r>
      <w:r>
        <w:rPr>
          <w:rFonts w:eastAsia="Calibri" w:cs="Times New Roman"/>
          <w:kern w:val="0"/>
          <w:szCs w:val="24"/>
          <w14:ligatures w14:val="none"/>
        </w:rPr>
        <w:fldChar w:fldCharType="end"/>
      </w:r>
      <w:r w:rsidRPr="009D3138">
        <w:rPr>
          <w:rFonts w:eastAsia="Calibri" w:cs="Times New Roman"/>
          <w:kern w:val="0"/>
          <w:szCs w:val="24"/>
          <w14:ligatures w14:val="none"/>
        </w:rPr>
        <w:t xml:space="preserve">. </w:t>
      </w:r>
      <w:r w:rsidRPr="0085558C">
        <w:rPr>
          <w:rFonts w:eastAsia="Calibri" w:cs="Times New Roman"/>
          <w:kern w:val="0"/>
          <w:szCs w:val="24"/>
          <w14:ligatures w14:val="none"/>
        </w:rPr>
        <w:t xml:space="preserve">Our model </w:t>
      </w:r>
      <w:r>
        <w:rPr>
          <w:rFonts w:eastAsia="Calibri" w:cs="Times New Roman"/>
          <w:kern w:val="0"/>
          <w:szCs w:val="24"/>
          <w14:ligatures w14:val="none"/>
        </w:rPr>
        <w:t xml:space="preserve">also correctly </w:t>
      </w:r>
      <w:r w:rsidRPr="0085558C">
        <w:rPr>
          <w:rFonts w:eastAsia="Calibri" w:cs="Times New Roman"/>
          <w:kern w:val="0"/>
          <w:szCs w:val="24"/>
          <w14:ligatures w14:val="none"/>
        </w:rPr>
        <w:t xml:space="preserve">predicted greater probability of hot moments with increasing temperature </w:t>
      </w:r>
      <w:r>
        <w:rPr>
          <w:rFonts w:eastAsia="Calibri" w:cs="Times New Roman"/>
          <w:kern w:val="0"/>
          <w:szCs w:val="24"/>
          <w14:ligatures w14:val="none"/>
        </w:rPr>
        <w:t xml:space="preserve">and </w:t>
      </w:r>
      <w:r w:rsidRPr="0085558C">
        <w:rPr>
          <w:rFonts w:eastAsia="Calibri" w:cs="Times New Roman"/>
          <w:kern w:val="0"/>
          <w:szCs w:val="24"/>
          <w14:ligatures w14:val="none"/>
        </w:rPr>
        <w:t>VWC</w:t>
      </w:r>
      <w:r>
        <w:rPr>
          <w:rFonts w:eastAsia="Calibri" w:cs="Times New Roman"/>
          <w:kern w:val="0"/>
          <w:szCs w:val="24"/>
          <w14:ligatures w14:val="none"/>
        </w:rPr>
        <w:t xml:space="preserve"> </w:t>
      </w:r>
      <w:r w:rsidRPr="0085558C">
        <w:rPr>
          <w:rFonts w:eastAsia="Calibri" w:cs="Times New Roman"/>
          <w:kern w:val="0"/>
          <w:szCs w:val="24"/>
          <w14:ligatures w14:val="none"/>
        </w:rPr>
        <w:fldChar w:fldCharType="begin"/>
      </w:r>
      <w:r w:rsidR="00950694">
        <w:rPr>
          <w:rFonts w:eastAsia="Calibri" w:cs="Times New Roman"/>
          <w:kern w:val="0"/>
          <w:szCs w:val="24"/>
          <w14:ligatures w14:val="none"/>
        </w:rPr>
        <w:instrText xml:space="preserve"> ADDIN ZOTERO_ITEM CSL_CITATION {"citationID":"QN3OMdi1","properties":{"formattedCitation":"(Butterbach-Bahl et al., 2013; Smith, 2017; Stanford, Dzienia, et al., 1975)","plainCitation":"(Butterbach-Bahl et al., 2013; Smith, 2017; Stanford, Dzienia, et al., 1975)","noteIndex":0},"citationItems":[{"id":1313,"uris":["http://zotero.org/groups/4573874/items/5DUZFISM"],"itemData":{"id":1313,"type":"article-journal","abstract":"Although it is well established that soils are the dominating source for atmospheric nitrous oxide (N2O), we are still struggling to fully understand the complexity of the underlying microbial production and consumption processes and the links to biotic (e.g. inter- and intraspecies competition, food webs, plant–microbe interaction) and abiotic (e.g. soil climate, physics and chemistry) factors. Recent work shows that a better understanding of the composition and diversity of the microbial community across a variety of soils in different climates and under different land use, as well as plant–microbe interactions in the rhizosphere, may provide a key to better understand the variability of N2O fluxes at the soil–atmosphere interface. Moreover, recent insights into the regulation of the reduction of N2O to dinitrogen (N2) have increased our understanding of N2O exchange. This improved process understanding, building on the increased use of isotope tracing techniques and metagenomics, needs to go along with improvements in measurement techniques for N2O (and N2) emission in order to obtain robust field and laboratory datasets for different ecosystem types. Advances in both fields are currently used to improve process descriptions in biogeochemical models, which may eventually be used not only to test our current process understanding from the microsite to the field level, but also used as tools for up-scaling emissions to landscapes and regions and to explore feedbacks of soil N2O emissions to changes in environmental conditions, land management and land use.","container-title":"Philosophical Transactions of the Royal Society B: Biological Sciences","DOI":"10.1098/rstb.2013.0122","issue":"1621","note":"publisher: Royal Society","page":"20130122","source":"royalsocietypublishing.org (Atypon)","title":"Nitrous oxide emissions from soils: how well do we understand the processes and their controls?","title-short":"Nitrous oxide emissions from soils","volume":"368","author":[{"family":"Butterbach-Bahl","given":"Klaus"},{"family":"Baggs","given":"Elizabeth M."},{"family":"Dannenmann","given":"Michael"},{"family":"Kiese","given":"Ralf"},{"family":"Zechmeister-Boltenstern","given":"Sophie"}],"issued":{"date-parts":[["2013",7,5]]}}},{"id":1923,"uris":["http://zotero.org/groups/5631027/items/L5F4M7F9"],"itemData":{"id":1923,"type":"article-journal","abstract":"Nitrous oxide, N2O, is the third most important of the long-lived greenhouse gases, in terms of its contribution to global warming, and is expected to be the dominant cause of stratospheric ozone depletion this century. The concentration of N2O in the atmosphere was fairly constant until the beginning of the industrial age, but has gone up by 20% since. This is because of increased anthropogenic emissions, of which about 60% come from agricultural soil. The cause is the increased use of synthetic fertilizer nitrogen globally to meet the demands for increased production of food and biofuels. This review examines the isotopic evidence for this role of fertilizer N, the main mechanisms for microbial production of N2O in soil, the key soil physical and other variables that greatly affect the magnitude of emissions, and the spatial and temporal variation in emissions and the associated problems of measurement. The review also considers the methodology devised by the Intergovernmental Panel on Climate Change (IPCC) to enable countries to compile national inventories of their emissions, direct and indirect, that arise from anthropogenic activity related to agriculture and land use. This methodology also enables modellers to make ‘bottom-up’ global estimates of N2O emissions. These estimates agree quite well at the global scale with ‘top-down’ estimates based on the relation between reactive nitrogen newly introduced into agricultural ecosystems and increases in the global atmospheric concentration of N2O, but not with some recent regional-scale emission measurements. The discrepancy may be related to problems of estimating indirect emissions. Top-down estimates indicate that N2O emissions from crop-based biofuels are too great to comply with national and international environmental regulations. Finally, possible future trends in emissions and possible mitigation measures are discussed. Highlights Evidence for increasing N2O in the atmosphere suggests it is caused by fertilizer N use. Agreements and inconsistencies in assessments of N2O emissions are considered. The main cause of increasing N2O is the use of synthetic N fertilizers on agricultural soil worldwide. Indirect emissions from waters receiving leached N may be a major cause of assessment uncertainties.","container-title":"European Journal of Soil Science","DOI":"10.1111/ejss.12409","ISSN":"1365-2389","issue":"2","language":"en","license":"© 2017 British Society of Soil Science","note":"_eprint: https://onlinelibrary.wiley.com/doi/pdf/10.1111/ejss.12409","page":"137-155","source":"Wiley Online Library","title":"Changing views of nitrous oxide emissions from agricultural soil: key controlling processes and assessment at different spatial scales","title-short":"Changing views of nitrous oxide emissions from agricultural soil","volume":"68","author":[{"family":"Smith","given":"K. A."}],"issued":{"date-parts":[["2017"]]}}},{"id":1529,"uris":["http://zotero.org/groups/4573874/items/SIW7J5RL"],"itemData":{"id":1529,"type":"article-journal","abstract":"The effect of temperature on denitrification rate was studied with nine soils differing widely in organic matter content and chemical and physical characteristics. In the range of 15 to 35C, the temperature coefficient of denitrification, Q10, was approximately 2. Denitrification rates at 35 and 45C were similar. Between 10 and 5C, denitrification rate declined abruptly. The lower limit of the temperature range conforming to a Q10 of 2 was estimated to be 11C. In this study of water-logged soils sealed from the atmosphere, denitrification appeared to obey first-order kinetics.","container-title":"Soil Science Society of America Journal","DOI":"10.2136/sssaj1975.03615995003900050024x","ISSN":"1435-0661","issue":"5","language":"en","license":"© 1975 Soil Science Society of America","note":"_eprint: https://onlinelibrary.wiley.com/doi/pdf/10.2136/sssaj1975.03615995003900050024x","page":"867-870","source":"Wiley Online Library","title":"Effect of Temperature on Denitrification Rate in Soils","volume":"39","author":[{"family":"Stanford","given":"George"},{"family":"Dzienia","given":"Stanislaw"},{"family":"Vander Pol","given":"Roger A."}],"issued":{"date-parts":[["1975"]]}}}],"schema":"https://github.com/citation-style-language/schema/raw/master/csl-citation.json"} </w:instrText>
      </w:r>
      <w:r w:rsidRPr="0085558C">
        <w:rPr>
          <w:rFonts w:eastAsia="Calibri" w:cs="Times New Roman"/>
          <w:kern w:val="0"/>
          <w:szCs w:val="24"/>
          <w14:ligatures w14:val="none"/>
        </w:rPr>
        <w:fldChar w:fldCharType="separate"/>
      </w:r>
      <w:r w:rsidR="00950694" w:rsidRPr="00950694">
        <w:rPr>
          <w:rFonts w:cs="Times New Roman"/>
        </w:rPr>
        <w:t>(Butterbach-Bahl et al., 2013; Smith, 2017; Stanford, Dzienia, et al., 1975)</w:t>
      </w:r>
      <w:r w:rsidRPr="0085558C">
        <w:rPr>
          <w:rFonts w:eastAsia="Calibri" w:cs="Times New Roman"/>
          <w:kern w:val="0"/>
          <w:szCs w:val="24"/>
          <w14:ligatures w14:val="none"/>
        </w:rPr>
        <w:fldChar w:fldCharType="end"/>
      </w:r>
      <w:r>
        <w:rPr>
          <w:rFonts w:eastAsia="Calibri" w:cs="Times New Roman"/>
          <w:kern w:val="0"/>
          <w:szCs w:val="24"/>
          <w14:ligatures w14:val="none"/>
        </w:rPr>
        <w:t>.</w:t>
      </w:r>
      <w:r w:rsidRPr="0085558C">
        <w:rPr>
          <w:rFonts w:eastAsia="Calibri" w:cs="Times New Roman"/>
          <w:kern w:val="0"/>
          <w:szCs w:val="24"/>
          <w14:ligatures w14:val="none"/>
        </w:rPr>
        <w:t xml:space="preserve"> </w:t>
      </w:r>
      <w:r>
        <w:rPr>
          <w:rFonts w:eastAsia="Calibri" w:cs="Times New Roman"/>
          <w:kern w:val="0"/>
          <w:szCs w:val="24"/>
          <w14:ligatures w14:val="none"/>
        </w:rPr>
        <w:t>F</w:t>
      </w:r>
      <w:r w:rsidRPr="0085558C">
        <w:rPr>
          <w:rFonts w:eastAsia="Calibri" w:cs="Times New Roman"/>
          <w:kern w:val="0"/>
          <w:szCs w:val="24"/>
          <w14:ligatures w14:val="none"/>
        </w:rPr>
        <w:t xml:space="preserve">ew hot moments were predicted </w:t>
      </w:r>
      <w:r w:rsidRPr="0085558C">
        <w:rPr>
          <w:rFonts w:eastAsia="Calibri" w:cs="Times New Roman"/>
          <w:kern w:val="0"/>
          <w:szCs w:val="24"/>
          <w14:ligatures w14:val="none"/>
        </w:rPr>
        <w:lastRenderedPageBreak/>
        <w:t>below 10 °C, in agreement with empirical findings</w:t>
      </w:r>
      <w:r w:rsidRPr="009D3138">
        <w:rPr>
          <w:rFonts w:eastAsia="Calibri" w:cs="Times New Roman"/>
          <w:kern w:val="0"/>
          <w:szCs w:val="24"/>
          <w14:ligatures w14:val="none"/>
        </w:rPr>
        <w:t xml:space="preserve"> </w:t>
      </w:r>
      <w:r w:rsidRPr="0085558C">
        <w:rPr>
          <w:rFonts w:eastAsia="Calibri" w:cs="Times New Roman"/>
          <w:kern w:val="0"/>
          <w:szCs w:val="24"/>
          <w14:ligatures w14:val="none"/>
        </w:rPr>
        <w:fldChar w:fldCharType="begin"/>
      </w:r>
      <w:r w:rsidR="00D74AD1">
        <w:rPr>
          <w:rFonts w:eastAsia="Calibri" w:cs="Times New Roman"/>
          <w:kern w:val="0"/>
          <w:szCs w:val="24"/>
          <w14:ligatures w14:val="none"/>
        </w:rPr>
        <w:instrText xml:space="preserve"> ADDIN ZOTERO_ITEM CSL_CITATION {"citationID":"5yqLlpBt","properties":{"formattedCitation":"(Firestone, 1982; Krichels &amp; Yang, 2019; W. K. Ma et al., 2007; Wrage-M\\uc0\\u246{}nnig et al., 2018)","plainCitation":"(Firestone, 1982; Krichels &amp; Yang, 2019; W. K. Ma et al., 2007; Wrage-Mönnig et al., 2018)","noteIndex":0},"citationItems":[{"id":3262,"uris":["http://zotero.org/groups/5631027/items/LT5Q9D2G"],"itemData":{"id":3262,"type":"article-journal","container-title":"Nitrogen in agricultural soils","journalAbbreviation":"Nitrogen in agricultural soils","note":"publisher: Wiley Online Library","page":"289-326","title":"Biological denitrification","volume":"22","author":[{"family":"Firestone","given":"Mary K"}],"issued":{"date-parts":[["1982"]]}}},{"id":1580,"uris":["http://zotero.org/groups/4573874/items/PRXKL8WD"],"itemData":{"id":1580,"type":"article-journal","abstract":"Soil nitrous oxide (N2O) emissions are highly variable in space and time, making it difficult to estimate ecosystem level fluxes of this potent greenhouse gas. While topographic depressions are often evoked as permanent N2O hot spots and rain events are well-known triggers of N2O hot moments, soil N2O emissions are still poorly predicted. Thus, the objective of this study was to determine how to best use topography and rain events as variables to predict soil N2O emissions at the field scale. We measured soil N2O emissions 11 times over the course of one growing season from 65 locations within an agricultural field exhibiting microtopography. We found that the topographic indices best predicting soil N2O emissions varied by date, with soil properties as consistently poor predictors. Large rain events (&gt;30 mm) led to an N2O hot moment only in the early summer and not in the cool spring or later in the summer when crops were at peak growth and likely had high evapotranspiration rates. In a laboratory experiment, we demonstrated that low heterotrophic respiration rates at cold temperatures slowly depleted soil dissolved O2, thus suppressing denitrification over the 2–3 day timescale typical of field ponding. Our findings show that topographic depressions do not consistently act as N2O hot spots and that rainfall does not consistently trigger N2O hot moments. We assert that the spatiotemporal variation in soil N2O emissions is not always characterized by predictable hot spots or hot moments and that controls on this variation change depending on environmental conditions.","container-title":"Journal of Geophysical Research: Biogeosciences","DOI":"10.1029/2019JG005224","ISSN":"2169-8961","issue":"11","language":"en","license":"©2019. American Geophysical Union. All Rights Reserved.","note":"_eprint: https://onlinelibrary.wiley.com/doi/pdf/10.1029/2019JG005224","page":"3618-3634","source":"Wiley Online Library","title":"Dynamic Controls on Field-Scale Soil Nitrous Oxide Hot Spots and Hot Moments Across a Microtopographic Gradient","volume":"124","author":[{"family":"Krichels","given":"Alexander H."},{"family":"Yang","given":"Wendy H."}],"issued":{"date-parts":[["2019"]]}}},{"id":3322,"uris":["http://zotero.org/groups/5631027/items/BTXFTLW4"],"itemData":{"id":3322,"type":"article-journal","abstract":"The contribution of nitrifiers (ammonia-oxidizing bacteria (AOB)) and denitrifiers to nitrous oxide (N2O) emission from arctic soils remains inconclusive. Based on preliminary experiments, we hypothesized that AOB are the primary producers of N2O in a high arctic lowland ecosystem on Devon Island, Nunavut, Canada. In part 1 of the study, flux chambers were installed in a catena to determine in situ fluxes of gases (N2O and carbon dioxide (CO2)) from 16 June to 13 July 2004. Although fluxes were low, N2O production occurred in the wettest area of the landscape when ammonium levels were high. As ammonium, but not nitrate, levels declined in the wet sedge meadow, N2O emissions correspondingly decreased. In part 2, the contribution of nitrification and denitrification to N2O production was assessed by Acetylene Inhibition Assay and 15N isotopically enriched incubations. Ammonium fertilization stimulated N2O emissions to a greater extent than nitrate, and acetylene had a greater impact on N2O emissions in ammonium-fertilized soils than in nitrate-amended soils. Stable isotope analysis indicated that at 50–55% water filled pore space, nitrification was the dominant (&gt;80%) N2O emitting process. In part 3, molecular analyses of the two N2O producing groups indicated the both nitrifiers and denitrifiers did not differ between landforms. Our results suggest nitrifier denitrification is the dominant process occurring in these arctic soils and that the role of denitrifiers in N2O release from arctic soils needs to be re-evaluated.","container-title":"Soil Biology and Biochemistry","DOI":"10.1016/j.soilbio.2007.03.001","ISSN":"0038-0717","issue":"8","journalAbbreviation":"Soil Biology and Biochemistry","page":"2001-2013","source":"ScienceDirect","title":"Assessing the potential of ammonia oxidizing bacteria to produce nitrous oxide in soils of a high arctic lowland ecosystem on Devon Island, Canada","volume":"39","author":[{"family":"Ma","given":"Wai K."},{"family":"Schautz","given":"Alexandra"},{"family":"Fishback","given":"Lee-Ann E."},{"family":"Bedard-Haughn","given":"Angela"},{"family":"Farrell","given":"Richard E."},{"family":"Siciliano","given":"Steven D."}],"issued":{"date-parts":[["2007",8,1]]}}},{"id":2047,"uris":["http://zotero.org/groups/5631027/items/HSDATYGF"],"itemData":{"id":2047,"type":"article-journal","abstract":"Nitrifier denitrification is the reduction of nitrite (NO2−) by ammonia-oxidizing bacteria. This process may account for up to 100% of nitrous oxide (N2O) emissions from ammonium (NH4+) in soils and is more significant than classical denitrification under some conditions. Investigations of nitrifier denitrification have expanded in the last decade but many aspects are still not understood. In this review, we revisit our 2001 paper, present a comprehensive summary of current knowledge concerning nitrifier denitrification, and identify the many research needs. Nitrifier denitrification can be distinguished from other routes of N2O production using isotopic methods: either isotopomer techniques or a combination of 15N and 18O tracers. Our understanding of the regulation and conditions favouring nitrifier denitrification has improved over the last decade as a result of adopting molecular and modelling approaches. Environments low in oxygen, and especially those with fluctuating aerobic-anaerobic conditions, promote N2O production by nitrifier denitrification. Also, large NO2− concentrations, which often arise following inputs of ammonium or urea, may be linked to changes in aerobicity and high pH and favour nitrifier denitrification. The effects of temperature and carbon contents on nitrifier denitrification are incompletely understood and future research needs include: the study of pathways similar to nitrifier denitrification in archaea and nitrite oxidizers; the effects of interactions among microorganisms and between microorganism and plants; and the regulation and importance of the enzymes involved. A comparison and evaluation of the methods used for differentiating the sources of N2O is urgently needed. Furthermore, results from studies of freshwater and marine environments as well as wastewater treatment, where nitrifier denitrification is also known as nitrous aerobic denitritation (up to N2O) or aerobic denitritation (up to N2), will further advance our understanding.","container-title":"Soil Biology and Biochemistry","DOI":"10.1016/j.soilbio.2018.03.020","ISSN":"0038-0717","journalAbbreviation":"Soil Biology and Biochemistry","page":"A3-A16","source":"ScienceDirect","title":"The role of nitrifier denitrification in the production of nitrous oxide revisited","volume":"123","author":[{"family":"Wrage-Mönnig","given":"Nicole"},{"family":"Horn","given":"Marcus A."},{"family":"Well","given":"Reinhard"},{"family":"Müller","given":"Christoph"},{"family":"Velthof","given":"Gerard"},{"family":"Oenema","given":"Oene"}],"issued":{"date-parts":[["2018",8,1]]}}}],"schema":"https://github.com/citation-style-language/schema/raw/master/csl-citation.json"} </w:instrText>
      </w:r>
      <w:r w:rsidRPr="0085558C">
        <w:rPr>
          <w:rFonts w:eastAsia="Calibri" w:cs="Times New Roman"/>
          <w:kern w:val="0"/>
          <w:szCs w:val="24"/>
          <w14:ligatures w14:val="none"/>
        </w:rPr>
        <w:fldChar w:fldCharType="separate"/>
      </w:r>
      <w:r w:rsidR="00D74AD1" w:rsidRPr="00D74AD1">
        <w:rPr>
          <w:rFonts w:cs="Times New Roman"/>
          <w:kern w:val="0"/>
        </w:rPr>
        <w:t>(Firestone, 1982; Krichels &amp; Yang, 2019; W. K. Ma et al., 2007; Wrage-Mönnig et al., 2018)</w:t>
      </w:r>
      <w:r w:rsidRPr="0085558C">
        <w:rPr>
          <w:rFonts w:eastAsia="Calibri" w:cs="Times New Roman"/>
          <w:kern w:val="0"/>
          <w:szCs w:val="24"/>
          <w14:ligatures w14:val="none"/>
        </w:rPr>
        <w:fldChar w:fldCharType="end"/>
      </w:r>
      <w:r w:rsidRPr="0085558C">
        <w:rPr>
          <w:rFonts w:eastAsia="Calibri" w:cs="Times New Roman"/>
          <w:kern w:val="0"/>
          <w:szCs w:val="24"/>
          <w14:ligatures w14:val="none"/>
        </w:rPr>
        <w:t>.</w:t>
      </w:r>
    </w:p>
    <w:p w14:paraId="72C6C9E1" w14:textId="272B4B84" w:rsidR="00E73BF4" w:rsidRPr="0085558C" w:rsidRDefault="00E73BF4" w:rsidP="001B567A">
      <w:pPr>
        <w:spacing w:after="0" w:line="480" w:lineRule="auto"/>
        <w:rPr>
          <w:rFonts w:eastAsia="Calibri" w:cs="Times New Roman"/>
          <w:kern w:val="0"/>
          <w:szCs w:val="24"/>
          <w14:ligatures w14:val="none"/>
        </w:rPr>
      </w:pPr>
      <w:r w:rsidRPr="0085558C">
        <w:rPr>
          <w:rFonts w:eastAsia="Calibri" w:cs="Times New Roman"/>
          <w:kern w:val="0"/>
          <w:szCs w:val="24"/>
          <w14:ligatures w14:val="none"/>
        </w:rPr>
        <w:t xml:space="preserve">Finally, the effect of varying types of </w:t>
      </w:r>
      <w:r>
        <w:rPr>
          <w:rFonts w:eastAsia="Calibri" w:cs="Times New Roman"/>
          <w:kern w:val="0"/>
          <w:szCs w:val="24"/>
          <w14:ligatures w14:val="none"/>
        </w:rPr>
        <w:t>N</w:t>
      </w:r>
      <w:r w:rsidRPr="0085558C">
        <w:rPr>
          <w:rFonts w:eastAsia="Calibri" w:cs="Times New Roman"/>
          <w:kern w:val="0"/>
          <w:szCs w:val="24"/>
          <w14:ligatures w14:val="none"/>
        </w:rPr>
        <w:t xml:space="preserve"> fertilizer on hot moment prevalence and timing conforms to expected behavior. </w:t>
      </w:r>
      <w:r w:rsidRPr="00DC4DF5">
        <w:rPr>
          <w:rFonts w:eastAsia="Calibri" w:cs="Times New Roman"/>
          <w:kern w:val="0"/>
          <w:szCs w:val="24"/>
          <w14:ligatures w14:val="none"/>
        </w:rPr>
        <w:t>Fertilizers such as manure, cover crops, and UAN triggered</w:t>
      </w:r>
      <w:r w:rsidRPr="0085558C">
        <w:rPr>
          <w:rFonts w:eastAsia="Calibri" w:cs="Times New Roman"/>
          <w:kern w:val="0"/>
          <w:szCs w:val="24"/>
          <w14:ligatures w14:val="none"/>
        </w:rPr>
        <w:t xml:space="preserve"> strong and immediate hot moments</w:t>
      </w:r>
      <w:r w:rsidRPr="00DC4DF5">
        <w:rPr>
          <w:rFonts w:eastAsia="Calibri" w:cs="Times New Roman"/>
          <w:kern w:val="0"/>
          <w:szCs w:val="24"/>
          <w14:ligatures w14:val="none"/>
        </w:rPr>
        <w:t>, likely because they provide not only</w:t>
      </w:r>
      <w:r w:rsidRPr="0085558C">
        <w:rPr>
          <w:rFonts w:eastAsia="Calibri" w:cs="Times New Roman"/>
          <w:kern w:val="0"/>
          <w:szCs w:val="24"/>
          <w14:ligatures w14:val="none"/>
        </w:rPr>
        <w:t xml:space="preserve"> </w:t>
      </w:r>
      <w:r>
        <w:rPr>
          <w:rFonts w:eastAsia="Calibri" w:cs="Times New Roman"/>
          <w:kern w:val="0"/>
          <w:szCs w:val="24"/>
          <w14:ligatures w14:val="none"/>
        </w:rPr>
        <w:t>N</w:t>
      </w:r>
      <w:r w:rsidRPr="0085558C">
        <w:rPr>
          <w:rFonts w:eastAsia="Calibri" w:cs="Times New Roman"/>
          <w:kern w:val="0"/>
          <w:szCs w:val="24"/>
          <w14:ligatures w14:val="none"/>
        </w:rPr>
        <w:t xml:space="preserve"> substrate </w:t>
      </w:r>
      <w:r w:rsidRPr="00DC4DF5">
        <w:rPr>
          <w:rFonts w:eastAsia="Calibri" w:cs="Times New Roman"/>
          <w:kern w:val="0"/>
          <w:szCs w:val="24"/>
          <w14:ligatures w14:val="none"/>
        </w:rPr>
        <w:t xml:space="preserve">but also </w:t>
      </w:r>
      <w:r>
        <w:rPr>
          <w:rFonts w:eastAsia="Calibri" w:cs="Times New Roman"/>
          <w:kern w:val="0"/>
          <w:szCs w:val="24"/>
          <w14:ligatures w14:val="none"/>
        </w:rPr>
        <w:t>at least</w:t>
      </w:r>
      <w:r w:rsidRPr="0085558C">
        <w:rPr>
          <w:rFonts w:eastAsia="Calibri" w:cs="Times New Roman"/>
          <w:kern w:val="0"/>
          <w:szCs w:val="24"/>
          <w14:ligatures w14:val="none"/>
        </w:rPr>
        <w:t xml:space="preserve"> one </w:t>
      </w:r>
      <w:r w:rsidRPr="00DC4DF5">
        <w:rPr>
          <w:rFonts w:eastAsia="Calibri" w:cs="Times New Roman"/>
          <w:kern w:val="0"/>
          <w:szCs w:val="24"/>
          <w14:ligatures w14:val="none"/>
        </w:rPr>
        <w:t>additional key</w:t>
      </w:r>
      <w:r w:rsidRPr="0085558C">
        <w:rPr>
          <w:rFonts w:eastAsia="Calibri" w:cs="Times New Roman"/>
          <w:kern w:val="0"/>
          <w:szCs w:val="24"/>
          <w14:ligatures w14:val="none"/>
        </w:rPr>
        <w:t xml:space="preserve"> driver of denitrification. UAN is typically fertigated, and thus increases soil anoxia upon application. Manure and cover crops supply carbon, a necessary energy source for heterotrophic denitrifiers which produce N</w:t>
      </w:r>
      <w:r w:rsidRPr="0085558C">
        <w:rPr>
          <w:rFonts w:eastAsia="Calibri" w:cs="Times New Roman"/>
          <w:kern w:val="0"/>
          <w:szCs w:val="24"/>
          <w:vertAlign w:val="subscript"/>
          <w14:ligatures w14:val="none"/>
        </w:rPr>
        <w:t>2</w:t>
      </w:r>
      <w:r w:rsidRPr="0085558C">
        <w:rPr>
          <w:rFonts w:eastAsia="Calibri" w:cs="Times New Roman"/>
          <w:kern w:val="0"/>
          <w:szCs w:val="24"/>
          <w14:ligatures w14:val="none"/>
        </w:rPr>
        <w:t xml:space="preserve">O, and can also simulate aerobic respiration to consume oxygen, hence induce anoxia </w:t>
      </w:r>
      <w:r w:rsidRPr="0085558C">
        <w:rPr>
          <w:rFonts w:eastAsia="Calibri" w:cs="Times New Roman"/>
          <w:kern w:val="0"/>
          <w:szCs w:val="24"/>
          <w14:ligatures w14:val="none"/>
        </w:rPr>
        <w:fldChar w:fldCharType="begin"/>
      </w:r>
      <w:r w:rsidR="00D74AD1">
        <w:rPr>
          <w:rFonts w:eastAsia="Calibri" w:cs="Times New Roman"/>
          <w:kern w:val="0"/>
          <w:szCs w:val="24"/>
          <w14:ligatures w14:val="none"/>
        </w:rPr>
        <w:instrText xml:space="preserve"> ADDIN ZOTERO_ITEM CSL_CITATION {"citationID":"3qdbY6xD","properties":{"formattedCitation":"(Lazcano et al., 2021; Rachetti et al., 2023)","plainCitation":"(Lazcano et al., 2021; Rachetti et al., 2023)","dontUpdate":true,"noteIndex":0},"citationItems":[{"id":3312,"uris":["http://zotero.org/groups/5704038/items/XQ3AX2VY"],"itemData":{"id":3312,"type":"article-journal","abstract":"The use of organic fertilizers constitutes a sustainable strategy to recycle nutrients, increase soil carbon (C) stocks and mitigate climate change. Yet, this depends largely on balance between soil C sequestration and the emissions of the potent greenhouse gas nitrous oxide (N2O). Organic fertilizers strongly influence the microbial processes leading to the release of N2O. The magnitude and pattern of N2O emissions are different from the emissions observed from inorganic fertilizers and difficult to predict, which hinders developing best management practices specific to organic fertilizers. Currently, we lack a comprehensive evaluation of the effects of OFs on the function and structure of the N cycling microbial communities. Focusing on animal manures, here we provide an overview of the effects of these organic fertilizers on the community structure and function of nitrifying and denitrifying microorganisms in upland soils. Unprocessed manure with high moisture, high available nitrogen (N) and C content can shift the structure of the microbial community, increasing the abundance and activity of nitrifying and denitrifying microorganisms. Processed manure, such as digestate, compost, vermicompost and biochar, can also stimulate nitrifying and denitrifying microorganisms, although the effects on the soil microbial community structure are different, and N2O emissions are comparatively lower than raw manure. We propose a framework of best management practices to minimize the negative environmental impacts of organic fertilizers and maximize their benefits in improving soil health and sustaining food production systems. Long-term application of composted manure and the buildup of soil C stocks may contribute to N retention as microbial or stabilized organic N in the soil while increasing the abundance of denitrifying microorganisms and thus reduce the emissions of N2O by favoring the completion of denitrification to produce dinitrogen gas. Future research using multi-omics approaches can be used to establish key biochemical pathways and microbial taxa responsible for N2O production under organic fertilization.","container-title":"Microorganisms","DOI":"10.3390/microorganisms9050983","ISSN":"2076-2607","issue":"5","language":"en","license":"http://creativecommons.org/licenses/by/3.0/","note":"number: 5\npublisher: Multidisciplinary Digital Publishing Institute","page":"983","source":"www.mdpi.com","title":"Effects of Organic Fertilizers on the Soil Microorganisms Responsible for N2O Emissions: A Review","title-short":"Effects of Organic Fertilizers on the Soil Microorganisms Responsible for N2O Emissions","volume":"9","author":[{"family":"Lazcano","given":"Cristina"},{"family":"Zhu-Barker","given":"Xia"},{"family":"Decock","given":"Charlotte"}],"issued":{"date-parts":[["2021",5]]}}},{"id":2293,"uris":["http://zotero.org/groups/5631027/items/ZNNEBXTD"],"itemData":{"id":2293,"type":"paper-conference","event-title":"ASA, CSSA, SSSA International Annual Meeting","publisher":"ASA-CSSA-SSSA","title":"Cover Crop Residue Decomposition Exacerbated Soil Oxygen Depletion to Promote N 2 o Emissions","author":[{"family":"Rachetti","given":"Facundo Lussich"},{"family":"Dhaliwal","given":"Jashanjeet Kaur"},{"family":"Saha","given":"Debasish"}],"issued":{"date-parts":[["2023"]]}}}],"schema":"https://github.com/citation-style-language/schema/raw/master/csl-citation.json"} </w:instrText>
      </w:r>
      <w:r w:rsidRPr="0085558C">
        <w:rPr>
          <w:rFonts w:eastAsia="Calibri" w:cs="Times New Roman"/>
          <w:kern w:val="0"/>
          <w:szCs w:val="24"/>
          <w14:ligatures w14:val="none"/>
        </w:rPr>
        <w:fldChar w:fldCharType="separate"/>
      </w:r>
      <w:r w:rsidRPr="0085558C">
        <w:rPr>
          <w:rFonts w:eastAsia="Calibri" w:cs="Times New Roman"/>
          <w:kern w:val="0"/>
          <w:szCs w:val="24"/>
          <w14:ligatures w14:val="none"/>
        </w:rPr>
        <w:t>(Lazcano et al., 2021; Lussich et al., 2024)</w:t>
      </w:r>
      <w:r w:rsidRPr="0085558C">
        <w:rPr>
          <w:rFonts w:eastAsia="Calibri" w:cs="Times New Roman"/>
          <w:kern w:val="0"/>
          <w:szCs w:val="24"/>
          <w14:ligatures w14:val="none"/>
        </w:rPr>
        <w:fldChar w:fldCharType="end"/>
      </w:r>
      <w:r w:rsidRPr="0085558C">
        <w:rPr>
          <w:rFonts w:eastAsia="Calibri" w:cs="Times New Roman"/>
          <w:kern w:val="0"/>
          <w:szCs w:val="24"/>
          <w14:ligatures w14:val="none"/>
        </w:rPr>
        <w:t xml:space="preserve">. Organic fertilizers are also often applied in unprocessed forms like slurries which are high in moisture content, </w:t>
      </w:r>
      <w:r>
        <w:rPr>
          <w:rFonts w:eastAsia="Calibri" w:cs="Times New Roman"/>
          <w:kern w:val="0"/>
          <w:szCs w:val="24"/>
          <w14:ligatures w14:val="none"/>
        </w:rPr>
        <w:t>reducing</w:t>
      </w:r>
      <w:r w:rsidRPr="0085558C">
        <w:rPr>
          <w:rFonts w:eastAsia="Calibri" w:cs="Times New Roman"/>
          <w:kern w:val="0"/>
          <w:szCs w:val="24"/>
          <w14:ligatures w14:val="none"/>
        </w:rPr>
        <w:t xml:space="preserve"> soil oxygen. By providing multiple </w:t>
      </w:r>
      <w:r>
        <w:rPr>
          <w:rFonts w:eastAsia="Calibri" w:cs="Times New Roman"/>
          <w:kern w:val="0"/>
          <w:szCs w:val="24"/>
          <w14:ligatures w14:val="none"/>
        </w:rPr>
        <w:t xml:space="preserve">denitrification </w:t>
      </w:r>
      <w:r w:rsidRPr="0085558C">
        <w:rPr>
          <w:rFonts w:eastAsia="Calibri" w:cs="Times New Roman"/>
          <w:kern w:val="0"/>
          <w:szCs w:val="24"/>
          <w14:ligatures w14:val="none"/>
        </w:rPr>
        <w:t xml:space="preserve">substrates and potentially reducing oxygen availability, </w:t>
      </w:r>
      <w:r>
        <w:rPr>
          <w:rFonts w:eastAsia="Calibri" w:cs="Times New Roman"/>
          <w:kern w:val="0"/>
          <w:szCs w:val="24"/>
          <w14:ligatures w14:val="none"/>
        </w:rPr>
        <w:t>N</w:t>
      </w:r>
      <w:r w:rsidRPr="0085558C">
        <w:rPr>
          <w:rFonts w:eastAsia="Calibri" w:cs="Times New Roman"/>
          <w:kern w:val="0"/>
          <w:szCs w:val="24"/>
          <w14:ligatures w14:val="none"/>
        </w:rPr>
        <w:t xml:space="preserve"> addition in organic forms has been demonstrated to induce hot moments which can be greater in magnitude than those induced by synthetic fertilizers </w:t>
      </w:r>
      <w:r w:rsidRPr="0085558C">
        <w:rPr>
          <w:rFonts w:eastAsia="Calibri" w:cs="Times New Roman"/>
          <w:kern w:val="0"/>
          <w:szCs w:val="24"/>
          <w14:ligatures w14:val="none"/>
        </w:rPr>
        <w:fldChar w:fldCharType="begin"/>
      </w:r>
      <w:r w:rsidR="00D74AD1">
        <w:rPr>
          <w:rFonts w:eastAsia="Calibri" w:cs="Times New Roman"/>
          <w:kern w:val="0"/>
          <w:szCs w:val="24"/>
          <w14:ligatures w14:val="none"/>
        </w:rPr>
        <w:instrText xml:space="preserve"> ADDIN ZOTERO_ITEM CSL_CITATION {"citationID":"IX9EgQpk","properties":{"formattedCitation":"(Bouwman, 1994; Clayton et al., 1997; Lazcano et al., 2021; Saha, Kaye, et al., 2021a)","plainCitation":"(Bouwman, 1994; Clayton et al., 1997; Lazcano et al., 2021; Saha, Kaye, et al., 2021a)","noteIndex":0},"citationItems":[{"id":3261,"uris":["http://zotero.org/groups/5704038/items/K84VQA33"],"itemData":{"id":3261,"type":"report","event-place":"Bilthoven, The Netherlands","note":"publisher: Rijksinstituut voor Volksgezondheid en Milieu RIVM","number":"773004004","publisher":"Nat. Inst. Public Health and Environ. Protection (RIVM)","publisher-place":"Bilthoven, The Netherlands","title":"Method to estimate direct nitrous oxide emissions from agricultural soils","author":[{"family":"Bouwman","given":"Alexander Felix"}],"issued":{"date-parts":[["1994"]]}}},{"id":753,"uris":["http://zotero.org/groups/4573874/items/KBKMJRDZ"],"itemData":{"id":753,"type":"article-journal","abstract":"The aim was to investigate the effects of different N fertilisers on nitrous oxide (N2O) flux from agricultural grassland, with a view to suggesting fertiliser practices least likely to cause substantial N2O emissions, and to assess the influence of soil and environmental factors on the emissions. Replicate plots on a clay loam grassland were fertilised with ammonium sulphate (AS), urea (U), calcium nitrate (CN), ammonium nitrate (AN), or cattle slurry supplemented with AN on three occasions in each of 2 years. Frequent measurements were made of N2O flux and soil and environmental variables. The loss of N2O-N as a percentage of N fertiliser applied was highest from the supplemented slurry (SS) treatment and U, and lowest from AS. The temporal pattern of losses was different for the different fertilisers and between years. Losses from U were lower than those from AN and CN in the spring, but higher in the summer. The high summer fluxes were associated with high water-filled pore space (WFPS) values. Fluxes also rose steeply with temperature where WFPS or mineral N values were not limiting. Total annual loss was higher in the 2nd year, probably because of the rainfall pattern: the percentage losses were 2.2, 1.4, 1.2, 1.1 and 0.4 from SS, U, AN, CN and AS, respectively. Application of U in the spring and AN twice in the summer in the 2nd year gave an average emission factor of 0.8% – lower than from application of either individual fertiliser. We suggest that similar varied fertilisation practices, modified according to soil and crop type and climatic conditions, might be employed to minimise N2O emissions from agricultural land.","container-title":"Biology and Fertility of Soils","DOI":"10.1007/s003740050311","ISSN":"1432-0789","issue":"3","journalAbbreviation":"Biol Fertil Soils","language":"en","page":"252-260","source":"Springer Link","title":"Nitrous oxide emissions from fertilised grassland:  A 2-year study of the effects of N fertiliser form and environmental conditions","title-short":"Nitrous oxide emissions from fertilised grassland","volume":"25","author":[{"family":"Clayton","given":"H."},{"family":"McTaggart","given":"I. P."},{"family":"Parker","given":"J."},{"family":"Swan","given":"L."},{"family":"Smith","given":"K. A."}],"issued":{"date-parts":[["1997",9,1]]}}},{"id":3312,"uris":["http://zotero.org/groups/5704038/items/XQ3AX2VY"],"itemData":{"id":3312,"type":"article-journal","abstract":"The use of organic fertilizers constitutes a sustainable strategy to recycle nutrients, increase soil carbon (C) stocks and mitigate climate change. Yet, this depends largely on balance between soil C sequestration and the emissions of the potent greenhouse gas nitrous oxide (N2O). Organic fertilizers strongly influence the microbial processes leading to the release of N2O. The magnitude and pattern of N2O emissions are different from the emissions observed from inorganic fertilizers and difficult to predict, which hinders developing best management practices specific to organic fertilizers. Currently, we lack a comprehensive evaluation of the effects of OFs on the function and structure of the N cycling microbial communities. Focusing on animal manures, here we provide an overview of the effects of these organic fertilizers on the community structure and function of nitrifying and denitrifying microorganisms in upland soils. Unprocessed manure with high moisture, high available nitrogen (N) and C content can shift the structure of the microbial community, increasing the abundance and activity of nitrifying and denitrifying microorganisms. Processed manure, such as digestate, compost, vermicompost and biochar, can also stimulate nitrifying and denitrifying microorganisms, although the effects on the soil microbial community structure are different, and N2O emissions are comparatively lower than raw manure. We propose a framework of best management practices to minimize the negative environmental impacts of organic fertilizers and maximize their benefits in improving soil health and sustaining food production systems. Long-term application of composted manure and the buildup of soil C stocks may contribute to N retention as microbial or stabilized organic N in the soil while increasing the abundance of denitrifying microorganisms and thus reduce the emissions of N2O by favoring the completion of denitrification to produce dinitrogen gas. Future research using multi-omics approaches can be used to establish key biochemical pathways and microbial taxa responsible for N2O production under organic fertilization.","container-title":"Microorganisms","DOI":"10.3390/microorganisms9050983","ISSN":"2076-2607","issue":"5","language":"en","license":"http://creativecommons.org/licenses/by/3.0/","note":"number: 5\npublisher: Multidisciplinary Digital Publishing Institute","page":"983","source":"www.mdpi.com","title":"Effects of Organic Fertilizers on the Soil Microorganisms Responsible for N2O Emissions: A Review","title-short":"Effects of Organic Fertilizers on the Soil Microorganisms Responsible for N2O Emissions","volume":"9","author":[{"family":"Lazcano","given":"Cristina"},{"family":"Zhu-Barker","given":"Xia"},{"family":"Decock","given":"Charlotte"}],"issued":{"date-parts":[["2021",5]]}}},{"id":3309,"uris":["http://zotero.org/groups/5704038/items/H9723ZU7"],"itemData":{"id":3309,"type":"article-journal","abstract":"Soil fertility in organic agriculture relies on microbial cycling of nutrient inputs from legume cover crops and animal manure. However, large quantities of labile carbon (C) and nitrogen (N) in these amendments may promote the production and emission of nitrous oxide (N2O) from soils. Better ecological understanding of the N2O emission controls may lead to new management strategies to reduce these emissions. We measured soil N2O emission for two growing seasons in four corn–soybean–winter grain rotations with tillage, cover crop, and manure management variations typical of organic agriculture in temperate and humid North America. To identify N2O production pathways and mitigation opportunities, we supplemented N2O flux measurements with determinations of N2O isotopomer composition and microbiological genomic DNA abundances in microplots where we manipulated cover crop and manure additions. The N input from legume-rich cover crops and manure prior to corn planting made the corn phase the main source of N2O emissions, averaging 9.8 kg/ha of N2O-N and representing 80% of the 3-yr rotations’ total emissions. Nitrous oxide emissions increased sharply when legume cover crop and manure inputs exceeded 1.8 and 4 Mg/ha (dry matter), respectively. Removing the legume aboveground biomass before corn planting to prevent co-location of fresh biomass and manure decreased N2O emissions by 60% during the corn phase. The co-occurrence of peak N2O emission and high carbon dioxide emission suggests that oxygen (O2) consumption likely caused hypoxia and bacterial denitrification. This interpretation is supported by the N2O site preference values trending towards denitrification during peak emissions with limited N2O reduction, as revealed by the N2O δ15N and δ18O and the decrease in clade I nosZ gene abundance following incorporation of cover crops and manure. Thus, accelerated microbial O2 consumption seems to be a critical control of N2O emissions in systems with large additions of decomposable C and N substrates. Because many agricultural systems rely on combined fertility inputs from legumes and manures, our research suggests that controlling the rate and timing of organic input additions, as well as preventing the co-location of legume cover crops and manure, could mitigate N2O emissions.","container-title":"Ecological Applications","DOI":"10.1002/eap.2403","ISSN":"1939-5582","issue":"7","language":"en","license":"© 2021 by the Ecological Society of America","note":"_eprint: https://onlinelibrary.wiley.com/doi/pdf/10.1002/eap.2403","page":"e02403","source":"Wiley Online Library","title":"Organic fertility inputs synergistically increase denitrification-derived nitrous oxide emissions in agroecosystems","volume":"31","author":[{"family":"Saha","given":"Debasish"},{"family":"Kaye","given":"Jason P."},{"family":"Bhowmik","given":"Arnab"},{"family":"Bruns","given":"Mary Ann"},{"family":"Wallace","given":"John M."},{"family":"Kemanian","given":"Armen R."}],"issued":{"date-parts":[["2021"]]}},"label":"page"}],"schema":"https://github.com/citation-style-language/schema/raw/master/csl-citation.json"} </w:instrText>
      </w:r>
      <w:r w:rsidRPr="0085558C">
        <w:rPr>
          <w:rFonts w:eastAsia="Calibri" w:cs="Times New Roman"/>
          <w:kern w:val="0"/>
          <w:szCs w:val="24"/>
          <w14:ligatures w14:val="none"/>
        </w:rPr>
        <w:fldChar w:fldCharType="separate"/>
      </w:r>
      <w:r w:rsidR="00D74AD1" w:rsidRPr="00D74AD1">
        <w:rPr>
          <w:rFonts w:cs="Times New Roman"/>
        </w:rPr>
        <w:t xml:space="preserve">(Bouwman, 1994; Clayton et al., 1997; Lazcano et al., 2021; Saha et al., </w:t>
      </w:r>
      <w:r w:rsidRPr="0085558C">
        <w:rPr>
          <w:rFonts w:eastAsia="Calibri" w:cs="Times New Roman"/>
          <w:kern w:val="0"/>
          <w:szCs w:val="24"/>
          <w14:ligatures w14:val="none"/>
        </w:rPr>
        <w:fldChar w:fldCharType="end"/>
      </w:r>
      <w:r w:rsidRPr="0085558C">
        <w:rPr>
          <w:rFonts w:eastAsia="Calibri" w:cs="Times New Roman"/>
          <w:kern w:val="0"/>
          <w:szCs w:val="24"/>
          <w:lang w:val="it-IT"/>
          <w14:ligatures w14:val="none"/>
        </w:rPr>
        <w:t xml:space="preserve">. </w:t>
      </w:r>
      <w:r w:rsidRPr="0085558C">
        <w:rPr>
          <w:rFonts w:eastAsia="Calibri" w:cs="Times New Roman"/>
          <w:kern w:val="0"/>
          <w:szCs w:val="24"/>
          <w14:ligatures w14:val="none"/>
        </w:rPr>
        <w:t xml:space="preserve">On the other hand, ESN and AA each produced notably delayed and weaker responses from hot moments. ESN technologies are designed to slow </w:t>
      </w:r>
      <w:r>
        <w:rPr>
          <w:rFonts w:eastAsia="Calibri" w:cs="Times New Roman"/>
          <w:kern w:val="0"/>
          <w:szCs w:val="24"/>
          <w14:ligatures w14:val="none"/>
        </w:rPr>
        <w:t>N</w:t>
      </w:r>
      <w:r w:rsidRPr="0085558C">
        <w:rPr>
          <w:rFonts w:eastAsia="Calibri" w:cs="Times New Roman"/>
          <w:kern w:val="0"/>
          <w:szCs w:val="24"/>
          <w14:ligatures w14:val="none"/>
        </w:rPr>
        <w:t xml:space="preserve"> release and transformations in the soil</w:t>
      </w:r>
      <w:r>
        <w:rPr>
          <w:rFonts w:eastAsia="Calibri" w:cs="Times New Roman"/>
          <w:kern w:val="0"/>
          <w:szCs w:val="24"/>
          <w14:ligatures w14:val="none"/>
        </w:rPr>
        <w:t>, directly limiting access by microbes.</w:t>
      </w:r>
      <w:r w:rsidRPr="0085558C">
        <w:rPr>
          <w:rFonts w:eastAsia="Calibri" w:cs="Times New Roman"/>
          <w:kern w:val="0"/>
          <w:szCs w:val="24"/>
          <w14:ligatures w14:val="none"/>
        </w:rPr>
        <w:t xml:space="preserve"> </w:t>
      </w:r>
      <w:r>
        <w:rPr>
          <w:rFonts w:eastAsia="Calibri" w:cs="Times New Roman"/>
          <w:kern w:val="0"/>
          <w:szCs w:val="24"/>
          <w14:ligatures w14:val="none"/>
        </w:rPr>
        <w:t xml:space="preserve">AA </w:t>
      </w:r>
      <w:r w:rsidRPr="0085558C">
        <w:rPr>
          <w:rFonts w:eastAsia="Calibri" w:cs="Times New Roman"/>
          <w:kern w:val="0"/>
          <w:szCs w:val="24"/>
          <w14:ligatures w14:val="none"/>
        </w:rPr>
        <w:t>is typically applied in the fall under cooler temperature</w:t>
      </w:r>
      <w:r>
        <w:rPr>
          <w:rFonts w:eastAsia="Calibri" w:cs="Times New Roman"/>
          <w:kern w:val="0"/>
          <w:szCs w:val="24"/>
          <w14:ligatures w14:val="none"/>
        </w:rPr>
        <w:t xml:space="preserve"> and has an alkalizing effect on soil in the short term, favoring complete denitrification to N</w:t>
      </w:r>
      <w:r>
        <w:rPr>
          <w:rFonts w:eastAsia="Calibri" w:cs="Times New Roman"/>
          <w:kern w:val="0"/>
          <w:szCs w:val="24"/>
          <w:vertAlign w:val="subscript"/>
          <w14:ligatures w14:val="none"/>
        </w:rPr>
        <w:t>2</w:t>
      </w:r>
      <w:r>
        <w:rPr>
          <w:rFonts w:eastAsia="Calibri" w:cs="Times New Roman"/>
          <w:kern w:val="0"/>
          <w:szCs w:val="24"/>
          <w14:ligatures w14:val="none"/>
        </w:rPr>
        <w:t xml:space="preserve"> and generally lowering N</w:t>
      </w:r>
      <w:r>
        <w:rPr>
          <w:rFonts w:eastAsia="Calibri" w:cs="Times New Roman"/>
          <w:kern w:val="0"/>
          <w:szCs w:val="24"/>
          <w:vertAlign w:val="subscript"/>
          <w14:ligatures w14:val="none"/>
        </w:rPr>
        <w:t>2</w:t>
      </w:r>
      <w:r>
        <w:rPr>
          <w:rFonts w:eastAsia="Calibri" w:cs="Times New Roman"/>
          <w:kern w:val="0"/>
          <w:szCs w:val="24"/>
          <w14:ligatures w14:val="none"/>
        </w:rPr>
        <w:t xml:space="preserve">O emissions </w:t>
      </w:r>
      <w:r>
        <w:rPr>
          <w:rFonts w:eastAsia="Calibri" w:cs="Times New Roman"/>
          <w:kern w:val="0"/>
          <w:szCs w:val="24"/>
          <w14:ligatures w14:val="none"/>
        </w:rPr>
        <w:fldChar w:fldCharType="begin"/>
      </w:r>
      <w:r w:rsidR="00D74AD1">
        <w:rPr>
          <w:rFonts w:eastAsia="Calibri" w:cs="Times New Roman"/>
          <w:kern w:val="0"/>
          <w:szCs w:val="24"/>
          <w14:ligatures w14:val="none"/>
        </w:rPr>
        <w:instrText xml:space="preserve"> ADDIN ZOTERO_ITEM CSL_CITATION {"citationID":"JyyCj1aI","properties":{"formattedCitation":"(Hu et al., 2015; Venterea &amp; Rolston, 2000; Y. Wang et al., 2018)","plainCitation":"(Hu et al., 2015; Venterea &amp; Rolston, 2000; Y. Wang et al., 2018)","noteIndex":0},"citationItems":[{"id":3327,"uris":["http://zotero.org/groups/5631027/items/DSFJI6LY"],"itemData":{"id":3327,"type":"article-journal","abstract":"The continuous increase of the greenhouse gas nitrous oxide (N2O) in the atmosphere due to increasing anthropogenic nitrogen input in agriculture has become a global concern. In recent years, identification of the microbial assemblages responsible for soil N2O production has substantially advanced with the development of molecular technologies and the discoveries of novel functional guilds and new types of metabolism. However, few practical tools are available to effectively reduce in situ soil N2O flux. Combating the negative impacts of increasing N2O fluxes poses considerable challenges and will be ineffective without successfully incorporating microbially regulated N2O processes into ecosystem modeling and mitigation strategies. Here, we synthesize the latest knowledge of (i) the key microbial pathways regulating N2O production and consumption processes in terrestrial ecosystems and the critical environmental factors influencing their occurrence, and (ii) the relative contributions of major biological pathways to soil N2O emissions by analyzing available natural isotopic signatures of N2O and by using stable isotope enrichment and inhibition techniques. We argue that it is urgently necessary to incorporate microbial traits into biogeochemical ecosystem modeling in order to increase the estimation reliability of N2O emissions. We further propose a molecular methodology oriented framework from gene to ecosystem scales for more robust prediction and mitigation of future N2O emissions.","container-title":"FEMS Microbiology Reviews","DOI":"10.1093/femsre/fuv021","ISSN":"0168-6445","issue":"5","journalAbbreviation":"FEMS Microbiology Reviews","page":"729-749","source":"Silverchair","title":"Microbial regulation of terrestrial nitrous oxide formation: understanding the biological pathways for prediction of emission rates","title-short":"Microbial regulation of terrestrial nitrous oxide formation","volume":"39","author":[{"family":"Hu","given":"Hang-Wei"},{"family":"Chen","given":"Deli"},{"family":"He","given":"Ji-Zheng"}],"issued":{"date-parts":[["2015",9,1]]}}},{"id":3399,"uris":["http://zotero.org/groups/4573874/items/8XKDF4DM"],"itemData":{"id":3399,"type":"article-journal","abstract":"Emissions of nitric and nitrous oxide (NO and N2O) from agricultural soils may have several consequences, including impacts on local tropospheric and global stratospheric chemistry. Elevated NO and N2O emissions following application of anhydrous ammonia to an agricultural field in California were driven by the biological generation of nitrite (NO2−) and subsequent abiotic decomposition of nitrous acid (HNO2). Maximum fluxes of &gt; 1000 ng NO-N cm−2 h−1 and &gt; 400 ng N2O-N cm−2 h−1 were observed, and emissions of &gt; 100 ng NO-N cm−2 h−1 and &gt; 50 ng N2O-N cm−2 h−1 persisted for &gt;4 weeks. Laboratory experiments were performed to determine rate coefficients and activation energies for HNO2-mediated NO and N2O production. Kinetic parameters describing the conversion of NO to N2O were measured and were found to vary with water-filled pore space (WFPS). Regression models incorporating HNO2, WFPS, and temperature accounted for 75–77% of the variability in field fluxes. A previously developed NO emissions model was modified to incorporate a kinetic expression for HNO2- and temperature-dependent production. The model tended to underestimate fluxes under low-flux conditions and overestimate fluxes under high-flux conditions. These data indicate that (1) control of acidity may be an effective means for minimizing gaseous N losses from fertilized soils and possibly for improving air quality in rural areas, (2) the transformation of HNO2-derived NO may be an important mechanism of N2O production even under relatively aerobic conditions, and (3) mechanistic models which account for spatial heterogeneity and transient conditions may be required to better predict field NO fluxes.","container-title":"Journal of Geophysical Research: Atmospheres","DOI":"10.1029/2000JD900025","ISSN":"2156-2202","issue":"D12","language":"en","license":"Copyright 2000 by the American Geophysical Union.","note":"_eprint: https://onlinelibrary.wiley.com/doi/pdf/10.1029/2000JD900025","page":"15117-15129","source":"Wiley Online Library","title":"Nitric and nitrous oxide emissions following fertilizer application to agricultural soil: Biotic and abiotic mechanisms and kinetics","title-short":"Nitric and nitrous oxide emissions following fertilizer application to agricultural soil","volume":"105","author":[{"family":"Venterea","given":"Rodney T."},{"family":"Rolston","given":"Dennis E."}],"issued":{"date-parts":[["2000"]]}}},{"id":2285,"uris":["http://zotero.org/groups/5631027/items/JGMXTFGP"],"itemData":{"id":2285,"type":"article-journal","abstract":"Nitrous oxide (N2O) is a greenhouse gas that also plays the primary role in stratospheric ozone depletion. The use of nitrogen fertilizers is known as the major reason for atmospheric N2O increase. Empirical bottom-up models therefore estimate agricultural N2O inventories using N loading as the sole predictor, disregarding the regional heterogeneities in soil inherent response to external N loading. Several environmental factors have been found to influence the response in soil N2O emission to N fertilization, but their interdependence and relative importance have not been addressed properly. Here, we show that soil pH is the chief factor explaining regional disparities in N2O emission, using a global meta-analysis of 1,104 field measurements. The emission factor (EF) of N2O increases significantly (p &lt; .001) with soil pH decrease. The default EF value of 1.0%, according to IPCC (Intergovernmental Panel on Climate Change) for agricultural soils, occurs at soil pH 6.76. Moreover, changes in EF with N fertilization (i.e. ΔEF) is also negatively correlated (p &lt; .001) with soil pH. This indicates that N2O emission in acidic soils is more sensitive to changing N fertilization than that in alkaline soils. Incorporating our findings into bottom-up models has significant consequences for regional and global N2O emission inventories and reconciling them with those from top-down models. Moreover, our results allow region-specific development of tailor-made N2O mitigation measures in agriculture.","container-title":"Global Change Biology","DOI":"10.1111/gcb.13966","ISSN":"1365-2486","issue":"2","language":"en","license":"© 2017 John Wiley &amp; Sons Ltd","note":"_eprint: https://onlinelibrary.wiley.com/doi/pdf/10.1111/gcb.13966","page":"e617-e626","source":"Wiley Online Library","title":"Soil pH as the chief modifier for regional nitrous oxide emissions: New evidence and implications for global estimates and mitigation","title-short":"Soil pH as the chief modifier for regional nitrous oxide emissions","volume":"24","author":[{"family":"Wang","given":"Yajing"},{"family":"Guo","given":"Jingheng"},{"family":"Vogt","given":"Rolf David"},{"family":"Mulder","given":"Jan"},{"family":"Wang","given":"Jingguo"},{"family":"Zhang","given":"Xiaoshan"}],"issued":{"date-parts":[["2018"]]}}}],"schema":"https://github.com/citation-style-language/schema/raw/master/csl-citation.json"} </w:instrText>
      </w:r>
      <w:r>
        <w:rPr>
          <w:rFonts w:eastAsia="Calibri" w:cs="Times New Roman"/>
          <w:kern w:val="0"/>
          <w:szCs w:val="24"/>
          <w14:ligatures w14:val="none"/>
        </w:rPr>
        <w:fldChar w:fldCharType="separate"/>
      </w:r>
      <w:r w:rsidRPr="0074475B">
        <w:rPr>
          <w:rFonts w:cs="Times New Roman"/>
        </w:rPr>
        <w:t>(Hu et al., 2015; Venterea &amp; Rolston, 2000; Y. Wang et al., 2018)</w:t>
      </w:r>
      <w:r>
        <w:rPr>
          <w:rFonts w:eastAsia="Calibri" w:cs="Times New Roman"/>
          <w:kern w:val="0"/>
          <w:szCs w:val="24"/>
          <w14:ligatures w14:val="none"/>
        </w:rPr>
        <w:fldChar w:fldCharType="end"/>
      </w:r>
      <w:r w:rsidRPr="0085558C">
        <w:rPr>
          <w:rFonts w:eastAsia="Calibri" w:cs="Times New Roman"/>
          <w:kern w:val="0"/>
          <w:szCs w:val="24"/>
          <w14:ligatures w14:val="none"/>
        </w:rPr>
        <w:t xml:space="preserve">. </w:t>
      </w:r>
      <w:r>
        <w:rPr>
          <w:rFonts w:eastAsia="Calibri" w:cs="Times New Roman"/>
          <w:kern w:val="0"/>
          <w:szCs w:val="24"/>
          <w14:ligatures w14:val="none"/>
        </w:rPr>
        <w:t>N</w:t>
      </w:r>
      <w:r w:rsidRPr="0085558C">
        <w:rPr>
          <w:rFonts w:eastAsia="Calibri" w:cs="Times New Roman"/>
          <w:kern w:val="0"/>
          <w:szCs w:val="24"/>
          <w14:ligatures w14:val="none"/>
        </w:rPr>
        <w:t>itrate</w:t>
      </w:r>
      <w:r>
        <w:rPr>
          <w:rFonts w:eastAsia="Calibri" w:cs="Times New Roman"/>
          <w:kern w:val="0"/>
          <w:szCs w:val="24"/>
          <w14:ligatures w14:val="none"/>
        </w:rPr>
        <w:t xml:space="preserve"> fertilizers</w:t>
      </w:r>
      <w:r w:rsidRPr="0085558C">
        <w:rPr>
          <w:rFonts w:eastAsia="Calibri" w:cs="Times New Roman"/>
          <w:kern w:val="0"/>
          <w:szCs w:val="24"/>
          <w14:ligatures w14:val="none"/>
        </w:rPr>
        <w:t xml:space="preserve"> also produced </w:t>
      </w:r>
      <w:r>
        <w:rPr>
          <w:rFonts w:eastAsia="Calibri" w:cs="Times New Roman"/>
          <w:kern w:val="0"/>
          <w:szCs w:val="24"/>
          <w14:ligatures w14:val="none"/>
        </w:rPr>
        <w:t xml:space="preserve">stronger and </w:t>
      </w:r>
      <w:r w:rsidRPr="0085558C">
        <w:rPr>
          <w:rFonts w:eastAsia="Calibri" w:cs="Times New Roman"/>
          <w:kern w:val="0"/>
          <w:szCs w:val="24"/>
          <w14:ligatures w14:val="none"/>
        </w:rPr>
        <w:t>quicker response</w:t>
      </w:r>
      <w:r>
        <w:rPr>
          <w:rFonts w:eastAsia="Calibri" w:cs="Times New Roman"/>
          <w:kern w:val="0"/>
          <w:szCs w:val="24"/>
          <w14:ligatures w14:val="none"/>
        </w:rPr>
        <w:t>s to emissions</w:t>
      </w:r>
      <w:r w:rsidRPr="0085558C">
        <w:rPr>
          <w:rFonts w:eastAsia="Calibri" w:cs="Times New Roman"/>
          <w:kern w:val="0"/>
          <w:szCs w:val="24"/>
          <w14:ligatures w14:val="none"/>
        </w:rPr>
        <w:t xml:space="preserve"> than ammonium, which follows that nitrate is immediately usable by denitrifiers while ammonium must first be oxidized by nitrifiers to nitrate </w:t>
      </w:r>
      <w:r w:rsidRPr="0085558C">
        <w:rPr>
          <w:rFonts w:eastAsia="Calibri" w:cs="Times New Roman"/>
          <w:kern w:val="0"/>
          <w:szCs w:val="24"/>
          <w14:ligatures w14:val="none"/>
        </w:rPr>
        <w:fldChar w:fldCharType="begin"/>
      </w:r>
      <w:r w:rsidR="00950694">
        <w:rPr>
          <w:rFonts w:eastAsia="Calibri" w:cs="Times New Roman"/>
          <w:kern w:val="0"/>
          <w:szCs w:val="24"/>
          <w14:ligatures w14:val="none"/>
        </w:rPr>
        <w:instrText xml:space="preserve"> ADDIN ZOTERO_ITEM CSL_CITATION {"citationID":"dLETxTQi","properties":{"formattedCitation":"(Butterbach-Bahl et al., 2013; Clayton et al., 1997; Tierling &amp; Kuhlmann, 2018)","plainCitation":"(Butterbach-Bahl et al., 2013; Clayton et al., 1997; Tierling &amp; Kuhlmann, 2018)","noteIndex":0},"citationItems":[{"id":1313,"uris":["http://zotero.org/groups/4573874/items/5DUZFISM"],"itemData":{"id":1313,"type":"article-journal","abstract":"Although it is well established that soils are the dominating source for atmospheric nitrous oxide (N2O), we are still struggling to fully understand the complexity of the underlying microbial production and consumption processes and the links to biotic (e.g. inter- and intraspecies competition, food webs, plant–microbe interaction) and abiotic (e.g. soil climate, physics and chemistry) factors. Recent work shows that a better understanding of the composition and diversity of the microbial community across a variety of soils in different climates and under different land use, as well as plant–microbe interactions in the rhizosphere, may provide a key to better understand the variability of N2O fluxes at the soil–atmosphere interface. Moreover, recent insights into the regulation of the reduction of N2O to dinitrogen (N2) have increased our understanding of N2O exchange. This improved process understanding, building on the increased use of isotope tracing techniques and metagenomics, needs to go along with improvements in measurement techniques for N2O (and N2) emission in order to obtain robust field and laboratory datasets for different ecosystem types. Advances in both fields are currently used to improve process descriptions in biogeochemical models, which may eventually be used not only to test our current process understanding from the microsite to the field level, but also used as tools for up-scaling emissions to landscapes and regions and to explore feedbacks of soil N2O emissions to changes in environmental conditions, land management and land use.","container-title":"Philosophical Transactions of the Royal Society B: Biological Sciences","DOI":"10.1098/rstb.2013.0122","issue":"1621","note":"publisher: Royal Society","page":"20130122","source":"royalsocietypublishing.org (Atypon)","title":"Nitrous oxide emissions from soils: how well do we understand the processes and their controls?","title-short":"Nitrous oxide emissions from soils","volume":"368","author":[{"family":"Butterbach-Bahl","given":"Klaus"},{"family":"Baggs","given":"Elizabeth M."},{"family":"Dannenmann","given":"Michael"},{"family":"Kiese","given":"Ralf"},{"family":"Zechmeister-Boltenstern","given":"Sophie"}],"issued":{"date-parts":[["2013",7,5]]}}},{"id":753,"uris":["http://zotero.org/groups/4573874/items/KBKMJRDZ"],"itemData":{"id":753,"type":"article-journal","abstract":"The aim was to investigate the effects of different N fertilisers on nitrous oxide (N2O) flux from agricultural grassland, with a view to suggesting fertiliser practices least likely to cause substantial N2O emissions, and to assess the influence of soil and environmental factors on the emissions. Replicate plots on a clay loam grassland were fertilised with ammonium sulphate (AS), urea (U), calcium nitrate (CN), ammonium nitrate (AN), or cattle slurry supplemented with AN on three occasions in each of 2 years. Frequent measurements were made of N2O flux and soil and environmental variables. The loss of N2O-N as a percentage of N fertiliser applied was highest from the supplemented slurry (SS) treatment and U, and lowest from AS. The temporal pattern of losses was different for the different fertilisers and between years. Losses from U were lower than those from AN and CN in the spring, but higher in the summer. The high summer fluxes were associated with high water-filled pore space (WFPS) values. Fluxes also rose steeply with temperature where WFPS or mineral N values were not limiting. Total annual loss was higher in the 2nd year, probably because of the rainfall pattern: the percentage losses were 2.2, 1.4, 1.2, 1.1 and 0.4 from SS, U, AN, CN and AS, respectively. Application of U in the spring and AN twice in the summer in the 2nd year gave an average emission factor of 0.8% – lower than from application of either individual fertiliser. We suggest that similar varied fertilisation practices, modified according to soil and crop type and climatic conditions, might be employed to minimise N2O emissions from agricultural land.","container-title":"Biology and Fertility of Soils","DOI":"10.1007/s003740050311","ISSN":"1432-0789","issue":"3","journalAbbreviation":"Biol Fertil Soils","language":"en","page":"252-260","source":"Springer Link","title":"Nitrous oxide emissions from fertilised grassland:  A 2-year study of the effects of N fertiliser form and environmental conditions","title-short":"Nitrous oxide emissions from fertilised grassland","volume":"25","author":[{"family":"Clayton","given":"H."},{"family":"McTaggart","given":"I. P."},{"family":"Parker","given":"J."},{"family":"Swan","given":"L."},{"family":"Smith","given":"K. A."}],"issued":{"date-parts":[["1997",9,1]]}}},{"id":3393,"uris":["http://zotero.org/groups/5631027/items/4ZWFF7BJ"],"itemData":{"id":3393,"type":"article-journal","abstract":"The potential of nitrogen (N) fertilizer forms to mitigate N2O emissions from agricultural fields is not very well understood. It is known that both reduced and oxidized N forms can be beneficial, depending on site-specific edaphic and climatic conditions. In the present study four laboratory incubation experiments were conducted under conditions that should minimize denitrification to investigate N2O emissions during the nitrification of solid N fertilizers. It was found that on two loamy sand soils with pH values slightly above pH5, urea caused 2.7–3.8 fold higher cumulative N2O emissions than ammonium sulphate (AS). N2O emission rates from urea were accompanied by elevated soil nitrite levels, while those of AS were not. The direct addition of a NaNO2 solution revealed an exponential relationship between soil nitrite levels and cumulative N2O emissions, indicating that soil nitrite induces N2O emissions, probably by nitrite reduction via nitrifier denitrification. When the soil pH was increased to 6.3 (soil from a long-term liming experiment) nitrite accumulation during nitrification was observed for both N forms. Cumulative N2O emissions did not differ between N forms on the latter soil, but N2O emission kinetics were faster for urea. Cumulative N2O emissions from AS at soil pH6.3 were significantly higher than those of AS at pH values around 5. It was concluded that i) nitrite accumulation during nitrification of reduced N fertilizer forms can significantly contribute to N2O emissions under non-denitrifying conditions, ii) the risk of nitrite accumulation increases with higher soil pH values, and iii) that the alkalizing hydrolysis of urea increases the risk of nitrite accumulation and thus higher N2O emissions as well. This mechanism would explain why urea causes higher N2O emissions than fertilizers in the form of ammonium salts.","container-title":"Geoderma","DOI":"10.1016/j.geoderma.2017.08.040","ISSN":"0016-7061","journalAbbreviation":"Geoderma","page":"12-21","source":"ScienceDirect","title":"Emissions of nitrous oxide (N2O) affected by pH-related nitrite accumulation during nitrification of N fertilizers","volume":"310","author":[{"family":"Tierling","given":"Jens"},{"family":"Kuhlmann","given":"Hermann"}],"issued":{"date-parts":[["2018",1,15]]}}}],"schema":"https://github.com/citation-style-language/schema/raw/master/csl-citation.json"} </w:instrText>
      </w:r>
      <w:r w:rsidRPr="0085558C">
        <w:rPr>
          <w:rFonts w:eastAsia="Calibri" w:cs="Times New Roman"/>
          <w:kern w:val="0"/>
          <w:szCs w:val="24"/>
          <w14:ligatures w14:val="none"/>
        </w:rPr>
        <w:fldChar w:fldCharType="separate"/>
      </w:r>
      <w:r w:rsidR="00950694" w:rsidRPr="00950694">
        <w:rPr>
          <w:rFonts w:cs="Times New Roman"/>
        </w:rPr>
        <w:t>(Butterbach-Bahl et al., 2013; Clayton et al., 1997; Tierling &amp; Kuhlmann, 2018)</w:t>
      </w:r>
      <w:r w:rsidRPr="0085558C">
        <w:rPr>
          <w:rFonts w:eastAsia="Calibri" w:cs="Times New Roman"/>
          <w:kern w:val="0"/>
          <w:szCs w:val="24"/>
          <w14:ligatures w14:val="none"/>
        </w:rPr>
        <w:fldChar w:fldCharType="end"/>
      </w:r>
      <w:r w:rsidRPr="0085558C">
        <w:rPr>
          <w:rFonts w:eastAsia="Calibri" w:cs="Times New Roman"/>
          <w:kern w:val="0"/>
          <w:szCs w:val="24"/>
          <w14:ligatures w14:val="none"/>
        </w:rPr>
        <w:t xml:space="preserve">. The reflection of these complex biogeochemical processes without explicit </w:t>
      </w:r>
      <w:r w:rsidRPr="0085558C">
        <w:rPr>
          <w:rFonts w:eastAsia="Calibri" w:cs="Times New Roman"/>
          <w:kern w:val="0"/>
          <w:szCs w:val="24"/>
          <w14:ligatures w14:val="none"/>
        </w:rPr>
        <w:lastRenderedPageBreak/>
        <w:t>representation or even measurements is encouraging, particularly considering that the predictions made to generate such insights were made on unseen holdout data.</w:t>
      </w:r>
    </w:p>
    <w:p w14:paraId="25E34D37" w14:textId="6FFA3774" w:rsidR="001154C0" w:rsidRPr="00994531" w:rsidRDefault="001154C0" w:rsidP="001B567A">
      <w:pPr>
        <w:pStyle w:val="Heading3"/>
      </w:pPr>
      <w:bookmarkStart w:id="85" w:name="_Toc204282774"/>
      <w:r w:rsidRPr="00994531">
        <w:t>Potential applications and future directions</w:t>
      </w:r>
      <w:bookmarkEnd w:id="85"/>
    </w:p>
    <w:p w14:paraId="236B986E" w14:textId="36464D24" w:rsidR="00F954B1" w:rsidRPr="0085558C" w:rsidRDefault="00F954B1" w:rsidP="001B567A">
      <w:pPr>
        <w:spacing w:after="0" w:line="480" w:lineRule="auto"/>
        <w:rPr>
          <w:rFonts w:eastAsia="Calibri" w:cs="Times New Roman"/>
          <w:kern w:val="0"/>
          <w:szCs w:val="24"/>
          <w14:ligatures w14:val="none"/>
        </w:rPr>
      </w:pPr>
      <w:r w:rsidRPr="0085558C">
        <w:rPr>
          <w:rFonts w:eastAsia="Calibri" w:cs="Times New Roman"/>
          <w:kern w:val="0"/>
          <w:szCs w:val="24"/>
          <w14:ligatures w14:val="none"/>
        </w:rPr>
        <w:t>Soil N</w:t>
      </w:r>
      <w:r w:rsidRPr="0085558C">
        <w:rPr>
          <w:rFonts w:eastAsia="Calibri" w:cs="Times New Roman"/>
          <w:kern w:val="0"/>
          <w:szCs w:val="24"/>
          <w:vertAlign w:val="subscript"/>
          <w14:ligatures w14:val="none"/>
        </w:rPr>
        <w:t>2</w:t>
      </w:r>
      <w:r w:rsidRPr="0085558C">
        <w:rPr>
          <w:rFonts w:eastAsia="Calibri" w:cs="Times New Roman"/>
          <w:kern w:val="0"/>
          <w:szCs w:val="24"/>
          <w14:ligatures w14:val="none"/>
        </w:rPr>
        <w:t xml:space="preserve">O emissions are driven by complex, interacting, </w:t>
      </w:r>
      <w:r>
        <w:rPr>
          <w:rFonts w:eastAsia="Calibri" w:cs="Times New Roman"/>
          <w:kern w:val="0"/>
          <w:szCs w:val="24"/>
          <w14:ligatures w14:val="none"/>
        </w:rPr>
        <w:t xml:space="preserve">highly dynamic </w:t>
      </w:r>
      <w:r w:rsidRPr="0085558C">
        <w:rPr>
          <w:rFonts w:eastAsia="Calibri" w:cs="Times New Roman"/>
          <w:kern w:val="0"/>
          <w:szCs w:val="24"/>
          <w14:ligatures w14:val="none"/>
        </w:rPr>
        <w:t>factors</w:t>
      </w:r>
      <w:r>
        <w:rPr>
          <w:rFonts w:eastAsia="Calibri" w:cs="Times New Roman"/>
          <w:kern w:val="0"/>
          <w:szCs w:val="24"/>
          <w14:ligatures w14:val="none"/>
        </w:rPr>
        <w:t>,</w:t>
      </w:r>
      <w:r w:rsidRPr="0085558C">
        <w:rPr>
          <w:rFonts w:eastAsia="Calibri" w:cs="Times New Roman"/>
          <w:kern w:val="0"/>
          <w:szCs w:val="24"/>
          <w14:ligatures w14:val="none"/>
        </w:rPr>
        <w:t xml:space="preserve"> </w:t>
      </w:r>
      <w:r>
        <w:rPr>
          <w:rFonts w:eastAsia="Calibri" w:cs="Times New Roman"/>
          <w:kern w:val="0"/>
          <w:szCs w:val="24"/>
          <w14:ligatures w14:val="none"/>
        </w:rPr>
        <w:t>making accurate</w:t>
      </w:r>
      <w:r w:rsidRPr="0085558C">
        <w:rPr>
          <w:rFonts w:eastAsia="Calibri" w:cs="Times New Roman"/>
          <w:kern w:val="0"/>
          <w:szCs w:val="24"/>
          <w14:ligatures w14:val="none"/>
        </w:rPr>
        <w:t xml:space="preserve"> </w:t>
      </w:r>
      <w:r>
        <w:rPr>
          <w:rFonts w:eastAsia="Calibri" w:cs="Times New Roman"/>
          <w:kern w:val="0"/>
          <w:szCs w:val="24"/>
          <w14:ligatures w14:val="none"/>
        </w:rPr>
        <w:t>model</w:t>
      </w:r>
      <w:r w:rsidRPr="0085558C">
        <w:rPr>
          <w:rFonts w:eastAsia="Calibri" w:cs="Times New Roman"/>
          <w:kern w:val="0"/>
          <w:szCs w:val="24"/>
          <w14:ligatures w14:val="none"/>
        </w:rPr>
        <w:t xml:space="preserve"> predictions at high temporal resolution challeng</w:t>
      </w:r>
      <w:r>
        <w:rPr>
          <w:rFonts w:eastAsia="Calibri" w:cs="Times New Roman"/>
          <w:kern w:val="0"/>
          <w:szCs w:val="24"/>
          <w14:ligatures w14:val="none"/>
        </w:rPr>
        <w:t>ing</w:t>
      </w:r>
      <w:r w:rsidRPr="0085558C">
        <w:rPr>
          <w:rFonts w:eastAsia="Calibri" w:cs="Times New Roman"/>
          <w:kern w:val="0"/>
          <w:szCs w:val="24"/>
          <w14:ligatures w14:val="none"/>
        </w:rPr>
        <w:t xml:space="preserve"> </w:t>
      </w:r>
      <w:r w:rsidRPr="0085558C">
        <w:rPr>
          <w:rFonts w:eastAsia="Calibri" w:cs="Times New Roman"/>
          <w:kern w:val="0"/>
          <w:szCs w:val="24"/>
          <w14:ligatures w14:val="none"/>
        </w:rPr>
        <w:fldChar w:fldCharType="begin"/>
      </w:r>
      <w:r w:rsidR="00D74AD1">
        <w:rPr>
          <w:rFonts w:eastAsia="Calibri" w:cs="Times New Roman"/>
          <w:kern w:val="0"/>
          <w:szCs w:val="24"/>
          <w14:ligatures w14:val="none"/>
        </w:rPr>
        <w:instrText xml:space="preserve"> ADDIN ZOTERO_ITEM CSL_CITATION {"citationID":"Yc8cFQjW","properties":{"formattedCitation":"(Brilli et al., 2017)","plainCitation":"(Brilli et al., 2017)","noteIndex":0},"citationItems":[{"id":2453,"uris":["http://zotero.org/groups/5631027/items/G7VJITSN"],"itemData":{"id":2453,"type":"article-journal","abstract":"Biogeochemical simulation models are important tools for describing and quantifying the contribution of agricultural systems to C sequestration and GHG source/sink status. The abundance of simulation tools developed over recent decades, however, creates a difficulty because predictions from different models show large variability. Discrepancies between the conclusions of different modelling studies are often ascribed to differences in the physical and biogeochemical processes incorporated in equations of C and N cycles and their interactions. Here we review the literature to determine the state-of-the-art in modelling agricultural (crop and grassland) systems. In order to carry out this study, we selected the range of biogeochemical models used by the CN-MIP consortium of FACCE-JPI (http://www.faccejpi.com): APSIM, CERES-EGC, DayCent, DNDC, DSSAT, EPIC, PaSim, RothC and STICS. In our analysis, these models were assessed for the quality and comprehensiveness of underlying processes related to pedo-climatic conditions and management practices, but also with respect to time and space of application, and for their accuracy in multiple contexts. Overall, it emerged that there is a possible impact of ill-defined pedo-climatic conditions in the unsatisfactory performance of the models (46.2%), followed by limitations in the algorithms simulating the effects of management practices (33.1%). The multiplicity of scales in both time and space is a fundamental feature, which explains the remaining weaknesses (i.e. 20.7%). Innovative aspects have been identified for future development of C and N models. They include the explicit representation of soil microbial biomass to drive soil organic matter turnover, the effect of N shortage on SOM decomposition, the improvements related to the production and consumption of gases and an adequate simulations of gas transport in soil. On these bases, the assessment of trends and gaps in the modelling approaches currently employed to represent biogeochemical cycles in crop and grassland systems appears an essential step for future research.","container-title":"Science of The Total Environment","DOI":"10.1016/j.scitotenv.2017.03.208","ISSN":"0048-9697","journalAbbreviation":"Science of The Total Environment","page":"445-470","source":"ScienceDirect","title":"Review and analysis of strengths and weaknesses of agro-ecosystem models for simulating C and N fluxes","volume":"598","author":[{"family":"Brilli","given":"Lorenzo"},{"family":"Bechini","given":"Luca"},{"family":"Bindi","given":"Marco"},{"family":"Carozzi","given":"Marco"},{"family":"Cavalli","given":"Daniele"},{"family":"Conant","given":"Richard"},{"family":"Dorich","given":"Cristopher D."},{"family":"Doro","given":"Luca"},{"family":"Ehrhardt","given":"Fiona"},{"family":"Farina","given":"Roberta"},{"family":"Ferrise","given":"Roberto"},{"family":"Fitton","given":"Nuala"},{"family":"Francaviglia","given":"Rosa"},{"family":"Grace","given":"Peter"},{"family":"Iocola","given":"Ileana"},{"family":"Klumpp","given":"Katja"},{"family":"Léonard","given":"Joël"},{"family":"Martin","given":"Raphaël"},{"family":"Massad","given":"Raia Silvia"},{"family":"Recous","given":"Sylvie"},{"family":"Seddaiu","given":"Giovanna"},{"family":"Sharp","given":"Joanna"},{"family":"Smith","given":"Pete"},{"family":"Smith","given":"Ward N."},{"family":"Soussana","given":"Jean-Francois"},{"family":"Bellocchi","given":"Gianni"}],"issued":{"date-parts":[["2017",11,15]]}}}],"schema":"https://github.com/citation-style-language/schema/raw/master/csl-citation.json"} </w:instrText>
      </w:r>
      <w:r w:rsidRPr="0085558C">
        <w:rPr>
          <w:rFonts w:eastAsia="Calibri" w:cs="Times New Roman"/>
          <w:kern w:val="0"/>
          <w:szCs w:val="24"/>
          <w14:ligatures w14:val="none"/>
        </w:rPr>
        <w:fldChar w:fldCharType="separate"/>
      </w:r>
      <w:r w:rsidRPr="0085558C">
        <w:rPr>
          <w:rFonts w:eastAsia="Calibri" w:cs="Times New Roman"/>
          <w:kern w:val="0"/>
          <w:szCs w:val="24"/>
          <w14:ligatures w14:val="none"/>
        </w:rPr>
        <w:t>(Brilli et al., 2017)</w:t>
      </w:r>
      <w:r w:rsidRPr="0085558C">
        <w:rPr>
          <w:rFonts w:eastAsia="Calibri" w:cs="Times New Roman"/>
          <w:kern w:val="0"/>
          <w:szCs w:val="24"/>
          <w14:ligatures w14:val="none"/>
        </w:rPr>
        <w:fldChar w:fldCharType="end"/>
      </w:r>
      <w:r w:rsidRPr="0085558C">
        <w:rPr>
          <w:rFonts w:eastAsia="Calibri" w:cs="Times New Roman"/>
          <w:kern w:val="0"/>
          <w:szCs w:val="24"/>
          <w14:ligatures w14:val="none"/>
        </w:rPr>
        <w:t xml:space="preserve">. We addressed this challenge by reducing the quantitative resolution </w:t>
      </w:r>
      <w:r>
        <w:rPr>
          <w:rFonts w:eastAsia="Calibri" w:cs="Times New Roman"/>
          <w:kern w:val="0"/>
          <w:szCs w:val="24"/>
          <w14:ligatures w14:val="none"/>
        </w:rPr>
        <w:t>of predictions</w:t>
      </w:r>
      <w:r w:rsidRPr="0085558C">
        <w:rPr>
          <w:rFonts w:eastAsia="Calibri" w:cs="Times New Roman"/>
          <w:kern w:val="0"/>
          <w:szCs w:val="24"/>
          <w14:ligatures w14:val="none"/>
        </w:rPr>
        <w:t xml:space="preserve">- converting this task from regression to </w:t>
      </w:r>
      <w:r w:rsidRPr="009D3138">
        <w:rPr>
          <w:rFonts w:eastAsia="Calibri" w:cs="Times New Roman"/>
          <w:kern w:val="0"/>
          <w:szCs w:val="24"/>
          <w14:ligatures w14:val="none"/>
        </w:rPr>
        <w:t xml:space="preserve">a </w:t>
      </w:r>
      <w:r w:rsidRPr="0085558C">
        <w:rPr>
          <w:rFonts w:eastAsia="Calibri" w:cs="Times New Roman"/>
          <w:kern w:val="0"/>
          <w:szCs w:val="24"/>
          <w14:ligatures w14:val="none"/>
        </w:rPr>
        <w:t xml:space="preserve">classification problem. </w:t>
      </w:r>
      <w:r>
        <w:rPr>
          <w:rFonts w:eastAsia="Calibri" w:cs="Times New Roman"/>
          <w:kern w:val="0"/>
          <w:szCs w:val="24"/>
          <w14:ligatures w14:val="none"/>
        </w:rPr>
        <w:t>Our model also simplifies input requirements</w:t>
      </w:r>
      <w:r w:rsidRPr="0085558C">
        <w:rPr>
          <w:rFonts w:eastAsia="Calibri" w:cs="Times New Roman"/>
          <w:kern w:val="0"/>
          <w:szCs w:val="24"/>
          <w14:ligatures w14:val="none"/>
        </w:rPr>
        <w:t>,</w:t>
      </w:r>
      <w:r>
        <w:rPr>
          <w:rFonts w:eastAsia="Calibri" w:cs="Times New Roman"/>
          <w:kern w:val="0"/>
          <w:szCs w:val="24"/>
          <w14:ligatures w14:val="none"/>
        </w:rPr>
        <w:t xml:space="preserve"> requiring </w:t>
      </w:r>
      <w:r w:rsidRPr="0085558C">
        <w:rPr>
          <w:rFonts w:eastAsia="Calibri" w:cs="Times New Roman"/>
          <w:kern w:val="0"/>
          <w:szCs w:val="24"/>
          <w14:ligatures w14:val="none"/>
        </w:rPr>
        <w:t>only two</w:t>
      </w:r>
      <w:r>
        <w:rPr>
          <w:rFonts w:eastAsia="Calibri" w:cs="Times New Roman"/>
          <w:kern w:val="0"/>
          <w:szCs w:val="24"/>
          <w14:ligatures w14:val="none"/>
        </w:rPr>
        <w:t xml:space="preserve"> (soil temperature and VWC)</w:t>
      </w:r>
      <w:r w:rsidRPr="0085558C">
        <w:rPr>
          <w:rFonts w:eastAsia="Calibri" w:cs="Times New Roman"/>
          <w:kern w:val="0"/>
          <w:szCs w:val="24"/>
          <w14:ligatures w14:val="none"/>
        </w:rPr>
        <w:t xml:space="preserve"> </w:t>
      </w:r>
      <w:r>
        <w:rPr>
          <w:rFonts w:eastAsia="Calibri" w:cs="Times New Roman"/>
          <w:kern w:val="0"/>
          <w:szCs w:val="24"/>
          <w14:ligatures w14:val="none"/>
        </w:rPr>
        <w:t xml:space="preserve">which </w:t>
      </w:r>
      <w:r w:rsidRPr="0085558C">
        <w:rPr>
          <w:rFonts w:eastAsia="Calibri" w:cs="Times New Roman"/>
          <w:kern w:val="0"/>
          <w:szCs w:val="24"/>
          <w14:ligatures w14:val="none"/>
        </w:rPr>
        <w:t>entail in-field monitoring, and both can commonly be measured simultaneously using a single installed soil sensor. Additional model requirements include access to a nearby weather station measuring precipitation, knowledge of the soil texture and regional climate, and the input of certain management data.</w:t>
      </w:r>
      <w:r>
        <w:rPr>
          <w:rFonts w:eastAsia="Calibri" w:cs="Times New Roman"/>
          <w:kern w:val="0"/>
          <w:szCs w:val="24"/>
          <w14:ligatures w14:val="none"/>
        </w:rPr>
        <w:t xml:space="preserve"> </w:t>
      </w:r>
      <w:r w:rsidRPr="0085558C">
        <w:rPr>
          <w:rFonts w:eastAsia="Calibri" w:cs="Times New Roman"/>
          <w:kern w:val="0"/>
          <w:szCs w:val="24"/>
          <w14:ligatures w14:val="none"/>
        </w:rPr>
        <w:t>While this approach is not devoid of limitations, it holds significant potential for practical applications in mitigating and modeling N</w:t>
      </w:r>
      <w:r w:rsidRPr="0085558C">
        <w:rPr>
          <w:rFonts w:eastAsia="Calibri" w:cs="Times New Roman"/>
          <w:kern w:val="0"/>
          <w:szCs w:val="24"/>
          <w:vertAlign w:val="subscript"/>
          <w14:ligatures w14:val="none"/>
        </w:rPr>
        <w:t>2</w:t>
      </w:r>
      <w:r w:rsidRPr="0085558C">
        <w:rPr>
          <w:rFonts w:eastAsia="Calibri" w:cs="Times New Roman"/>
          <w:kern w:val="0"/>
          <w:szCs w:val="24"/>
          <w14:ligatures w14:val="none"/>
        </w:rPr>
        <w:t>O emissions.</w:t>
      </w:r>
    </w:p>
    <w:p w14:paraId="14E3A1B9" w14:textId="42C798A1" w:rsidR="001154C0" w:rsidRPr="00994531" w:rsidRDefault="00F954B1" w:rsidP="001B567A">
      <w:pPr>
        <w:spacing w:after="0" w:line="480" w:lineRule="auto"/>
        <w:rPr>
          <w:rFonts w:eastAsia="Calibri" w:cs="Times New Roman"/>
          <w:kern w:val="0"/>
          <w:szCs w:val="24"/>
          <w14:ligatures w14:val="none"/>
        </w:rPr>
      </w:pPr>
      <w:r w:rsidRPr="0085558C">
        <w:rPr>
          <w:rFonts w:eastAsia="Calibri" w:cs="Times New Roman"/>
          <w:kern w:val="0"/>
          <w:szCs w:val="24"/>
          <w14:ligatures w14:val="none"/>
        </w:rPr>
        <w:t xml:space="preserve">There is growing interest and investment in grower-centered decision making tools to mitigate agricultural GHG emissions </w:t>
      </w:r>
      <w:r w:rsidRPr="0085558C">
        <w:rPr>
          <w:rFonts w:eastAsia="Calibri" w:cs="Times New Roman"/>
          <w:kern w:val="0"/>
          <w:szCs w:val="24"/>
          <w14:ligatures w14:val="none"/>
        </w:rPr>
        <w:fldChar w:fldCharType="begin"/>
      </w:r>
      <w:r w:rsidR="00D74AD1">
        <w:rPr>
          <w:rFonts w:eastAsia="Calibri" w:cs="Times New Roman"/>
          <w:kern w:val="0"/>
          <w:szCs w:val="24"/>
          <w14:ligatures w14:val="none"/>
        </w:rPr>
        <w:instrText xml:space="preserve"> ADDIN ZOTERO_ITEM CSL_CITATION {"citationID":"N6FmcALv","properties":{"formattedCitation":"(Climate Action Reserve, 2021; Glauber, 2011)","plainCitation":"(Climate Action Reserve, 2021; Glauber, 2011)","noteIndex":0},"citationItems":[{"id":1532,"uris":["http://zotero.org/groups/4573874/items/7HRB5FHB"],"itemData":{"id":1532,"type":"document","abstract":"Section 2709 of the Food, Conservation and Energy Act of 2008 states that: USDA shall prepare technical guidelines that outline science-based methods to measure the carbon benefits from conservation and land management activities. In accordance with Section 2709 of the 2008 Farm Bill, USDA is...","language":"en","publisher":"Federal Register","title":"Development of Technical Guidelines and Scientific Methods for Quantifying GHG Emissions and Carbon Sequestration for Agricultural and Forestry Activities","URL":"https://www.federalregister.gov/documents/2011/02/18/2011-3731/development-of-technical-guidelines-and-scientific-methods-for-quantifying-ghg-emissions-and-carbon","author":[{"family":"Glauber","given":"Joseph"}],"accessed":{"date-parts":[["2023",11,6]]},"issued":{"date-parts":[["2011",2,18]]}}},{"id":1534,"uris":["http://zotero.org/groups/4573874/items/IQGVG4EI"],"itemData":{"id":1534,"type":"webpage","abstract":"The Climate Action Reserve has developed an agriculture sector U.S. Nitrogen Management Protocol to address greenhouse gas emission reductions from improving nitrogen use efficiency in crop production. Current Protocol Version(s) Available for Project Submittal Adoption Date Notes and Supporting Documents U.S. Nitrogen Management Project Protocol Version 2.1 (Previous versions) December 3, 2021 U.S. Nitrogen Management... View Article","container-title":"U.S. Nitrogen Management Protocol","language":"en-US","title":"U.S. Nitrogen Management Protocol","URL":"https://www.climateactionreserve.org/how/protocols/ncs/nitrogen-management/","author":[{"family":"Climate Action Reserve","given":""}],"accessed":{"date-parts":[["2023",11,6]]},"issued":{"date-parts":[["2021"]]}}}],"schema":"https://github.com/citation-style-language/schema/raw/master/csl-citation.json"} </w:instrText>
      </w:r>
      <w:r w:rsidRPr="0085558C">
        <w:rPr>
          <w:rFonts w:eastAsia="Calibri" w:cs="Times New Roman"/>
          <w:kern w:val="0"/>
          <w:szCs w:val="24"/>
          <w14:ligatures w14:val="none"/>
        </w:rPr>
        <w:fldChar w:fldCharType="separate"/>
      </w:r>
      <w:r w:rsidRPr="0085558C">
        <w:rPr>
          <w:rFonts w:eastAsia="Calibri" w:cs="Times New Roman"/>
          <w:kern w:val="0"/>
          <w:szCs w:val="24"/>
          <w14:ligatures w14:val="none"/>
        </w:rPr>
        <w:t>(Climate Action Reserve, 2021; Glauber, 2011)</w:t>
      </w:r>
      <w:r w:rsidRPr="0085558C">
        <w:rPr>
          <w:rFonts w:eastAsia="Calibri" w:cs="Times New Roman"/>
          <w:kern w:val="0"/>
          <w:szCs w:val="24"/>
          <w14:ligatures w14:val="none"/>
        </w:rPr>
        <w:fldChar w:fldCharType="end"/>
      </w:r>
      <w:r w:rsidR="001154C0" w:rsidRPr="00994531">
        <w:rPr>
          <w:rFonts w:eastAsia="Calibri" w:cs="Times New Roman"/>
          <w:kern w:val="0"/>
          <w:szCs w:val="24"/>
          <w14:ligatures w14:val="none"/>
        </w:rPr>
        <w:t>. Growers have varying degrees of control over many of the predictors used in our model, such as through fertilization practices, irrigation, management style, and crop selection. A hypothetical management response to mitigate predicted N</w:t>
      </w:r>
      <w:r w:rsidR="001154C0" w:rsidRPr="00994531">
        <w:rPr>
          <w:rFonts w:eastAsia="Calibri" w:cs="Times New Roman"/>
          <w:kern w:val="0"/>
          <w:szCs w:val="24"/>
          <w:vertAlign w:val="subscript"/>
          <w14:ligatures w14:val="none"/>
        </w:rPr>
        <w:t>2</w:t>
      </w:r>
      <w:r w:rsidR="001154C0" w:rsidRPr="00994531">
        <w:rPr>
          <w:rFonts w:eastAsia="Calibri" w:cs="Times New Roman"/>
          <w:kern w:val="0"/>
          <w:szCs w:val="24"/>
          <w14:ligatures w14:val="none"/>
        </w:rPr>
        <w:t>O emissions would likely not differ between a flux of 90 and 100 g N ha</w:t>
      </w:r>
      <w:r w:rsidR="001154C0" w:rsidRPr="00994531">
        <w:rPr>
          <w:rFonts w:eastAsia="Calibri" w:cs="Times New Roman"/>
          <w:kern w:val="0"/>
          <w:szCs w:val="24"/>
          <w:vertAlign w:val="superscript"/>
          <w14:ligatures w14:val="none"/>
        </w:rPr>
        <w:t>-1</w:t>
      </w:r>
      <w:r w:rsidR="001154C0" w:rsidRPr="00994531">
        <w:rPr>
          <w:rFonts w:eastAsia="Calibri" w:cs="Times New Roman"/>
          <w:kern w:val="0"/>
          <w:szCs w:val="24"/>
          <w14:ligatures w14:val="none"/>
        </w:rPr>
        <w:t xml:space="preserve"> d</w:t>
      </w:r>
      <w:r w:rsidR="001154C0" w:rsidRPr="00994531">
        <w:rPr>
          <w:rFonts w:eastAsia="Calibri" w:cs="Times New Roman"/>
          <w:kern w:val="0"/>
          <w:szCs w:val="24"/>
          <w:vertAlign w:val="superscript"/>
          <w14:ligatures w14:val="none"/>
        </w:rPr>
        <w:t>-1</w:t>
      </w:r>
      <w:r w:rsidR="001154C0" w:rsidRPr="00994531">
        <w:rPr>
          <w:rFonts w:eastAsia="Calibri" w:cs="Times New Roman"/>
          <w:kern w:val="0"/>
          <w:szCs w:val="24"/>
          <w14:ligatures w14:val="none"/>
        </w:rPr>
        <w:t xml:space="preserve">, but would instead be guided by the qualitative estimation of flux as either ‘typical’ or ‘high,’ as well as the identification of management actions could potentially circumvent or minimize such a hot moment event </w:t>
      </w:r>
      <w:r w:rsidRPr="0085558C">
        <w:rPr>
          <w:rFonts w:eastAsia="Calibri" w:cs="Times New Roman"/>
          <w:kern w:val="0"/>
          <w:szCs w:val="24"/>
          <w14:ligatures w14:val="none"/>
        </w:rPr>
        <w:fldChar w:fldCharType="begin"/>
      </w:r>
      <w:r w:rsidR="00D74AD1">
        <w:rPr>
          <w:rFonts w:eastAsia="Calibri" w:cs="Times New Roman"/>
          <w:kern w:val="0"/>
          <w:szCs w:val="24"/>
          <w14:ligatures w14:val="none"/>
        </w:rPr>
        <w:instrText xml:space="preserve"> ADDIN ZOTERO_ITEM CSL_CITATION {"citationID":"W9mnWsLC","properties":{"formattedCitation":"(Bastos et al., 2021)","plainCitation":"(Bastos et al., 2021)","noteIndex":0},"citationItems":[{"id":3109,"uris":["http://zotero.org/groups/4573874/items/AVE5WH6W"],"itemData":{"id":3109,"type":"article-journal","abstract":"Fertilizer N management can mitigate N2O emissions but complex soil-weather conditions modulate the mitigation potential. Conditional inference tree (CIT) is a machine learning method able to untangle complex interactions while providing an interpretable model. The goals of this study were (a) to assess the effect of N fertilizer on N2O emissions, and to use CIT to identify (b) the main soil-weather drivers of daily N2O hot moments and (c) fertilizer management options to mitigate them. The study was conducted in 2 yr in no-till corn (Zea mays L.) with seven combinations of N source and placement tested. Daily N2O emissions were measured with vented chambers, and soil temperature and water-filled pore space (WFPS) were measured near the chambers on the same days of gas sampling. Overall, 2013 was drier with lower N2O emissions than 2014. Cumulative N2O losses differed across treatments and years, with broadcast emitting more in 2014 than in 2013, and only subsurface-banded fertilizer with a nitrification inhibitor (NI) consistently abated N2O losses. The main hot moment conditions were within </w:instrText>
      </w:r>
      <w:r w:rsidR="00D74AD1">
        <w:rPr>
          <w:rFonts w:ascii="Cambria Math" w:eastAsia="Calibri" w:hAnsi="Cambria Math" w:cs="Cambria Math"/>
          <w:kern w:val="0"/>
          <w:szCs w:val="24"/>
          <w14:ligatures w14:val="none"/>
        </w:rPr>
        <w:instrText>∼</w:instrText>
      </w:r>
      <w:r w:rsidR="00D74AD1">
        <w:rPr>
          <w:rFonts w:eastAsia="Calibri" w:cs="Times New Roman"/>
          <w:kern w:val="0"/>
          <w:szCs w:val="24"/>
          <w14:ligatures w14:val="none"/>
        </w:rPr>
        <w:instrText xml:space="preserve">80 d of fertilizer application when soil temperature &gt;15 °C and WFPS &gt;57%. Under these conditions, NI abated losses by 50% compared with fertilizer alone. The machine learning approach used here could be used in larger datasets to elucidate environment-specific drivers of N2O hot moments and potential fertilizer mitigation practices under different soil, weather, and management conditions.","container-title":"Soil Science Society of America Journal","DOI":"10.1002/saj2.20292","ISSN":"1435-0661","issue":"5","language":"en","license":"© 2021 The Authors. Soil Science Society of America Journal published by Wiley Periodicals LLC on behalf of Soil Science Society of America","note":"_eprint: https://onlinelibrary.wiley.com/doi/pdf/10.1002/saj2.20292","page":"1437-1447","source":"Wiley Online Library","title":"Untangling soil-weather drivers of daily N2O emissions and fertilizer management mitigation strategies in no-till corn","volume":"85","author":[{"family":"Bastos","given":"Leonardo M."},{"family":"Rice","given":"Charles W."},{"family":"Tomlinson","given":"Peter J."},{"family":"Mengel","given":"David"}],"issued":{"date-parts":[["2021"]]}}}],"schema":"https://github.com/citation-style-language/schema/raw/master/csl-citation.json"} </w:instrText>
      </w:r>
      <w:r w:rsidRPr="0085558C">
        <w:rPr>
          <w:rFonts w:eastAsia="Calibri" w:cs="Times New Roman"/>
          <w:kern w:val="0"/>
          <w:szCs w:val="24"/>
          <w14:ligatures w14:val="none"/>
        </w:rPr>
        <w:fldChar w:fldCharType="separate"/>
      </w:r>
      <w:r w:rsidRPr="0085558C">
        <w:rPr>
          <w:rFonts w:eastAsia="Calibri" w:cs="Times New Roman"/>
          <w:kern w:val="0"/>
          <w:szCs w:val="24"/>
          <w14:ligatures w14:val="none"/>
        </w:rPr>
        <w:t>(Bastos et al., 2021)</w:t>
      </w:r>
      <w:r w:rsidRPr="0085558C">
        <w:rPr>
          <w:rFonts w:eastAsia="Calibri" w:cs="Times New Roman"/>
          <w:kern w:val="0"/>
          <w:szCs w:val="24"/>
          <w14:ligatures w14:val="none"/>
        </w:rPr>
        <w:fldChar w:fldCharType="end"/>
      </w:r>
      <w:r w:rsidR="001154C0" w:rsidRPr="00994531">
        <w:rPr>
          <w:rFonts w:eastAsia="Calibri" w:cs="Times New Roman"/>
          <w:kern w:val="0"/>
          <w:szCs w:val="24"/>
          <w14:ligatures w14:val="none"/>
        </w:rPr>
        <w:t xml:space="preserve">. The ability to adjust the hot moment probability decision threshold also allows these models to be fine-tuned toward specific needs. For example, a grower may weigh that altering management decisions to mitigate </w:t>
      </w:r>
      <w:r w:rsidR="001154C0" w:rsidRPr="00994531">
        <w:rPr>
          <w:rFonts w:eastAsia="Calibri" w:cs="Times New Roman"/>
          <w:kern w:val="0"/>
          <w:szCs w:val="24"/>
          <w14:ligatures w14:val="none"/>
        </w:rPr>
        <w:lastRenderedPageBreak/>
        <w:t>hot moments are only worthwhile if the potential mitigation benefits are high and certain. In this case, raising the probability threshold from 0.5 to 0.7, for example, would significantly reduce FP (</w:t>
      </w:r>
      <w:r w:rsidR="001154C0" w:rsidRPr="00D24801">
        <w:rPr>
          <w:rFonts w:eastAsia="Calibri" w:cs="Times New Roman"/>
          <w:b/>
          <w:kern w:val="0"/>
          <w:szCs w:val="24"/>
          <w14:ligatures w14:val="none"/>
        </w:rPr>
        <w:t xml:space="preserve">Figure </w:t>
      </w:r>
      <w:r w:rsidR="00D24801" w:rsidRPr="00D24801">
        <w:rPr>
          <w:rFonts w:eastAsia="Calibri" w:cs="Times New Roman"/>
          <w:b/>
          <w:bCs/>
          <w:kern w:val="0"/>
          <w:szCs w:val="24"/>
          <w14:ligatures w14:val="none"/>
        </w:rPr>
        <w:t>3.</w:t>
      </w:r>
      <w:r w:rsidR="001154C0" w:rsidRPr="00D24801">
        <w:rPr>
          <w:rFonts w:eastAsia="Calibri" w:cs="Times New Roman"/>
          <w:b/>
          <w:kern w:val="0"/>
          <w:szCs w:val="24"/>
          <w14:ligatures w14:val="none"/>
        </w:rPr>
        <w:t>4b</w:t>
      </w:r>
      <w:r w:rsidR="001154C0" w:rsidRPr="00994531">
        <w:rPr>
          <w:rFonts w:eastAsia="Calibri" w:cs="Times New Roman"/>
          <w:kern w:val="0"/>
          <w:szCs w:val="24"/>
          <w14:ligatures w14:val="none"/>
        </w:rPr>
        <w:t>) and raise the average flux magnitude of predictions of hot moments (</w:t>
      </w:r>
      <w:r w:rsidR="001154C0" w:rsidRPr="00D24801">
        <w:rPr>
          <w:rFonts w:eastAsia="Calibri" w:cs="Times New Roman"/>
          <w:b/>
          <w:kern w:val="0"/>
          <w:szCs w:val="24"/>
          <w14:ligatures w14:val="none"/>
        </w:rPr>
        <w:t xml:space="preserve">Figure </w:t>
      </w:r>
      <w:r w:rsidR="00D24801" w:rsidRPr="00D24801">
        <w:rPr>
          <w:rFonts w:eastAsia="Calibri" w:cs="Times New Roman"/>
          <w:b/>
          <w:bCs/>
          <w:kern w:val="0"/>
          <w:szCs w:val="24"/>
          <w14:ligatures w14:val="none"/>
        </w:rPr>
        <w:t>3.</w:t>
      </w:r>
      <w:r w:rsidR="001154C0" w:rsidRPr="00D24801">
        <w:rPr>
          <w:rFonts w:eastAsia="Calibri" w:cs="Times New Roman"/>
          <w:b/>
          <w:kern w:val="0"/>
          <w:szCs w:val="24"/>
          <w14:ligatures w14:val="none"/>
        </w:rPr>
        <w:t>4c</w:t>
      </w:r>
      <w:r w:rsidR="001154C0" w:rsidRPr="00994531">
        <w:rPr>
          <w:rFonts w:eastAsia="Calibri" w:cs="Times New Roman"/>
          <w:kern w:val="0"/>
          <w:szCs w:val="24"/>
          <w14:ligatures w14:val="none"/>
        </w:rPr>
        <w:t>).</w:t>
      </w:r>
    </w:p>
    <w:p w14:paraId="7BBFFA50" w14:textId="45DD5353" w:rsidR="001154C0" w:rsidRPr="00994531" w:rsidRDefault="00F954B1" w:rsidP="001B567A">
      <w:pPr>
        <w:spacing w:after="0" w:line="480" w:lineRule="auto"/>
        <w:rPr>
          <w:rFonts w:eastAsia="Calibri" w:cs="Times New Roman"/>
          <w:kern w:val="0"/>
          <w:szCs w:val="24"/>
          <w14:ligatures w14:val="none"/>
        </w:rPr>
      </w:pPr>
      <w:r w:rsidRPr="0085558C">
        <w:rPr>
          <w:rFonts w:eastAsia="Calibri" w:cs="Times New Roman"/>
          <w:kern w:val="0"/>
          <w:szCs w:val="24"/>
          <w14:ligatures w14:val="none"/>
        </w:rPr>
        <w:t>Furthermore, the difficulty of estimating N</w:t>
      </w:r>
      <w:r w:rsidRPr="0085558C">
        <w:rPr>
          <w:rFonts w:eastAsia="Calibri" w:cs="Times New Roman"/>
          <w:kern w:val="0"/>
          <w:szCs w:val="24"/>
          <w:vertAlign w:val="subscript"/>
          <w14:ligatures w14:val="none"/>
        </w:rPr>
        <w:t>2</w:t>
      </w:r>
      <w:r w:rsidRPr="0085558C">
        <w:rPr>
          <w:rFonts w:eastAsia="Calibri" w:cs="Times New Roman"/>
          <w:kern w:val="0"/>
          <w:szCs w:val="24"/>
          <w14:ligatures w14:val="none"/>
        </w:rPr>
        <w:t xml:space="preserve">O hot moments flux by both process-based and ML models is related to the fact that hot moments are symptomatic of significant shifts in biogeochemical processes and underlying variable interactions. In other words, hot moments are produced by system dynamics which are fundamentally different from those that prevail during background emissions, and which are inadequately represented by models </w:t>
      </w:r>
      <w:r w:rsidRPr="0085558C">
        <w:rPr>
          <w:rFonts w:eastAsia="Calibri" w:cs="Times New Roman"/>
          <w:kern w:val="0"/>
          <w:szCs w:val="24"/>
          <w14:ligatures w14:val="none"/>
        </w:rPr>
        <w:fldChar w:fldCharType="begin"/>
      </w:r>
      <w:r w:rsidR="008752F6">
        <w:rPr>
          <w:rFonts w:eastAsia="Calibri" w:cs="Times New Roman"/>
          <w:kern w:val="0"/>
          <w:szCs w:val="24"/>
          <w14:ligatures w14:val="none"/>
        </w:rPr>
        <w:instrText xml:space="preserve"> ADDIN ZOTERO_ITEM CSL_CITATION {"citationID":"a2l67n7bghr","properties":{"formattedCitation":"(Gaillard et al., 2018; P. M. Groffman et al., 2009; Necp\\uc0\\u225{}lov\\uc0\\u225{} et al., 2015)","plainCitation":"(Gaillard et al., 2018; P. M. Groffman et al., 2009; Necpálová et al., 2015)","dontUpdate":true,"noteIndex":0},"citationItems":[{"id":2040,"uris":["http://zotero.org/groups/5631027/items/RQQ8EYSA"],"itemData":{"id":2040,"type":"article-journal","abstract":"Process-based models are increasingly used to study agroecosystem interactions and N2O emissions from agricultural fields. The widespread use of these models to conduct research and inform policy benefits from periodic model comparisons that assess the state of agroecosystem modeling and indicate areas for model improvement. This work provides an evaluation of simulated N2O flux from three process-based models: DayCent, DNDC, and EPIC. The models were calibrated and validated using data collected from two research sites over five years that represent cropping systems and nitrogen fertilizer management strategies common to dairy cropping systems. We also evaluated the use of a multi-model ensemble strategy, which inconsistently outperformed individual model estimations. Regression analysis indicated a cross-model bias to underestimate high magnitude daily and cumulative N2O flux. Model estimations of observed soil temperature and water content did not sufficiently explain model underestimations, and we found significant variation in model estimates of heterotrophic respiration, denitrification, soil NH4+, and soil NO3−, which may indicate that additional types of observed data are required to evaluate model performance and possible biases. Our results suggest a bias in the model estimation of N2O flux from agroecosystems that limits the extension of models beyond calibration and as instruments of policy development. This highlights a growing need for the modeling and measurement communities to collaborate in the collection and analysis of the data necessary to improve models and coordinate future development.","container-title":"Ecological Applications","DOI":"10.1002/eap.1674","ISSN":"1939-5582","issue":"3","language":"en","license":"© 2017 by the Ecological Society of America","note":"_eprint: https://onlinelibrary.wiley.com/doi/pdf/10.1002/eap.1674","page":"694-708","source":"Wiley Online Library","title":"Underestimation of N2O emissions in a comparison of the DayCent, DNDC, and EPIC models","volume":"28","author":[{"family":"Gaillard","given":"Richard K."},{"family":"Jones","given":"Curtis D."},{"family":"Ingraham","given":"Pete"},{"family":"Collier","given":"Sarah"},{"family":"Izaurralde","given":"Roberto Cesar"},{"family":"Jokela","given":"William"},{"family":"Osterholz","given":"William"},{"family":"Salas","given":"William"},{"family":"Vadas","given":"Peter"},{"family":"Ruark","given":"Matthew D."}],"issued":{"date-parts":[["2018"]]}}},{"id":2455,"uris":["http://zotero.org/groups/5631027/items/FGCT8UMY"],"itemData":{"id":2455,"type":"article-journal","abstract":"Denitrification, the anaerobic reduction of nitrogen oxides to nitrogenous gases, is an extremely challenging process to measure and model. Much of this challenge arises from the fact that small areas (hotspots) and brief periods (hot moments) frequently account for a high percentage of the denitrification activity that occurs in both terrestrial and aquatic ecosystems. In this paper, we describe the prospects for incorporating hotspot and hot moment phenomena into denitrification models in terrestrial soils, the interface between terrestrial and aquatic ecosystems, and in aquatic ecosystems. Our analysis suggests that while our data needs are strongest for hot moments, the greatest modeling challenges are for hotspots. Given the increasing availability of high temporal frequency climate data, models are promising tools for evaluating the importance of hot moments such as freeze-thaw cycles and drying/rewetting events. Spatial hotspots are less tractable due to our inability to get high resolution spatial approximations of denitrification drivers such as carbon substrate. Investigators need to consider the types of hotspots and hot moments that might be occurring at small, medium, and large spatial scales in the particular ecosystem type they are working in before starting a study or developing a new model. New experimental design and heterogeneity quantification tools can then be applied from the outset and will result in better quantification and more robust and widely applicable denitrification models.","container-title":"Biogeochemistry","DOI":"10.1007/s10533-008-9277-5","ISSN":"1573-515X","issue":"1","journalAbbreviation":"Biogeochemistry","language":"en","page":"49-77","source":"Springer Link","title":"Challenges to incorporating spatially and temporally explicit phenomena (hotspots and hot moments) in denitrification models","volume":"93","author":[{"family":"Groffman","given":"Peter M."},{"family":"Butterbach-Bahl","given":"Klaus"},{"family":"Fulweiler","given":"Robinson W."},{"family":"Gold","given":"Arthur J."},{"family":"Morse","given":"Jennifer L."},{"family":"Stander","given":"Emilie K."},{"family":"Tague","given":"Christina"},{"family":"Tonitto","given":"Christina"},{"family":"Vidon","given":"Philippe"}],"issued":{"date-parts":[["2009",3,1]]}}},{"id":2217,"uris":["http://zotero.org/groups/5631027/items/3GF8SIRP"],"itemData":{"id":2217,"type":"article-journal","abstract":"The ability of biogeochemical ecosystem models to represent agro-ecosystems depends on their correct integration with field observations. We report simultaneous calibration of 67 DayCent model parameters using multiple observation types through inverse modeling using the PEST parameter estimation software. Parameter estimation reduced the total sum of weighted squared residuals by 56% and improved model fit to crop productivity, soil carbon, volumetric soil water content, soil temperature, N2O, and soil NO3− compared to the default simulation. Inverse modeling substantially reduced predictive model error relative to the default model for all model predictions, except for soil NO3− and NH4+. Post-processing analyses provided insights into parameter–observation relationships based on parameter correlations, sensitivity and identifiability. Inverse modeling tools are shown to be a powerful way to systematize and accelerate the process of biogeochemical model interrogation, improving our understanding of model function and the underlying ecosystem biogeochemical processes that they represent.","container-title":"Environmental Modelling &amp; Software","DOI":"10.1016/j.envsoft.2014.12.011","ISSN":"1364-8152","journalAbbreviation":"Environmental Modelling &amp; Software","page":"110-130","source":"ScienceDirect","title":"Understanding the DayCent model: Calibration, sensitivity, and identifiability through inverse modeling","title-short":"Understanding the DayCent model","volume":"66","author":[{"family":"Necpálová","given":"Magdalena"},{"family":"Anex","given":"Robert P."},{"family":"Fienen","given":"Michael N."},{"family":"Del Grosso","given":"Stephen J."},{"family":"Castellano","given":"Michael J."},{"family":"Sawyer","given":"John E."},{"family":"Iqbal","given":"Javed"},{"family":"Pantoja","given":"José L."},{"family":"Barker","given":"Daniel W."}],"issued":{"date-parts":[["2015",4,1]]}}}],"schema":"https://github.com/citation-style-language/schema/raw/master/csl-citation.json"} </w:instrText>
      </w:r>
      <w:r w:rsidRPr="0085558C">
        <w:rPr>
          <w:rFonts w:eastAsia="Calibri" w:cs="Times New Roman"/>
          <w:kern w:val="0"/>
          <w:szCs w:val="24"/>
          <w14:ligatures w14:val="none"/>
        </w:rPr>
        <w:fldChar w:fldCharType="separate"/>
      </w:r>
      <w:r w:rsidR="006D717C" w:rsidRPr="006D717C">
        <w:rPr>
          <w:rFonts w:cs="Times New Roman"/>
          <w:kern w:val="0"/>
        </w:rPr>
        <w:t>(Gaillard et al., 2018; Groffman et al., 2009; Necpálová et al., 2015)</w:t>
      </w:r>
      <w:r w:rsidRPr="0085558C">
        <w:rPr>
          <w:rFonts w:eastAsia="Calibri" w:cs="Times New Roman"/>
          <w:kern w:val="0"/>
          <w:szCs w:val="24"/>
          <w14:ligatures w14:val="none"/>
        </w:rPr>
        <w:fldChar w:fldCharType="end"/>
      </w:r>
      <w:r w:rsidRPr="0085558C">
        <w:rPr>
          <w:rFonts w:eastAsia="Calibri" w:cs="Times New Roman"/>
          <w:kern w:val="0"/>
          <w:szCs w:val="24"/>
          <w14:ligatures w14:val="none"/>
        </w:rPr>
        <w:t>. One path toward improving regression models of N</w:t>
      </w:r>
      <w:r w:rsidRPr="0085558C">
        <w:rPr>
          <w:rFonts w:eastAsia="Calibri" w:cs="Times New Roman"/>
          <w:kern w:val="0"/>
          <w:szCs w:val="24"/>
          <w:vertAlign w:val="subscript"/>
          <w14:ligatures w14:val="none"/>
        </w:rPr>
        <w:t>2</w:t>
      </w:r>
      <w:r w:rsidRPr="0085558C">
        <w:rPr>
          <w:rFonts w:eastAsia="Calibri" w:cs="Times New Roman"/>
          <w:kern w:val="0"/>
          <w:szCs w:val="24"/>
          <w14:ligatures w14:val="none"/>
        </w:rPr>
        <w:t xml:space="preserve">O is individually representing these two distinct biogeochemical states as an ensemble model, swapping between submodels for background level and hot moment dynamics as conditions dictate </w:t>
      </w:r>
      <w:r w:rsidRPr="0085558C">
        <w:rPr>
          <w:rFonts w:eastAsia="Calibri" w:cs="Times New Roman"/>
          <w:kern w:val="0"/>
          <w:szCs w:val="24"/>
          <w14:ligatures w14:val="none"/>
        </w:rPr>
        <w:fldChar w:fldCharType="begin"/>
      </w:r>
      <w:r w:rsidR="00D74AD1">
        <w:rPr>
          <w:rFonts w:eastAsia="Calibri" w:cs="Times New Roman"/>
          <w:kern w:val="0"/>
          <w:szCs w:val="24"/>
          <w14:ligatures w14:val="none"/>
        </w:rPr>
        <w:instrText xml:space="preserve"> ADDIN ZOTERO_ITEM CSL_CITATION {"citationID":"7mU6Lg58","properties":{"formattedCitation":"(Vemuri, 2024)","plainCitation":"(Vemuri, 2024)","noteIndex":0},"citationItems":[{"id":2276,"uris":["http://zotero.org/groups/4573874/items/H9B2KYP3"],"itemData":{"id":2276,"type":"article-journal","abstract":"&lt;p&gt;Nitrous oxide (N2O) is one of the most significant contributors to greenhouse forcing and is the biggest contributor to ozone depletion in the 21st century, and roughly 70% of anthropogenic nitrous oxide emissions are from agriculture and soil management. Agricultural nitrous oxide emissions are shown to spike during hotspot events, and according to the data used in this study, over 78% of nitrous oxide flux occurred during just 15% of the recorded data points. Due to the complex biogeochemical processes governing nitrous oxide formation, machine learning and process-based models often fail to predict agricultural nitrous oxide flux. A novel informed neural network was developed that combined the trainability of neural networks with the rigorous differential equation-based framework of process-based models. Differential equations that explained the variability of various nitrogen-containing compounds in soil were derived, and integrated into the network loss. The informed model explained </w:instrText>
      </w:r>
      <w:r w:rsidR="00D74AD1">
        <w:rPr>
          <w:rFonts w:ascii="Cambria Math" w:eastAsia="Calibri" w:hAnsi="Cambria Math" w:cs="Cambria Math"/>
          <w:kern w:val="0"/>
          <w:szCs w:val="24"/>
          <w14:ligatures w14:val="none"/>
        </w:rPr>
        <w:instrText>∼</w:instrText>
      </w:r>
      <w:r w:rsidR="00D74AD1">
        <w:rPr>
          <w:rFonts w:eastAsia="Calibri" w:cs="Times New Roman"/>
          <w:kern w:val="0"/>
          <w:szCs w:val="24"/>
          <w14:ligatures w14:val="none"/>
        </w:rPr>
        <w:instrText xml:space="preserve">85% of variation in the data and had an F1 score of 0.75, a marked improvement over the classical model explaining </w:instrText>
      </w:r>
      <w:r w:rsidR="00D74AD1">
        <w:rPr>
          <w:rFonts w:ascii="Cambria Math" w:eastAsia="Calibri" w:hAnsi="Cambria Math" w:cs="Cambria Math"/>
          <w:kern w:val="0"/>
          <w:szCs w:val="24"/>
          <w14:ligatures w14:val="none"/>
        </w:rPr>
        <w:instrText>∼</w:instrText>
      </w:r>
      <w:r w:rsidR="00D74AD1">
        <w:rPr>
          <w:rFonts w:eastAsia="Calibri" w:cs="Times New Roman"/>
          <w:kern w:val="0"/>
          <w:szCs w:val="24"/>
          <w14:ligatures w14:val="none"/>
        </w:rPr>
        <w:instrText xml:space="preserve">30% of variation and having a score of 0.53. The informed network was also able to perform exceptionally well with only small subsets of the training data, having an F1 score of 0.41 with only 25% of training data. The model not only shows great promise in the remarkably accurate prediction of these hotspots but also serves as a potential new paradigm for physics-informed machine learning techniques in environmental and agricultural sciences.&lt;/p&gt;","container-title":"Frontiers in Environmental Science","DOI":"10.3389/fenvs.2024.1353049","ISSN":"2296-665X","journalAbbreviation":"Front. Environ. Sci.","language":"English","note":"publisher: Frontiers","source":"Frontiers","title":"Developing a hybrid data-driven and informed model for prediction and mitigation of agricultural nitrous oxide flux hotspots","URL":"https://www.frontiersin.org/journals/environmental-science/articles/10.3389/fenvs.2024.1353049/full","volume":"12","author":[{"family":"Vemuri","given":"Nikhil"}],"accessed":{"date-parts":[["2024",10,11]]},"issued":{"date-parts":[["2024",3,22]]}}}],"schema":"https://github.com/citation-style-language/schema/raw/master/csl-citation.json"} </w:instrText>
      </w:r>
      <w:r w:rsidRPr="0085558C">
        <w:rPr>
          <w:rFonts w:eastAsia="Calibri" w:cs="Times New Roman"/>
          <w:kern w:val="0"/>
          <w:szCs w:val="24"/>
          <w14:ligatures w14:val="none"/>
        </w:rPr>
        <w:fldChar w:fldCharType="separate"/>
      </w:r>
      <w:r w:rsidRPr="0085558C">
        <w:rPr>
          <w:rFonts w:eastAsia="Calibri" w:cs="Times New Roman"/>
          <w:kern w:val="0"/>
          <w:szCs w:val="24"/>
          <w14:ligatures w14:val="none"/>
        </w:rPr>
        <w:t>(Vemuri, 2024)</w:t>
      </w:r>
      <w:r w:rsidRPr="0085558C">
        <w:rPr>
          <w:rFonts w:eastAsia="Calibri" w:cs="Times New Roman"/>
          <w:kern w:val="0"/>
          <w:szCs w:val="24"/>
          <w14:ligatures w14:val="none"/>
        </w:rPr>
        <w:fldChar w:fldCharType="end"/>
      </w:r>
      <w:r w:rsidRPr="0085558C">
        <w:rPr>
          <w:rFonts w:eastAsia="Calibri" w:cs="Times New Roman"/>
          <w:kern w:val="0"/>
          <w:szCs w:val="24"/>
          <w14:ligatures w14:val="none"/>
        </w:rPr>
        <w:t>. This study provides a method to accurately predict when the soil system shifts from one paradigm to the other</w:t>
      </w:r>
      <w:r>
        <w:rPr>
          <w:rFonts w:eastAsia="Calibri" w:cs="Times New Roman"/>
          <w:kern w:val="0"/>
          <w:szCs w:val="24"/>
          <w14:ligatures w14:val="none"/>
        </w:rPr>
        <w:t xml:space="preserve"> based on simple inputs</w:t>
      </w:r>
      <w:r w:rsidRPr="0085558C">
        <w:rPr>
          <w:rFonts w:eastAsia="Calibri" w:cs="Times New Roman"/>
          <w:kern w:val="0"/>
          <w:szCs w:val="24"/>
          <w14:ligatures w14:val="none"/>
        </w:rPr>
        <w:t>, and therefore paves the way for future applications that can enhance process-based</w:t>
      </w:r>
      <w:r w:rsidR="001154C0" w:rsidRPr="00994531">
        <w:rPr>
          <w:rFonts w:eastAsia="Calibri" w:cs="Times New Roman"/>
          <w:kern w:val="0"/>
          <w:szCs w:val="24"/>
          <w14:ligatures w14:val="none"/>
        </w:rPr>
        <w:t xml:space="preserve"> and ML learning </w:t>
      </w:r>
      <w:r>
        <w:rPr>
          <w:rFonts w:eastAsia="Calibri" w:cs="Times New Roman"/>
          <w:kern w:val="0"/>
          <w:szCs w:val="24"/>
          <w14:ligatures w14:val="none"/>
        </w:rPr>
        <w:t xml:space="preserve">modeling </w:t>
      </w:r>
      <w:r w:rsidR="001154C0" w:rsidRPr="00994531">
        <w:rPr>
          <w:rFonts w:eastAsia="Calibri" w:cs="Times New Roman"/>
          <w:kern w:val="0"/>
          <w:szCs w:val="24"/>
          <w14:ligatures w14:val="none"/>
        </w:rPr>
        <w:t xml:space="preserve">for accurate predictions. </w:t>
      </w:r>
    </w:p>
    <w:p w14:paraId="0EF2D38A" w14:textId="3953F4F5" w:rsidR="001154C0" w:rsidRPr="00994531" w:rsidRDefault="001154C0" w:rsidP="001B567A">
      <w:pPr>
        <w:pStyle w:val="Heading2"/>
      </w:pPr>
      <w:bookmarkStart w:id="86" w:name="_Toc204282775"/>
      <w:r w:rsidRPr="00994531">
        <w:t>Conclusion</w:t>
      </w:r>
      <w:bookmarkEnd w:id="86"/>
    </w:p>
    <w:p w14:paraId="14AA0E02" w14:textId="77777777" w:rsidR="001154C0" w:rsidRPr="00994531" w:rsidRDefault="001154C0" w:rsidP="001B567A">
      <w:pPr>
        <w:spacing w:after="0" w:line="480" w:lineRule="auto"/>
        <w:rPr>
          <w:rFonts w:eastAsia="Calibri" w:cs="Times New Roman"/>
          <w:kern w:val="0"/>
          <w:szCs w:val="24"/>
          <w14:ligatures w14:val="none"/>
        </w:rPr>
      </w:pPr>
      <w:r w:rsidRPr="00994531">
        <w:rPr>
          <w:rFonts w:eastAsia="Calibri" w:cs="Times New Roman"/>
          <w:kern w:val="0"/>
          <w:szCs w:val="24"/>
          <w14:ligatures w14:val="none"/>
        </w:rPr>
        <w:t>Our results demonstrate progress toward the application of ML to predict and mitigate daily soil N</w:t>
      </w:r>
      <w:r w:rsidRPr="00994531">
        <w:rPr>
          <w:rFonts w:eastAsia="Calibri" w:cs="Times New Roman"/>
          <w:kern w:val="0"/>
          <w:szCs w:val="24"/>
          <w:vertAlign w:val="subscript"/>
          <w14:ligatures w14:val="none"/>
        </w:rPr>
        <w:t>2</w:t>
      </w:r>
      <w:r w:rsidRPr="00994531">
        <w:rPr>
          <w:rFonts w:eastAsia="Calibri" w:cs="Times New Roman"/>
          <w:kern w:val="0"/>
          <w:szCs w:val="24"/>
          <w14:ligatures w14:val="none"/>
        </w:rPr>
        <w:t>O emissions. By leveraging global datasets, we developed a temporally-resolved model that is more accessible and generalizable than any prior models, demonstrating that the relative magnitude of soil N</w:t>
      </w:r>
      <w:r w:rsidRPr="00994531">
        <w:rPr>
          <w:rFonts w:eastAsia="Calibri" w:cs="Times New Roman"/>
          <w:kern w:val="0"/>
          <w:szCs w:val="24"/>
          <w:vertAlign w:val="subscript"/>
          <w14:ligatures w14:val="none"/>
        </w:rPr>
        <w:t>2</w:t>
      </w:r>
      <w:r w:rsidRPr="00994531">
        <w:rPr>
          <w:rFonts w:eastAsia="Calibri" w:cs="Times New Roman"/>
          <w:kern w:val="0"/>
          <w:szCs w:val="24"/>
          <w14:ligatures w14:val="none"/>
        </w:rPr>
        <w:t xml:space="preserve">O emissions (hot moment vs background emissions) can be accurately predicted (MCC: 0.69; Accuracy: 90%) from limited data inputs. Furthermore, the diversity of data collected from a variety of soil, climate, and management scenarios across global sites </w:t>
      </w:r>
      <w:r w:rsidRPr="00994531">
        <w:rPr>
          <w:rFonts w:eastAsia="Calibri" w:cs="Times New Roman"/>
          <w:kern w:val="0"/>
          <w:szCs w:val="24"/>
          <w14:ligatures w14:val="none"/>
        </w:rPr>
        <w:lastRenderedPageBreak/>
        <w:t>bolstered the model’s ability to replicate complex biogeochemical dynamics which reflect empirical knowledge. The prediction of hot moments also holds the potential to differentially model biogeochemical system dynamics during background emissions and hot moments. Our results point toward a practical pathway for growers, modelers, and policymakers to predict and mitigate agricultural N</w:t>
      </w:r>
      <w:r w:rsidRPr="00994531">
        <w:rPr>
          <w:rFonts w:eastAsia="Calibri" w:cs="Times New Roman"/>
          <w:kern w:val="0"/>
          <w:szCs w:val="24"/>
          <w:vertAlign w:val="subscript"/>
          <w14:ligatures w14:val="none"/>
        </w:rPr>
        <w:t>2</w:t>
      </w:r>
      <w:r w:rsidRPr="00994531">
        <w:rPr>
          <w:rFonts w:eastAsia="Calibri" w:cs="Times New Roman"/>
          <w:kern w:val="0"/>
          <w:szCs w:val="24"/>
          <w14:ligatures w14:val="none"/>
        </w:rPr>
        <w:t>O emissions at scale.</w:t>
      </w:r>
    </w:p>
    <w:p w14:paraId="5AFEC957" w14:textId="77777777" w:rsidR="00102210" w:rsidRPr="00994531" w:rsidRDefault="00102210" w:rsidP="00102210"/>
    <w:p w14:paraId="4247536F" w14:textId="77777777" w:rsidR="00986C81" w:rsidRPr="00994531" w:rsidRDefault="00986C81" w:rsidP="00102210">
      <w:pPr>
        <w:sectPr w:rsidR="00986C81" w:rsidRPr="00994531" w:rsidSect="00F15019">
          <w:pgSz w:w="12240" w:h="15840"/>
          <w:pgMar w:top="1440" w:right="1440" w:bottom="1440" w:left="1440" w:header="720" w:footer="720" w:gutter="0"/>
          <w:cols w:space="720"/>
          <w:docGrid w:linePitch="360"/>
        </w:sectPr>
      </w:pPr>
    </w:p>
    <w:p w14:paraId="3BC0E197" w14:textId="529EABB2" w:rsidR="00EA18AA" w:rsidRPr="00EA18AA" w:rsidRDefault="00110693" w:rsidP="00BA6169">
      <w:pPr>
        <w:pStyle w:val="Heading1"/>
      </w:pPr>
      <w:bookmarkStart w:id="87" w:name="_Toc204282776"/>
      <w:r>
        <w:lastRenderedPageBreak/>
        <w:t xml:space="preserve">CHAPTER </w:t>
      </w:r>
      <w:r w:rsidR="007D35C3">
        <w:t>4:</w:t>
      </w:r>
      <w:r w:rsidR="005E4EDF">
        <w:t xml:space="preserve"> </w:t>
      </w:r>
      <w:r w:rsidR="004D266F">
        <w:t xml:space="preserve">THE EFFECT OF </w:t>
      </w:r>
      <w:r w:rsidR="005E4EDF">
        <w:t>EXTENDED SOIL SATURATION</w:t>
      </w:r>
      <w:r w:rsidR="004D266F">
        <w:t xml:space="preserve"> ON NITROUS OXIDE EMISSIONS IN MEDITERRANEAN SOILS</w:t>
      </w:r>
      <w:bookmarkEnd w:id="87"/>
      <w:r w:rsidR="000C6ECF" w:rsidRPr="00994531">
        <w:t xml:space="preserve"> </w:t>
      </w:r>
    </w:p>
    <w:p w14:paraId="19F938E0" w14:textId="644B224D" w:rsidR="00110693" w:rsidRPr="00110693" w:rsidRDefault="006B1A41" w:rsidP="00110693">
      <w:r>
        <w:br w:type="page"/>
      </w:r>
    </w:p>
    <w:p w14:paraId="316FE05B" w14:textId="20B9B3EE" w:rsidR="00110693" w:rsidRDefault="006B1A41" w:rsidP="006B1A41">
      <w:pPr>
        <w:pStyle w:val="Heading2"/>
      </w:pPr>
      <w:bookmarkStart w:id="88" w:name="_Toc204282777"/>
      <w:r>
        <w:lastRenderedPageBreak/>
        <w:t>Abstract</w:t>
      </w:r>
      <w:bookmarkEnd w:id="88"/>
    </w:p>
    <w:p w14:paraId="052E32B4" w14:textId="2B40DCFE" w:rsidR="006B1A41" w:rsidRPr="006B1A41" w:rsidRDefault="00824C2E" w:rsidP="007F3B8A">
      <w:pPr>
        <w:spacing w:after="0" w:line="480" w:lineRule="auto"/>
      </w:pPr>
      <w:r>
        <w:t>Extended periods of high soil moisture</w:t>
      </w:r>
      <w:r w:rsidR="0082783B">
        <w:t xml:space="preserve"> induced by extreme weather events</w:t>
      </w:r>
      <w:r w:rsidR="00853106">
        <w:t xml:space="preserve"> are likely to become more frequent as global temperatures rise. </w:t>
      </w:r>
      <w:r w:rsidR="00107D33">
        <w:t>The effect of such events on N</w:t>
      </w:r>
      <w:r w:rsidR="00107D33">
        <w:rPr>
          <w:vertAlign w:val="subscript"/>
        </w:rPr>
        <w:t>2</w:t>
      </w:r>
      <w:r w:rsidR="00107D33">
        <w:t>O emissions is not well understood</w:t>
      </w:r>
      <w:r w:rsidR="00702287">
        <w:t xml:space="preserve"> and may </w:t>
      </w:r>
      <w:r w:rsidR="004F71D2">
        <w:t xml:space="preserve">depend on </w:t>
      </w:r>
      <w:r w:rsidR="00A003CC">
        <w:t>soil characteristics which</w:t>
      </w:r>
      <w:r w:rsidR="00702287">
        <w:t xml:space="preserve"> vary</w:t>
      </w:r>
      <w:r w:rsidR="004F71D2">
        <w:t xml:space="preserve"> across time and geographies</w:t>
      </w:r>
      <w:r w:rsidR="008631DD">
        <w:t xml:space="preserve">. </w:t>
      </w:r>
      <w:r w:rsidR="000E7040">
        <w:t xml:space="preserve">We </w:t>
      </w:r>
      <w:r w:rsidR="008373CA">
        <w:t>subjected four agricultural soils of varying texture and organic carbon availability to</w:t>
      </w:r>
      <w:r w:rsidR="006826F0">
        <w:t xml:space="preserve"> three durations</w:t>
      </w:r>
      <w:r w:rsidR="00726203">
        <w:t xml:space="preserve"> of high soil moisture (90% water-filled pore space):</w:t>
      </w:r>
      <w:r w:rsidR="003A01CB">
        <w:t xml:space="preserve"> a transient event, three days, and seven days. </w:t>
      </w:r>
      <w:r w:rsidR="00281544">
        <w:t>Soils were also supplied with a small amount of ammonium nitrate fertilizer representative of mid to late season</w:t>
      </w:r>
      <w:r w:rsidR="00410DED">
        <w:t xml:space="preserve"> concentrations. </w:t>
      </w:r>
      <w:r w:rsidR="006B2849">
        <w:t>In</w:t>
      </w:r>
      <w:r w:rsidR="005172F2">
        <w:t xml:space="preserve"> the sand, loamy sand, and clay loam we found that </w:t>
      </w:r>
      <w:r w:rsidR="008E3A5C">
        <w:t>soils flooded for seven days emitted significantly more N</w:t>
      </w:r>
      <w:r w:rsidR="008E3A5C">
        <w:rPr>
          <w:vertAlign w:val="subscript"/>
        </w:rPr>
        <w:t>2</w:t>
      </w:r>
      <w:r w:rsidR="008E3A5C">
        <w:t>O that those</w:t>
      </w:r>
      <w:r w:rsidR="00410DED">
        <w:t xml:space="preserve"> </w:t>
      </w:r>
      <w:r w:rsidR="00681C03">
        <w:t>wetted to the same degree but were immediately allowed to air dry.</w:t>
      </w:r>
      <w:r w:rsidR="00410DED">
        <w:t xml:space="preserve"> </w:t>
      </w:r>
      <w:r w:rsidR="00681C03">
        <w:t>Ordinary least squares regression analysis</w:t>
      </w:r>
      <w:r w:rsidR="007623F5">
        <w:t xml:space="preserve"> </w:t>
      </w:r>
      <w:r w:rsidR="00681C03">
        <w:t>determined</w:t>
      </w:r>
      <w:r w:rsidR="007623F5">
        <w:t xml:space="preserve"> that dissolved organic carbon</w:t>
      </w:r>
      <w:r w:rsidR="00FE40FB">
        <w:t xml:space="preserve"> was the strongest predictor of cumulative N</w:t>
      </w:r>
      <w:r w:rsidR="00FE40FB">
        <w:rPr>
          <w:vertAlign w:val="subscript"/>
        </w:rPr>
        <w:t>2</w:t>
      </w:r>
      <w:r w:rsidR="00FE40FB">
        <w:t>O emissions (</w:t>
      </w:r>
      <w:r w:rsidR="00196ABA">
        <w:t>p&lt;0.0001)</w:t>
      </w:r>
      <w:r w:rsidR="00DA732A">
        <w:t>, but that a longer flooding duration</w:t>
      </w:r>
      <w:r w:rsidR="006B2849">
        <w:t xml:space="preserve"> also predicted increased N</w:t>
      </w:r>
      <w:r w:rsidR="006B2849">
        <w:rPr>
          <w:vertAlign w:val="subscript"/>
        </w:rPr>
        <w:t>2</w:t>
      </w:r>
      <w:r w:rsidR="006B2849">
        <w:t xml:space="preserve">O emissions (p&lt;0.0001). </w:t>
      </w:r>
      <w:r w:rsidR="002438D0">
        <w:t>The effect of flooding period on cumulative emissions also depended on</w:t>
      </w:r>
      <w:r w:rsidR="00894D23">
        <w:t xml:space="preserve"> soil texture. Soils with greater expansive clay content</w:t>
      </w:r>
      <w:r w:rsidR="00972726">
        <w:t xml:space="preserve"> permitted greater gas emissions during the flooding period</w:t>
      </w:r>
      <w:r w:rsidR="00F53C35">
        <w:t xml:space="preserve">, </w:t>
      </w:r>
      <w:r w:rsidR="00B61662">
        <w:t>likely driven by</w:t>
      </w:r>
      <w:r w:rsidR="00F53C35">
        <w:t xml:space="preserve"> </w:t>
      </w:r>
      <w:r w:rsidR="005024E5">
        <w:t>lowered bulk density and increased macroporosity,</w:t>
      </w:r>
      <w:r w:rsidR="00F53C35">
        <w:t xml:space="preserve"> thus contributing to increased N</w:t>
      </w:r>
      <w:r w:rsidR="00F53C35">
        <w:rPr>
          <w:vertAlign w:val="subscript"/>
        </w:rPr>
        <w:t>2</w:t>
      </w:r>
      <w:r w:rsidR="00F53C35">
        <w:t>O emissions</w:t>
      </w:r>
      <w:r w:rsidR="00B61662">
        <w:t xml:space="preserve">. </w:t>
      </w:r>
      <w:r w:rsidR="005024E5">
        <w:t xml:space="preserve">On the other hand, </w:t>
      </w:r>
      <w:r w:rsidR="00C25B79">
        <w:t>gas emissions in the sand and loamy sand were restricted by poor gas diffusion during the flooding period</w:t>
      </w:r>
      <w:r w:rsidR="00EB07AE">
        <w:t>. Despite evidence of N</w:t>
      </w:r>
      <w:r w:rsidR="00EB07AE">
        <w:rPr>
          <w:vertAlign w:val="subscript"/>
        </w:rPr>
        <w:t>2</w:t>
      </w:r>
      <w:r w:rsidR="00EB07AE">
        <w:t>O entrapment, we found cumulative emissions to increase</w:t>
      </w:r>
      <w:r w:rsidR="006A463F">
        <w:t xml:space="preserve"> with longer flooding periods in these soils</w:t>
      </w:r>
      <w:r w:rsidR="001D0342">
        <w:t xml:space="preserve"> as well</w:t>
      </w:r>
      <w:r w:rsidR="006A463F">
        <w:t xml:space="preserve">, and higher </w:t>
      </w:r>
      <w:r w:rsidR="00D70599">
        <w:t>though delayed</w:t>
      </w:r>
      <w:r w:rsidR="006A463F">
        <w:t xml:space="preserve"> peak emissions</w:t>
      </w:r>
      <w:r w:rsidR="00D70599">
        <w:t xml:space="preserve"> compared to </w:t>
      </w:r>
      <w:r w:rsidR="00CF69BE">
        <w:t>the transient flooding treatments.</w:t>
      </w:r>
      <w:r w:rsidR="001D0342">
        <w:t xml:space="preserve"> </w:t>
      </w:r>
      <w:r w:rsidR="002D45D1">
        <w:t xml:space="preserve">These findings suggest that increased frequency of </w:t>
      </w:r>
      <w:r w:rsidR="00D21680">
        <w:t xml:space="preserve">extreme weather events has the potential to create a positive feedback loop between climate change and </w:t>
      </w:r>
      <w:r w:rsidR="00C251B7">
        <w:t xml:space="preserve">agricultural </w:t>
      </w:r>
      <w:r w:rsidR="00D21680">
        <w:t>soil N</w:t>
      </w:r>
      <w:r w:rsidR="00D21680">
        <w:rPr>
          <w:vertAlign w:val="subscript"/>
        </w:rPr>
        <w:t>2</w:t>
      </w:r>
      <w:r w:rsidR="00D21680">
        <w:t>O emissions</w:t>
      </w:r>
      <w:r w:rsidR="00C251B7">
        <w:t>.</w:t>
      </w:r>
    </w:p>
    <w:p w14:paraId="166F34F3" w14:textId="77777777" w:rsidR="007F3B8A" w:rsidRPr="00D21680" w:rsidRDefault="007F3B8A" w:rsidP="007F3B8A">
      <w:pPr>
        <w:spacing w:after="0" w:line="480" w:lineRule="auto"/>
      </w:pPr>
    </w:p>
    <w:p w14:paraId="28B423E5" w14:textId="6BDD32A0" w:rsidR="00EE287F" w:rsidRPr="0076379D" w:rsidRDefault="00EE287F" w:rsidP="001B567A">
      <w:pPr>
        <w:pStyle w:val="Heading2"/>
      </w:pPr>
      <w:bookmarkStart w:id="89" w:name="_Toc204282778"/>
      <w:r>
        <w:lastRenderedPageBreak/>
        <w:t>Introduction</w:t>
      </w:r>
      <w:bookmarkEnd w:id="89"/>
    </w:p>
    <w:p w14:paraId="21D1D4FF" w14:textId="3507CDE4" w:rsidR="00EE287F" w:rsidRPr="00E82B95" w:rsidRDefault="00EE287F" w:rsidP="001B567A">
      <w:pPr>
        <w:spacing w:after="0" w:line="480" w:lineRule="auto"/>
      </w:pPr>
      <w:r w:rsidRPr="004971E7">
        <w:t>One of the most critical concerns in climate research is the potential for tipping points, which are thresholds beyond which positive feedback loops between greenhouse gas (GHG) emissions and changing climatic conditions they give rise to are accelerated.</w:t>
      </w:r>
      <w:r>
        <w:t xml:space="preserve"> Understanding even lesser positive feedback mechanisms is key to accurate predictions of future warming scenario and the identification of effective adaptation and mitigation strategies. Rising temperatures are changing weather patterns, heating the ocean, and causing the air to hold more water vapor, all of which may convene to create extreme storms and precipitation events with unprecedented frequency </w:t>
      </w:r>
      <w:r w:rsidRPr="004E77E9">
        <w:fldChar w:fldCharType="begin"/>
      </w:r>
      <w:r>
        <w:instrText xml:space="preserve"> ADDIN ZOTERO_ITEM CSL_CITATION {"citationID":"rbOouJ2u","properties":{"formattedCitation":"(Greenbaum et al., 2010; Rastogi et al., 2020)","plainCitation":"(Greenbaum et al., 2010; Rastogi et al., 2020)","noteIndex":0},"citationItems":[{"id":1484,"uris":["http://zotero.org/groups/4573874/items/DYVX7Y3D"],"itemData":{"id":1484,"type":"article-journal","abstract":"The autumn Active Red Sea Trough (ARST) rainstorm in the southern Dead Sea region on 29 October 2004 was documented using calibrated radar images, some rainfall measurements, and slope-area and HEC-RAS peak discharge estimates in several tributaries. The extreme rainstorm had a maximum intensity of 175mmh−1, a duration of 2h, and rainfall amounts of up to 74mm. The resulting flood in Nahal Zin (1400km2), which increased downstream up to 1280m3s−1 (probability of &lt;1%), was effectively contributed from the lower tributaries that constitute only 250km2 or 18% of the total drainage basin area. Specific peak discharges in small drainage basins (1–5km2) exceeded 50m3s−1km−2, and for basins of 50km2 were up to 18m3s−1km−2. Re-plotting of the flood envelope curve was necessary, as it was exceeded by several floods at all catchment sizes. A recent increase in the frequency of extreme floods has been recognized in flood studies in the Negev, northern Israel, and across the wider eastern Mediterranean basin. This increase is reflected in other palaeohydrological and palaeoclimatological evidence in the southern Levant such as the levels of the Dead Sea, but contradicts hydroclimatological trends in the western Mediterranean that are correlated to the NAO index, suggesting that these are quite different hydroclimatological environments.","collection-title":"Advances in Palaeoflood Science","container-title":"Global and Planetary Change","DOI":"10.1016/j.gloplacha.2009.11.013","ISSN":"0921-8181","issue":"1","journalAbbreviation":"Global and Planetary Change","page":"125-137","source":"ScienceDirect","title":"Extreme floods and short-term hydroclimatological fluctuations in the hyper-arid Dead Sea region, Israel","volume":"70","author":[{"family":"Greenbaum","given":"Noam"},{"family":"Schwartz","given":"Uri"},{"family":"Bergman","given":"Nathaniel"}],"issued":{"date-parts":[["2010",2,1]]}}},{"id":1485,"uris":["http://zotero.org/groups/4573874/items/6QJJA6EE"],"itemData":{"id":1485,"type":"article-journal","abstract":"The United States has witnessed an increase in the frequency of intense and spatially widespread precipitation events in recent decades. Using a high-resolution hybrid ensemble of regional climate simulations, we project further intensification of widespread extremes in the near future. The simulations cover 1966–2005 in the historical period and 2011–2050 in the future period under RCP8.5 scenario and show good correspondence with the observations in the historical period. The projected changes in the characteristics of precipitation events are associated with more frequent occurrence of extreme years where contribution from intense and widespread events to the annual precipitation is unprecedently high. While our findings are consistent with recent trends in the observations, they are in contrast to some earlier studies that project shrinking of precipitation events in the future period, which highlight the need for more rigorous investigations of changes in the spatial extent of precipitation in future climates.","container-title":"Geophysical Research Letters","DOI":"10.1029/2020GL089899","ISSN":"1944-8007","issue":"19","language":"en","license":"©2020. The Authors.","note":"_eprint: https://onlinelibrary.wiley.com/doi/pdf/10.1029/2020GL089899","page":"e2020GL089899","source":"Wiley Online Library","title":"Shift Toward Intense and Widespread Precipitation Events Over the United States by Mid-21st Century","volume":"47","author":[{"family":"Rastogi","given":"Deeksha"},{"family":"Touma","given":"Danielle"},{"family":"Evans","given":"Katherine J."},{"family":"Ashfaq","given":"Moetasim"}],"issued":{"date-parts":[["2020"]]}}}],"schema":"https://github.com/citation-style-language/schema/raw/master/csl-citation.json"} </w:instrText>
      </w:r>
      <w:r w:rsidRPr="004E77E9">
        <w:fldChar w:fldCharType="separate"/>
      </w:r>
      <w:r w:rsidRPr="004E77E9">
        <w:t>(Greenbaum et al., 2010; Rastogi et al., 2020)</w:t>
      </w:r>
      <w:r w:rsidRPr="004E77E9">
        <w:fldChar w:fldCharType="end"/>
      </w:r>
      <w:r>
        <w:t xml:space="preserve">. Biogeochemical cycling can be profoundly influenced by water dynamics, most notably in the occurrence of ‘hot moments’ during which process rates accelerate </w:t>
      </w:r>
      <w:r>
        <w:fldChar w:fldCharType="begin"/>
      </w:r>
      <w:r>
        <w:instrText xml:space="preserve"> ADDIN ZOTERO_ITEM CSL_CITATION {"citationID":"6SEb0MTI","properties":{"formattedCitation":"(McClain et al., 2003)","plainCitation":"(McClain et al., 2003)","noteIndex":0},"citationItems":[{"id":1273,"uris":["http://zotero.org/groups/4573874/items/XVDDXTU7"],"itemData":{"id":1273,"type":"article-journal","container-title":"Ecosystems","DOI":"10.1007/s10021-003-0161-9","ISSN":"1432-9840","issue":"4","journalAbbreviation":"Ecosystems","language":"en","page":"301-312","source":"Springer Link","title":"Biogeochemical Hot Spots and Hot Moments at the Interface of Terrestrial and Aquatic Ecosystems","volume":"6","author":[{"family":"McClain","given":"Michael E."},{"family":"Boyer","given":"Elizabeth W."},{"family":"Dent","given":"C. Lisa"},{"family":"Gergel","given":"Sarah E."},{"family":"Grimm","given":"Nancy B."},{"family":"Groffman","given":"Peter M."},{"family":"Hart","given":"Stephen C."},{"family":"Harvey","given":"Judson W."},{"family":"Johnston","given":"Carol A."},{"family":"Mayorga","given":"Emilio"},{"family":"McDowell","given":"William H."},{"family":"Pinay","given":"Gilles"}],"issued":{"date-parts":[["2003",6,1]]}}}],"schema":"https://github.com/citation-style-language/schema/raw/master/csl-citation.json"} </w:instrText>
      </w:r>
      <w:r>
        <w:fldChar w:fldCharType="separate"/>
      </w:r>
      <w:r w:rsidRPr="00637028">
        <w:t>(McClain et al., 2003)</w:t>
      </w:r>
      <w:r>
        <w:fldChar w:fldCharType="end"/>
      </w:r>
      <w:r>
        <w:t xml:space="preserve">. Many of these biogeochemical processes, such as those involved in soil nitrogen cycling, are themselves important contributors of GHG emissions </w:t>
      </w:r>
      <w:r>
        <w:fldChar w:fldCharType="begin"/>
      </w:r>
      <w:r w:rsidR="00950694">
        <w:instrText xml:space="preserve"> ADDIN ZOTERO_ITEM CSL_CITATION {"citationID":"ad2dgaoeof","properties":{"formattedCitation":"(Butterbach-Bahl et al., 2013)","plainCitation":"(Butterbach-Bahl et al., 2013)","noteIndex":0},"citationItems":[{"id":1313,"uris":["http://zotero.org/groups/4573874/items/5DUZFISM"],"itemData":{"id":1313,"type":"article-journal","abstract":"Although it is well established that soils are the dominating source for atmospheric nitrous oxide (N2O), we are still struggling to fully understand the complexity of the underlying microbial production and consumption processes and the links to biotic (e.g. inter- and intraspecies competition, food webs, plant–microbe interaction) and abiotic (e.g. soil climate, physics and chemistry) factors. Recent work shows that a better understanding of the composition and diversity of the microbial community across a variety of soils in different climates and under different land use, as well as plant–microbe interactions in the rhizosphere, may provide a key to better understand the variability of N2O fluxes at the soil–atmosphere interface. Moreover, recent insights into the regulation of the reduction of N2O to dinitrogen (N2) have increased our understanding of N2O exchange. This improved process understanding, building on the increased use of isotope tracing techniques and metagenomics, needs to go along with improvements in measurement techniques for N2O (and N2) emission in order to obtain robust field and laboratory datasets for different ecosystem types. Advances in both fields are currently used to improve process descriptions in biogeochemical models, which may eventually be used not only to test our current process understanding from the microsite to the field level, but also used as tools for up-scaling emissions to landscapes and regions and to explore feedbacks of soil N2O emissions to changes in environmental conditions, land management and land use.","container-title":"Philosophical Transactions of the Royal Society B: Biological Sciences","DOI":"10.1098/rstb.2013.0122","issue":"1621","note":"publisher: Royal Society","page":"20130122","source":"royalsocietypublishing.org (Atypon)","title":"Nitrous oxide emissions from soils: how well do we understand the processes and their controls?","title-short":"Nitrous oxide emissions from soils","volume":"368","author":[{"family":"Butterbach-Bahl","given":"Klaus"},{"family":"Baggs","given":"Elizabeth M."},{"family":"Dannenmann","given":"Michael"},{"family":"Kiese","given":"Ralf"},{"family":"Zechmeister-Boltenstern","given":"Sophie"}],"issued":{"date-parts":[["2013",7,5]]}}}],"schema":"https://github.com/citation-style-language/schema/raw/master/csl-citation.json"} </w:instrText>
      </w:r>
      <w:r>
        <w:fldChar w:fldCharType="separate"/>
      </w:r>
      <w:r w:rsidR="00950694" w:rsidRPr="00950694">
        <w:rPr>
          <w:rFonts w:cs="Times New Roman"/>
          <w:kern w:val="0"/>
        </w:rPr>
        <w:t>(Butterbach-Bahl et al., 2013)</w:t>
      </w:r>
      <w:r>
        <w:fldChar w:fldCharType="end"/>
      </w:r>
      <w:r>
        <w:t xml:space="preserve">. </w:t>
      </w:r>
      <w:r w:rsidRPr="004E77E9">
        <w:t>Nitrous oxide (N</w:t>
      </w:r>
      <w:r w:rsidRPr="004E77E9">
        <w:rPr>
          <w:vertAlign w:val="subscript"/>
        </w:rPr>
        <w:t>2</w:t>
      </w:r>
      <w:r w:rsidRPr="004E77E9">
        <w:t>O)</w:t>
      </w:r>
      <w:r>
        <w:t xml:space="preserve"> is a potent greenhouse gas</w:t>
      </w:r>
      <w:r w:rsidRPr="004E77E9">
        <w:t xml:space="preserve"> produc</w:t>
      </w:r>
      <w:r>
        <w:t>ed</w:t>
      </w:r>
      <w:r w:rsidRPr="004E77E9">
        <w:t xml:space="preserve"> in soils </w:t>
      </w:r>
      <w:r>
        <w:t>and which is particularly influenced by moisture conditions</w:t>
      </w:r>
      <w:r w:rsidRPr="004E77E9">
        <w:t xml:space="preserve"> </w:t>
      </w:r>
      <w:r w:rsidRPr="004E77E9">
        <w:fldChar w:fldCharType="begin"/>
      </w:r>
      <w:r w:rsidR="00D74AD1">
        <w:instrText xml:space="preserve"> ADDIN ZOTERO_ITEM CSL_CITATION {"citationID":"fWe2weSq","properties":{"formattedCitation":"(E. M. Baggs, 2011; Barrat et al., 2021)","plainCitation":"(E. M. Baggs, 2011; Barrat et al., 2021)","noteIndex":0},"citationItems":[{"id":1241,"uris":["http://zotero.org/groups/4573874/items/EHACYC7F"],"itemData":{"id":1241,"type":"article-journal","abstract":"The greenhouse gas nitrous oxide can be produced in soil during several microbial processes. Understanding of the regulation of these processes and the conditions under which they are likely to prevail have advanced in the last couple of decades. This is important for the development of targeted mitigation strategies. Here the focus is placed on the most recent advances in understanding associated with nitrous oxide production during ammonia oxidation, and the nitrate reducing processes of nitrate ammonification (or dissimilatory nitrate reduction to ammonium) and denitrification, including nitrifier denitrification in temperate soils. Some of the possibilities these offer for management to lower net emissions are outlined, and consideration is given to the current challenges and future directions required for these possibilities to be realised. These highlight the need for a multidisciplinary approach to understand the regulation of N2O production and reduction, synthesising relationships across a range systems, and increasing our predictive capability of interactions within the atmosphere–plant–microbe–soil continuum.","collection-title":"Carbon and nitrogen cycles","container-title":"Current Opinion in Environmental Sustainability","DOI":"10.1016/j.cosust.2011.08.011","ISSN":"1877-3435","issue":"5","journalAbbreviation":"Current Opinion in Environmental Sustainability","page":"321-327","source":"ScienceDirect","title":"Soil microbial sources of nitrous oxide: recent advances in knowledge, emerging challenges and future direction","title-short":"Soil microbial sources of nitrous oxide","volume":"3","author":[{"family":"Baggs","given":"Elizabeth M"}],"issued":{"date-parts":[["2011",10,1]]}}},{"id":1277,"uris":["http://zotero.org/groups/4573874/items/RE9NEBZF"],"itemData":{"id":1277,"type":"article-journal","abstract":"The potential for soils to produce nitrous oxide (N2O) is impacted by past moisture conditions; however, the extent of this impact is not fully understood. We conducted the first review of this, using two literature searches and a meta-analysis. We found 36 studies out of a possible 735 that described experiments where soil moisture conditions had been controlled, such that the impact of antecedent moisture levels could be separated from contemporary moisture levels and attributed to N2O emissions. Of those studies, 14 (130 data points) used the appropriate experimental design and presented suitable data that could be standardized for the meta-analysis. We found that the degree to which the soil was rewetted and the water filled pore space (WFPS) the soil was brought to were significant explanatory variables (p = &lt; 0.0001). The larger the difference between the dry and wet states of the soil and the higher the WFPS of the soil after rewetting, the larger the hot moment, with an exponential increase once the soil is anaerobic. Substrate availability and fertiliser quantity and type were also important controls on the amount of N2O emitted during the hot moment (p = &lt; 0.0001). However, controls with a constant WFPS can have the same anaerobicity and substrate concentrations, yet much lower emissions, so we suggest that it is the bioavailability of and how the substrates are utilized by the microbial community, and thus how they are primed by the drought, that is the main causal mechanism. Unfortunately, there is still a large uncertainty regarding how microbial population structure, relative gene abundances and gene expression profiles change according to antecedent dry/wet cycles. We suggest several areas of improvement for future studies and the development of drought-impact curves. These would show the relationship between N2O emissions and the length of drought (we found no studies that have investigated this) and N2O emissions and the severity of drought (e.g. the difference between 20% and 40% WFPS). Highlights We investigated the main causal mechanisms of N2O hot moments after soil is rewetted. This is the first meta-analysis and synthesis of the literature regarding N2O hot moments. The more anaerobic the soil and the more C and N substrates, the larger the hot moment. We provide recommendations for future studies and outline key gaps in the research.","container-title":"European Journal of Soil Science","DOI":"10.1111/ejss.13015","ISSN":"1365-2389","issue":"6","language":"en","license":"© 2020 British Society of Soil Science","note":"_eprint: https://onlinelibrary.wiley.com/doi/pdf/10.1111/ejss.13015","page":"2504-2516","source":"Wiley Online Library","title":"The impact of drought and rewetting on N2O emissions from soil in temperate and Mediterranean climates","volume":"72","author":[{"family":"Barrat","given":"Harry A."},{"family":"Evans","given":"Jess"},{"family":"Chadwick","given":"David R."},{"family":"Clark","given":"Ian M."},{"family":"Le Cocq","given":"Kate"},{"family":"M. Cardenas","given":"Laura"}],"issued":{"date-parts":[["2021"]]}}}],"schema":"https://github.com/citation-style-language/schema/raw/master/csl-citation.json"} </w:instrText>
      </w:r>
      <w:r w:rsidRPr="004E77E9">
        <w:fldChar w:fldCharType="separate"/>
      </w:r>
      <w:r w:rsidR="00D74AD1" w:rsidRPr="00D74AD1">
        <w:rPr>
          <w:rFonts w:cs="Times New Roman"/>
        </w:rPr>
        <w:t>(E. M. Baggs, 2011; Barrat et al., 2021)</w:t>
      </w:r>
      <w:r w:rsidRPr="004E77E9">
        <w:fldChar w:fldCharType="end"/>
      </w:r>
      <w:r w:rsidRPr="004E77E9">
        <w:t xml:space="preserve">. </w:t>
      </w:r>
      <w:r>
        <w:t>Soil wetting events promote N</w:t>
      </w:r>
      <w:r>
        <w:rPr>
          <w:vertAlign w:val="subscript"/>
        </w:rPr>
        <w:t>2</w:t>
      </w:r>
      <w:r>
        <w:t>O production by improving the mobility of microbes and substrates and reducing oxygen availability, accelerating the rate of the anaerobic process of denitrification, which is key to producing N</w:t>
      </w:r>
      <w:r>
        <w:rPr>
          <w:vertAlign w:val="subscript"/>
        </w:rPr>
        <w:t>2</w:t>
      </w:r>
      <w:r>
        <w:t>O in soils.</w:t>
      </w:r>
    </w:p>
    <w:p w14:paraId="09E4F516" w14:textId="77777777" w:rsidR="00EE287F" w:rsidRDefault="00EE287F" w:rsidP="001B567A">
      <w:pPr>
        <w:spacing w:after="0" w:line="480" w:lineRule="auto"/>
      </w:pPr>
      <w:r>
        <w:t xml:space="preserve">Although often deserts, the soils of the Mediterranean basin experience seasonal rivers and flash floods which are becoming more frequent with climate change, affecting even the arid regions of the South </w:t>
      </w:r>
      <w:r>
        <w:fldChar w:fldCharType="begin"/>
      </w:r>
      <w:r>
        <w:instrText xml:space="preserve"> ADDIN ZOTERO_ITEM CSL_CITATION {"citationID":"6PkVJTkU","properties":{"formattedCitation":"(Greenbaum et al., 2010; Saber &amp; Habib, 2016)","plainCitation":"(Greenbaum et al., 2010; Saber &amp; Habib, 2016)","noteIndex":0},"citationItems":[{"id":1484,"uris":["http://zotero.org/groups/4573874/items/DYVX7Y3D"],"itemData":{"id":1484,"type":"article-journal","abstract":"The autumn Active Red Sea Trough (ARST) rainstorm in the southern Dead Sea region on 29 October 2004 was documented using calibrated radar images, some rainfall measurements, and slope-area and HEC-RAS peak discharge estimates in several tributaries. The extreme rainstorm had a maximum intensity of 175mmh−1, a duration of 2h, and rainfall amounts of up to 74mm. The resulting flood in Nahal Zin (1400km2), which increased downstream up to 1280m3s−1 (probability of &lt;1%), was effectively contributed from the lower tributaries that constitute only 250km2 or 18% of the total drainage basin area. Specific peak discharges in small drainage basins (1–5km2) exceeded 50m3s−1km−2, and for basins of 50km2 were up to 18m3s−1km−2. Re-plotting of the flood envelope curve was necessary, as it was exceeded by several floods at all catchment sizes. A recent increase in the frequency of extreme floods has been recognized in flood studies in the Negev, northern Israel, and across the wider eastern Mediterranean basin. This increase is reflected in other palaeohydrological and palaeoclimatological evidence in the southern Levant such as the levels of the Dead Sea, but contradicts hydroclimatological trends in the western Mediterranean that are correlated to the NAO index, suggesting that these are quite different hydroclimatological environments.","collection-title":"Advances in Palaeoflood Science","container-title":"Global and Planetary Change","DOI":"10.1016/j.gloplacha.2009.11.013","ISSN":"0921-8181","issue":"1","journalAbbreviation":"Global and Planetary Change","page":"125-137","source":"ScienceDirect","title":"Extreme floods and short-term hydroclimatological fluctuations in the hyper-arid Dead Sea region, Israel","volume":"70","author":[{"family":"Greenbaum","given":"Noam"},{"family":"Schwartz","given":"Uri"},{"family":"Bergman","given":"Nathaniel"}],"issued":{"date-parts":[["2010",2,1]]}}},{"id":2485,"uris":["http://zotero.org/groups/4573874/items/KT277HQZ"],"itemData":{"id":2485,"type":"chapter","abstract":"In arid regions, flash floods are the most devastating hazards especially in terms of loss of human life and infrastructures. These floods occur due to heavy rainfall for short duration, steep slope, and impervious layer as well as climate change. The combination of these factors makes it more severe and devastating. The very short warning time is the main problem of flash floods that typically leave only a few hours for civil protection services to act. Various modelling techniques and tools have been widely developed for humid area applications, however, arid and semi-arid regions have received little attention even though they suffer from lack of water resources and the threat of flash floods. Hence, there is a desperate need for developing comprehensive, innovative, and powerful physical-based models, explicitly based on the best available understanding of the physics of hydrological processes of Wadi system in such regions. Consequently, these approaches could be applied as effective and sustainable management tools for water resources and flash floods modelling. In this chapter, Wadi systems are introduced; history of flash flood and impacts are documented and hydrologic models or approaches are reviewed. Recommendations are offered for possible prediction and management of flash floods under climate change.","container-title":"Landscape Dynamics, Soils and Hydrological Processes in Varied Climates","event-place":"Cham","ISBN":"978-3-319-18787-7","language":"en","note":"DOI: 10.1007/978-3-319-18787-7_16","page":"317-339","publisher":"Springer International Publishing","publisher-place":"Cham","source":"Springer Link","title":"Flash Floods Modelling for Wadi System: Challenges and Trends","title-short":"Flash Floods Modelling for Wadi System","URL":"https://doi.org/10.1007/978-3-319-18787-7_16","author":[{"family":"Saber","given":"Mohamed"},{"family":"Habib","given":"Emad"}],"editor":[{"family":"Melesse","given":"Assefa M."},{"family":"Abtew","given":"Wossenu"}],"accessed":{"date-parts":[["2024",10,24]]},"issued":{"date-parts":[["2016"]]}}}],"schema":"https://github.com/citation-style-language/schema/raw/master/csl-citation.json"} </w:instrText>
      </w:r>
      <w:r>
        <w:fldChar w:fldCharType="separate"/>
      </w:r>
      <w:r w:rsidRPr="00A45024">
        <w:t>(Greenbaum et al., 2010; Saber &amp; Habib, 2016)</w:t>
      </w:r>
      <w:r>
        <w:fldChar w:fldCharType="end"/>
      </w:r>
      <w:r>
        <w:t xml:space="preserve">. Soil moisture and nitrogen dynamics are complicated by other intertwining factors like texture, which affects the structure and distribution of pore spaces, the water holding capacity, the relationship between water content and hydraulic pressure, the diffusion of gas through the soil system, and other features which </w:t>
      </w:r>
      <w:r>
        <w:lastRenderedPageBreak/>
        <w:t xml:space="preserve">play important roles in biogeochemical dynamics </w:t>
      </w:r>
      <w:r>
        <w:fldChar w:fldCharType="begin"/>
      </w:r>
      <w:r>
        <w:instrText xml:space="preserve"> ADDIN ZOTERO_ITEM CSL_CITATION {"citationID":"N6UST0hj","properties":{"formattedCitation":"(Balaine et al., 2013; Gu et al., 2013; Weier et al., 1993)","plainCitation":"(Balaine et al., 2013; Gu et al., 2013; Weier et al., 1993)","noteIndex":0},"citationItems":[{"id":1324,"uris":["http://zotero.org/groups/4573874/items/8RSJKU2S"],"itemData":{"id":1324,"type":"article-journal","abstract":"Nitrous oxide (N2O) is a greenhouse gas and the main anthropogenic emission contributing to stratospheric ozone depletion. Agricultural soils dominate anthropogenic N2O emissions but there is very limited information specifically relating relative soil gas diffusivity (Dp/Do) to N2O emissions. This study was conducted to determine the effects of soil bulk density (ρb) and matric potential (ψ) on Dp/Do and the associated N2O fluxes in the presence of denitrification substrates. The interaction between soil ρb and ψ on Dp/Do and N2O fluxes was investigated using 880 repacked soil cores that were saturated with a nitrate (NO3–) solution and placed on tension tables at 11 levels of ψ and 5 levels of soil ρb. After equilibration (4 d) N2O fluxes, Dp/Do, inorganic-N concentrations, and soil physical characteristics were determined. Emissions of N2O peaked at increasingly lower levels of ψ(–1.5 to –6.0 kPa) as soil ρb increased (1.1 to 1.5 Mg m–3) due to increasing microporosity. Peak N2O emissions occurred across a relatively wide range of water-filled pore space (WFPS) and volumetric water content. A Gaussian fit of N2O-N fluxes against ψ showed maximum fluxes were related to the soil's air-entry potential (r2 = 0.96). Maximum N2O emissions occurred at a Dp/Do value of 0.006 that was independent of soil ρb. Log N2O-N flux was a function of log Dp/Do (r2 = 0.82) when Dp/Do was &gt;0.006. Soil Dp/Do is a key indicator of N2O emission potential and needs to be further explored as a predictor of N2O emissions in a range of soil textures and denitrification substrates.","container-title":"Soil Science Society of America Journal","DOI":"10.2136/sssaj2013.04.0141","ISSN":"1435-0661","issue":"5","language":"en","license":"Copyright © by the Soil Science Society of America, Inc.","note":"_eprint: https://onlinelibrary.wiley.com/doi/pdf/10.2136/sssaj2013.04.0141","page":"1496-1505","source":"Wiley Online Library","title":"Changes in Relative Gas Diffusivity Explain Soil Nitrous Oxide Flux Dynamics","volume":"77","author":[{"family":"Balaine","given":"Nimlesh"},{"family":"Clough","given":"Tim J."},{"family":"Beare","given":"Mike H."},{"family":"Thomas","given":"Steve M."},{"family":"Meenken","given":"Esther D."},{"family":"Ross","given":"James G."}],"issued":{"date-parts":[["2013"]]}}},{"id":3567,"uris":["http://zotero.org/groups/6023057/items/9K8M49V8"],"itemData":{"id":3567,"type":"article-journal","abstract":"Lack of regional measurements on nitrous oxide (N2O) flux under tile-drained conditions may cause a misunderstanding of key factors controlling N2O emissions at landscape scale. The aims of this study were to assess the spatial variations in N2O emissions and identify the regulatory effects of soil physico-chemical properties across a tile-drained agricultural landscape. N2O fluxes from winter wheat fields were measured at seventeen sites across a 30-km2 region using manual chambers during the fertilization periods (between February and May) in 2009 and 2010. All sites received nitrogen (N) fertilizer at 170–195 kg N ha−1 and the N regimes were mostly independent. Soil properties were determined in air-dried samples. The potential denitrification rates and the maximum fraction of N2O emitted through denitrification were measured in a laboratory incubation experiment in May 2009 using soils at nine sites with acetylene blockage technique. Results showed a non-significant difference in the potential denitrification between soils (p = 0.078) but a significant difference in the fraction of N2O production through denitrification (p = 0.024). Neither of these biological parameters that represented the activity of denitrifying enzymes related to soil properties and N2O emissions. Cumulative N2O emissions had significant spatial variations in 2009 (p = 0.001) but not in 2010 (p = 0.222). Topography did not affect N2O emissions mostly due to the topographic effects on soil hydrology being partly offset by tile drainage. Soil texture (clay or silt content), pH and exchangeable magnesium (Mg) related significantly (p &lt; 0.05) to N2O emission factors (uncorrected for background emissions). We suggest that (1) soil clay content decreased gas diffusivity and promoted N2O reduction thereby controlling N2O emissions across the region, and (2) the effects of soil pH and Mg on N2O emissions indirectly reflected the effect of soil texture due to the interactions of soil properties.","container-title":"Soil Biology and Biochemistry","DOI":"10.1016/j.soilbio.2013.01.029","ISSN":"0038-0717","journalAbbreviation":"Soil Biology and Biochemistry","page":"134-141","source":"ScienceDirect","title":"A regional experiment suggests that soil texture is a major control of N2O emissions from tile-drained winter wheat fields during the fertilization period","volume":"60","author":[{"family":"Gu","given":"Jiangxin"},{"family":"Nicoullaud","given":"Bernard"},{"family":"Rochette","given":"Philippe"},{"family":"Grossel","given":"Agnes"},{"family":"Hénault","given":"Catherine"},{"family":"Cellier","given":"Pierre"},{"family":"Richard","given":"Guy"}],"issued":{"date-parts":[["2013",5,1]]}}},{"id":3555,"uris":["http://zotero.org/groups/6023057/items/NYFDFYT9"],"itemData":{"id":3555,"type":"article-journal","abstract":"Biological denitrification is affected by many environmental factors that control the amount of N2 and N2O entering the atmosphere. This study was conducted to measure the effect of water-filled pore space (WFPS), available C, and soil NO3 concentration on total denitrification (N2 + N2O), using acetylene (C2H2) inhibition, and to ascertain if denitrification could be estimated from N2O measurements in the field using an average N2/N2O ratio. Repacked cores of four benchmark soils were brought to 60, 75, and 90% WFPS by applying treatments of glucose-C (0, 180, and 360 kg ha−1) and NO3-N (0, 50, and 100 kg ha−1). The cores were incubated at 25°C, with and without 100 mL C2H2 L−1, for 5 d during which daily gas samples of the headspace were analyzed for N2O and CO2. Total N loss due to denitrification generally increased as soil texture became finer and WFPS increased. The only exception to this was the C-amended sand, where N losses up to 26 and 66% were recorded at 60 and 75% WFPS, respectively. Denitrification rates at high N concentrations were quite small in the absence of an available C source but increased with increasing available C (glucose). The N2/N2O ratio generally increased with time of incubation after the initial treatment application. The largest ratios (up to 549) were found at the highest available C rate and generally at the highest soil water content. The presence of high NO3 concentrations apparently inhibited the conversion of N2O to N2, resulting in lower N2/N2O ratios. Using an average N2/N2O ratio for estimation of denitrification from N2O field measurements cannot be recommended because of the variation in this ratio due to the many environmental factors altered by field management that influence denitrification and the relative production of N2 and N2O.","container-title":"Soil Science Society of America Journal","DOI":"10.2136/sssaj1993.03615995005700010013x","ISSN":"1435-0661","issue":"1","language":"en","note":"_eprint: https://acsess.onlinelibrary.wiley.com/doi/pdf/10.2136/sssaj1993.03615995005700010013x","page":"66-72","source":"Wiley Online Library","title":"Denitrification and the Dinitrogen/Nitrous Oxide Ratio as Affected by Soil Water, Available Carbon, and Nitrate","volume":"57","author":[{"family":"Weier","given":"K. L."},{"family":"Doran","given":"J. W."},{"family":"Power","given":"J. F."},{"family":"Walters","given":"D. T."}],"issued":{"date-parts":[["1993"]]}}}],"schema":"https://github.com/citation-style-language/schema/raw/master/csl-citation.json"} </w:instrText>
      </w:r>
      <w:r>
        <w:fldChar w:fldCharType="separate"/>
      </w:r>
      <w:r w:rsidRPr="009C6C7A">
        <w:rPr>
          <w:rFonts w:cs="Times New Roman"/>
        </w:rPr>
        <w:t>(Balaine et al., 2013; Gu et al., 2013; Weier et al., 1993)</w:t>
      </w:r>
      <w:r>
        <w:fldChar w:fldCharType="end"/>
      </w:r>
      <w:r>
        <w:t xml:space="preserve">. </w:t>
      </w:r>
      <w:r w:rsidRPr="00EB4A8D">
        <w:t xml:space="preserve">The </w:t>
      </w:r>
      <w:r>
        <w:t>Eastern Mediterranean</w:t>
      </w:r>
      <w:r w:rsidRPr="00EB4A8D">
        <w:t xml:space="preserve"> is </w:t>
      </w:r>
      <w:r>
        <w:t xml:space="preserve">also </w:t>
      </w:r>
      <w:r w:rsidRPr="00EB4A8D">
        <w:t>home to remarkable soil typological diversity linked to strong climatological gradients</w:t>
      </w:r>
      <w:r>
        <w:t xml:space="preserve"> which have affected pedogenesis over time, with more coarse loess soils to the dry South and more weathered, finer soils to the wetter North </w:t>
      </w:r>
      <w:r>
        <w:fldChar w:fldCharType="begin"/>
      </w:r>
      <w:r>
        <w:instrText xml:space="preserve"> ADDIN ZOTERO_ITEM CSL_CITATION {"citationID":"fL4eKYFB","properties":{"formattedCitation":"(Cerd\\uc0\\u224{}, 1998; Singer, 2007)","plainCitation":"(Cerdà, 1998; Singer, 2007)","noteIndex":0},"citationItems":[{"id":2487,"uris":["http://zotero.org/groups/4573874/items/FP8J67GT"],"itemData":{"id":2487,"type":"article-journal","abstract":"A climatological gradient was selected in Israel to examine the effects of climate on surface flow and soil erosion. The gradient is composed of eight study areas located between the Dead Sea and the Galilee Mountains. Mean annual rainfall ranges from 100mm year−1in the driest site to 900mm year−1in the wettest site. Simulated rainfall experiments were performed in order to determine the main hydrological and erosional parameters. Data were recorded in 36 different plots after showers of 50mmh−1rain intensity and 45–60min duration. In the arid sites (&lt;400mm year−1) abundant runoff appeared on the soil surface very quickly, and the infiltration rates were very low. Erosion rates, sediment concentration and runoff salinity were very high. By contrast, on the wet sites (&gt;500mm year−1) runoff was very low due to the high infiltration rates and as a consequence erosion was negligible, while in the wettest area, local ponds were found at the beginning of the rain due to the hydrophobic response of the ecto-organic horizon. In general, ponding and runoff either failed to occur or were very delayed in the wet sites where the runoff coefficients were consequently very low.","container-title":"Journal of Arid Environments","DOI":"10.1006/jare.1997.0342","ISSN":"0140-1963","issue":"2","journalAbbreviation":"Journal of Arid Environments","page":"145-159","source":"ScienceDirect","title":"Effect of climate on surface flow along a climatological gradient in Israel: a field rainfall simulation approach","title-short":"Effect of climate on surface flow along a climatological gradient in Israel","volume":"38","author":[{"family":"Cerdà","given":"A."}],"issued":{"date-parts":[["1998",2,1]]}}},{"id":3565,"uris":["http://zotero.org/groups/6023057/items/NUGRK4C7"],"itemData":{"id":3565,"type":"book","ISBN":"978-3-540-71731-7","number-of-pages":"306","publisher":"Springer","title":"The Soils of Israel","author":[{"family":"Singer","given":"Arieh"}],"issued":{"date-parts":[["2007"]]}}}],"schema":"https://github.com/citation-style-language/schema/raw/master/csl-citation.json"} </w:instrText>
      </w:r>
      <w:r>
        <w:fldChar w:fldCharType="separate"/>
      </w:r>
      <w:r w:rsidRPr="004867F2">
        <w:rPr>
          <w:kern w:val="0"/>
        </w:rPr>
        <w:t>(Cerdà, 1998; Singer, 2007)</w:t>
      </w:r>
      <w:r>
        <w:fldChar w:fldCharType="end"/>
      </w:r>
      <w:r>
        <w:t>. The response of N</w:t>
      </w:r>
      <w:r>
        <w:rPr>
          <w:vertAlign w:val="subscript"/>
        </w:rPr>
        <w:t>2</w:t>
      </w:r>
      <w:r>
        <w:t>O emissions to such events across the highly varied soils of the region is not well understood, particularly in combination with the relatively limited availability of carbon and nitrogen which can be expected to predominate in mid to late season and offseason in agricultural soils.</w:t>
      </w:r>
    </w:p>
    <w:p w14:paraId="2F9AF42E" w14:textId="77777777" w:rsidR="00EE287F" w:rsidRDefault="00EE287F" w:rsidP="001B567A">
      <w:pPr>
        <w:spacing w:after="0" w:line="480" w:lineRule="auto"/>
      </w:pPr>
      <w:r>
        <w:t>Soil N</w:t>
      </w:r>
      <w:r>
        <w:rPr>
          <w:vertAlign w:val="subscript"/>
        </w:rPr>
        <w:t>2</w:t>
      </w:r>
      <w:r>
        <w:t>O emissions have been shown to increase with the</w:t>
      </w:r>
      <w:r w:rsidRPr="00E9783F">
        <w:t xml:space="preserve"> </w:t>
      </w:r>
      <w:r>
        <w:t>degree</w:t>
      </w:r>
      <w:r w:rsidRPr="004E77E9">
        <w:t xml:space="preserve"> of rewetting</w:t>
      </w:r>
      <w:r>
        <w:t>, suggesting that more intense precipitation events will contribute to a positive feedback of correspondingly higher N</w:t>
      </w:r>
      <w:r>
        <w:rPr>
          <w:vertAlign w:val="subscript"/>
        </w:rPr>
        <w:t>2</w:t>
      </w:r>
      <w:r>
        <w:t xml:space="preserve">O emissions </w:t>
      </w:r>
      <w:r>
        <w:fldChar w:fldCharType="begin"/>
      </w:r>
      <w:r>
        <w:instrText xml:space="preserve"> ADDIN ZOTERO_ITEM CSL_CITATION {"citationID":"FVDpW6fv","properties":{"formattedCitation":"(Barrat et al., 2021; X. Guo et al., 2014)","plainCitation":"(Barrat et al., 2021; X. Guo et al., 2014)","dontUpdate":true,"noteIndex":0},"citationItems":[{"id":1277,"uris":["http://zotero.org/groups/4573874/items/RE9NEBZF"],"itemData":{"id":1277,"type":"article-journal","abstract":"The potential for soils to produce nitrous oxide (N2O) is impacted by past moisture conditions; however, the extent of this impact is not fully understood. We conducted the first review of this, using two literature searches and a meta-analysis. We found 36 studies out of a possible 735 that described experiments where soil moisture conditions had been controlled, such that the impact of antecedent moisture levels could be separated from contemporary moisture levels and attributed to N2O emissions. Of those studies, 14 (130 data points) used the appropriate experimental design and presented suitable data that could be standardized for the meta-analysis. We found that the degree to which the soil was rewetted and the water filled pore space (WFPS) the soil was brought to were significant explanatory variables (p = &lt; 0.0001). The larger the difference between the dry and wet states of the soil and the higher the WFPS of the soil after rewetting, the larger the hot moment, with an exponential increase once the soil is anaerobic. Substrate availability and fertiliser quantity and type were also important controls on the amount of N2O emitted during the hot moment (p = &lt; 0.0001). However, controls with a constant WFPS can have the same anaerobicity and substrate concentrations, yet much lower emissions, so we suggest that it is the bioavailability of and how the substrates are utilized by the microbial community, and thus how they are primed by the drought, that is the main causal mechanism. Unfortunately, there is still a large uncertainty regarding how microbial population structure, relative gene abundances and gene expression profiles change according to antecedent dry/wet cycles. We suggest several areas of improvement for future studies and the development of drought-impact curves. These would show the relationship between N2O emissions and the length of drought (we found no studies that have investigated this) and N2O emissions and the severity of drought (e.g. the difference between 20% and 40% WFPS). Highlights We investigated the main causal mechanisms of N2O hot moments after soil is rewetted. This is the first meta-analysis and synthesis of the literature regarding N2O hot moments. The more anaerobic the soil and the more C and N substrates, the larger the hot moment. We provide recommendations for future studies and outline key gaps in the research.","container-title":"European Journal of Soil Science","DOI":"10.1111/ejss.13015","ISSN":"1365-2389","issue":"6","language":"en","license":"© 2020 British Society of Soil Science","note":"_eprint: https://onlinelibrary.wiley.com/doi/pdf/10.1111/ejss.13015","page":"2504-2516","source":"Wiley Online Library","title":"The impact of drought and rewetting on N2O emissions from soil in temperate and Mediterranean climates","volume":"72","author":[{"family":"Barrat","given":"Harry A."},{"family":"Evans","given":"Jess"},{"family":"Chadwick","given":"David R."},{"family":"Clark","given":"Ian M."},{"family":"Le Cocq","given":"Kate"},{"family":"M. Cardenas","given":"Laura"}],"issued":{"date-parts":[["2021"]]}}},{"id":287,"uris":["http://zotero.org/users/6054951/items/5S54GVNQ"],"itemData":{"id":287,"type":"article-journal","abstract":"Soil drying and subsequent rewetting induces N mineralization and denitrification, but the effects of the “extent” or “degree” of drying and rewetting remains poorly understood. The impacts of different degrees of soil drying (drying to 45, 30, 20, or 10% water-filled pore space, WFPS) and subsequent rewetting (rewetting to 75 or 90% WFPS) on N2O emissions, denitrification, and net N mineralization were investigated. The highest N2O emissions (201 µg N2O-N kg-1) occurred when the soils were dried to 10% WFPS followed by rewetting to 90% WFPS, whereas the lowest emissions (4.72 µg N2O-N kg-1) occurred when the soil was dried to 45% WFPS followed by rewetting to 75% WFPS. When soil was rewetted from 10 to 90% WFPS, cumulative N2O emissions over 120 h were 7.4 times greater than when the soil was rewetted from 10 to 75% WFPS. The proportion of N2O evolved [N2O/(N2O+N2)] generally increased as the soil dried. Soil rewetting to 75% WFPS generally produced greater N2O/(N2O+N2) ratios than rewetting to 90% WFPS. Net N mineralization rates in soils rewetted to 75% WFPS significantly increased from 0.78 mg N kg-1 d-1 for the soils dried to 45% WFPS to 1.69 mg N kg-1 d-1 for the soils dried to 10% WFPS. More extensive soil drying and more extensive rewetting stimulated N2O emissions and total denitrification losses, whereas net N mineralization rates were stimulated only by more extensive drying. Management practices which reduce extreme fluctuations in soil water content may consequently reduce N2O and total denitrification losses.","container-title":"Soil Science Society of America Journal","DOI":"10.2136/sssaj2013.06.0219","ISSN":"1435-0661","issue":"1","language":"en","license":"Copyright © by the Soil Science Society of America, Inc.","note":"_eprint: https://acsess.onlinelibrary.wiley.com/doi/pdf/10.2136/sssaj2013.06.0219","page":"194-204","source":"Wiley Online Library","title":"The Extent of Soil Drying and Rewetting Affects Nitrous Oxide Emissions, Denitrification, and Nitrogen Mineralization","volume":"78","author":[{"family":"Guo","given":"Xiaobin"},{"family":"Drury","given":"Craig F."},{"family":"Yang","given":"Xueming"},{"family":"Reynolds","given":"W. Daniel"},{"family":"Fan","given":"Ruqin"}],"issued":{"date-parts":[["2014"]]}}}],"schema":"https://github.com/citation-style-language/schema/raw/master/csl-citation.json"} </w:instrText>
      </w:r>
      <w:r>
        <w:fldChar w:fldCharType="separate"/>
      </w:r>
      <w:r w:rsidRPr="005F68B9">
        <w:t>(Barrat et al., 2021; Guo et al., 2014)</w:t>
      </w:r>
      <w:r>
        <w:fldChar w:fldCharType="end"/>
      </w:r>
      <w:r>
        <w:t>. On the other hand, high soil moisture has been shown to conversely lead to a sharp decline in N</w:t>
      </w:r>
      <w:r>
        <w:rPr>
          <w:vertAlign w:val="subscript"/>
        </w:rPr>
        <w:t>2</w:t>
      </w:r>
      <w:r>
        <w:t xml:space="preserve">O emissions as moisture rises above the air entry value (AEV), a hydraulic property controlled by texture and structure which describes the point at which air is first permitted to enter the largest pores when drying from saturation </w:t>
      </w:r>
      <w:r>
        <w:fldChar w:fldCharType="begin"/>
      </w:r>
      <w:r>
        <w:instrText xml:space="preserve"> ADDIN ZOTERO_ITEM CSL_CITATION {"citationID":"hfqAveN3","properties":{"formattedCitation":"(Balaine et al., 2013; Es-haghi et al., 2022; Rabot et al., 2016)","plainCitation":"(Balaine et al., 2013; Es-haghi et al., 2022; Rabot et al., 2016)","noteIndex":0},"citationItems":[{"id":1324,"uris":["http://zotero.org/groups/4573874/items/8RSJKU2S"],"itemData":{"id":1324,"type":"article-journal","abstract":"Nitrous oxide (N2O) is a greenhouse gas and the main anthropogenic emission contributing to stratospheric ozone depletion. Agricultural soils dominate anthropogenic N2O emissions but there is very limited information specifically relating relative soil gas diffusivity (Dp/Do) to N2O emissions. This study was conducted to determine the effects of soil bulk density (ρb) and matric potential (ψ) on Dp/Do and the associated N2O fluxes in the presence of denitrification substrates. The interaction between soil ρb and ψ on Dp/Do and N2O fluxes was investigated using 880 repacked soil cores that were saturated with a nitrate (NO3–) solution and placed on tension tables at 11 levels of ψ and 5 levels of soil ρb. After equilibration (4 d) N2O fluxes, Dp/Do, inorganic-N concentrations, and soil physical characteristics were determined. Emissions of N2O peaked at increasingly lower levels of ψ(–1.5 to –6.0 kPa) as soil ρb increased (1.1 to 1.5 Mg m–3) due to increasing microporosity. Peak N2O emissions occurred across a relatively wide range of water-filled pore space (WFPS) and volumetric water content. A Gaussian fit of N2O-N fluxes against ψ showed maximum fluxes were related to the soil's air-entry potential (r2 = 0.96). Maximum N2O emissions occurred at a Dp/Do value of 0.006 that was independent of soil ρb. Log N2O-N flux was a function of log Dp/Do (r2 = 0.82) when Dp/Do was &gt;0.006. Soil Dp/Do is a key indicator of N2O emission potential and needs to be further explored as a predictor of N2O emissions in a range of soil textures and denitrification substrates.","container-title":"Soil Science Society of America Journal","DOI":"10.2136/sssaj2013.04.0141","ISSN":"1435-0661","issue":"5","language":"en","license":"Copyright © by the Soil Science Society of America, Inc.","note":"_eprint: https://onlinelibrary.wiley.com/doi/pdf/10.2136/sssaj2013.04.0141","page":"1496-1505","source":"Wiley Online Library","title":"Changes in Relative Gas Diffusivity Explain Soil Nitrous Oxide Flux Dynamics","volume":"77","author":[{"family":"Balaine","given":"Nimlesh"},{"family":"Clough","given":"Tim J."},{"family":"Beare","given":"Mike H."},{"family":"Thomas","given":"Steve M."},{"family":"Meenken","given":"Esther D."},{"family":"Ross","given":"James G."}],"issued":{"date-parts":[["2013"]]}}},{"id":1321,"uris":["http://zotero.org/groups/4573874/items/575BGXB2"],"itemData":{"id":1321,"type":"article-journal","abstract":"The application of machine learning (ML) methods has proven to be promising in dealing with a wide range of geotechnical engineering problems in recent years. ML methods have already been used for the prediction of soil water retention curves (SWRC) and estimation of air-entry values (AEV). However, the reported works in the literature are generally based on limited data and conventional, less accurate approaches for AEV estimation. In this paper, a large database, known as UNsaturated SOil hydraulic DAtabase (UNSODA), is studied and the conventional and true AEVs of 790 soil samples are estimated based on determination methods reported in the literature. A ML approach is then employed for the development of a predictive model for the estimation of true AEV from water content-based SWRCs of a wide range of soil types taking into account the impact of bulk density and grain size distribution parameters. The obtained results reveal an enhanced accuracy in AEV determination, featuring R2 values of 0.964, 0.901 and 0.851 for training, validation, and testing data, respectively, which confirm the high-level performance of the developed ML model. Based on the results of a sensitivity analysis, the particle sizes of 50 and 250 µm are found to have the highest impact on the AEV estimation.","container-title":"Gondwana Research","DOI":"10.1016/j.gr.2022.06.012","ISSN":"1342-937X","journalAbbreviation":"Gondwana Research","source":"ScienceDirect","title":"Machine learning-based estimation of soil’s true air-entry value from GSD curves","URL":"https://www.sciencedirect.com/science/article/pii/S1342937X22001885","author":[{"family":"Es-haghi","given":"Mohammad Sadegh"},{"family":"Rezania","given":"Mohammad"},{"family":"Bagheri","given":"Meghdad"}],"accessed":{"date-parts":[["2023",9,3]]},"issued":{"date-parts":[["2022",6,27]]}}},{"id":1309,"uris":["http://zotero.org/groups/4573874/items/M3PIH88R"],"itemData":{"id":1309,"type":"article-journal","abstract":"Microbial N2O production may occur via denitrification, a reaction which is influenced by the soil's water content. This study aimed to test the effect of soil water dynamics on N2O production and transport. The treatments consisted of two levels of soil bulk density (BD), negative pressure head applied on the soil cylinder (H), and saturated hydraulic conductivity of the ceramic plate placed at the bottom of the soil sample (K). We controlled the water status of repacked soil samples during two wetting-drying cycles, by using a multistep outflow system. The matric potential, outflow, N2O, and CO2 fluxes were recorded over time. A brief N2O peak occurred at the beginning of soil drying: N2O produced and entrapped in the soil during the wetting phase was released during soil drying with the increase in soil gas diffusion. Similar peaks dynamics were observed for CO2, implying that a physical process was involved. A relationship was observed to occur with maximum N2O fluxes increasing exponentially with cumulative drainage. Indeed, during drying, high N2O fluxes were measured when the air-entry potential was reached, i.e., when gas pathways were available for fast N2O transport in the gas phase. Then, maximum and cumulative N2O fluxes were highest for low BD and fast water flow during drying. Samples with the highest BD had smaller pore sizes, leading to low outflows at a given negative pressure head, and giving more time for further reduction of N2O to N2. We ranked the importance of the parameters controlling cumulative N2O fluxes: H&gt;BD&gt;K.","container-title":"Geoderma","DOI":"10.1016/j.geoderma.2016.06.012","ISSN":"0016-7061","journalAbbreviation":"Geoderma","page":"38-46","source":"ScienceDirect","title":"Effect of the soil water dynamics on nitrous oxide emissions","volume":"280","author":[{"family":"Rabot","given":"E."},{"family":"Hénault","given":"C."},{"family":"Cousin","given":"I."}],"issued":{"date-parts":[["2016",10,15]]}}}],"schema":"https://github.com/citation-style-language/schema/raw/master/csl-citation.json"} </w:instrText>
      </w:r>
      <w:r>
        <w:fldChar w:fldCharType="separate"/>
      </w:r>
      <w:r w:rsidRPr="009C6C7A">
        <w:rPr>
          <w:rFonts w:cs="Times New Roman"/>
        </w:rPr>
        <w:t>(Balaine et al., 2013; Es-haghi et al., 2022; Rabot et al., 2016)</w:t>
      </w:r>
      <w:r>
        <w:fldChar w:fldCharType="end"/>
      </w:r>
      <w:r>
        <w:t>. Because N</w:t>
      </w:r>
      <w:r>
        <w:rPr>
          <w:vertAlign w:val="subscript"/>
        </w:rPr>
        <w:t>2</w:t>
      </w:r>
      <w:r>
        <w:t xml:space="preserve">O diffusion through water is approximately 10,000 times slower than through air </w:t>
      </w:r>
      <w:r>
        <w:fldChar w:fldCharType="begin"/>
      </w:r>
      <w:r>
        <w:instrText xml:space="preserve"> ADDIN ZOTERO_ITEM CSL_CITATION {"citationID":"jbbnuf6e","properties":{"formattedCitation":"(Heincke &amp; Kaupenjohann, 1999)","plainCitation":"(Heincke &amp; Kaupenjohann, 1999)","noteIndex":0},"citationItems":[{"id":2483,"uris":["http://zotero.org/groups/4573874/items/3G9E5V7S"],"itemData":{"id":2483,"type":"article-journal","abstract":"In this review, which consists of two parts, major interactions between nitrous oxide (N2&gt;O) and soil solution are described. In the first part, as an introduction, concentrations of dissolved N2&gt;O in different aqueous systems are summarized. An inventory of data on maximal N2&gt;O concentrations in soil solution (up to 9984 μg N2&gt;O-N l−1&gt;) and in soil air (up to 8300 ppm) from literature is presented. The peak N2&gt;O concentrations represent a N2&gt;O supersaturation in the soil solution up to 30000 times with respect to ambient air and a soil air N2&gt;O concentration about 25000 times higher than in the atmosphere. The main physico–chemical parameters (solubility, diffusion) controlling N2&gt;O distribution between soil solution and soil air are outlined. The influences of cultivation practice, nitrogen turnover, water content and temperature on N2&gt;O a ccumulation in soil solution and soil air are reviewed. In the second part some models of N2&gt;O dynamics in soils are discussed with emphasis on N2&gt;O transport processes. A simple qualitative scheme is developed to categorize the effects of the soil solution on N2&gt;O dynamics in soils. In this scheme the temporary, intensive N2&gt;O oversaturation of the soil solution is interpreted as a result of gas diffusion inhibition by water (barrier function of soil solution) resulting in an accumulation of N2&gt;O. In addition, N2&gt;O supersaturation is an indication that transitory much N2&gt;O can be stored in the soil solution (storage function of soil solution). Where the soil solution flows up-, down- or sidewards it can act as a relevant transport medium for dissolved N2&gt;O (transport function of soil solution). This scheme is applied to examples from the literature.","container-title":"Nutrient Cycling in Agroecosystems","DOI":"10.1023/A:1009842011599","ISSN":"1573-0867","issue":"2","journalAbbreviation":"Nutrient Cycling in Agroecosystems","language":"en","page":"133-157","source":"Springer Link","title":"Effects of soil solution on the dynamics of N2O emissions: a review","title-short":"Effects of soil solution on the dynamics of N2O emissions","volume":"55","author":[{"family":"Heincke","given":"Maren"},{"family":"Kaupenjohann","given":"Martin"}],"issued":{"date-parts":[["1999",10,1]]}}}],"schema":"https://github.com/citation-style-language/schema/raw/master/csl-citation.json"} </w:instrText>
      </w:r>
      <w:r>
        <w:fldChar w:fldCharType="separate"/>
      </w:r>
      <w:r w:rsidRPr="00822904">
        <w:t>(Heincke &amp; Kaupenjohann, 1999)</w:t>
      </w:r>
      <w:r>
        <w:fldChar w:fldCharType="end"/>
      </w:r>
      <w:r>
        <w:t xml:space="preserve">, </w:t>
      </w:r>
      <w:r w:rsidRPr="004E77E9">
        <w:t>N</w:t>
      </w:r>
      <w:r w:rsidRPr="004E77E9">
        <w:rPr>
          <w:vertAlign w:val="subscript"/>
        </w:rPr>
        <w:t>2</w:t>
      </w:r>
      <w:r w:rsidRPr="004E77E9">
        <w:t>O</w:t>
      </w:r>
      <w:r>
        <w:t xml:space="preserve"> can become temporarily entrapped within the soil system under saturated conditions </w:t>
      </w:r>
      <w:r>
        <w:fldChar w:fldCharType="begin"/>
      </w:r>
      <w:r>
        <w:instrText xml:space="preserve"> ADDIN ZOTERO_ITEM CSL_CITATION {"citationID":"cN5RnkNi","properties":{"formattedCitation":"(Harter et al., 2016; Rabot et al., 2014, p. 201)","plainCitation":"(Harter et al., 2016; Rabot et al., 2014, p. 201)","dontUpdate":true,"noteIndex":0},"citationItems":[{"id":1333,"uris":["http://zotero.org/groups/4573874/items/CCL4ZDXR"],"itemData":{"id":1333,"type":"article-journal","abstract":"Nitrous oxide (N2O) is a potent greenhouse gas that is produced during microbial nitrogen transformation processes such as nitrification and denitrification. Soils represent the largest sources of N2O emissions with nitrogen fertilizer application being the main driver of rising atmospheric N2O concentrations. Soil biochar amendment has been proposed as a promising tool to mitigate N2O emissions from soils. However, the underlying processes that cause N2O emission suppression in biochar-amended soils are still poorly understood. We set up microcosm experiments with fertilized, wet soil in which we used 15N tracing techniques and quantitative polymerase chain reaction (qPCR) to investigate the impact of biochar on mineral and gaseous nitrogen dynamics and denitrification-specific functional marker gene abundance and expression. In accordance with previous studies our results showed that biochar addition can lead to a significant decrease in N2O emissions. Furthermore, we determined significantly higher quantities of soil-entrapped N2O and N2 in biochar microcosms and a biochar-induced increase in typical and atypical nosZ transcript copy numbers. Our findings suggest that biochar-induced N2O emission mitigation is based on the entrapment of N2O in water-saturated pores of the soil matrix and concurrent stimulation of microbial N2O reduction resulting in an overall decrease of the N2O/(N2O + N2) ratio.","container-title":"Scientific Reports","DOI":"10.1038/srep39574","ISSN":"2045-2322","issue":"1","journalAbbreviation":"Sci Rep","language":"en","license":"2016 The Author(s)","note":"number: 1\npublisher: Nature Publishing Group","page":"39574","source":"www.nature.com","title":"Gas entrapment and microbial N2O reduction reduce N2O emissions from a biochar-amended sandy clay loam soil","volume":"6","author":[{"family":"Harter","given":"Johannes"},{"family":"Guzman-Bustamante","given":"Ivan"},{"family":"Kuehfuss","given":"Stefanie"},{"family":"Ruser","given":"Reiner"},{"family":"Well","given":"Reinhard"},{"family":"Spott","given":"Oliver"},{"family":"Kappler","given":"Andreas"},{"family":"Behrens","given":"Sebastian"}],"issued":{"date-parts":[["2016",12,23]]}}},{"id":1329,"uris":["http://zotero.org/groups/4573874/items/K52IAU8Q"],"itemData":{"id":1329,"type":"article-journal","abstract":"Soil water is known to be a key factor for controlling N2O emissions. The relationship between N2O emissions and water-filled pore space (WFPS) at hydric equilibrium is often described as exponential, starting at 60% WFPS. Because water in soil is dynamic, however, N2O emissions should be seen as a dynamic process. In this study, we investigated the role of the soil hydric history on N2O emissions by varying the intensity and speed of soil drying. We performed a laboratory experiment under non-steady-state equilibrium to control the bottom boundary condition of undisturbed soil cylinders. Three treatments of stepwise drying were performed across the range 0 to −100 cm pressure head in two wetting–drying cycles. Two types of N2O peaks of the same order of magnitude were detected. A peak appeared within 2 d after rewetting and was related to microbial production processes. The second type of peak was detected within the first two steps of the decreasing pressure head. They occurred during a brief period, an average of 1.6 h after the change in hydric equilibrium, during the phase of steep decline in the soil matric potential. These peaks were induced by diffusion processes, and their intensities were correlated with the amount of water drained. Entrapment of N2O during the wetting phase and rapid displacement during the drying phase may have occurred. Our results showed that WFPS alone is not able to consistently predict N2O emissions by soils because production and emission phases must be distinguished.","container-title":"Soil Science Society of America Journal","DOI":"10.2136/sssaj2013.07.0311","ISSN":"1435-0661","issue":"2","language":"en","license":"Copyright © by the Soil Science Society of America, Inc.","note":"_eprint: https://onlinelibrary.wiley.com/doi/pdf/10.2136/sssaj2013.07.0311","page":"434-444","source":"Wiley Online Library","title":"Temporal Variability of Nitrous Oxide Emissionsby Soils as Affected by Hydric History","volume":"78","author":[{"family":"Rabot","given":"E."},{"family":"Hénault","given":"C."},{"family":"Cousin","given":"I."}],"issued":{"date-parts":[["2014"]]}},"locator":"201"}],"schema":"https://github.com/citation-style-language/schema/raw/master/csl-citation.json"} </w:instrText>
      </w:r>
      <w:r>
        <w:fldChar w:fldCharType="separate"/>
      </w:r>
      <w:r w:rsidRPr="00BD6115">
        <w:t>(Harter et al., 2016; Rabot et al., 2014)</w:t>
      </w:r>
      <w:r>
        <w:fldChar w:fldCharType="end"/>
      </w:r>
      <w:r>
        <w:t>. Eventually, soil moisture again falls and the opportunity for gas diffusion to the atmosphere is restored. What this means for subsequent N</w:t>
      </w:r>
      <w:r>
        <w:rPr>
          <w:vertAlign w:val="subscript"/>
        </w:rPr>
        <w:t>2</w:t>
      </w:r>
      <w:r>
        <w:t>O emissions, however, depends on many factors which have not been sufficiently explored in the context of agricultural soils. N</w:t>
      </w:r>
      <w:r w:rsidRPr="00722575">
        <w:rPr>
          <w:vertAlign w:val="subscript"/>
        </w:rPr>
        <w:t>2</w:t>
      </w:r>
      <w:r>
        <w:t xml:space="preserve">O is not the terminal product of microbial denitrification process, but is emitted from soil due to the “hole in the pipe” of nitrate reduction to dinitrogen </w:t>
      </w:r>
      <w:r>
        <w:fldChar w:fldCharType="begin"/>
      </w:r>
      <w:r>
        <w:instrText xml:space="preserve"> ADDIN ZOTERO_ITEM CSL_CITATION {"citationID":"jQrSXT5H","properties":{"formattedCitation":"(Firestone &amp; Davidson, 1989)","plainCitation":"(Firestone &amp; Davidson, 1989)","noteIndex":0},"citationItems":[{"id":1468,"uris":["http://zotero.org/groups/4573874/items/Z92D8J7N"],"itemData":{"id":1468,"type":"article-journal","container-title":"Exchange of trace gases between terrestrial ecosystems and the atmosphere","journalAbbreviation":"Exchange of trace gases between terrestrial ecosystems and the atmosphere","note":"publisher: Wiley New York","page":"7-21","title":"Microbiological basis of NO and N2O production and consumption in soil","volume":"47","author":[{"family":"Firestone","given":"Mary K"},{"family":"Davidson","given":"Eric A"}],"issued":{"date-parts":[["1989"]]}}}],"schema":"https://github.com/citation-style-language/schema/raw/master/csl-citation.json"} </w:instrText>
      </w:r>
      <w:r>
        <w:fldChar w:fldCharType="separate"/>
      </w:r>
      <w:r w:rsidRPr="00480454">
        <w:t>(Firestone &amp; Davidson, 1989)</w:t>
      </w:r>
      <w:r>
        <w:fldChar w:fldCharType="end"/>
      </w:r>
      <w:r>
        <w:t>. N</w:t>
      </w:r>
      <w:r>
        <w:rPr>
          <w:vertAlign w:val="subscript"/>
        </w:rPr>
        <w:t>2</w:t>
      </w:r>
      <w:r>
        <w:t>O is thus produced and consumed by denitrification, and the amount of N</w:t>
      </w:r>
      <w:r>
        <w:rPr>
          <w:vertAlign w:val="subscript"/>
        </w:rPr>
        <w:t>2</w:t>
      </w:r>
      <w:r>
        <w:t xml:space="preserve">O released after a </w:t>
      </w:r>
      <w:r>
        <w:lastRenderedPageBreak/>
        <w:t>entrapment depends upon the absolute and relative rates of subprocesses which produce and consume N</w:t>
      </w:r>
      <w:r>
        <w:rPr>
          <w:vertAlign w:val="subscript"/>
        </w:rPr>
        <w:t>2</w:t>
      </w:r>
      <w:r>
        <w:t xml:space="preserve">O </w:t>
      </w:r>
      <w:r>
        <w:fldChar w:fldCharType="begin"/>
      </w:r>
      <w:r>
        <w:instrText xml:space="preserve"> ADDIN ZOTERO_ITEM CSL_CITATION {"citationID":"bqwvwiwx","properties":{"formattedCitation":"(Stanford, Vander Pol, et al., 1975)","plainCitation":"(Stanford, Vander Pol, et al., 1975)","dontUpdate":true,"noteIndex":0},"citationItems":[{"id":1351,"uris":["http://zotero.org/groups/4573874/items/VXL2N8Y3"],"itemData":{"id":1351,"type":"article-journal","container-title":"Soil Science Society of America Journal","DOI":"10.2136/sssaj1975.03615995003900020019x","ISSN":"03615995","issue":"2","journalAbbreviation":"Soil Science Society of America Journal","language":"en","page":"284-289","source":"DOI.org (Crossref)","title":"Denitrification Rates in Relation to Total and Extractable Soil Carbon","volume":"39","author":[{"family":"Stanford","given":"George"},{"family":"Vander Pol","given":"Roger A."},{"family":"Dzienia","given":"Stanislaw"}],"issued":{"date-parts":[["1975",3]]}}}],"schema":"https://github.com/citation-style-language/schema/raw/master/csl-citation.json"} </w:instrText>
      </w:r>
      <w:r>
        <w:fldChar w:fldCharType="separate"/>
      </w:r>
      <w:r w:rsidRPr="005F68B9">
        <w:t>(Stanford, et al., 1975)</w:t>
      </w:r>
      <w:r>
        <w:fldChar w:fldCharType="end"/>
      </w:r>
      <w:r>
        <w:t>. Lowered gas diffusivity and higher tortuosity of finer textured soils may lead to greater N</w:t>
      </w:r>
      <w:r>
        <w:rPr>
          <w:vertAlign w:val="subscript"/>
        </w:rPr>
        <w:t>2</w:t>
      </w:r>
      <w:r>
        <w:t>O entrapment at or near saturation, potentially allowing for complete reduction to lowered N</w:t>
      </w:r>
      <w:r>
        <w:rPr>
          <w:vertAlign w:val="subscript"/>
        </w:rPr>
        <w:t>2</w:t>
      </w:r>
      <w:r>
        <w:t>O:N</w:t>
      </w:r>
      <w:r>
        <w:rPr>
          <w:vertAlign w:val="subscript"/>
        </w:rPr>
        <w:t>2</w:t>
      </w:r>
      <w:r>
        <w:t xml:space="preserve"> ratio of emitted gases after long periods of entrapment </w:t>
      </w:r>
      <w:r>
        <w:fldChar w:fldCharType="begin"/>
      </w:r>
      <w:r>
        <w:instrText xml:space="preserve"> ADDIN ZOTERO_ITEM CSL_CITATION {"citationID":"1kuremT3","properties":{"formattedCitation":"(Gu et al., 2013)","plainCitation":"(Gu et al., 2013)","noteIndex":0},"citationItems":[{"id":3567,"uris":["http://zotero.org/groups/6023057/items/9K8M49V8"],"itemData":{"id":3567,"type":"article-journal","abstract":"Lack of regional measurements on nitrous oxide (N2O) flux under tile-drained conditions may cause a misunderstanding of key factors controlling N2O emissions at landscape scale. The aims of this study were to assess the spatial variations in N2O emissions and identify the regulatory effects of soil physico-chemical properties across a tile-drained agricultural landscape. N2O fluxes from winter wheat fields were measured at seventeen sites across a 30-km2 region using manual chambers during the fertilization periods (between February and May) in 2009 and 2010. All sites received nitrogen (N) fertilizer at 170–195 kg N ha−1 and the N regimes were mostly independent. Soil properties were determined in air-dried samples. The potential denitrification rates and the maximum fraction of N2O emitted through denitrification were measured in a laboratory incubation experiment in May 2009 using soils at nine sites with acetylene blockage technique. Results showed a non-significant difference in the potential denitrification between soils (p = 0.078) but a significant difference in the fraction of N2O production through denitrification (p = 0.024). Neither of these biological parameters that represented the activity of denitrifying enzymes related to soil properties and N2O emissions. Cumulative N2O emissions had significant spatial variations in 2009 (p = 0.001) but not in 2010 (p = 0.222). Topography did not affect N2O emissions mostly due to the topographic effects on soil hydrology being partly offset by tile drainage. Soil texture (clay or silt content), pH and exchangeable magnesium (Mg) related significantly (p &lt; 0.05) to N2O emission factors (uncorrected for background emissions). We suggest that (1) soil clay content decreased gas diffusivity and promoted N2O reduction thereby controlling N2O emissions across the region, and (2) the effects of soil pH and Mg on N2O emissions indirectly reflected the effect of soil texture due to the interactions of soil properties.","container-title":"Soil Biology and Biochemistry","DOI":"10.1016/j.soilbio.2013.01.029","ISSN":"0038-0717","journalAbbreviation":"Soil Biology and Biochemistry","page":"134-141","source":"ScienceDirect","title":"A regional experiment suggests that soil texture is a major control of N2O emissions from tile-drained winter wheat fields during the fertilization period","volume":"60","author":[{"family":"Gu","given":"Jiangxin"},{"family":"Nicoullaud","given":"Bernard"},{"family":"Rochette","given":"Philippe"},{"family":"Grossel","given":"Agnes"},{"family":"Hénault","given":"Catherine"},{"family":"Cellier","given":"Pierre"},{"family":"Richard","given":"Guy"}],"issued":{"date-parts":[["2013",5,1]]}}}],"schema":"https://github.com/citation-style-language/schema/raw/master/csl-citation.json"} </w:instrText>
      </w:r>
      <w:r>
        <w:fldChar w:fldCharType="separate"/>
      </w:r>
      <w:r w:rsidRPr="00DD40AD">
        <w:t>(Gu et al., 2013)</w:t>
      </w:r>
      <w:r>
        <w:fldChar w:fldCharType="end"/>
      </w:r>
      <w:r>
        <w:t>. Conversely, if the rate of nitrite reduction to N</w:t>
      </w:r>
      <w:r>
        <w:rPr>
          <w:vertAlign w:val="subscript"/>
        </w:rPr>
        <w:t>2</w:t>
      </w:r>
      <w:r>
        <w:t>O exceeds the rate of N</w:t>
      </w:r>
      <w:r>
        <w:rPr>
          <w:vertAlign w:val="subscript"/>
        </w:rPr>
        <w:t>2</w:t>
      </w:r>
      <w:r>
        <w:t>O reduction to N</w:t>
      </w:r>
      <w:r>
        <w:rPr>
          <w:vertAlign w:val="subscript"/>
        </w:rPr>
        <w:t>2</w:t>
      </w:r>
      <w:r>
        <w:t>, a lengthened period of anoxia would permit greater N</w:t>
      </w:r>
      <w:r>
        <w:rPr>
          <w:vertAlign w:val="subscript"/>
        </w:rPr>
        <w:t>2</w:t>
      </w:r>
      <w:r>
        <w:t xml:space="preserve">O generation over time leading to increased emissions </w:t>
      </w:r>
      <w:r>
        <w:fldChar w:fldCharType="begin"/>
      </w:r>
      <w:r>
        <w:instrText xml:space="preserve"> ADDIN ZOTERO_ITEM CSL_CITATION {"citationID":"uPJuRh7m","properties":{"formattedCitation":"(Betlach &amp; Tiedje, 1981)","plainCitation":"(Betlach &amp; Tiedje, 1981)","noteIndex":0},"citationItems":[{"id":1488,"uris":["http://zotero.org/groups/4573874/items/VT7VEF3K"],"itemData":{"id":1488,"type":"article-journal","abstract":"The kinetics of denitrification and the causes of nitrite and nitrous oxide accumulation were examined in resting cell suspensions of three denitrifiers. An Alcaligenes species and a Pseudomonas fluorescens isolate characteristically accumulated nitrite when reducing nitrate; a Flavobacterium isolate did not. Nitrate did not inhibit nitrite reduction in cultures grown with tungstate to prevent formation of an active nitrate reductase; rather, accumulation of nitrite seemed to depend on the relative rates of nitrate and nitrite reduction. Each isolate rapidly reduced nitrous oxide even when nitrate or nitrite had been included in the incubation mixture. Nitrate also did not inhibit nitrous oxide reduction in Alcaligenes odorans, an organism incapable of nitrate reduction. Thus, added nitrate or nitrite does not always cause nitrous oxide accumulation, as has often been reported for denitrifying soils. All strains produced small amounts of nitric oxide during denitrification in a pattern suggesting that nitric oxide was also under kinetic control similar to that of nitrite and nitrous oxide. Apparent Km values for nitrate and nitrite reduction were 15 μM or less for each isolate. The Km value for nitrous oxide reduction by Flavobacterium sp. was 0.5 μM. Numerical solutions to a mathematical model of denitrification based on Michaelis-Menten kinetics showed that differences in reduction rates of the nitrogenous compounds were sufficient to account for the observed patterns of nitrite, nitric oxide, and nitrous oxide accumulation. Addition of oxygen inhibited gas production from 13NO3− by Alcaligenes sp. and P. fluorescens, but it did not reduce gas production by Flavobacterium sp. However, all three isolates produced higher ratios of nitrous oxide to dinitrogen as the oxygen tension increased. Inclusion of oxygen in the model as a nonspecific inhibitor of each step in denitrification resulted in decreased gas production but increased ratios of nitrous oxide to dinitrogen, as observed experimentally. The simplicity of this kinetic model of denitrification and its ability to unify disparate observations should make the model a useful guide in research on the physiology of denitrifier response to environmental effectors.","container-title":"Applied and Environmental Microbiology","DOI":"10.1128/aem.42.6.1074-1084.1981","issue":"6","note":"publisher: American Society for Microbiology","page":"1074-1084","source":"journals.asm.org (Atypon)","title":"Kinetic Explanation for Accumulation of Nitrite, Nitric Oxide, and Nitrous Oxide During Bacterial Denitrification","volume":"42","author":[{"family":"Betlach","given":"Michael R."},{"family":"Tiedje","given":"James M."}],"issued":{"date-parts":[["1981",12]]}}}],"schema":"https://github.com/citation-style-language/schema/raw/master/csl-citation.json"} </w:instrText>
      </w:r>
      <w:r>
        <w:fldChar w:fldCharType="separate"/>
      </w:r>
      <w:r w:rsidRPr="00BB7A59">
        <w:t>(Betlach &amp; Tiedje, 1981)</w:t>
      </w:r>
      <w:r>
        <w:fldChar w:fldCharType="end"/>
      </w:r>
      <w:r>
        <w:t xml:space="preserve">. </w:t>
      </w:r>
    </w:p>
    <w:p w14:paraId="66966279" w14:textId="242AAC52" w:rsidR="00EE287F" w:rsidRPr="008A1D45" w:rsidRDefault="00EE287F" w:rsidP="001B567A">
      <w:pPr>
        <w:spacing w:after="0" w:line="480" w:lineRule="auto"/>
      </w:pPr>
      <w:r>
        <w:t>Additional factors at play include the availability of denitrification substrates, particularly nitrogen and organic carbon</w:t>
      </w:r>
      <w:r w:rsidRPr="00BC0415">
        <w:t>. High soil organic matter substrate availability accelerates the overall rate of heterotrophic denitrification and can significantly or completely reduce available nitrate to N</w:t>
      </w:r>
      <w:r w:rsidRPr="00BC0415">
        <w:rPr>
          <w:vertAlign w:val="subscript"/>
        </w:rPr>
        <w:t>2</w:t>
      </w:r>
      <w:r w:rsidRPr="00BC0415">
        <w:t xml:space="preserve"> </w:t>
      </w:r>
      <w:r w:rsidRPr="00BC0415">
        <w:fldChar w:fldCharType="begin"/>
      </w:r>
      <w:r w:rsidR="00D74AD1">
        <w:instrText xml:space="preserve"> ADDIN ZOTERO_ITEM CSL_CITATION {"citationID":"6tUChrNt","properties":{"formattedCitation":"(Panday et al., 2022; Senbayram et al., 2012; Stanford, Vander Pol, et al., 1975)","plainCitation":"(Panday et al., 2022; Senbayram et al., 2012; Stanford, Vander Pol, et al., 1975)","noteIndex":0},"citationItems":[{"id":1278,"uris":["http://zotero.org/groups/4573874/items/27VZAXJG"],"itemData":{"id":1278,"type":"article-journal","abstract":"Under increasing frequency and intensity of extreme weather events, the natural wet-dry cycles of different intensities can induce soil carbon (C) and nitrogen (N) transformation and may contribute to increased nitrous oxide (N2O) and carbon dioxide (CO2) emissions from cultivated soils. While cover crop residue addition is a viable strategy to improve soil health, their impacts on soil greenhouse gas (GHG) emissions, especially N2O emissions, in response to wetting-drying intensities have received limited attention. A 3-factorial laboratory incubation was conducted using soils from a long-term experiment to examine cover crop residue roles on N2O and CO2 emissions when exposed to different intensities of wetting-drying cycles. These factors included (i) cover crop residue (3 levels): no cover crop, winter wheat (Triticum aestivum L.), and crimson clover (Trifolium incarnatum L.), (ii) wetting intensity (2 levels): 70% and 90% water-filled pore space (WFPS), and (iii) drying intensity (2 levels): 10% and 40% WFPS. All treatments received the same amount of N fertiliser as urea equivalent to 100 kg N ha−1. We measured N2O and CO2 fluxes, N2O isotopomer composition, as well as dynamics of soil WFPS and biogeochemical changes after wetting. While cover crop residue addition generally exhibited higher CO2 emissions than the no cover crop treatment under all wetting-drying intensities, their impact on N2O was more nuanced and contingent on cover crop residue type and wetting-drying intensity. When wetted to 70% WFPS, crimson clover amended soils produced the largest daily and cumulative N2O emissions, whereas soil amended with winter wheat residues had comparable emissions to the no cover crop treatment. In contrast, cover crop residues, especially winter wheat, significantly decreased N2O emissions under extreme wetting to 90% WFPS which was often dominated by denitrification and nitrifier denitrification processes (except in winter wheat when wetted from 10% WFPS). Our results suggest that winter wheat cover crop residues mixed with N fertiliser could provide reliable N2O mitigation benefits under variable soil moisture conditions. Highlights Cover crop effects on N2O emissions from soil with varied wetting-drying intensities were studied Increased risks of N2O emissions with increasing intensity of wetting of dry soils Crimson clover produced higher N2O emissions than no cover crop when wetted to 70% WFPS Cover crops mixed with N fertiliser reduced N2O emissions than no cover crop when wetted to 90% WFPS","container-title":"European Journal of Soil Science","DOI":"10.1111/ejss.13309","ISSN":"1365-2389","issue":"5","language":"en","license":"© 2022 British Society of Soil Science.","note":"_eprint: https://onlinelibrary.wiley.com/doi/pdf/10.1111/ejss.13309","page":"e13309","source":"Wiley Online Library","title":"Cover crop residue influence on soil N2O and CO2 emissions under wetting-drying intensities: An incubation study","title-short":"Cover crop residue influence on soil N2O and CO2 emissions under wetting-drying intensities","volume":"73","author":[{"family":"Panday","given":"Dinesh"},{"family":"Saha","given":"Debasish"},{"family":"Lee","given":"Jaehoon"},{"family":"Jagadamma","given":"Sindhu"},{"family":"Adotey","given":"Nutifafa"},{"family":"Mengistu","given":"Alemu"}],"issued":{"date-parts":[["2022"]]}}},{"id":3556,"uris":["http://zotero.org/groups/6023057/items/VH49UH7W"],"itemData":{"id":3556,"type":"article-journal","abstract":"Amending agricultural soils with organic residues is frequently recommended to improve soil fertility and to sequester carbon for counteracting global warming. However, such amendments will enhance microbial respiration, hence denitrification. Therefore, the assessment of effects on global warming must take N2O emission and the N2O/(N2O+N2) product ratio of denitrification into account. There are some indications that the product ratio of denitrification is positively correlated with the ratio of available NO3− and available organic C in soils, but more research is needed to unravel quantitative relationships in well defined experiments. We conducted two laboratory incubation experiments, with the objective (i) to test the impact of the application of various N containing organic substrates including biogas residue on the denitrification rate and on N2O emission, and (ii) to investigate the effect of various NO3− concentrations on the denitrification rate and the N2O/(N2O+N2) product ratio under standardized anoxic conditions in soils collected from long-term organic or inorganic fertilizer plots. In experiment 1, we found that biogas residue was more recalcitrant than maize straw, despite a high concentration of soluble organic C. High respiration (treatments with maize straw and sucrose) resulted in a transient peak in N2O emission, declining rapidly towards zero as nitrate concentrations reached less than 20mg NO3−-Nkg−1 dry soil. Application of biogas residue had a more moderate effect on soil respiration and denitrification, and resulted in a more long lasting peak in N2O emission. The results were interpreted as a result of a gradual increase in the relative activity of N2O reductase (thus lowering of the N2O/(N2O+N2) product ratio of denitrification) throughout the incubation, most likely controlled by concentration of available NO3− in soil. In the second experiment, we found low N2O/(N2O+N2) product ratios for the treatment where NO3− concentrations were ≤2mM, and the ratios were clearly lower in manure fertilized than in mineral fertilizer treated soil. Much higher N2O/(N2O+N2) product ratios were found for the treatments with ≥10mM NO3−, and the ratios were remarkably independent of the soil's fertilizer history. We conclude that (i) in N-fertilized agricultural soils, application of organic matter with high contents of labile C may trigger denitrification-derived N2O emission whereas (ii) in soils with low NO3− contents such application may substantially lower the N2O/(N2O+N2) product ratio and hence N2O emission.","collection-title":"Mitigation of environmental impacts of nitrogen use in agriculture","container-title":"Agriculture, Ecosystems &amp; Environment","DOI":"10.1016/j.agee.2011.06.022","ISSN":"0167-8809","journalAbbreviation":"Agriculture, Ecosystems &amp; Environment","page":"4-12","source":"ScienceDirect","title":"N2O emission and the N2O/(N2O   +   N2) product ratio of denitrification as controlled by available carbon substrates and nitrate concentrations","volume":"147","author":[{"family":"Senbayram","given":"M."},{"family":"Chen","given":"R."},{"family":"Budai","given":"A."},{"family":"Bakken","given":"L."},{"family":"Dittert","given":"K."}],"issued":{"date-parts":[["2012",1,15]]}}},{"id":1351,"uris":["http://zotero.org/groups/4573874/items/VXL2N8Y3"],"itemData":{"id":1351,"type":"article-journal","container-title":"Soil Science Society of America Journal","DOI":"10.2136/sssaj1975.03615995003900020019x","ISSN":"03615995","issue":"2","journalAbbreviation":"Soil Science Society of America Journal","language":"en","page":"284-289","source":"DOI.org (Crossref)","title":"Denitrification Rates in Relation to Total and Extractable Soil Carbon","volume":"39","author":[{"family":"Stanford","given":"George"},{"family":"Vander Pol","given":"Roger A."},{"family":"Dzienia","given":"Stanislaw"}],"issued":{"date-parts":[["1975",3]]}}}],"schema":"https://github.com/citation-style-language/schema/raw/master/csl-citation.json"} </w:instrText>
      </w:r>
      <w:r w:rsidRPr="00BC0415">
        <w:fldChar w:fldCharType="separate"/>
      </w:r>
      <w:r w:rsidR="00D74AD1" w:rsidRPr="00D74AD1">
        <w:rPr>
          <w:rFonts w:cs="Times New Roman"/>
        </w:rPr>
        <w:t>(Panday et al., 2022; Senbayram et al., 2012; Stanford, Vander Pol, et al., 1975)</w:t>
      </w:r>
      <w:r w:rsidRPr="00BC0415">
        <w:fldChar w:fldCharType="end"/>
      </w:r>
      <w:r w:rsidRPr="00BC0415">
        <w:t xml:space="preserve">- a key principle to improving water quality through woodchip bioreactors </w:t>
      </w:r>
      <w:r w:rsidRPr="00BC0415">
        <w:fldChar w:fldCharType="begin"/>
      </w:r>
      <w:r>
        <w:instrText xml:space="preserve"> ADDIN ZOTERO_ITEM CSL_CITATION {"citationID":"mwHvc3q1","properties":{"formattedCitation":"(Audet et al., 2021; Rivas et al., 2020)","plainCitation":"(Audet et al., 2021; Rivas et al., 2020)","noteIndex":0},"citationItems":[{"id":1352,"uris":["http://zotero.org/groups/4573874/items/PS9D7WC8"],"itemData":{"id":1352,"type":"article-journal","abstract":"Woodchip bioreactors are increasingly used as tools to mitigate nitrogen (N) pollution from agricultural drainage water. They consist of a basin filled with woodchip material through which N contaminated drainage water can flow. During the water transport through the filter matrix, oxygen is rapidly depleted and denitrification removes a fraction of the nitrate N present in the water. However, the N removal efficiency of the bioreactors varies significantly both across systems and seasonally. Furthermore, denitrification can also produce nitrous oxide, which is a potent greenhouse gas. Here, we investigated how variation in hydraulic residence time influenced N removal efficiency and nitrous oxide emissions at eight woodchip bioreactors of different flow designs, monitored for 2–4 years. We also characterised the relative abundance of genes involved in the N cycle at three of the bioreactors using metagenomics. Our results showed that total N removal was 17–73% of the yearly incoming N and that it was influenced by hydraulic residence time and water temperature. Nitrous oxide emissions were variable among the different bioreactors and were higher when the hydraulic residence time was less than 60 h. However, the yearly nitrous oxide release did not exceed 2.4% of the nitrate removal (on N atom basis) and the mean among the bioreactors was 0.6%. Although there were marked differences in nitrate removal and nitrous oxide emissions, there were no clear differences in the relative abundance of N-cycling genes among and within three tested bioreactors. Yet, denitrification genes greatly outnumbered genes related to dissimilatory nitrate reduction to ammonium. Overall, our study showed that all eight bioreactors were effective in removing N from agricultural drainage water and that nitrous oxide emissions were low, especially at hydraulic residence times of 60 h or more.","container-title":"Ecological Engineering","DOI":"10.1016/j.ecoleng.2021.106328","ISSN":"0925-8574","journalAbbreviation":"Ecological Engineering","page":"106328","source":"ScienceDirect","title":"Nitrogen removal and nitrous oxide emissions from woodchip bioreactors treating agricultural drainage waters","volume":"169","author":[{"family":"Audet","given":"Joachim"},{"family":"Jéglot","given":"Arnaud"},{"family":"Elsgaard","given":"Lars"},{"family":"Maagaard","given":"Astrid Ledet"},{"family":"Sørensen","given":"Sebastian Reinhold"},{"family":"Zak","given":"Dominik"},{"family":"Hoffmann","given":"Carl Christian"}],"issued":{"date-parts":[["2021",11,1]]}}},{"id":1487,"uris":["http://zotero.org/groups/4573874/items/PKJCY2AD"],"itemData":{"id":1487,"type":"article-journal","abstract":"While enabling economically viable use of poorly drained soils, artificial subsurface drainage has also been found to be a significant pathway for nutrient transfers from agricultural land to surface waters. Thus, mitigating the impacts of agriculture on surface water quality needs to address nutrient transfers via subsurface drainage. Woodchip bioreactors are a promising mitigation option as demonstrated under arable agriculture in the mid-west of the USA. However, research is needed to ascertain their efficiency in removing nutrients from very flashy drainage flows common in New Zealand (NZ) pastoral agriculture and any possible pollution swapping (e.g. reduction of leaching losses vs. greenhouse gas emissions). Accordingly, a lined 78-m3 woodchip bioreactor was constructed on a dairy farm in the Hauraki Plains (Waikato, NZ) with a drainage area of 0.65 ha. Rainfall, flow, hydrochemistry and dissolved gases in the inflow and outflow were monitored for two drainage seasons (part of 2017, 2018). Based on the nitrate-N fluxes, the estimated nitrate removal efficiency of the bioreactor was 99 and 48% in 2017 and 2018, respectively. The higher removal efficiency in 2017 could be attributed to two reasons. Firstly, the substantially longer hydraulic residence time (HRT) of the water in the bioreactor (mean = 21.1 days vs 4.7 days in 2018) provided more opportunity for microorganisms to reduce the nitrate. A strong positive relationship between HRT and removal efficiency was also observed within the 2018 drainage season. Secondly, denitrification was supported in 2017 by greater electron donor availability. Evidence of this was the higher mass of DOC discharge from the bioreactor (318 mg C L−1 of bioreactor volume vs 165 mg C L−1 in 2018). Removal rates in the bioreactor varied from 0.67–1.60 g N m−3 day−1 and were positively correlated with inflow nitrate loads. Pollution swapping was observed during the start-up phase of the bioreactor in both years (DOC, and DRP only in 2017) and during periods with very long HRTs (hydrogen sulphide (H2S) and methane (CH4) production). Substantially elevated discharges of DOC and DRP, as compared to inlet conditions, occurred during the initial start-up phase of the bioreactor in 2017 (3 to 3.5 pore volumes of the bioreactor), but only slightly elevated DOC and decreased DRP discharges were observed when drainage flow resumed at the start of the 2018 drainage season. Unexpectedly, cumulative DRP removal during the 2018 drainage season amounted to 89% of the DRP inflow into the bioreactor. Long HRTs (&gt;5 days) enabled high nitrate removal efficiency (≥59%) and promoted complete reduction of nitrate to harmless dinitrogen gas but also promoted strongly reduced conditions, resulting in the production of H2S and CH4. On the other hand, short HRTs (&lt;4 days) only allowed for moderate nitrate removal efficiency (≤43%) and constrained complete reduction of nitrate resulting in higher nitrous oxide concentrations in the outflow as compared to the inflow. Thus, nitrate removals above 50% were not able to be achieved without inducing H2S and CH4 generation. However, it may be achievable when the microbial community is provided with an additional source of readily available carbon during the critical periods when hydraulic flow and concomitant N load peaks occur.","container-title":"Ecological Engineering","DOI":"10.1016/j.ecoleng.2020.105786","ISSN":"0925-8574","journalAbbreviation":"Ecological Engineering","page":"105786","source":"ScienceDirect","title":"Nitrate removal and secondary effects of a woodchip bioreactor for the treatment of subsurface drainage with dynamic flows under pastoral agriculture","volume":"148","author":[{"family":"Rivas","given":"Aldrin"},{"family":"Barkle","given":"Greg"},{"family":"Stenger","given":"Roland"},{"family":"Moorhead","given":"Brian"},{"family":"Clague","given":"Juliet"}],"issued":{"date-parts":[["2020",4,1]]}}}],"schema":"https://github.com/citation-style-language/schema/raw/master/csl-citation.json"} </w:instrText>
      </w:r>
      <w:r w:rsidRPr="00BC0415">
        <w:fldChar w:fldCharType="separate"/>
      </w:r>
      <w:r w:rsidRPr="00BC0415">
        <w:t>(Audet et al., 2021; Rivas et al., 2020)</w:t>
      </w:r>
      <w:r w:rsidRPr="00BC0415">
        <w:fldChar w:fldCharType="end"/>
      </w:r>
      <w:r w:rsidRPr="00BC0415">
        <w:t xml:space="preserve">. </w:t>
      </w:r>
      <w:r>
        <w:t>Under carbon limited conditions, however, denitrifying microbes may preferentially reduce more oxidized species of nitrogen, resulting in an accumulation of entrapped N</w:t>
      </w:r>
      <w:r w:rsidRPr="00722575">
        <w:rPr>
          <w:vertAlign w:val="subscript"/>
        </w:rPr>
        <w:t>2</w:t>
      </w:r>
      <w:r>
        <w:t xml:space="preserve">O </w:t>
      </w:r>
      <w:r>
        <w:fldChar w:fldCharType="begin"/>
      </w:r>
      <w:r>
        <w:instrText xml:space="preserve"> ADDIN ZOTERO_ITEM CSL_CITATION {"citationID":"1Nh5kFhf","properties":{"formattedCitation":"(Betlach &amp; Tiedje, 1981; Firestone &amp; Davidson, 1989)","plainCitation":"(Betlach &amp; Tiedje, 1981; Firestone &amp; Davidson, 1989)","noteIndex":0},"citationItems":[{"id":1488,"uris":["http://zotero.org/groups/4573874/items/VT7VEF3K"],"itemData":{"id":1488,"type":"article-journal","abstract":"The kinetics of denitrification and the causes of nitrite and nitrous oxide accumulation were examined in resting cell suspensions of three denitrifiers. An Alcaligenes species and a Pseudomonas fluorescens isolate characteristically accumulated nitrite when reducing nitrate; a Flavobacterium isolate did not. Nitrate did not inhibit nitrite reduction in cultures grown with tungstate to prevent formation of an active nitrate reductase; rather, accumulation of nitrite seemed to depend on the relative rates of nitrate and nitrite reduction. Each isolate rapidly reduced nitrous oxide even when nitrate or nitrite had been included in the incubation mixture. Nitrate also did not inhibit nitrous oxide reduction in Alcaligenes odorans, an organism incapable of nitrate reduction. Thus, added nitrate or nitrite does not always cause nitrous oxide accumulation, as has often been reported for denitrifying soils. All strains produced small amounts of nitric oxide during denitrification in a pattern suggesting that nitric oxide was also under kinetic control similar to that of nitrite and nitrous oxide. Apparent Km values for nitrate and nitrite reduction were 15 μM or less for each isolate. The Km value for nitrous oxide reduction by Flavobacterium sp. was 0.5 μM. Numerical solutions to a mathematical model of denitrification based on Michaelis-Menten kinetics showed that differences in reduction rates of the nitrogenous compounds were sufficient to account for the observed patterns of nitrite, nitric oxide, and nitrous oxide accumulation. Addition of oxygen inhibited gas production from 13NO3− by Alcaligenes sp. and P. fluorescens, but it did not reduce gas production by Flavobacterium sp. However, all three isolates produced higher ratios of nitrous oxide to dinitrogen as the oxygen tension increased. Inclusion of oxygen in the model as a nonspecific inhibitor of each step in denitrification resulted in decreased gas production but increased ratios of nitrous oxide to dinitrogen, as observed experimentally. The simplicity of this kinetic model of denitrification and its ability to unify disparate observations should make the model a useful guide in research on the physiology of denitrifier response to environmental effectors.","container-title":"Applied and Environmental Microbiology","DOI":"10.1128/aem.42.6.1074-1084.1981","issue":"6","note":"publisher: American Society for Microbiology","page":"1074-1084","source":"journals.asm.org (Atypon)","title":"Kinetic Explanation for Accumulation of Nitrite, Nitric Oxide, and Nitrous Oxide During Bacterial Denitrification","volume":"42","author":[{"family":"Betlach","given":"Michael R."},{"family":"Tiedje","given":"James M."}],"issued":{"date-parts":[["1981",12]]}}},{"id":1468,"uris":["http://zotero.org/groups/4573874/items/Z92D8J7N"],"itemData":{"id":1468,"type":"article-journal","container-title":"Exchange of trace gases between terrestrial ecosystems and the atmosphere","journalAbbreviation":"Exchange of trace gases between terrestrial ecosystems and the atmosphere","note":"publisher: Wiley New York","page":"7-21","title":"Microbiological basis of NO and N2O production and consumption in soil","volume":"47","author":[{"family":"Firestone","given":"Mary K"},{"family":"Davidson","given":"Eric A"}],"issued":{"date-parts":[["1989"]]}}}],"schema":"https://github.com/citation-style-language/schema/raw/master/csl-citation.json"} </w:instrText>
      </w:r>
      <w:r>
        <w:fldChar w:fldCharType="separate"/>
      </w:r>
      <w:r w:rsidRPr="004F602B">
        <w:t>(Betlach &amp; Tiedje, 1981; Firestone &amp; Davidson, 1989)</w:t>
      </w:r>
      <w:r>
        <w:fldChar w:fldCharType="end"/>
      </w:r>
      <w:r>
        <w:t>. Thus, the overall impact of extended flooding on N</w:t>
      </w:r>
      <w:r>
        <w:rPr>
          <w:vertAlign w:val="subscript"/>
        </w:rPr>
        <w:t>2</w:t>
      </w:r>
      <w:r>
        <w:t xml:space="preserve">O emissions is likely to be contextual, depending on site specific factors like texture, soil organic matter, and nitrogen availability. </w:t>
      </w:r>
      <w:r w:rsidRPr="004E77E9">
        <w:t xml:space="preserve">Investigating these competing </w:t>
      </w:r>
      <w:r>
        <w:t>dynamics</w:t>
      </w:r>
      <w:r w:rsidRPr="004E77E9">
        <w:t xml:space="preserve"> </w:t>
      </w:r>
      <w:r>
        <w:t>during extended</w:t>
      </w:r>
      <w:r w:rsidRPr="004E77E9">
        <w:t xml:space="preserve"> periods of high soil moisture on N</w:t>
      </w:r>
      <w:r w:rsidRPr="004E77E9">
        <w:rPr>
          <w:vertAlign w:val="subscript"/>
        </w:rPr>
        <w:t>2</w:t>
      </w:r>
      <w:r w:rsidRPr="004E77E9">
        <w:t>O emissions is critical to understanding and predicting N</w:t>
      </w:r>
      <w:r w:rsidRPr="004E77E9">
        <w:rPr>
          <w:vertAlign w:val="subscript"/>
        </w:rPr>
        <w:t>2</w:t>
      </w:r>
      <w:r w:rsidRPr="004E77E9">
        <w:t xml:space="preserve">O emissions from agriculture </w:t>
      </w:r>
      <w:r>
        <w:t>under altered precipitation distribution</w:t>
      </w:r>
      <w:r w:rsidRPr="004E77E9">
        <w:t>.</w:t>
      </w:r>
    </w:p>
    <w:p w14:paraId="324CAD06" w14:textId="77777777" w:rsidR="00EE287F" w:rsidRDefault="00EE287F" w:rsidP="001B567A">
      <w:pPr>
        <w:spacing w:after="0" w:line="480" w:lineRule="auto"/>
      </w:pPr>
      <w:r>
        <w:t>We hypothesize that increased flood duration will result in lower overall N</w:t>
      </w:r>
      <w:r>
        <w:rPr>
          <w:vertAlign w:val="subscript"/>
        </w:rPr>
        <w:t>2</w:t>
      </w:r>
      <w:r>
        <w:t xml:space="preserve">O emissions due to increased gas entrapment and complete denitrification, and that this effect will be strongest in fine textured compared to coarse textured soils. It is our aim that the findings of this research will </w:t>
      </w:r>
      <w:r>
        <w:lastRenderedPageBreak/>
        <w:t xml:space="preserve">contribute to a better understanding of greenhouse gas emissions in response to extreme events and how emissions are expected to change in a warming climate. </w:t>
      </w:r>
    </w:p>
    <w:p w14:paraId="42969CB1" w14:textId="45621F14" w:rsidR="00EE287F" w:rsidRPr="007B6D20" w:rsidRDefault="00EE287F" w:rsidP="001B567A">
      <w:pPr>
        <w:pStyle w:val="Heading2"/>
      </w:pPr>
      <w:bookmarkStart w:id="90" w:name="_Toc202172989"/>
      <w:bookmarkStart w:id="91" w:name="_Toc204282779"/>
      <w:r w:rsidRPr="007B6D20">
        <w:t>Materials and Methods</w:t>
      </w:r>
      <w:bookmarkEnd w:id="90"/>
      <w:bookmarkEnd w:id="91"/>
    </w:p>
    <w:p w14:paraId="27060027" w14:textId="6E9E59D2" w:rsidR="00EE287F" w:rsidRDefault="00EE287F" w:rsidP="001B567A">
      <w:pPr>
        <w:pStyle w:val="Heading3"/>
      </w:pPr>
      <w:bookmarkStart w:id="92" w:name="_Toc202172990"/>
      <w:bookmarkStart w:id="93" w:name="_Toc204282780"/>
      <w:r w:rsidRPr="00411E77">
        <w:t xml:space="preserve">Soil </w:t>
      </w:r>
      <w:r>
        <w:t>c</w:t>
      </w:r>
      <w:r w:rsidRPr="00411E77">
        <w:t xml:space="preserve">ollection and </w:t>
      </w:r>
      <w:r>
        <w:t>c</w:t>
      </w:r>
      <w:r w:rsidRPr="00411E77">
        <w:t>haracterization</w:t>
      </w:r>
      <w:bookmarkEnd w:id="92"/>
      <w:bookmarkEnd w:id="93"/>
    </w:p>
    <w:p w14:paraId="2C40A772" w14:textId="1A813ED2" w:rsidR="00EE287F" w:rsidRPr="00662787" w:rsidRDefault="00EE287F" w:rsidP="001B567A">
      <w:pPr>
        <w:spacing w:after="0" w:line="480" w:lineRule="auto"/>
      </w:pPr>
      <w:r w:rsidRPr="00EB4A8D">
        <w:t>Surface soil (0-1</w:t>
      </w:r>
      <w:r>
        <w:t>5</w:t>
      </w:r>
      <w:r w:rsidRPr="00EB4A8D">
        <w:t xml:space="preserve"> cm) was collected from sites across four regions of Israel. </w:t>
      </w:r>
      <w:r>
        <w:t>Soil sampling locations were located along a 160-kilometer distance running North to South coinciding with a major historic mean annual precipitation (MAP) gradient from ~100 mm yr</w:t>
      </w:r>
      <w:r>
        <w:rPr>
          <w:vertAlign w:val="superscript"/>
        </w:rPr>
        <w:t>-1</w:t>
      </w:r>
      <w:r>
        <w:t xml:space="preserve"> to ~600 mm yr</w:t>
      </w:r>
      <w:r>
        <w:rPr>
          <w:vertAlign w:val="superscript"/>
        </w:rPr>
        <w:t>-1</w:t>
      </w:r>
      <w:r>
        <w:t xml:space="preserve"> </w:t>
      </w:r>
      <w:r w:rsidRPr="00C53064">
        <w:fldChar w:fldCharType="begin"/>
      </w:r>
      <w:r>
        <w:instrText xml:space="preserve"> ADDIN ZOTERO_ITEM CSL_CITATION {"citationID":"vImjKFr6","properties":{"formattedCitation":"(Singer, 2007)","plainCitation":"(Singer, 2007)","noteIndex":0},"citationItems":[{"id":3565,"uris":["http://zotero.org/groups/6023057/items/NUGRK4C7"],"itemData":{"id":3565,"type":"book","ISBN":"978-3-540-71731-7","number-of-pages":"306","publisher":"Springer","title":"The Soils of Israel","author":[{"family":"Singer","given":"Arieh"}],"issued":{"date-parts":[["2007"]]}}}],"schema":"https://github.com/citation-style-language/schema/raw/master/csl-citation.json"} </w:instrText>
      </w:r>
      <w:r w:rsidRPr="00C53064">
        <w:fldChar w:fldCharType="separate"/>
      </w:r>
      <w:r w:rsidRPr="00C53064">
        <w:t>(Singer, 2007)</w:t>
      </w:r>
      <w:r w:rsidRPr="00C53064">
        <w:fldChar w:fldCharType="end"/>
      </w:r>
      <w:r>
        <w:t>.</w:t>
      </w:r>
      <w:r w:rsidRPr="00EB4A8D">
        <w:t xml:space="preserve"> These included a Rhodoxeralf red sandy soil (locally referred to as Hamra) from the coastal plain</w:t>
      </w:r>
      <w:r>
        <w:t>s</w:t>
      </w:r>
      <w:r w:rsidRPr="00EB4A8D">
        <w:t xml:space="preserve"> (31°51'24.7"N 34°48'16.6"E), a </w:t>
      </w:r>
      <w:r w:rsidRPr="00DA0923">
        <w:t>Camborthid</w:t>
      </w:r>
      <w:r w:rsidRPr="00EB4A8D">
        <w:t xml:space="preserve"> </w:t>
      </w:r>
      <w:r>
        <w:t>(locally loess)</w:t>
      </w:r>
      <w:r w:rsidRPr="00EB4A8D">
        <w:t xml:space="preserve"> soil typical of northern Negev and the Beer Sheeva </w:t>
      </w:r>
      <w:r w:rsidRPr="00662787">
        <w:t>basin (30°52'18.4"N 34°47'19.7"E), a</w:t>
      </w:r>
      <w:r>
        <w:t xml:space="preserve">n Aquic </w:t>
      </w:r>
      <w:r w:rsidRPr="001240CD">
        <w:t>Rhodoxeralf</w:t>
      </w:r>
      <w:r w:rsidRPr="00662787">
        <w:t xml:space="preserve"> </w:t>
      </w:r>
      <w:r>
        <w:t>(locally Nazaz)</w:t>
      </w:r>
      <w:r w:rsidRPr="00B60BA9">
        <w:t xml:space="preserve"> of the foothills of the Shefela region (31°35'26.6"N 34°49'54.3"E),</w:t>
      </w:r>
      <w:r w:rsidRPr="00EB4A8D">
        <w:t xml:space="preserve"> and a </w:t>
      </w:r>
      <w:r>
        <w:t xml:space="preserve">vertisol (locally </w:t>
      </w:r>
      <w:r w:rsidRPr="007C360D">
        <w:t>Grumusol</w:t>
      </w:r>
      <w:r>
        <w:t>)</w:t>
      </w:r>
      <w:r w:rsidRPr="00EB4A8D">
        <w:t xml:space="preserve"> from the transition zone from the coastal plains to the foothills East of Netanya (32°19'05.3"N 34°59'54.5"E).</w:t>
      </w:r>
      <w:r>
        <w:t xml:space="preserve"> Of note, the vertisol and Aquic </w:t>
      </w:r>
      <w:r w:rsidRPr="001240CD">
        <w:t>Rhodoxeralf</w:t>
      </w:r>
      <w:r>
        <w:t xml:space="preserve"> are both characterized by their common composition including expansive 2:1 </w:t>
      </w:r>
      <w:r w:rsidRPr="00FC771E">
        <w:t xml:space="preserve">phyllosilicate </w:t>
      </w:r>
      <w:r>
        <w:t>clay. Soils were sampled from agricultural lands previously under wheat production, a major crop in the region.</w:t>
      </w:r>
      <w:r w:rsidRPr="00EB4A8D">
        <w:t xml:space="preserve"> Soil physical and chemical properties are given in </w:t>
      </w:r>
      <w:r w:rsidRPr="00273BAD">
        <w:rPr>
          <w:b/>
        </w:rPr>
        <w:t xml:space="preserve">Table </w:t>
      </w:r>
      <w:r w:rsidR="00273BAD" w:rsidRPr="00273BAD">
        <w:rPr>
          <w:b/>
          <w:bCs/>
        </w:rPr>
        <w:t>4.</w:t>
      </w:r>
      <w:r w:rsidRPr="00273BAD">
        <w:rPr>
          <w:b/>
        </w:rPr>
        <w:t>1</w:t>
      </w:r>
      <w:r w:rsidRPr="00EB4A8D">
        <w:t xml:space="preserve">. The percentages of sand, silt, and clay were determined using the hydrometer method </w:t>
      </w:r>
      <w:r>
        <w:fldChar w:fldCharType="begin"/>
      </w:r>
      <w:r>
        <w:instrText xml:space="preserve"> ADDIN ZOTERO_ITEM CSL_CITATION {"citationID":"wGLfNLsi","properties":{"formattedCitation":"(Gee &amp; Or, 2002)","plainCitation":"(Gee &amp; Or, 2002)","noteIndex":0},"citationItems":[{"id":864,"uris":["http://zotero.org/groups/4573874/items/CX8G9JPK"],"itemData":{"id":864,"type":"chapter","abstract":"Particle-size analysis (PSA) data can be presented and used in several ways, the most common being a cumulative particle-size distribution curve. Particle-size analysis is often used in soil science to evaluate soil texture. Soil texture is based on different combinations of sand, silt, and clay separates that make up the particle-size distribution of a soil sample. Pretreatment of samples to enhance the separation or dispersion of aggregates is a key step in PSA and is generally recommended since many soils contain aggregates that are not readily dispersed. Comparisons of PSA results should always include comparisons of the pretreatment and dispersion methods used. The chapter describes three methods of PSA: sieving, pipette, and hydrometer. In addition, it provides a brief discussion of laser-diffraction techniques and pressure measurement.","container-title":"Methods of Soil Analysis","ISBN":"978-0-89118-893-3","language":"en","note":"_eprint: https://onlinelibrary.wiley.com/doi/pdf/10.2136/sssabookser5.4.c12\nDOI: 10.2136/sssabookser5.4.c12","page":"255-293","publisher":"John Wiley &amp; Sons, Ltd","source":"Wiley Online Library","title":"2.4 Particle-Size Analysis","URL":"https://onlinelibrary.wiley.com/doi/abs/10.2136/sssabookser5.4.c12","author":[{"family":"Gee","given":"Glendon W."},{"family":"Or","given":"Dani"}],"accessed":{"date-parts":[["2023",5,19]]},"issued":{"date-parts":[["2002"]]}}}],"schema":"https://github.com/citation-style-language/schema/raw/master/csl-citation.json"} </w:instrText>
      </w:r>
      <w:r>
        <w:fldChar w:fldCharType="separate"/>
      </w:r>
      <w:r w:rsidRPr="00A67104">
        <w:t>(Gee &amp; Or, 2002)</w:t>
      </w:r>
      <w:r>
        <w:fldChar w:fldCharType="end"/>
      </w:r>
      <w:r w:rsidRPr="00EB4A8D">
        <w:t xml:space="preserve">. Dissolved organic carbon (DOC) was measured with a </w:t>
      </w:r>
      <w:r>
        <w:t xml:space="preserve">Elementar </w:t>
      </w:r>
      <w:r w:rsidRPr="00EB4A8D">
        <w:t xml:space="preserve">vario TOC cube </w:t>
      </w:r>
      <w:r>
        <w:t xml:space="preserve">CN </w:t>
      </w:r>
      <w:r w:rsidRPr="00EB4A8D">
        <w:t>analyzer (Ronkonkoma, NY) using an HCl acid injection to first remove carbonate carbon. Total nitrogen was measured using the dry combustion method with an Elementar vario Max cube CN analyzer</w:t>
      </w:r>
      <w:bookmarkStart w:id="94" w:name="_Hlk201509614"/>
      <w:r w:rsidRPr="00EB4A8D">
        <w:t xml:space="preserve"> (Ronkonkoma, NY)</w:t>
      </w:r>
      <w:bookmarkEnd w:id="94"/>
      <w:r w:rsidRPr="00EB4A8D">
        <w:t xml:space="preserve">. </w:t>
      </w:r>
    </w:p>
    <w:p w14:paraId="39396E05" w14:textId="77777777" w:rsidR="00273BAD" w:rsidRDefault="00EE287F" w:rsidP="001B567A">
      <w:pPr>
        <w:spacing w:after="0" w:line="480" w:lineRule="auto"/>
      </w:pPr>
      <w:r>
        <w:t xml:space="preserve">The air entry value (AEV) of soils is an important hydraulic characteristic which describes the negative pressure at which air begins to reenter pore spaces after saturation. This property has </w:t>
      </w:r>
    </w:p>
    <w:p w14:paraId="2304F514" w14:textId="5954BD51" w:rsidR="00827B75" w:rsidRDefault="00827B75" w:rsidP="00827B75">
      <w:pPr>
        <w:spacing w:line="240" w:lineRule="auto"/>
      </w:pPr>
      <w:bookmarkStart w:id="95" w:name="_Toc204261967"/>
      <w:r w:rsidRPr="00827B75">
        <w:rPr>
          <w:b/>
          <w:bCs/>
        </w:rPr>
        <w:lastRenderedPageBreak/>
        <w:t>Table 4</w:t>
      </w:r>
      <w:r>
        <w:rPr>
          <w:b/>
          <w:bCs/>
        </w:rPr>
        <w:t>.</w:t>
      </w:r>
      <w:r>
        <w:rPr>
          <w:b/>
          <w:bCs/>
        </w:rPr>
        <w:fldChar w:fldCharType="begin"/>
      </w:r>
      <w:r>
        <w:rPr>
          <w:b/>
          <w:bCs/>
        </w:rPr>
        <w:instrText xml:space="preserve"> SEQ Table \* ARABIC \s 1 </w:instrText>
      </w:r>
      <w:r>
        <w:rPr>
          <w:b/>
          <w:bCs/>
        </w:rPr>
        <w:fldChar w:fldCharType="separate"/>
      </w:r>
      <w:r>
        <w:rPr>
          <w:b/>
          <w:bCs/>
          <w:noProof/>
        </w:rPr>
        <w:t>1</w:t>
      </w:r>
      <w:r>
        <w:rPr>
          <w:b/>
          <w:bCs/>
        </w:rPr>
        <w:fldChar w:fldCharType="end"/>
      </w:r>
      <w:r w:rsidR="00273BAD">
        <w:t>: Soil physical and chemical properties.</w:t>
      </w:r>
      <w:bookmarkEnd w:id="95"/>
    </w:p>
    <w:tbl>
      <w:tblPr>
        <w:tblW w:w="9489" w:type="dxa"/>
        <w:tblLayout w:type="fixed"/>
        <w:tblCellMar>
          <w:top w:w="100" w:type="dxa"/>
          <w:left w:w="100" w:type="dxa"/>
          <w:bottom w:w="100" w:type="dxa"/>
          <w:right w:w="100" w:type="dxa"/>
        </w:tblCellMar>
        <w:tblLook w:val="0600" w:firstRow="0" w:lastRow="0" w:firstColumn="0" w:lastColumn="0" w:noHBand="1" w:noVBand="1"/>
      </w:tblPr>
      <w:tblGrid>
        <w:gridCol w:w="2243"/>
        <w:gridCol w:w="1553"/>
        <w:gridCol w:w="2243"/>
        <w:gridCol w:w="1725"/>
        <w:gridCol w:w="1725"/>
      </w:tblGrid>
      <w:tr w:rsidR="00273BAD" w14:paraId="60B087E1" w14:textId="77777777">
        <w:trPr>
          <w:trHeight w:val="403"/>
        </w:trPr>
        <w:tc>
          <w:tcPr>
            <w:tcW w:w="2243" w:type="dxa"/>
            <w:tcBorders>
              <w:top w:val="single" w:sz="4" w:space="0" w:color="auto"/>
              <w:bottom w:val="single" w:sz="12" w:space="0" w:color="auto"/>
            </w:tcBorders>
            <w:tcMar>
              <w:top w:w="100" w:type="dxa"/>
              <w:left w:w="100" w:type="dxa"/>
              <w:bottom w:w="100" w:type="dxa"/>
              <w:right w:w="100" w:type="dxa"/>
            </w:tcMar>
            <w:vAlign w:val="center"/>
          </w:tcPr>
          <w:p w14:paraId="56F7F5C9" w14:textId="77777777" w:rsidR="00273BAD" w:rsidRDefault="00273BAD">
            <w:pPr>
              <w:widowControl w:val="0"/>
              <w:spacing w:after="0" w:line="240" w:lineRule="auto"/>
              <w:contextualSpacing/>
              <w:jc w:val="center"/>
            </w:pPr>
            <w:r>
              <w:t>Property</w:t>
            </w:r>
          </w:p>
        </w:tc>
        <w:tc>
          <w:tcPr>
            <w:tcW w:w="1553" w:type="dxa"/>
            <w:tcBorders>
              <w:top w:val="single" w:sz="4" w:space="0" w:color="auto"/>
              <w:bottom w:val="single" w:sz="12" w:space="0" w:color="auto"/>
            </w:tcBorders>
            <w:tcMar>
              <w:top w:w="100" w:type="dxa"/>
              <w:left w:w="100" w:type="dxa"/>
              <w:bottom w:w="100" w:type="dxa"/>
              <w:right w:w="100" w:type="dxa"/>
            </w:tcMar>
            <w:vAlign w:val="center"/>
          </w:tcPr>
          <w:p w14:paraId="019CF85D" w14:textId="77777777" w:rsidR="00273BAD" w:rsidRDefault="00273BAD">
            <w:pPr>
              <w:widowControl w:val="0"/>
              <w:spacing w:after="0" w:line="240" w:lineRule="auto"/>
              <w:contextualSpacing/>
              <w:jc w:val="center"/>
            </w:pPr>
            <w:r>
              <w:t>Sand</w:t>
            </w:r>
          </w:p>
        </w:tc>
        <w:tc>
          <w:tcPr>
            <w:tcW w:w="2243" w:type="dxa"/>
            <w:tcBorders>
              <w:top w:val="single" w:sz="4" w:space="0" w:color="auto"/>
              <w:bottom w:val="single" w:sz="12" w:space="0" w:color="auto"/>
            </w:tcBorders>
            <w:vAlign w:val="center"/>
          </w:tcPr>
          <w:p w14:paraId="7DF0C12D" w14:textId="77777777" w:rsidR="00273BAD" w:rsidRDefault="00273BAD">
            <w:pPr>
              <w:widowControl w:val="0"/>
              <w:spacing w:after="0" w:line="240" w:lineRule="auto"/>
              <w:contextualSpacing/>
              <w:jc w:val="center"/>
            </w:pPr>
            <w:r>
              <w:t>Loamy Sand</w:t>
            </w:r>
          </w:p>
        </w:tc>
        <w:tc>
          <w:tcPr>
            <w:tcW w:w="1725" w:type="dxa"/>
            <w:tcBorders>
              <w:top w:val="single" w:sz="4" w:space="0" w:color="auto"/>
              <w:bottom w:val="single" w:sz="12" w:space="0" w:color="auto"/>
            </w:tcBorders>
            <w:vAlign w:val="center"/>
          </w:tcPr>
          <w:p w14:paraId="182FE0CD" w14:textId="77777777" w:rsidR="00273BAD" w:rsidRDefault="00273BAD">
            <w:pPr>
              <w:widowControl w:val="0"/>
              <w:spacing w:after="0" w:line="240" w:lineRule="auto"/>
              <w:contextualSpacing/>
              <w:jc w:val="center"/>
            </w:pPr>
            <w:r>
              <w:t>Sandy Clay Loam</w:t>
            </w:r>
          </w:p>
        </w:tc>
        <w:tc>
          <w:tcPr>
            <w:tcW w:w="1725" w:type="dxa"/>
            <w:tcBorders>
              <w:top w:val="single" w:sz="4" w:space="0" w:color="auto"/>
              <w:bottom w:val="single" w:sz="12" w:space="0" w:color="auto"/>
            </w:tcBorders>
            <w:vAlign w:val="center"/>
          </w:tcPr>
          <w:p w14:paraId="7FCFC474" w14:textId="77777777" w:rsidR="00273BAD" w:rsidRDefault="00273BAD">
            <w:pPr>
              <w:widowControl w:val="0"/>
              <w:spacing w:after="0" w:line="240" w:lineRule="auto"/>
              <w:contextualSpacing/>
              <w:jc w:val="center"/>
            </w:pPr>
            <w:r>
              <w:t>Clay Loam</w:t>
            </w:r>
          </w:p>
        </w:tc>
      </w:tr>
      <w:tr w:rsidR="00273BAD" w14:paraId="1FB17F40" w14:textId="77777777">
        <w:trPr>
          <w:trHeight w:val="3"/>
        </w:trPr>
        <w:tc>
          <w:tcPr>
            <w:tcW w:w="2243" w:type="dxa"/>
            <w:tcBorders>
              <w:top w:val="single" w:sz="12" w:space="0" w:color="auto"/>
            </w:tcBorders>
            <w:tcMar>
              <w:top w:w="100" w:type="dxa"/>
              <w:left w:w="100" w:type="dxa"/>
              <w:bottom w:w="100" w:type="dxa"/>
              <w:right w:w="100" w:type="dxa"/>
            </w:tcMar>
            <w:vAlign w:val="center"/>
          </w:tcPr>
          <w:p w14:paraId="6F59B8BF" w14:textId="77777777" w:rsidR="00273BAD" w:rsidRDefault="00273BAD">
            <w:pPr>
              <w:widowControl w:val="0"/>
              <w:spacing w:after="0" w:line="240" w:lineRule="auto"/>
              <w:contextualSpacing/>
              <w:jc w:val="center"/>
            </w:pPr>
            <w:r>
              <w:t>Sand (%)</w:t>
            </w:r>
          </w:p>
        </w:tc>
        <w:tc>
          <w:tcPr>
            <w:tcW w:w="1553" w:type="dxa"/>
            <w:tcBorders>
              <w:top w:val="single" w:sz="12" w:space="0" w:color="auto"/>
            </w:tcBorders>
            <w:tcMar>
              <w:top w:w="100" w:type="dxa"/>
              <w:left w:w="100" w:type="dxa"/>
              <w:bottom w:w="100" w:type="dxa"/>
              <w:right w:w="100" w:type="dxa"/>
            </w:tcMar>
            <w:vAlign w:val="center"/>
          </w:tcPr>
          <w:p w14:paraId="60117ACF" w14:textId="77777777" w:rsidR="00273BAD" w:rsidRDefault="00273BAD">
            <w:pPr>
              <w:widowControl w:val="0"/>
              <w:spacing w:after="0" w:line="240" w:lineRule="auto"/>
              <w:contextualSpacing/>
              <w:jc w:val="center"/>
            </w:pPr>
            <w:r>
              <w:t>91.6</w:t>
            </w:r>
          </w:p>
        </w:tc>
        <w:tc>
          <w:tcPr>
            <w:tcW w:w="2243" w:type="dxa"/>
            <w:tcBorders>
              <w:top w:val="single" w:sz="12" w:space="0" w:color="auto"/>
            </w:tcBorders>
            <w:vAlign w:val="center"/>
          </w:tcPr>
          <w:p w14:paraId="19A1481E" w14:textId="77777777" w:rsidR="00273BAD" w:rsidRDefault="00273BAD">
            <w:pPr>
              <w:widowControl w:val="0"/>
              <w:spacing w:after="0" w:line="240" w:lineRule="auto"/>
              <w:contextualSpacing/>
              <w:jc w:val="center"/>
            </w:pPr>
            <w:r>
              <w:t>83.9</w:t>
            </w:r>
          </w:p>
        </w:tc>
        <w:tc>
          <w:tcPr>
            <w:tcW w:w="1725" w:type="dxa"/>
            <w:tcBorders>
              <w:top w:val="single" w:sz="12" w:space="0" w:color="auto"/>
            </w:tcBorders>
            <w:vAlign w:val="center"/>
          </w:tcPr>
          <w:p w14:paraId="5B587679" w14:textId="77777777" w:rsidR="00273BAD" w:rsidRDefault="00273BAD">
            <w:pPr>
              <w:widowControl w:val="0"/>
              <w:spacing w:after="0" w:line="240" w:lineRule="auto"/>
              <w:contextualSpacing/>
              <w:jc w:val="center"/>
            </w:pPr>
            <w:r>
              <w:t>60.6</w:t>
            </w:r>
          </w:p>
        </w:tc>
        <w:tc>
          <w:tcPr>
            <w:tcW w:w="1725" w:type="dxa"/>
            <w:tcBorders>
              <w:top w:val="single" w:sz="12" w:space="0" w:color="auto"/>
            </w:tcBorders>
            <w:vAlign w:val="center"/>
          </w:tcPr>
          <w:p w14:paraId="6BC5D60C" w14:textId="77777777" w:rsidR="00273BAD" w:rsidRDefault="00273BAD">
            <w:pPr>
              <w:widowControl w:val="0"/>
              <w:spacing w:after="0" w:line="240" w:lineRule="auto"/>
              <w:contextualSpacing/>
              <w:jc w:val="center"/>
            </w:pPr>
            <w:r>
              <w:t>40.3</w:t>
            </w:r>
          </w:p>
        </w:tc>
      </w:tr>
      <w:tr w:rsidR="00273BAD" w14:paraId="1D304349" w14:textId="77777777">
        <w:trPr>
          <w:trHeight w:val="87"/>
        </w:trPr>
        <w:tc>
          <w:tcPr>
            <w:tcW w:w="2243" w:type="dxa"/>
            <w:tcMar>
              <w:top w:w="100" w:type="dxa"/>
              <w:left w:w="100" w:type="dxa"/>
              <w:bottom w:w="100" w:type="dxa"/>
              <w:right w:w="100" w:type="dxa"/>
            </w:tcMar>
            <w:vAlign w:val="center"/>
          </w:tcPr>
          <w:p w14:paraId="776B7B82" w14:textId="77777777" w:rsidR="00273BAD" w:rsidRDefault="00273BAD">
            <w:pPr>
              <w:widowControl w:val="0"/>
              <w:spacing w:after="0" w:line="240" w:lineRule="auto"/>
              <w:contextualSpacing/>
              <w:jc w:val="center"/>
            </w:pPr>
            <w:r>
              <w:t>Silt (%)</w:t>
            </w:r>
          </w:p>
        </w:tc>
        <w:tc>
          <w:tcPr>
            <w:tcW w:w="1553" w:type="dxa"/>
            <w:tcMar>
              <w:top w:w="100" w:type="dxa"/>
              <w:left w:w="100" w:type="dxa"/>
              <w:bottom w:w="100" w:type="dxa"/>
              <w:right w:w="100" w:type="dxa"/>
            </w:tcMar>
            <w:vAlign w:val="center"/>
          </w:tcPr>
          <w:p w14:paraId="716E3272" w14:textId="77777777" w:rsidR="00273BAD" w:rsidRDefault="00273BAD">
            <w:pPr>
              <w:widowControl w:val="0"/>
              <w:spacing w:after="0" w:line="240" w:lineRule="auto"/>
              <w:contextualSpacing/>
              <w:jc w:val="center"/>
            </w:pPr>
            <w:r>
              <w:t>0.0</w:t>
            </w:r>
          </w:p>
        </w:tc>
        <w:tc>
          <w:tcPr>
            <w:tcW w:w="2243" w:type="dxa"/>
            <w:vAlign w:val="center"/>
          </w:tcPr>
          <w:p w14:paraId="2B9221F2" w14:textId="77777777" w:rsidR="00273BAD" w:rsidRDefault="00273BAD">
            <w:pPr>
              <w:widowControl w:val="0"/>
              <w:spacing w:after="0" w:line="240" w:lineRule="auto"/>
              <w:contextualSpacing/>
              <w:jc w:val="center"/>
            </w:pPr>
            <w:r>
              <w:t>5.0</w:t>
            </w:r>
          </w:p>
        </w:tc>
        <w:tc>
          <w:tcPr>
            <w:tcW w:w="1725" w:type="dxa"/>
            <w:vAlign w:val="center"/>
          </w:tcPr>
          <w:p w14:paraId="202D155C" w14:textId="77777777" w:rsidR="00273BAD" w:rsidRDefault="00273BAD">
            <w:pPr>
              <w:widowControl w:val="0"/>
              <w:spacing w:after="0" w:line="240" w:lineRule="auto"/>
              <w:contextualSpacing/>
              <w:jc w:val="center"/>
            </w:pPr>
            <w:r>
              <w:t>17.0</w:t>
            </w:r>
          </w:p>
        </w:tc>
        <w:tc>
          <w:tcPr>
            <w:tcW w:w="1725" w:type="dxa"/>
            <w:vAlign w:val="center"/>
          </w:tcPr>
          <w:p w14:paraId="7C993918" w14:textId="77777777" w:rsidR="00273BAD" w:rsidRDefault="00273BAD">
            <w:pPr>
              <w:widowControl w:val="0"/>
              <w:spacing w:after="0" w:line="240" w:lineRule="auto"/>
              <w:contextualSpacing/>
              <w:jc w:val="center"/>
            </w:pPr>
            <w:r>
              <w:t>28.0</w:t>
            </w:r>
          </w:p>
        </w:tc>
      </w:tr>
      <w:tr w:rsidR="00273BAD" w14:paraId="41A07B28" w14:textId="77777777">
        <w:trPr>
          <w:trHeight w:val="84"/>
        </w:trPr>
        <w:tc>
          <w:tcPr>
            <w:tcW w:w="2243" w:type="dxa"/>
            <w:tcMar>
              <w:top w:w="100" w:type="dxa"/>
              <w:left w:w="100" w:type="dxa"/>
              <w:bottom w:w="100" w:type="dxa"/>
              <w:right w:w="100" w:type="dxa"/>
            </w:tcMar>
            <w:vAlign w:val="center"/>
          </w:tcPr>
          <w:p w14:paraId="5F91FAD8" w14:textId="77777777" w:rsidR="00273BAD" w:rsidRDefault="00273BAD">
            <w:pPr>
              <w:widowControl w:val="0"/>
              <w:spacing w:after="0" w:line="240" w:lineRule="auto"/>
              <w:contextualSpacing/>
              <w:jc w:val="center"/>
            </w:pPr>
            <w:r>
              <w:t>Clay (%)</w:t>
            </w:r>
          </w:p>
        </w:tc>
        <w:tc>
          <w:tcPr>
            <w:tcW w:w="1553" w:type="dxa"/>
            <w:tcMar>
              <w:top w:w="100" w:type="dxa"/>
              <w:left w:w="100" w:type="dxa"/>
              <w:bottom w:w="100" w:type="dxa"/>
              <w:right w:w="100" w:type="dxa"/>
            </w:tcMar>
            <w:vAlign w:val="center"/>
          </w:tcPr>
          <w:p w14:paraId="7E511A90" w14:textId="77777777" w:rsidR="00273BAD" w:rsidRDefault="00273BAD">
            <w:pPr>
              <w:widowControl w:val="0"/>
              <w:spacing w:after="0" w:line="240" w:lineRule="auto"/>
              <w:contextualSpacing/>
              <w:jc w:val="center"/>
            </w:pPr>
            <w:r>
              <w:t>8.4</w:t>
            </w:r>
          </w:p>
        </w:tc>
        <w:tc>
          <w:tcPr>
            <w:tcW w:w="2243" w:type="dxa"/>
            <w:vAlign w:val="center"/>
          </w:tcPr>
          <w:p w14:paraId="08750E50" w14:textId="77777777" w:rsidR="00273BAD" w:rsidRDefault="00273BAD">
            <w:pPr>
              <w:widowControl w:val="0"/>
              <w:spacing w:after="0" w:line="240" w:lineRule="auto"/>
              <w:contextualSpacing/>
              <w:jc w:val="center"/>
            </w:pPr>
            <w:r>
              <w:t>11.1</w:t>
            </w:r>
          </w:p>
        </w:tc>
        <w:tc>
          <w:tcPr>
            <w:tcW w:w="1725" w:type="dxa"/>
            <w:vAlign w:val="center"/>
          </w:tcPr>
          <w:p w14:paraId="0DB2BA41" w14:textId="77777777" w:rsidR="00273BAD" w:rsidRDefault="00273BAD">
            <w:pPr>
              <w:widowControl w:val="0"/>
              <w:spacing w:after="0" w:line="240" w:lineRule="auto"/>
              <w:contextualSpacing/>
              <w:jc w:val="center"/>
            </w:pPr>
            <w:r>
              <w:t>22.4</w:t>
            </w:r>
          </w:p>
        </w:tc>
        <w:tc>
          <w:tcPr>
            <w:tcW w:w="1725" w:type="dxa"/>
            <w:vAlign w:val="center"/>
          </w:tcPr>
          <w:p w14:paraId="1CA00304" w14:textId="77777777" w:rsidR="00273BAD" w:rsidRDefault="00273BAD">
            <w:pPr>
              <w:widowControl w:val="0"/>
              <w:spacing w:after="0" w:line="240" w:lineRule="auto"/>
              <w:contextualSpacing/>
              <w:jc w:val="center"/>
            </w:pPr>
            <w:r>
              <w:t>31.7</w:t>
            </w:r>
          </w:p>
        </w:tc>
      </w:tr>
      <w:tr w:rsidR="00273BAD" w14:paraId="0377BA3F" w14:textId="77777777">
        <w:trPr>
          <w:trHeight w:val="84"/>
        </w:trPr>
        <w:tc>
          <w:tcPr>
            <w:tcW w:w="2243" w:type="dxa"/>
            <w:tcMar>
              <w:top w:w="100" w:type="dxa"/>
              <w:left w:w="100" w:type="dxa"/>
              <w:bottom w:w="100" w:type="dxa"/>
              <w:right w:w="100" w:type="dxa"/>
            </w:tcMar>
            <w:vAlign w:val="center"/>
          </w:tcPr>
          <w:p w14:paraId="44A18B0B" w14:textId="77777777" w:rsidR="00273BAD" w:rsidRDefault="00273BAD">
            <w:pPr>
              <w:widowControl w:val="0"/>
              <w:spacing w:after="0" w:line="240" w:lineRule="auto"/>
              <w:contextualSpacing/>
              <w:jc w:val="center"/>
            </w:pPr>
            <w:r>
              <w:t>pH</w:t>
            </w:r>
          </w:p>
        </w:tc>
        <w:tc>
          <w:tcPr>
            <w:tcW w:w="1553" w:type="dxa"/>
            <w:tcMar>
              <w:top w:w="100" w:type="dxa"/>
              <w:left w:w="100" w:type="dxa"/>
              <w:bottom w:w="100" w:type="dxa"/>
              <w:right w:w="100" w:type="dxa"/>
            </w:tcMar>
            <w:vAlign w:val="center"/>
          </w:tcPr>
          <w:p w14:paraId="045FF2DA" w14:textId="77777777" w:rsidR="00273BAD" w:rsidRDefault="00273BAD">
            <w:pPr>
              <w:widowControl w:val="0"/>
              <w:spacing w:after="0" w:line="240" w:lineRule="auto"/>
              <w:contextualSpacing/>
              <w:jc w:val="center"/>
            </w:pPr>
            <w:r>
              <w:t>8.3</w:t>
            </w:r>
          </w:p>
        </w:tc>
        <w:tc>
          <w:tcPr>
            <w:tcW w:w="2243" w:type="dxa"/>
            <w:vAlign w:val="center"/>
          </w:tcPr>
          <w:p w14:paraId="6FF43E1B" w14:textId="77777777" w:rsidR="00273BAD" w:rsidRDefault="00273BAD">
            <w:pPr>
              <w:widowControl w:val="0"/>
              <w:spacing w:after="0" w:line="240" w:lineRule="auto"/>
              <w:contextualSpacing/>
              <w:jc w:val="center"/>
            </w:pPr>
            <w:r>
              <w:t>8.7</w:t>
            </w:r>
          </w:p>
        </w:tc>
        <w:tc>
          <w:tcPr>
            <w:tcW w:w="1725" w:type="dxa"/>
            <w:vAlign w:val="center"/>
          </w:tcPr>
          <w:p w14:paraId="07FF7265" w14:textId="77777777" w:rsidR="00273BAD" w:rsidRDefault="00273BAD">
            <w:pPr>
              <w:widowControl w:val="0"/>
              <w:spacing w:after="0" w:line="240" w:lineRule="auto"/>
              <w:contextualSpacing/>
              <w:jc w:val="center"/>
            </w:pPr>
            <w:r>
              <w:t>8.6</w:t>
            </w:r>
          </w:p>
        </w:tc>
        <w:tc>
          <w:tcPr>
            <w:tcW w:w="1725" w:type="dxa"/>
            <w:vAlign w:val="center"/>
          </w:tcPr>
          <w:p w14:paraId="6DD44569" w14:textId="77777777" w:rsidR="00273BAD" w:rsidRDefault="00273BAD">
            <w:pPr>
              <w:widowControl w:val="0"/>
              <w:spacing w:after="0" w:line="240" w:lineRule="auto"/>
              <w:contextualSpacing/>
              <w:jc w:val="center"/>
            </w:pPr>
            <w:r>
              <w:t>8.9</w:t>
            </w:r>
          </w:p>
        </w:tc>
      </w:tr>
      <w:tr w:rsidR="00273BAD" w14:paraId="5AEFFE8D" w14:textId="77777777">
        <w:trPr>
          <w:trHeight w:val="84"/>
        </w:trPr>
        <w:tc>
          <w:tcPr>
            <w:tcW w:w="2243" w:type="dxa"/>
            <w:tcMar>
              <w:top w:w="100" w:type="dxa"/>
              <w:left w:w="100" w:type="dxa"/>
              <w:bottom w:w="100" w:type="dxa"/>
              <w:right w:w="100" w:type="dxa"/>
            </w:tcMar>
            <w:vAlign w:val="center"/>
          </w:tcPr>
          <w:p w14:paraId="2330A1FC" w14:textId="77777777" w:rsidR="00273BAD" w:rsidRPr="001459C3" w:rsidRDefault="00273BAD">
            <w:pPr>
              <w:widowControl w:val="0"/>
              <w:spacing w:after="0" w:line="240" w:lineRule="auto"/>
              <w:contextualSpacing/>
              <w:jc w:val="center"/>
            </w:pPr>
            <w:r>
              <w:t>DOC (mg kg</w:t>
            </w:r>
            <w:r>
              <w:rPr>
                <w:vertAlign w:val="superscript"/>
              </w:rPr>
              <w:t>-1</w:t>
            </w:r>
            <w:r>
              <w:t>)</w:t>
            </w:r>
          </w:p>
        </w:tc>
        <w:tc>
          <w:tcPr>
            <w:tcW w:w="1553" w:type="dxa"/>
            <w:tcMar>
              <w:top w:w="100" w:type="dxa"/>
              <w:left w:w="100" w:type="dxa"/>
              <w:bottom w:w="100" w:type="dxa"/>
              <w:right w:w="100" w:type="dxa"/>
            </w:tcMar>
            <w:vAlign w:val="center"/>
          </w:tcPr>
          <w:p w14:paraId="1BC302A3" w14:textId="77777777" w:rsidR="00273BAD" w:rsidRDefault="00273BAD">
            <w:pPr>
              <w:widowControl w:val="0"/>
              <w:spacing w:after="0" w:line="240" w:lineRule="auto"/>
              <w:contextualSpacing/>
              <w:jc w:val="center"/>
            </w:pPr>
            <w:r>
              <w:t>19.1</w:t>
            </w:r>
          </w:p>
        </w:tc>
        <w:tc>
          <w:tcPr>
            <w:tcW w:w="2243" w:type="dxa"/>
            <w:vAlign w:val="center"/>
          </w:tcPr>
          <w:p w14:paraId="2348E2A3" w14:textId="77777777" w:rsidR="00273BAD" w:rsidRDefault="00273BAD">
            <w:pPr>
              <w:widowControl w:val="0"/>
              <w:spacing w:after="0" w:line="240" w:lineRule="auto"/>
              <w:contextualSpacing/>
              <w:jc w:val="center"/>
            </w:pPr>
            <w:r>
              <w:t>47.1</w:t>
            </w:r>
          </w:p>
        </w:tc>
        <w:tc>
          <w:tcPr>
            <w:tcW w:w="1725" w:type="dxa"/>
            <w:vAlign w:val="center"/>
          </w:tcPr>
          <w:p w14:paraId="3E2B3C44" w14:textId="77777777" w:rsidR="00273BAD" w:rsidRDefault="00273BAD">
            <w:pPr>
              <w:widowControl w:val="0"/>
              <w:spacing w:after="0" w:line="240" w:lineRule="auto"/>
              <w:contextualSpacing/>
              <w:jc w:val="center"/>
            </w:pPr>
            <w:r>
              <w:t>107.1</w:t>
            </w:r>
          </w:p>
        </w:tc>
        <w:tc>
          <w:tcPr>
            <w:tcW w:w="1725" w:type="dxa"/>
            <w:vAlign w:val="center"/>
          </w:tcPr>
          <w:p w14:paraId="1BB3C742" w14:textId="77777777" w:rsidR="00273BAD" w:rsidRDefault="00273BAD">
            <w:pPr>
              <w:widowControl w:val="0"/>
              <w:spacing w:after="0" w:line="240" w:lineRule="auto"/>
              <w:contextualSpacing/>
              <w:jc w:val="center"/>
            </w:pPr>
            <w:r>
              <w:t>43.1</w:t>
            </w:r>
          </w:p>
        </w:tc>
      </w:tr>
      <w:tr w:rsidR="00273BAD" w14:paraId="56ED9F3D" w14:textId="77777777">
        <w:trPr>
          <w:trHeight w:val="126"/>
        </w:trPr>
        <w:tc>
          <w:tcPr>
            <w:tcW w:w="2243" w:type="dxa"/>
            <w:tcMar>
              <w:top w:w="100" w:type="dxa"/>
              <w:left w:w="100" w:type="dxa"/>
              <w:bottom w:w="100" w:type="dxa"/>
              <w:right w:w="100" w:type="dxa"/>
            </w:tcMar>
            <w:vAlign w:val="center"/>
          </w:tcPr>
          <w:p w14:paraId="44053D51" w14:textId="77777777" w:rsidR="00273BAD" w:rsidRDefault="00273BAD">
            <w:pPr>
              <w:widowControl w:val="0"/>
              <w:spacing w:after="0" w:line="240" w:lineRule="auto"/>
              <w:contextualSpacing/>
              <w:jc w:val="center"/>
            </w:pPr>
            <w:r>
              <w:t>TN (mg kg</w:t>
            </w:r>
            <w:r>
              <w:rPr>
                <w:vertAlign w:val="superscript"/>
              </w:rPr>
              <w:t>-1</w:t>
            </w:r>
            <w:r>
              <w:t>)</w:t>
            </w:r>
          </w:p>
        </w:tc>
        <w:tc>
          <w:tcPr>
            <w:tcW w:w="1553" w:type="dxa"/>
            <w:tcMar>
              <w:top w:w="100" w:type="dxa"/>
              <w:left w:w="100" w:type="dxa"/>
              <w:bottom w:w="100" w:type="dxa"/>
              <w:right w:w="100" w:type="dxa"/>
            </w:tcMar>
            <w:vAlign w:val="center"/>
          </w:tcPr>
          <w:p w14:paraId="180E1AF4" w14:textId="77777777" w:rsidR="00273BAD" w:rsidRDefault="00273BAD">
            <w:pPr>
              <w:widowControl w:val="0"/>
              <w:spacing w:after="0" w:line="240" w:lineRule="auto"/>
              <w:contextualSpacing/>
              <w:jc w:val="center"/>
            </w:pPr>
            <w:r>
              <w:t>0.3</w:t>
            </w:r>
          </w:p>
        </w:tc>
        <w:tc>
          <w:tcPr>
            <w:tcW w:w="2243" w:type="dxa"/>
            <w:vAlign w:val="center"/>
          </w:tcPr>
          <w:p w14:paraId="702CC3E7" w14:textId="77777777" w:rsidR="00273BAD" w:rsidRDefault="00273BAD">
            <w:pPr>
              <w:widowControl w:val="0"/>
              <w:spacing w:after="0" w:line="240" w:lineRule="auto"/>
              <w:contextualSpacing/>
              <w:jc w:val="center"/>
            </w:pPr>
            <w:r>
              <w:t>1.6</w:t>
            </w:r>
          </w:p>
        </w:tc>
        <w:tc>
          <w:tcPr>
            <w:tcW w:w="1725" w:type="dxa"/>
            <w:vAlign w:val="center"/>
          </w:tcPr>
          <w:p w14:paraId="006456C7" w14:textId="77777777" w:rsidR="00273BAD" w:rsidRDefault="00273BAD">
            <w:pPr>
              <w:widowControl w:val="0"/>
              <w:spacing w:after="0" w:line="240" w:lineRule="auto"/>
              <w:contextualSpacing/>
              <w:jc w:val="center"/>
            </w:pPr>
            <w:r>
              <w:t>7.2</w:t>
            </w:r>
          </w:p>
        </w:tc>
        <w:tc>
          <w:tcPr>
            <w:tcW w:w="1725" w:type="dxa"/>
            <w:vAlign w:val="center"/>
          </w:tcPr>
          <w:p w14:paraId="2461CC76" w14:textId="77777777" w:rsidR="00273BAD" w:rsidRDefault="00273BAD">
            <w:pPr>
              <w:widowControl w:val="0"/>
              <w:spacing w:after="0" w:line="240" w:lineRule="auto"/>
              <w:contextualSpacing/>
              <w:jc w:val="center"/>
            </w:pPr>
            <w:r>
              <w:t>4.0</w:t>
            </w:r>
          </w:p>
        </w:tc>
      </w:tr>
      <w:tr w:rsidR="00273BAD" w14:paraId="10DA5987" w14:textId="77777777">
        <w:trPr>
          <w:trHeight w:val="84"/>
        </w:trPr>
        <w:tc>
          <w:tcPr>
            <w:tcW w:w="2243" w:type="dxa"/>
            <w:tcMar>
              <w:top w:w="100" w:type="dxa"/>
              <w:left w:w="100" w:type="dxa"/>
              <w:bottom w:w="100" w:type="dxa"/>
              <w:right w:w="100" w:type="dxa"/>
            </w:tcMar>
            <w:vAlign w:val="center"/>
          </w:tcPr>
          <w:p w14:paraId="7502BD40" w14:textId="77777777" w:rsidR="00273BAD" w:rsidRDefault="00273BAD">
            <w:pPr>
              <w:widowControl w:val="0"/>
              <w:spacing w:after="0" w:line="240" w:lineRule="auto"/>
              <w:contextualSpacing/>
              <w:jc w:val="center"/>
            </w:pPr>
            <w:r>
              <w:t>Air Entry Value</w:t>
            </w:r>
          </w:p>
          <w:p w14:paraId="05233524" w14:textId="77777777" w:rsidR="00273BAD" w:rsidRPr="00903654" w:rsidRDefault="00273BAD">
            <w:pPr>
              <w:widowControl w:val="0"/>
              <w:spacing w:after="0" w:line="240" w:lineRule="auto"/>
              <w:contextualSpacing/>
              <w:jc w:val="center"/>
              <w:rPr>
                <w:vertAlign w:val="superscript"/>
              </w:rPr>
            </w:pPr>
            <w:r>
              <w:t>(% WFPS)</w:t>
            </w:r>
          </w:p>
        </w:tc>
        <w:tc>
          <w:tcPr>
            <w:tcW w:w="1553" w:type="dxa"/>
            <w:tcMar>
              <w:top w:w="100" w:type="dxa"/>
              <w:left w:w="100" w:type="dxa"/>
              <w:bottom w:w="100" w:type="dxa"/>
              <w:right w:w="100" w:type="dxa"/>
            </w:tcMar>
            <w:vAlign w:val="center"/>
          </w:tcPr>
          <w:p w14:paraId="32BA6758" w14:textId="77777777" w:rsidR="00273BAD" w:rsidRDefault="00273BAD">
            <w:pPr>
              <w:widowControl w:val="0"/>
              <w:spacing w:after="0" w:line="240" w:lineRule="auto"/>
              <w:contextualSpacing/>
              <w:jc w:val="center"/>
            </w:pPr>
            <w:r>
              <w:t>85</w:t>
            </w:r>
          </w:p>
        </w:tc>
        <w:tc>
          <w:tcPr>
            <w:tcW w:w="2243" w:type="dxa"/>
            <w:vAlign w:val="center"/>
          </w:tcPr>
          <w:p w14:paraId="341B5676" w14:textId="77777777" w:rsidR="00273BAD" w:rsidRDefault="00273BAD">
            <w:pPr>
              <w:widowControl w:val="0"/>
              <w:spacing w:after="0" w:line="240" w:lineRule="auto"/>
              <w:contextualSpacing/>
              <w:jc w:val="center"/>
            </w:pPr>
            <w:r>
              <w:t>83</w:t>
            </w:r>
          </w:p>
        </w:tc>
        <w:tc>
          <w:tcPr>
            <w:tcW w:w="1725" w:type="dxa"/>
            <w:vAlign w:val="center"/>
          </w:tcPr>
          <w:p w14:paraId="17D0CF40" w14:textId="77777777" w:rsidR="00273BAD" w:rsidRDefault="00273BAD">
            <w:pPr>
              <w:widowControl w:val="0"/>
              <w:spacing w:after="0" w:line="240" w:lineRule="auto"/>
              <w:contextualSpacing/>
              <w:jc w:val="center"/>
            </w:pPr>
            <w:r>
              <w:t>92</w:t>
            </w:r>
          </w:p>
        </w:tc>
        <w:tc>
          <w:tcPr>
            <w:tcW w:w="1725" w:type="dxa"/>
            <w:vAlign w:val="center"/>
          </w:tcPr>
          <w:p w14:paraId="40AB90AF" w14:textId="77777777" w:rsidR="00273BAD" w:rsidRDefault="00273BAD">
            <w:pPr>
              <w:widowControl w:val="0"/>
              <w:spacing w:after="0" w:line="240" w:lineRule="auto"/>
              <w:contextualSpacing/>
              <w:jc w:val="center"/>
            </w:pPr>
            <w:r>
              <w:t>96</w:t>
            </w:r>
          </w:p>
        </w:tc>
      </w:tr>
      <w:tr w:rsidR="00273BAD" w14:paraId="694EA914" w14:textId="77777777">
        <w:trPr>
          <w:trHeight w:val="84"/>
        </w:trPr>
        <w:tc>
          <w:tcPr>
            <w:tcW w:w="2243" w:type="dxa"/>
            <w:tcMar>
              <w:top w:w="100" w:type="dxa"/>
              <w:left w:w="100" w:type="dxa"/>
              <w:bottom w:w="100" w:type="dxa"/>
              <w:right w:w="100" w:type="dxa"/>
            </w:tcMar>
            <w:vAlign w:val="center"/>
          </w:tcPr>
          <w:p w14:paraId="23A93C41" w14:textId="77777777" w:rsidR="00273BAD" w:rsidRDefault="00273BAD">
            <w:pPr>
              <w:widowControl w:val="0"/>
              <w:spacing w:after="0" w:line="240" w:lineRule="auto"/>
              <w:contextualSpacing/>
              <w:jc w:val="center"/>
            </w:pPr>
            <w:r>
              <w:t>Historic MAP (mm)</w:t>
            </w:r>
          </w:p>
        </w:tc>
        <w:tc>
          <w:tcPr>
            <w:tcW w:w="1553" w:type="dxa"/>
            <w:tcMar>
              <w:top w:w="100" w:type="dxa"/>
              <w:left w:w="100" w:type="dxa"/>
              <w:bottom w:w="100" w:type="dxa"/>
              <w:right w:w="100" w:type="dxa"/>
            </w:tcMar>
            <w:vAlign w:val="center"/>
          </w:tcPr>
          <w:p w14:paraId="2E794389" w14:textId="77777777" w:rsidR="00273BAD" w:rsidRDefault="00273BAD">
            <w:pPr>
              <w:widowControl w:val="0"/>
              <w:spacing w:after="0" w:line="240" w:lineRule="auto"/>
              <w:contextualSpacing/>
              <w:jc w:val="center"/>
            </w:pPr>
            <w:r>
              <w:t>500</w:t>
            </w:r>
          </w:p>
        </w:tc>
        <w:tc>
          <w:tcPr>
            <w:tcW w:w="2243" w:type="dxa"/>
            <w:vAlign w:val="center"/>
          </w:tcPr>
          <w:p w14:paraId="7D20A1E7" w14:textId="77777777" w:rsidR="00273BAD" w:rsidRDefault="00273BAD">
            <w:pPr>
              <w:widowControl w:val="0"/>
              <w:spacing w:after="0" w:line="240" w:lineRule="auto"/>
              <w:contextualSpacing/>
              <w:jc w:val="center"/>
            </w:pPr>
            <w:r>
              <w:t>100</w:t>
            </w:r>
          </w:p>
        </w:tc>
        <w:tc>
          <w:tcPr>
            <w:tcW w:w="1725" w:type="dxa"/>
            <w:vAlign w:val="center"/>
          </w:tcPr>
          <w:p w14:paraId="67F01187" w14:textId="77777777" w:rsidR="00273BAD" w:rsidRDefault="00273BAD">
            <w:pPr>
              <w:widowControl w:val="0"/>
              <w:spacing w:after="0" w:line="240" w:lineRule="auto"/>
              <w:contextualSpacing/>
              <w:jc w:val="center"/>
            </w:pPr>
            <w:r>
              <w:t>400</w:t>
            </w:r>
          </w:p>
        </w:tc>
        <w:tc>
          <w:tcPr>
            <w:tcW w:w="1725" w:type="dxa"/>
            <w:vAlign w:val="center"/>
          </w:tcPr>
          <w:p w14:paraId="7FDD568F" w14:textId="77777777" w:rsidR="00273BAD" w:rsidRDefault="00273BAD">
            <w:pPr>
              <w:widowControl w:val="0"/>
              <w:spacing w:after="0" w:line="240" w:lineRule="auto"/>
              <w:contextualSpacing/>
              <w:jc w:val="center"/>
            </w:pPr>
            <w:r>
              <w:t>600</w:t>
            </w:r>
          </w:p>
        </w:tc>
      </w:tr>
      <w:tr w:rsidR="00273BAD" w14:paraId="3F1E479C" w14:textId="77777777">
        <w:trPr>
          <w:trHeight w:val="84"/>
        </w:trPr>
        <w:tc>
          <w:tcPr>
            <w:tcW w:w="2243" w:type="dxa"/>
            <w:tcMar>
              <w:top w:w="100" w:type="dxa"/>
              <w:left w:w="100" w:type="dxa"/>
              <w:bottom w:w="100" w:type="dxa"/>
              <w:right w:w="100" w:type="dxa"/>
            </w:tcMar>
            <w:vAlign w:val="center"/>
          </w:tcPr>
          <w:p w14:paraId="09B94B4C" w14:textId="77777777" w:rsidR="00273BAD" w:rsidRDefault="00273BAD">
            <w:pPr>
              <w:widowControl w:val="0"/>
              <w:spacing w:after="0" w:line="240" w:lineRule="auto"/>
              <w:contextualSpacing/>
              <w:jc w:val="center"/>
            </w:pPr>
            <w:r>
              <w:t>Historic MAT (</w:t>
            </w:r>
            <w:r w:rsidRPr="000911C6">
              <w:t>°</w:t>
            </w:r>
            <w:r>
              <w:t>C)</w:t>
            </w:r>
          </w:p>
        </w:tc>
        <w:tc>
          <w:tcPr>
            <w:tcW w:w="1553" w:type="dxa"/>
            <w:tcMar>
              <w:top w:w="100" w:type="dxa"/>
              <w:left w:w="100" w:type="dxa"/>
              <w:bottom w:w="100" w:type="dxa"/>
              <w:right w:w="100" w:type="dxa"/>
            </w:tcMar>
            <w:vAlign w:val="center"/>
          </w:tcPr>
          <w:p w14:paraId="248A4CB9" w14:textId="77777777" w:rsidR="00273BAD" w:rsidRDefault="00273BAD">
            <w:pPr>
              <w:widowControl w:val="0"/>
              <w:spacing w:after="0" w:line="240" w:lineRule="auto"/>
              <w:contextualSpacing/>
              <w:jc w:val="center"/>
            </w:pPr>
            <w:r>
              <w:t>18</w:t>
            </w:r>
          </w:p>
        </w:tc>
        <w:tc>
          <w:tcPr>
            <w:tcW w:w="2243" w:type="dxa"/>
            <w:vAlign w:val="center"/>
          </w:tcPr>
          <w:p w14:paraId="68AE0BD4" w14:textId="77777777" w:rsidR="00273BAD" w:rsidRDefault="00273BAD">
            <w:pPr>
              <w:widowControl w:val="0"/>
              <w:spacing w:after="0" w:line="240" w:lineRule="auto"/>
              <w:contextualSpacing/>
              <w:jc w:val="center"/>
            </w:pPr>
            <w:r>
              <w:t>19</w:t>
            </w:r>
          </w:p>
        </w:tc>
        <w:tc>
          <w:tcPr>
            <w:tcW w:w="1725" w:type="dxa"/>
            <w:vAlign w:val="center"/>
          </w:tcPr>
          <w:p w14:paraId="7808ADD0" w14:textId="77777777" w:rsidR="00273BAD" w:rsidRDefault="00273BAD">
            <w:pPr>
              <w:widowControl w:val="0"/>
              <w:spacing w:after="0" w:line="240" w:lineRule="auto"/>
              <w:contextualSpacing/>
              <w:jc w:val="center"/>
            </w:pPr>
            <w:r>
              <w:t>18</w:t>
            </w:r>
          </w:p>
        </w:tc>
        <w:tc>
          <w:tcPr>
            <w:tcW w:w="1725" w:type="dxa"/>
            <w:vAlign w:val="center"/>
          </w:tcPr>
          <w:p w14:paraId="0000F0B0" w14:textId="77777777" w:rsidR="00273BAD" w:rsidRDefault="00273BAD">
            <w:pPr>
              <w:widowControl w:val="0"/>
              <w:spacing w:after="0" w:line="240" w:lineRule="auto"/>
              <w:contextualSpacing/>
              <w:jc w:val="center"/>
            </w:pPr>
            <w:r>
              <w:t>18</w:t>
            </w:r>
          </w:p>
        </w:tc>
      </w:tr>
      <w:tr w:rsidR="00273BAD" w14:paraId="1AC77204" w14:textId="77777777">
        <w:trPr>
          <w:trHeight w:val="84"/>
        </w:trPr>
        <w:tc>
          <w:tcPr>
            <w:tcW w:w="2243" w:type="dxa"/>
            <w:tcBorders>
              <w:bottom w:val="single" w:sz="4" w:space="0" w:color="auto"/>
            </w:tcBorders>
            <w:tcMar>
              <w:top w:w="100" w:type="dxa"/>
              <w:left w:w="100" w:type="dxa"/>
              <w:bottom w:w="100" w:type="dxa"/>
              <w:right w:w="100" w:type="dxa"/>
            </w:tcMar>
            <w:vAlign w:val="center"/>
          </w:tcPr>
          <w:p w14:paraId="07AE03F1" w14:textId="77777777" w:rsidR="00273BAD" w:rsidRDefault="00273BAD">
            <w:pPr>
              <w:widowControl w:val="0"/>
              <w:spacing w:after="0" w:line="240" w:lineRule="auto"/>
              <w:contextualSpacing/>
              <w:jc w:val="center"/>
            </w:pPr>
            <w:r>
              <w:t xml:space="preserve">Taxonomy </w:t>
            </w:r>
            <w:r>
              <w:fldChar w:fldCharType="begin"/>
            </w:r>
            <w:r>
              <w:instrText xml:space="preserve"> ADDIN ZOTERO_ITEM CSL_CITATION {"citationID":"a20nv7lrjjq","properties":{"formattedCitation":"(Soil Survey Staff, USDA, 1999)","plainCitation":"(Soil Survey Staff, USDA, 1999)","noteIndex":0},"citationItems":[{"id":3630,"uris":["http://zotero.org/groups/6023057/items/2IBRTXMX"],"itemData":{"id":3630,"type":"book","collection-number":"436","collection-title":"Agricultural Handbook","edition":"Second Edition","title":"Soil Taxonomy: A Basic System of Soil Classification for Making and Interpreting Soil Surveys","URL":"https://www.nrcs.usda.gov/Internet/FSE_DOCUMENTS/nrcs142p2_051232.pdf","author":[{"family":"Soil Survey Staff, USDA","given":""}],"issued":{"date-parts":[["1999"]]}}}],"schema":"https://github.com/citation-style-language/schema/raw/master/csl-citation.json"} </w:instrText>
            </w:r>
            <w:r>
              <w:fldChar w:fldCharType="separate"/>
            </w:r>
            <w:r w:rsidRPr="00995B79">
              <w:rPr>
                <w:kern w:val="0"/>
              </w:rPr>
              <w:t>(Soil Survey Staff, USDA, 1999)</w:t>
            </w:r>
            <w:r>
              <w:fldChar w:fldCharType="end"/>
            </w:r>
          </w:p>
        </w:tc>
        <w:tc>
          <w:tcPr>
            <w:tcW w:w="1553" w:type="dxa"/>
            <w:tcBorders>
              <w:bottom w:val="single" w:sz="4" w:space="0" w:color="auto"/>
            </w:tcBorders>
            <w:tcMar>
              <w:top w:w="100" w:type="dxa"/>
              <w:left w:w="100" w:type="dxa"/>
              <w:bottom w:w="100" w:type="dxa"/>
              <w:right w:w="100" w:type="dxa"/>
            </w:tcMar>
            <w:vAlign w:val="center"/>
          </w:tcPr>
          <w:p w14:paraId="39D9F4C4" w14:textId="77777777" w:rsidR="00273BAD" w:rsidRDefault="00273BAD">
            <w:pPr>
              <w:widowControl w:val="0"/>
              <w:spacing w:after="0" w:line="240" w:lineRule="auto"/>
              <w:contextualSpacing/>
              <w:jc w:val="center"/>
            </w:pPr>
            <w:r>
              <w:t xml:space="preserve">Typic </w:t>
            </w:r>
            <w:r w:rsidRPr="001240CD">
              <w:t>Rhodoxeralf</w:t>
            </w:r>
            <w:r>
              <w:t xml:space="preserve"> </w:t>
            </w:r>
          </w:p>
        </w:tc>
        <w:tc>
          <w:tcPr>
            <w:tcW w:w="2243" w:type="dxa"/>
            <w:tcBorders>
              <w:bottom w:val="single" w:sz="4" w:space="0" w:color="auto"/>
            </w:tcBorders>
            <w:vAlign w:val="center"/>
          </w:tcPr>
          <w:p w14:paraId="798FD03A" w14:textId="77777777" w:rsidR="00273BAD" w:rsidRPr="00DA0923" w:rsidRDefault="00273BAD">
            <w:pPr>
              <w:widowControl w:val="0"/>
              <w:spacing w:after="0" w:line="240" w:lineRule="auto"/>
              <w:contextualSpacing/>
              <w:jc w:val="center"/>
            </w:pPr>
            <w:r w:rsidRPr="00DA0923">
              <w:t>Camborthid</w:t>
            </w:r>
          </w:p>
        </w:tc>
        <w:tc>
          <w:tcPr>
            <w:tcW w:w="1725" w:type="dxa"/>
            <w:tcBorders>
              <w:bottom w:val="single" w:sz="4" w:space="0" w:color="auto"/>
            </w:tcBorders>
            <w:vAlign w:val="center"/>
          </w:tcPr>
          <w:p w14:paraId="1D3436C9" w14:textId="77777777" w:rsidR="00273BAD" w:rsidRDefault="00273BAD">
            <w:pPr>
              <w:widowControl w:val="0"/>
              <w:spacing w:after="0" w:line="240" w:lineRule="auto"/>
              <w:contextualSpacing/>
              <w:jc w:val="center"/>
            </w:pPr>
            <w:r>
              <w:t xml:space="preserve">Aquic </w:t>
            </w:r>
            <w:r w:rsidRPr="001240CD">
              <w:t>Rhodoxeralf</w:t>
            </w:r>
          </w:p>
        </w:tc>
        <w:tc>
          <w:tcPr>
            <w:tcW w:w="1725" w:type="dxa"/>
            <w:tcBorders>
              <w:bottom w:val="single" w:sz="4" w:space="0" w:color="auto"/>
            </w:tcBorders>
            <w:vAlign w:val="center"/>
          </w:tcPr>
          <w:p w14:paraId="77267E47" w14:textId="77777777" w:rsidR="00273BAD" w:rsidRDefault="00273BAD">
            <w:pPr>
              <w:widowControl w:val="0"/>
              <w:spacing w:after="0" w:line="240" w:lineRule="auto"/>
              <w:contextualSpacing/>
              <w:jc w:val="center"/>
            </w:pPr>
            <w:r>
              <w:t>Vertisol</w:t>
            </w:r>
          </w:p>
        </w:tc>
      </w:tr>
    </w:tbl>
    <w:p w14:paraId="1DF808E5" w14:textId="77777777" w:rsidR="00273BAD" w:rsidRDefault="00273BAD" w:rsidP="007F3B8A">
      <w:pPr>
        <w:spacing w:after="0" w:line="480" w:lineRule="auto"/>
      </w:pPr>
    </w:p>
    <w:p w14:paraId="174A81D3" w14:textId="77777777" w:rsidR="00273BAD" w:rsidRDefault="00273BAD">
      <w:r>
        <w:br w:type="page"/>
      </w:r>
    </w:p>
    <w:p w14:paraId="47647AA2" w14:textId="4F7A0624" w:rsidR="00EE287F" w:rsidRDefault="00EE287F" w:rsidP="001B567A">
      <w:pPr>
        <w:spacing w:after="0" w:line="480" w:lineRule="auto"/>
      </w:pPr>
      <w:r>
        <w:lastRenderedPageBreak/>
        <w:t xml:space="preserve">been demonstrated to dictate at what degree of moisture soils will behave as saturated, with restricted gas diffusivity due to entrapment by moisture </w:t>
      </w:r>
      <w:r>
        <w:fldChar w:fldCharType="begin"/>
      </w:r>
      <w:r>
        <w:instrText xml:space="preserve"> ADDIN ZOTERO_ITEM CSL_CITATION {"citationID":"a2c98rc2tj5","properties":{"formattedCitation":"(Balaine et al., 2013; Rabot et al., 2016)","plainCitation":"(Balaine et al., 2013; Rabot et al., 2016)","noteIndex":0},"citationItems":[{"id":1324,"uris":["http://zotero.org/groups/4573874/items/8RSJKU2S"],"itemData":{"id":1324,"type":"article-journal","abstract":"Nitrous oxide (N2O) is a greenhouse gas and the main anthropogenic emission contributing to stratospheric ozone depletion. Agricultural soils dominate anthropogenic N2O emissions but there is very limited information specifically relating relative soil gas diffusivity (Dp/Do) to N2O emissions. This study was conducted to determine the effects of soil bulk density (ρb) and matric potential (ψ) on Dp/Do and the associated N2O fluxes in the presence of denitrification substrates. The interaction between soil ρb and ψ on Dp/Do and N2O fluxes was investigated using 880 repacked soil cores that were saturated with a nitrate (NO3–) solution and placed on tension tables at 11 levels of ψ and 5 levels of soil ρb. After equilibration (4 d) N2O fluxes, Dp/Do, inorganic-N concentrations, and soil physical characteristics were determined. Emissions of N2O peaked at increasingly lower levels of ψ(–1.5 to –6.0 kPa) as soil ρb increased (1.1 to 1.5 Mg m–3) due to increasing microporosity. Peak N2O emissions occurred across a relatively wide range of water-filled pore space (WFPS) and volumetric water content. A Gaussian fit of N2O-N fluxes against ψ showed maximum fluxes were related to the soil's air-entry potential (r2 = 0.96). Maximum N2O emissions occurred at a Dp/Do value of 0.006 that was independent of soil ρb. Log N2O-N flux was a function of log Dp/Do (r2 = 0.82) when Dp/Do was &gt;0.006. Soil Dp/Do is a key indicator of N2O emission potential and needs to be further explored as a predictor of N2O emissions in a range of soil textures and denitrification substrates.","container-title":"Soil Science Society of America Journal","DOI":"10.2136/sssaj2013.04.0141","ISSN":"1435-0661","issue":"5","language":"en","license":"Copyright © by the Soil Science Society of America, Inc.","note":"_eprint: https://onlinelibrary.wiley.com/doi/pdf/10.2136/sssaj2013.04.0141","page":"1496-1505","source":"Wiley Online Library","title":"Changes in Relative Gas Diffusivity Explain Soil Nitrous Oxide Flux Dynamics","volume":"77","author":[{"family":"Balaine","given":"Nimlesh"},{"family":"Clough","given":"Tim J."},{"family":"Beare","given":"Mike H."},{"family":"Thomas","given":"Steve M."},{"family":"Meenken","given":"Esther D."},{"family":"Ross","given":"James G."}],"issued":{"date-parts":[["2013"]]}}},{"id":1309,"uris":["http://zotero.org/groups/4573874/items/M3PIH88R"],"itemData":{"id":1309,"type":"article-journal","abstract":"Microbial N2O production may occur via denitrification, a reaction which is influenced by the soil's water content. This study aimed to test the effect of soil water dynamics on N2O production and transport. The treatments consisted of two levels of soil bulk density (BD), negative pressure head applied on the soil cylinder (H), and saturated hydraulic conductivity of the ceramic plate placed at the bottom of the soil sample (K). We controlled the water status of repacked soil samples during two wetting-drying cycles, by using a multistep outflow system. The matric potential, outflow, N2O, and CO2 fluxes were recorded over time. A brief N2O peak occurred at the beginning of soil drying: N2O produced and entrapped in the soil during the wetting phase was released during soil drying with the increase in soil gas diffusion. Similar peaks dynamics were observed for CO2, implying that a physical process was involved. A relationship was observed to occur with maximum N2O fluxes increasing exponentially with cumulative drainage. Indeed, during drying, high N2O fluxes were measured when the air-entry potential was reached, i.e., when gas pathways were available for fast N2O transport in the gas phase. Then, maximum and cumulative N2O fluxes were highest for low BD and fast water flow during drying. Samples with the highest BD had smaller pore sizes, leading to low outflows at a given negative pressure head, and giving more time for further reduction of N2O to N2. We ranked the importance of the parameters controlling cumulative N2O fluxes: H&gt;BD&gt;K.","container-title":"Geoderma","DOI":"10.1016/j.geoderma.2016.06.012","ISSN":"0016-7061","journalAbbreviation":"Geoderma","page":"38-46","source":"ScienceDirect","title":"Effect of the soil water dynamics on nitrous oxide emissions","volume":"280","author":[{"family":"Rabot","given":"E."},{"family":"Hénault","given":"C."},{"family":"Cousin","given":"I."}],"issued":{"date-parts":[["2016",10,15]]}}}],"schema":"https://github.com/citation-style-language/schema/raw/master/csl-citation.json"} </w:instrText>
      </w:r>
      <w:r>
        <w:fldChar w:fldCharType="separate"/>
      </w:r>
      <w:r w:rsidRPr="009C6C7A">
        <w:rPr>
          <w:rFonts w:cs="Times New Roman"/>
        </w:rPr>
        <w:t>(Balaine et al., 2013; Rabot et al., 2016)</w:t>
      </w:r>
      <w:r>
        <w:fldChar w:fldCharType="end"/>
      </w:r>
      <w:r>
        <w:t>. The WFPS of soils at their AEV were estimated by generating soil water retention curves of aliquots using a Hyprop 2 instrument (Meter Group, Washington, USA). Soil was packed to a bulk density of 1.4 g cm</w:t>
      </w:r>
      <w:r>
        <w:rPr>
          <w:vertAlign w:val="superscript"/>
        </w:rPr>
        <w:t>3</w:t>
      </w:r>
      <w:r>
        <w:t xml:space="preserve"> in rings and submersed to 5 mm below the ring’s top and allowed to fully saturate for 7 days. Then, rings were transferred to the Hyprop 2 and allowed to air dry while continuously weighing and measuring soil tension. Once soil tension reached at least -50 kPa, rings were removed and oven dried to determine dry mass. Gravimetric water content was determined from the dry mass of soil, metal soil ring, and weighing measurements by Hyprop 2. Water retention curves of each soil texture were created relating the matric pressure to moisture content, and the AEV was estimated to be the inflection point where soil moisture sharply declines with respect to increasing soil tension </w:t>
      </w:r>
      <w:r>
        <w:fldChar w:fldCharType="begin"/>
      </w:r>
      <w:r>
        <w:instrText xml:space="preserve"> ADDIN ZOTERO_ITEM CSL_CITATION {"citationID":"xztXwvK0","properties":{"formattedCitation":"(Fredlund &amp; Xing, 1994)","plainCitation":"(Fredlund &amp; Xing, 1994)","noteIndex":0},"citationItems":[{"id":3518,"uris":["http://zotero.org/groups/5631027/items/Y87SQXFY"],"itemData":{"id":3518,"type":"article-journal","abstract":"The soil-water characteristic curve can be used to estimate various parameters used to describe unsaturated soil behaviour. A general equation for the soil-water characteristic curve is proposed. A nonlinear, least-squares computer program is used to determine the best-fit parameters for experimental data presented in the literature. The equation is based on the assumption that the shape of the soil-water characteristic curve is dependent upon the pore-size distribution of the soil (i.e., the desaturation is a function of the pore-size distribution). The equation has the form of an integrated frequency distribution curve. The equation provides a good fit for sand, silt, and clay soils over the entire suction range from 0 to 106 kPa. Key words : soil-water characteristic curve, pore-size distribution, nonlinear curve fitting, soil suction, water content.","container-title":"Canadian Geotechnical Journal","DOI":"10.1139/t94-061","ISSN":"0008-3674","issue":"4","journalAbbreviation":"Can. Geotech. J.","note":"publisher: NRC Research Press","page":"521-532","source":"cdnsciencepub.com (Atypon)","title":"Equations for the soil-water characteristic curve","volume":"31","author":[{"family":"Fredlund","given":"D.G."},{"family":"Xing","given":"Anqing"}],"issued":{"date-parts":[["1994",8]]}}}],"schema":"https://github.com/citation-style-language/schema/raw/master/csl-citation.json"} </w:instrText>
      </w:r>
      <w:r>
        <w:fldChar w:fldCharType="separate"/>
      </w:r>
      <w:r w:rsidRPr="00252158">
        <w:t>(Fredlund &amp; Xing, 1994)</w:t>
      </w:r>
      <w:r>
        <w:fldChar w:fldCharType="end"/>
      </w:r>
      <w:r>
        <w:t>. Finally, the gravimetric water content at this inflection point was related to the WFPS using the bulk densities of soils.</w:t>
      </w:r>
    </w:p>
    <w:p w14:paraId="2EB92167" w14:textId="77777777" w:rsidR="00273BAD" w:rsidRDefault="00273BAD" w:rsidP="001B567A">
      <w:pPr>
        <w:pStyle w:val="Heading3"/>
      </w:pPr>
      <w:bookmarkStart w:id="96" w:name="_Toc202172991"/>
      <w:bookmarkStart w:id="97" w:name="_Toc204282781"/>
      <w:r>
        <w:t xml:space="preserve">Experimental </w:t>
      </w:r>
      <w:bookmarkEnd w:id="96"/>
      <w:r>
        <w:t>design</w:t>
      </w:r>
      <w:bookmarkEnd w:id="97"/>
    </w:p>
    <w:p w14:paraId="4B8BCBA6" w14:textId="6A2DF432" w:rsidR="00EE287F" w:rsidRPr="004A67EB" w:rsidRDefault="00273BAD" w:rsidP="001B567A">
      <w:pPr>
        <w:spacing w:after="0" w:line="480" w:lineRule="auto"/>
      </w:pPr>
      <w:r>
        <w:t xml:space="preserve">Soils were first air dried and sieved at &lt;4 mm to remove rocks and debris, and the remaining moisture content was determined by oven drying subsamples at 105 </w:t>
      </w:r>
      <w:r w:rsidRPr="000C5688">
        <w:t>°</w:t>
      </w:r>
      <w:r>
        <w:t>C for 48 hours. Soil was uniformly packed into 4.8 cm diameter, 10 cm height plastic cylinders to a bulk density of 1.4 g cm</w:t>
      </w:r>
      <w:r>
        <w:rPr>
          <w:vertAlign w:val="superscript"/>
        </w:rPr>
        <w:t>-3</w:t>
      </w:r>
      <w:r>
        <w:t xml:space="preserve">, equaling 190 g of soil (dry basis) and 7.5 cm height for flux measurement cores and 126.7 g of soil (dry basis) and 5 cm height for destructive soil chemical analysis. The bottoms of soil cores were sealed with Parafilm to prevent soil loss and needlepoint holes were punctured in the Parafilm to allow water absorption. </w:t>
      </w:r>
      <w:r w:rsidR="00EE287F">
        <w:t xml:space="preserve">Soils were exposed to equal wetting and drying magnitudes across all treatments. An initial wetting to 35% WFPS was performed after which soils were allowed to air dry to 30% WFPS. Gas flux measurements were taken during this time to </w:t>
      </w:r>
      <w:r w:rsidR="00EE287F">
        <w:lastRenderedPageBreak/>
        <w:t xml:space="preserve">determine the background emission levels of soils under oxic conditions. Then, a simulated flooding event was performed in which soils were raised to 90% WFPS. This level was selected as a practical degree of saturation able to be maintained in soil cores without creating artifacts under laboratory condition, as well as a degree of moisture which has been shown to lead to significantly inhibited gas diffusion in soils across a range of bulk densities </w:t>
      </w:r>
      <w:r w:rsidR="00EE287F">
        <w:fldChar w:fldCharType="begin"/>
      </w:r>
      <w:r w:rsidR="00EE287F">
        <w:instrText xml:space="preserve"> ADDIN ZOTERO_ITEM CSL_CITATION {"citationID":"1oUCpSNX","properties":{"formattedCitation":"(Balaine et al., 2013; Klefoth et al., 2014)","plainCitation":"(Balaine et al., 2013; Klefoth et al., 2014)","noteIndex":0},"citationItems":[{"id":1324,"uris":["http://zotero.org/groups/4573874/items/8RSJKU2S"],"itemData":{"id":1324,"type":"article-journal","abstract":"Nitrous oxide (N2O) is a greenhouse gas and the main anthropogenic emission contributing to stratospheric ozone depletion. Agricultural soils dominate anthropogenic N2O emissions but there is very limited information specifically relating relative soil gas diffusivity (Dp/Do) to N2O emissions. This study was conducted to determine the effects of soil bulk density (ρb) and matric potential (ψ) on Dp/Do and the associated N2O fluxes in the presence of denitrification substrates. The interaction between soil ρb and ψ on Dp/Do and N2O fluxes was investigated using 880 repacked soil cores that were saturated with a nitrate (NO3–) solution and placed on tension tables at 11 levels of ψ and 5 levels of soil ρb. After equilibration (4 d) N2O fluxes, Dp/Do, inorganic-N concentrations, and soil physical characteristics were determined. Emissions of N2O peaked at increasingly lower levels of ψ(–1.5 to –6.0 kPa) as soil ρb increased (1.1 to 1.5 Mg m–3) due to increasing microporosity. Peak N2O emissions occurred across a relatively wide range of water-filled pore space (WFPS) and volumetric water content. A Gaussian fit of N2O-N fluxes against ψ showed maximum fluxes were related to the soil's air-entry potential (r2 = 0.96). Maximum N2O emissions occurred at a Dp/Do value of 0.006 that was independent of soil ρb. Log N2O-N flux was a function of log Dp/Do (r2 = 0.82) when Dp/Do was &gt;0.006. Soil Dp/Do is a key indicator of N2O emission potential and needs to be further explored as a predictor of N2O emissions in a range of soil textures and denitrification substrates.","container-title":"Soil Science Society of America Journal","DOI":"10.2136/sssaj2013.04.0141","ISSN":"1435-0661","issue":"5","language":"en","license":"Copyright © by the Soil Science Society of America, Inc.","note":"_eprint: https://onlinelibrary.wiley.com/doi/pdf/10.2136/sssaj2013.04.0141","page":"1496-1505","source":"Wiley Online Library","title":"Changes in Relative Gas Diffusivity Explain Soil Nitrous Oxide Flux Dynamics","volume":"77","author":[{"family":"Balaine","given":"Nimlesh"},{"family":"Clough","given":"Tim J."},{"family":"Beare","given":"Mike H."},{"family":"Thomas","given":"Steve M."},{"family":"Meenken","given":"Esther D."},{"family":"Ross","given":"James G."}],"issued":{"date-parts":[["2013"]]}}},{"id":3606,"uris":["http://zotero.org/groups/6023057/items/6HD28ZZ4"],"itemData":{"id":3606,"type":"article-journal","abstract":"Nitrous oxide is a greenhouse gas and contributes to stratospheric ozone depletion. Soil physical conditions may influence N2O reduction and subsequent N2O emissions. We studied how soil water-filled pore space (WFPS) and soil bulk density (ρb) affect N2O reduction and surface fluxes. Columns were repacked with soil and arranged in a factorial design at three levels of WFPS (60, 75, and 90%) and three levels of soil ρb (0.94, 1.00, 1.07 Mg m−3). Over 19 d, 15N-enriched N2O was introduced at the base of the soil columns and N2O fluxes were measured. Relative gas diffusivities (Dp/Do) were also calculated. Soil ρb and WFPS interacted to affect the recovery of N2O-15N and the antecedent inorganic-N contribution to surface fluxes. Reduction rates of N2O-15N ranged from 0.15 to 0.47 mg N2O-N g−1 soil d−1. Calculated Dp/Do values correlated (P &amp;lt; 0.01) with soil NH4+–N (r = −0.73), NO3−–N (r = 0.93), cumulative N2O-N flux (r = 0.76), and N2O-N 15N enrichment (r = 0.80) and were affected by a soil WFPS × soil ρb interaction. Soil N transformations and the net surface N2O flux is dependent on the soil’s Dp/Do, and WFPS alone does not suffice to discriminate between N2O emission sources. Consequently, the soil surface N2O flux may be comprised of N2O originating from deeper soil layers transported upward and/or from production in the topsoil.","container-title":"Vadose Zone Journal","DOI":"10.2136/vzj2014.07.0089","ISSN":"1539-1663","issue":"11","journalAbbreviation":"Vadose Zone Journal","page":"vzj2014.07.0089","source":"Silverchair","title":"Soil Bulk Density and Moisture Content Influence Relative Gas Diffusivity and the Reduction of Nitrogen-15 Nitrous Oxide","volume":"13","author":[{"family":"Klefoth","given":"Roland R."},{"family":"Clough","given":"Tim J."},{"family":"Oenema","given":"Oene"},{"family":"Van Groenigen","given":"Jan-Willem"}],"issued":{"date-parts":[["2014",11,1]]}}}],"schema":"https://github.com/citation-style-language/schema/raw/master/csl-citation.json"} </w:instrText>
      </w:r>
      <w:r w:rsidR="00EE287F">
        <w:fldChar w:fldCharType="separate"/>
      </w:r>
      <w:r w:rsidR="00EE287F" w:rsidRPr="009C6C7A">
        <w:rPr>
          <w:rFonts w:cs="Times New Roman"/>
        </w:rPr>
        <w:t>(Balaine et al., 2013; Klefoth et al., 2014)</w:t>
      </w:r>
      <w:r w:rsidR="00EE287F">
        <w:fldChar w:fldCharType="end"/>
      </w:r>
      <w:r w:rsidR="00EE287F">
        <w:t>. To investigate the impact of flooding duration on biogeochemical dynamics, three levels of flooding period were used for which 90% WFPS was maintained: zero days (0F), three days (3F), and seven days (7F). At the end of the flooding period, soils were allowed to air dry inside the incubation chamber. A full factorial experiment design was used giving a total of 48 experimental units (four textures by three flooding periods by four replications). Additional soil cores for each of the 12 treatment combinations were added to permit destructive soil analysis immediately before and after the flooding period for each treatment, with three replications for each time point, adding 72 experimental units (4 textures x 3 flooding periods x 3 replications). In total, 120 soil cores were prepared.</w:t>
      </w:r>
    </w:p>
    <w:p w14:paraId="4D107ACB" w14:textId="5D4CD60B" w:rsidR="00EE287F" w:rsidRPr="0069494F" w:rsidRDefault="00EE287F" w:rsidP="001B567A">
      <w:pPr>
        <w:pStyle w:val="Heading3"/>
      </w:pPr>
      <w:bookmarkStart w:id="98" w:name="_Toc204282782"/>
      <w:r w:rsidRPr="0069494F">
        <w:t xml:space="preserve">Soil </w:t>
      </w:r>
      <w:r>
        <w:t>m</w:t>
      </w:r>
      <w:r w:rsidRPr="0069494F">
        <w:t xml:space="preserve">oisture </w:t>
      </w:r>
      <w:r>
        <w:t>m</w:t>
      </w:r>
      <w:r w:rsidRPr="0069494F">
        <w:t>anagement</w:t>
      </w:r>
      <w:bookmarkEnd w:id="98"/>
    </w:p>
    <w:p w14:paraId="0C438F46" w14:textId="77777777" w:rsidR="00EE287F" w:rsidRDefault="00EE287F" w:rsidP="001B567A">
      <w:pPr>
        <w:spacing w:after="0" w:line="480" w:lineRule="auto"/>
      </w:pPr>
      <w:r>
        <w:t xml:space="preserve">Soil cores were placed into plastic weighing boats and pre-incubated at 23 </w:t>
      </w:r>
      <w:r w:rsidRPr="000C5688">
        <w:t>°</w:t>
      </w:r>
      <w:r>
        <w:t xml:space="preserve">C for seven days to allow soils to reach stable biogeochemical activity rates after disturbance. An initial wetting was performed to 35% WFPS, after which soil cores were allowed to air dry to 30% WFPS. Soil flux measurements were performed once every three days during this period to establish a baseline flux level of soils. The experiment commenced by weighing each soil core and adding Milli-Q water via a pipette to each weighing boat necessary to bring each core to 35% WFPS, allowing water to absorb via capillary action and diffuse uniformly. Soil cores were stored in the incubation chamber and weighed daily for moisture measurement. When cores of a given </w:t>
      </w:r>
      <w:r>
        <w:lastRenderedPageBreak/>
        <w:t xml:space="preserve">treatment reached an average of 30% WFPS, the flooding period was initiated. 20 mg </w:t>
      </w:r>
      <w:r w:rsidRPr="004E77E9">
        <w:t>N kg</w:t>
      </w:r>
      <w:r w:rsidRPr="004E77E9">
        <w:rPr>
          <w:vertAlign w:val="superscript"/>
        </w:rPr>
        <w:t>-1</w:t>
      </w:r>
      <w:r w:rsidRPr="004E77E9">
        <w:t xml:space="preserve"> soil</w:t>
      </w:r>
      <w:r>
        <w:t xml:space="preserve"> of a</w:t>
      </w:r>
      <w:r w:rsidRPr="004E77E9">
        <w:t>mmonium nitrate fertilizer was</w:t>
      </w:r>
      <w:r>
        <w:t xml:space="preserve"> dissolved in Milli-Q water and added to the weighing boats, and additional Milli-Q water was added via pipette to a mass necessary to bring cores to 90% WFPS. </w:t>
      </w:r>
      <w:r w:rsidRPr="004E77E9">
        <w:t xml:space="preserve">This rate of </w:t>
      </w:r>
      <w:r>
        <w:t>N addition</w:t>
      </w:r>
      <w:r w:rsidRPr="004E77E9">
        <w:t xml:space="preserve"> was intended to replicate the levels of ammonium and nitrate in soils during the middle to late period of the growing season experienced in wheat growing soils of this region </w:t>
      </w:r>
      <w:r w:rsidRPr="004E77E9">
        <w:fldChar w:fldCharType="begin"/>
      </w:r>
      <w:r>
        <w:instrText xml:space="preserve"> ADDIN ZOTERO_ITEM CSL_CITATION {"citationID":"4v2cBsDJ","properties":{"formattedCitation":"(Shrestha et al., 2022)","plainCitation":"(Shrestha et al., 2022)","noteIndex":0},"citationItems":[{"id":1536,"uris":["http://zotero.org/groups/4573874/items/7ASDJWWJ"],"itemData":{"id":1536,"type":"article-journal","abstract":"Overuse of agrochemicals is linked to nutrient loss, greenhouse gases (GHG) emissions, and resource depletion thus requiring the development of sustainable agricultural solutions. Cultivated microalgal biomass could provide such a solution. The environmental consequences of algal biomass application in agriculture and more specifically its effect on soil GHG emissions are understudied. Here we report the results of a field experiment of wheat grown on three different soil types under the same climatic conditions and fertilized by urea or the untreated biomass of fresh-water green microalga (Coelastrella sp.). The results show that neither soil type nor fertilization types impacted the aboveground wheat biomass, whereas, soil microbiomes differed in accordance with soil but not the fertilizer type. However, wheat grain nitrogen (N) content and soil N oxides emissions were significantly lower in plots fertilized by algal biomass compared to urea. Grain N content in the wheat grain that was fertilized by algal biomass was between 1.3%–1.5% vs. 1.6%–2.0% in the urea fertilized wheat. Cumulative soil nitric oxide (NO) emissions were 2–5 fold lower, 313–726 g N ha−1 season−1 vs. 909–3079 g N ha−1 season−1. Cumulative soil nitrous oxide (N2O) emissions were 2-fold lower, 90–348 g N ha−1 season−1 vs. 147–761 g N ha−1 season−1. The lower emissions resulted in a 4–11 fold lower global warming impact of the algal fertilized crops. This calculation excluded the CO2 cost from the algae biomass production. Once included algal fertilization had a similar, or 40% higher, climatic impact compared to the urea fertilization.","container-title":"Science of The Total Environment","DOI":"10.1016/j.scitotenv.2021.151320","ISSN":"0048-9697","journalAbbreviation":"Science of The Total Environment","page":"151320","source":"ScienceDirect","title":"The effects of microalgae-based fertilization of wheat on yield, soil microbiome and nitrogen oxides emissions","volume":"806","author":[{"family":"Shrestha","given":"Ram Chandra"},{"family":"Ghazaryan","given":"Lusine"},{"family":"Poodiack","given":"Ben"},{"family":"Zorin","given":"Boris"},{"family":"Gross","given":"Avner"},{"family":"Gillor","given":"Osnat"},{"family":"Khozin-Goldberg","given":"Inna"},{"family":"Gelfand","given":"Ilya"}],"issued":{"date-parts":[["2022",2,1]]}}}],"schema":"https://github.com/citation-style-language/schema/raw/master/csl-citation.json"} </w:instrText>
      </w:r>
      <w:r w:rsidRPr="004E77E9">
        <w:fldChar w:fldCharType="separate"/>
      </w:r>
      <w:r w:rsidRPr="004E77E9">
        <w:t>(Shrestha et al., 2022)</w:t>
      </w:r>
      <w:r w:rsidRPr="004E77E9">
        <w:fldChar w:fldCharType="end"/>
      </w:r>
      <w:r w:rsidRPr="004E77E9">
        <w:t xml:space="preserve">. </w:t>
      </w:r>
      <w:r>
        <w:t>Furthermore, our objective was to capture the textural influence on N</w:t>
      </w:r>
      <w:r w:rsidRPr="001B567A">
        <w:rPr>
          <w:vertAlign w:val="subscript"/>
        </w:rPr>
        <w:t>2</w:t>
      </w:r>
      <w:r>
        <w:t>O emissions under varied saturation duration by avoiding the overpowering influence of large N fertilizer addition that is known to trigger emissions and potentially overshadowing other controlling factors. Cores were sealed on the bottom by two additional layers of Parafilm and tape to prevent leakage at high moisture content. Cores from the 3F and 7F treatments were additionally covered on the top by Parafilm punctured with needlepoint holes to reduce evaporation but still allow gas exchange. The weight of additional materials added to each core was measured and factored into subsequent core weighing. Upon adding water to reach 90% WFPS, the sandy clay loam and clay loam soils swelled due to their expansive clay content from their initial 7.5 cm height to 8 cm (1.31 g cm</w:t>
      </w:r>
      <w:r>
        <w:rPr>
          <w:vertAlign w:val="superscript"/>
        </w:rPr>
        <w:t>-3</w:t>
      </w:r>
      <w:r>
        <w:t>) and 8.6 cm (1.22 g cm</w:t>
      </w:r>
      <w:r>
        <w:rPr>
          <w:vertAlign w:val="superscript"/>
        </w:rPr>
        <w:t>-3</w:t>
      </w:r>
      <w:r>
        <w:t>), respectively. Water was added to weighing boats of these soils upon expansion to bring cores to 90% WFPS given their lowered bulk densities. On each subsequent day of the flooding period, all soil cores were weighed and any lost water mass was added via pipette to the top of the soil core to maintain 90% WFPS. At the end of the flooding period, Parafilm was removed from the top of the soil cores.</w:t>
      </w:r>
    </w:p>
    <w:p w14:paraId="5B442057" w14:textId="4858ACCF" w:rsidR="00427DC3" w:rsidRPr="0069494F" w:rsidRDefault="00427DC3" w:rsidP="001B567A">
      <w:pPr>
        <w:pStyle w:val="Heading3"/>
      </w:pPr>
      <w:bookmarkStart w:id="99" w:name="_Toc204282783"/>
      <w:r w:rsidRPr="0069494F">
        <w:t>N</w:t>
      </w:r>
      <w:r w:rsidRPr="0069494F">
        <w:rPr>
          <w:vertAlign w:val="subscript"/>
        </w:rPr>
        <w:t>2</w:t>
      </w:r>
      <w:r w:rsidRPr="0069494F">
        <w:t xml:space="preserve">O </w:t>
      </w:r>
      <w:r w:rsidR="007575BE">
        <w:t>f</w:t>
      </w:r>
      <w:r w:rsidRPr="0069494F">
        <w:t xml:space="preserve">lux </w:t>
      </w:r>
      <w:r w:rsidR="007575BE">
        <w:t>m</w:t>
      </w:r>
      <w:r w:rsidRPr="0069494F">
        <w:t>easurements</w:t>
      </w:r>
      <w:bookmarkEnd w:id="99"/>
    </w:p>
    <w:p w14:paraId="17015B3A" w14:textId="406FB043" w:rsidR="00FA1FA5" w:rsidRPr="004E77E9" w:rsidRDefault="00FA1FA5" w:rsidP="001B567A">
      <w:pPr>
        <w:spacing w:after="0" w:line="480" w:lineRule="auto"/>
      </w:pPr>
      <w:r>
        <w:t>N</w:t>
      </w:r>
      <w:r>
        <w:rPr>
          <w:vertAlign w:val="subscript"/>
        </w:rPr>
        <w:t>2</w:t>
      </w:r>
      <w:r>
        <w:t xml:space="preserve">O flux was measured from soil cores during the pre-incubation period and immediately prior to flooding (Day 0) to establish a baseline flux level. Then, gas flux was again sampled on days </w:t>
      </w:r>
      <w:r>
        <w:lastRenderedPageBreak/>
        <w:t>1, 3, 4, and 7 days after wetting during the flooding periods and on days 1, 2, 3, 4, 7, and 10 after the end of the flooding period. For gas sampling, s</w:t>
      </w:r>
      <w:r w:rsidRPr="004E77E9">
        <w:t xml:space="preserve">oil cores were placed inside sealed and airtight </w:t>
      </w:r>
      <w:r>
        <w:t>Mason jars (0.5 L) with rubber septa installed in the lids</w:t>
      </w:r>
      <w:r w:rsidRPr="004E77E9">
        <w:t xml:space="preserve">. </w:t>
      </w:r>
      <w:r>
        <w:t>Three 20 mL headspace g</w:t>
      </w:r>
      <w:r w:rsidRPr="004E77E9">
        <w:t>as samples were taken</w:t>
      </w:r>
      <w:r>
        <w:t xml:space="preserve"> from each Mason jar</w:t>
      </w:r>
      <w:r w:rsidRPr="004E77E9">
        <w:t xml:space="preserve"> using a syringe</w:t>
      </w:r>
      <w:r>
        <w:t xml:space="preserve"> and deposited into 15 mL exetainer vials (Labco Limited, United Kingdom)</w:t>
      </w:r>
      <w:r w:rsidRPr="004E77E9">
        <w:t xml:space="preserve"> at </w:t>
      </w:r>
      <w:r>
        <w:t>four</w:t>
      </w:r>
      <w:r w:rsidRPr="004E77E9">
        <w:t xml:space="preserve"> time periods: 0 minutes, </w:t>
      </w:r>
      <w:r>
        <w:t>5</w:t>
      </w:r>
      <w:r w:rsidRPr="004E77E9">
        <w:t xml:space="preserve">0 minutes, </w:t>
      </w:r>
      <w:r>
        <w:t>100</w:t>
      </w:r>
      <w:r w:rsidRPr="004E77E9">
        <w:t xml:space="preserve"> minutes</w:t>
      </w:r>
      <w:r>
        <w:t>, and 150 minutes</w:t>
      </w:r>
      <w:r w:rsidRPr="004E77E9">
        <w:t>. A gas chromatograph</w:t>
      </w:r>
      <w:r>
        <w:t xml:space="preserve"> </w:t>
      </w:r>
      <w:r w:rsidRPr="00A86346">
        <w:t>(Shimadzu GC-2014, Japan)</w:t>
      </w:r>
      <w:r w:rsidRPr="004E77E9">
        <w:t xml:space="preserve"> </w:t>
      </w:r>
      <w:r w:rsidR="00EF294C">
        <w:t>with an electron capture detector was used to determine</w:t>
      </w:r>
      <w:r w:rsidR="00EF294C" w:rsidRPr="004E77E9">
        <w:t xml:space="preserve"> N</w:t>
      </w:r>
      <w:r w:rsidR="00EF294C" w:rsidRPr="004E77E9">
        <w:rPr>
          <w:vertAlign w:val="subscript"/>
        </w:rPr>
        <w:t>2</w:t>
      </w:r>
      <w:r w:rsidR="00EF294C" w:rsidRPr="004E77E9">
        <w:t>O</w:t>
      </w:r>
      <w:r w:rsidR="00EF294C" w:rsidRPr="004E77E9">
        <w:rPr>
          <w:vertAlign w:val="subscript"/>
        </w:rPr>
        <w:t xml:space="preserve"> </w:t>
      </w:r>
      <w:r w:rsidR="00EF294C" w:rsidRPr="004E77E9">
        <w:t>concentrations</w:t>
      </w:r>
      <w:r w:rsidR="00EF294C">
        <w:t>, while a flame ionization detector was used to determine CO</w:t>
      </w:r>
      <w:r w:rsidR="00EF294C">
        <w:rPr>
          <w:vertAlign w:val="subscript"/>
        </w:rPr>
        <w:t>2</w:t>
      </w:r>
      <w:r w:rsidR="00EF294C">
        <w:t xml:space="preserve"> and CH</w:t>
      </w:r>
      <w:r w:rsidR="00EF294C">
        <w:rPr>
          <w:vertAlign w:val="subscript"/>
        </w:rPr>
        <w:t>4</w:t>
      </w:r>
      <w:r w:rsidR="00EF294C">
        <w:t xml:space="preserve"> concentrations</w:t>
      </w:r>
      <w:r w:rsidR="004C45E6">
        <w:t>.</w:t>
      </w:r>
      <w:r w:rsidRPr="004E77E9">
        <w:t xml:space="preserve"> </w:t>
      </w:r>
      <w:r w:rsidR="004C45E6">
        <w:t>F</w:t>
      </w:r>
      <w:r w:rsidRPr="004E77E9">
        <w:t>lux was calculated using the headspace volume and change in gas concentrations</w:t>
      </w:r>
      <w:r>
        <w:t xml:space="preserve"> over time</w:t>
      </w:r>
      <w:r w:rsidRPr="004E77E9">
        <w:t xml:space="preserve">. </w:t>
      </w:r>
    </w:p>
    <w:p w14:paraId="6C779B05" w14:textId="5DEB5E94" w:rsidR="00EE287F" w:rsidRPr="0069494F" w:rsidRDefault="00EE287F" w:rsidP="001B567A">
      <w:pPr>
        <w:pStyle w:val="Heading3"/>
      </w:pPr>
      <w:bookmarkStart w:id="100" w:name="_Toc202172994"/>
      <w:bookmarkStart w:id="101" w:name="_Toc204282784"/>
      <w:r>
        <w:t>N</w:t>
      </w:r>
      <w:r>
        <w:rPr>
          <w:vertAlign w:val="subscript"/>
        </w:rPr>
        <w:t>2</w:t>
      </w:r>
      <w:r>
        <w:t>O isotopomer analysis for microbial source identification</w:t>
      </w:r>
      <w:bookmarkEnd w:id="100"/>
      <w:bookmarkEnd w:id="101"/>
    </w:p>
    <w:p w14:paraId="43830833" w14:textId="0852C3C9" w:rsidR="00EE287F" w:rsidRPr="005310E7" w:rsidRDefault="00EE287F" w:rsidP="001B567A">
      <w:pPr>
        <w:spacing w:after="0" w:line="480" w:lineRule="auto"/>
      </w:pPr>
      <w:r w:rsidRPr="008E5249">
        <w:t xml:space="preserve">We determined the </w:t>
      </w:r>
      <w:r>
        <w:t>biogenic source of N</w:t>
      </w:r>
      <w:r>
        <w:rPr>
          <w:vertAlign w:val="subscript"/>
        </w:rPr>
        <w:t>2</w:t>
      </w:r>
      <w:r>
        <w:t xml:space="preserve">O from soil cores by isotopomer analysis at key periods: immediately prior to wetting, approximately 24 hours after the end of the flooding period, and during the middle of the flooding period for 3F and 7F treatments. 120 mL of gas was collected from the headspace of Mason jars 150 minutes after enclosure of cores and stored into evacuated 100 mL </w:t>
      </w:r>
      <w:r w:rsidRPr="008567A8">
        <w:t>crimp-top glass serum bottles (Sigma-Aldrich, St. Louis, MO)</w:t>
      </w:r>
      <w:r>
        <w:t xml:space="preserve">. Gas samples were also taken from the laboratory air on each day of isotopomer sampling for ambient concentration. Bottles were shipped to the Stable Isotope Facility at the University of California-Davis for analysis using a GasBench-Precon isotope ration mass </w:t>
      </w:r>
      <w:r w:rsidRPr="00C9195A">
        <w:t xml:space="preserve">spectrometer </w:t>
      </w:r>
      <w:r w:rsidRPr="00C9195A">
        <w:fldChar w:fldCharType="begin"/>
      </w:r>
      <w:r>
        <w:instrText xml:space="preserve"> ADDIN ZOTERO_ITEM CSL_CITATION {"citationID":"d3DRYdCn","properties":{"formattedCitation":"(Mohn et al., 2014)","plainCitation":"(Mohn et al., 2014)","noteIndex":0},"citationItems":[{"id":3526,"uris":["http://zotero.org/groups/6023057/items/3LQMM5QR"],"itemData":{"id":3526,"type":"article-journal","abstract":"RATIONALE In recent years, research and applications of the N2O site-specific nitrogen isotope composition have advanced, reflecting awareness of the contribution of N2O to the anthropogenic greenhouse effect, and leading to significant progress in instrument development. Further dissemination of N2O isotopomer analysis, however, is hampered by a lack of internationally agreed gaseous N2O reference materials and an uncertain compatibility of different laboratories and analytical techniques. METHODS In a first comparison approach, eleven laboratories were each provided with N2O at tropospheric mole fractions (target gas T) and two reference gases (REF1 and REF2). The laboratories analysed all gases, applying their specific analytical routines. Compatibility of laboratories was assessed based on N2O isotopocule data for T, REF1 and REF2. Results for T were then standardised using REF1 and REF2 to evaluate the potential of N2O reference materials for improving compatibility between laboratories. RESULTS Compatibility between laboratories depended on the analytical technique: isotope ratio mass spectrometry (IRMS) results showed better compatibility for δ15N values, while the performance of laser spectroscopy was superior with respect to N2O site preference. This comparison, however, is restricted by the small number of participating laboratories applying laser spectroscopy. Offset and two-point calibration correction of the N2O isotopomer data significantly improved the consistency of position-dependent nitrogen isotope data while the effect on δ15N values was only minor. CONCLUSIONS The study reveals that for future research on N2O isotopocules, standardisation against N2O reference material is essential to improve interlaboratory compatibility. For atmospheric monitoring activities, we suggest N2O in whole air as a unifying scale anchor. Copyright © 2014 John Wiley &amp; Sons, Ltd.","container-title":"Rapid Communications in Mass Spectrometry","DOI":"10.1002/rcm.6982","ISSN":"1097-0231","issue":"18","language":"en","license":"Copyright © 2014 John Wiley &amp; Sons, Ltd.","note":"_eprint: https://onlinelibrary.wiley.com/doi/pdf/10.1002/rcm.6982","page":"1995-2007","source":"Wiley Online Library","title":"Interlaboratory assessment of nitrous oxide isotopomer analysis by isotope ratio mass spectrometry and laser spectroscopy: current status and perspectives","title-short":"Interlaboratory assessment of nitrous oxide isotopomer analysis by isotope ratio mass spectrometry and laser spectroscopy","volume":"28","author":[{"family":"Mohn","given":"Joachim"},{"family":"Wolf","given":"Benjamin"},{"family":"Toyoda","given":"Sakae"},{"family":"Lin","given":"Cheng-Ting"},{"family":"Liang","given":"Mao-Chang"},{"family":"Brüggemann","given":"Nicolas"},{"family":"Wissel","given":"Holger"},{"family":"Steiker","given":"Amy E."},{"family":"Dyckmans","given":"Jens"},{"family":"Szwec","given":"Lars"},{"family":"Ostrom","given":"Nathaniel E."},{"family":"Casciotti","given":"Karen L."},{"family":"Forbes","given":"Matthew"},{"family":"Giesemann","given":"Anette"},{"family":"Well","given":"Reinhard"},{"family":"Doucett","given":"Richard R."},{"family":"Yarnes","given":"Chris T."},{"family":"Ridley","given":"Anna R."},{"family":"Kaiser","given":"Jan"},{"family":"Yoshida","given":"Naohiro"}],"issued":{"date-parts":[["2014"]]}}}],"schema":"https://github.com/citation-style-language/schema/raw/master/csl-citation.json"} </w:instrText>
      </w:r>
      <w:r w:rsidRPr="00C9195A">
        <w:fldChar w:fldCharType="separate"/>
      </w:r>
      <w:r w:rsidRPr="00C9195A">
        <w:t>(Mohn et al., 2014)</w:t>
      </w:r>
      <w:r w:rsidRPr="00C9195A">
        <w:fldChar w:fldCharType="end"/>
      </w:r>
      <w:r>
        <w:t xml:space="preserve">. </w:t>
      </w:r>
      <w:r w:rsidRPr="008B5AD6">
        <w:rPr>
          <w:vertAlign w:val="superscript"/>
        </w:rPr>
        <w:t>15</w:t>
      </w:r>
      <w:r>
        <w:t>N site preference of the N</w:t>
      </w:r>
      <w:r>
        <w:rPr>
          <w:vertAlign w:val="subscript"/>
        </w:rPr>
        <w:t>2</w:t>
      </w:r>
      <w:r>
        <w:t>O molecule was determined, which is indicative of the biogeochemical processes responsible for N</w:t>
      </w:r>
      <w:r>
        <w:rPr>
          <w:vertAlign w:val="subscript"/>
        </w:rPr>
        <w:t>2</w:t>
      </w:r>
      <w:r>
        <w:t xml:space="preserve">O </w:t>
      </w:r>
      <w:r w:rsidRPr="00694856">
        <w:t>production</w:t>
      </w:r>
      <w:r w:rsidRPr="00BE64A5">
        <w:t xml:space="preserve"> </w:t>
      </w:r>
      <w:r w:rsidRPr="00BE64A5">
        <w:fldChar w:fldCharType="begin"/>
      </w:r>
      <w:r>
        <w:instrText xml:space="preserve"> ADDIN ZOTERO_ITEM CSL_CITATION {"citationID":"I3UKsLpA","properties":{"formattedCitation":"(Sutka et al., 2006; Toyoda et al., 2005)","plainCitation":"(Sutka et al., 2006; Toyoda et al., 2005)","noteIndex":0},"citationItems":[{"id":2827,"uris":["http://zotero.org/groups/5631027/items/JHXRBJP8"],"itemData":{"id":2827,"type":"article-journal","abstract":"The intramolecular distribution of nitrogen isotopes in N2O is an emerging tool for defining the relative importance of microbial sources of this greenhouse gas. The application of intramolecular isotopic distributions to evaluate the origins of N2O, however, requires a foundation in laboratory experiments in which individual production pathways can be isolated. Here we evaluate the site preferences of N2O produced during hydroxylamine oxidation by ammonia oxidizers and by a methanotroph, ammonia oxidation by a nitrifier, nitrite reduction during nitrifier denitrification, and nitrate and nitrite reduction by denitrifiers. The site preferences produced during hydroxylamine oxidation were 33.5 ± 1.2‰, 32.5 ± 0.6‰, and 35.6 ± 1.4‰ for Nitrosomonas europaea, Nitrosospira multiformis, and Methylosinus trichosporium, respectively, indicating similar site preferences for methane and ammonia oxidizers. The site preference of N2O from ammonia oxidation by N. europaea (31.4 ± 4.2‰) was similar to that produced during hydroxylamine oxidation (33.5 ± 1.2‰) and distinct from that produced during nitrifier denitrification by N. multiformis (0.1 ± 1.7‰), indicating that isotopomers differentiate between nitrification and nitrifier denitrification. The site preferences of N2O produced during nitrite reduction by the denitrifiers Pseudomonas chlororaphis and Pseudomonas aureofaciens (−0.6 ± 1.9‰ and −0.5 ± 1.9‰, respectively) were similar to those during nitrate reduction (−0.5 ± 1.9‰ and −0.5 ± 0.6‰, respectively), indicating no influence of either substrate on site preference. Site preferences of </w:instrText>
      </w:r>
      <w:r>
        <w:rPr>
          <w:rFonts w:ascii="Cambria Math" w:hAnsi="Cambria Math" w:cs="Cambria Math"/>
        </w:rPr>
        <w:instrText>∼</w:instrText>
      </w:r>
      <w:r>
        <w:instrText>33</w:instrText>
      </w:r>
      <w:r>
        <w:rPr>
          <w:rFonts w:cs="Times New Roman"/>
        </w:rPr>
        <w:instrText>‰</w:instrText>
      </w:r>
      <w:r>
        <w:instrText xml:space="preserve"> and </w:instrText>
      </w:r>
      <w:r>
        <w:rPr>
          <w:rFonts w:ascii="Cambria Math" w:hAnsi="Cambria Math" w:cs="Cambria Math"/>
        </w:rPr>
        <w:instrText>∼</w:instrText>
      </w:r>
      <w:r>
        <w:instrText>0</w:instrText>
      </w:r>
      <w:r>
        <w:rPr>
          <w:rFonts w:cs="Times New Roman"/>
        </w:rPr>
        <w:instrText>‰</w:instrText>
      </w:r>
      <w:r>
        <w:instrText xml:space="preserve"> are characteristic of nitrification and denitrification, respectively, and provide a basis to quantitatively apportion N2O.","container-title":"Applied and Environmental Microbiology","DOI":"10.1128/AEM.72.1.638-644.2006","issue":"1","note":"publisher: American Society for Microbiology","page":"638-644","source":"journals.asm.org (Atypon)","title":"Distinguishing Nitrous Oxide Production from Nitrification and Denitrification on the Basis of Isotopomer Abundances","volume":"72","author":[{"family":"Sutka","given":"R. L."},{"family":"Ostrom","given":"N. E."},{"family":"Ostrom","given":"P. H."},{"family":"Breznak","given":"J. A."},{"family":"Gandhi","given":"H."},{"family":"Pitt","given":"A. J."},{"family":"Li","given":"F."}],"issued":{"date-parts":[["2006",1]]}}},{"id":3525,"uris":["http://zotero.org/groups/6023057/items/HQAQBADB"],"itemData":{"id":3525,"type":"article-journal","abstract":"Isotopomer ratios of N2O, which include intramolecular 15N-site preference in addition to conventional isotope ratios for N and O in NNO (we designate Nα and Nβ for the center and end N atom, respectively, in the asymmetric molecule), reflect production and consumption processes of this greenhouse gas. Therefore, they are useful parameters for deducing global N2O budget. This paper reports the first precise measurement of 15N-site preference in N2O produced by two species of denitrifying bacteria, Pseudomonas fluorescens (ATCC 13525) and Paracoccus denitrificans (ATCC 17741). Cultures were incubated in a batch mode with a liquid medium that contains KNO3 as unique nitrogen supply under acetylene/helium (10% v/v) atmosphere at 27°C. Enrichment factors for 15N in bulk nitrogen in N2O (average for Nα and Nβ) fluctuated in a few tens permil showing a slight difference between the species. In contrast, 15N-site preference (difference in isotope ratios between Nα and Nβ) showed nearly constant and distinct value for the two species (23.3±4.2 and −5.1±1.8‰ for P. fluorescens and P. denitrificans, respectively). The site preference was also measured for N2O produced by inorganic reactions (nitrite reduction and hydroxylamine oxidation); a unique value (about 30‰ for the both reactions) was obtained. These results and those recently reported for nitrifying bacteria suggest that 15N-site preference in N2O can be used to identify the production processes of N2O on the level of bacterial species or enzymes involved.","container-title":"Soil Biology and Biochemistry","DOI":"10.1016/j.soilbio.2005.01.009","ISSN":"0038-0717","issue":"8","journalAbbreviation":"Soil Biology and Biochemistry","page":"1535-1545","source":"ScienceDirect","title":"Fractionation of N2O isotopomers during production by denitrifier","volume":"37","author":[{"family":"Toyoda","given":"Sakae"},{"family":"Mutobe","given":"Hidenori"},{"family":"Yamagishi","given":"Hiroaki"},{"family":"Yoshida","given":"Naohiro"},{"family":"Tanji","given":"Yasunori"}],"issued":{"date-parts":[["2005",8,1]]}}}],"schema":"https://github.com/citation-style-language/schema/raw/master/csl-citation.json"} </w:instrText>
      </w:r>
      <w:r w:rsidRPr="00BE64A5">
        <w:fldChar w:fldCharType="separate"/>
      </w:r>
      <w:r w:rsidRPr="00BE64A5">
        <w:t>(Sutka et al., 2006; Toyoda et al., 2005)</w:t>
      </w:r>
      <w:r w:rsidRPr="00BE64A5">
        <w:fldChar w:fldCharType="end"/>
      </w:r>
      <w:r w:rsidRPr="00BE64A5">
        <w:t>.</w:t>
      </w:r>
      <w:r>
        <w:t xml:space="preserve"> The site preferences of nitrogen oxidation by nitrifiers and nitrogen reduction by nitrifiers and denitrifiers have been shown to be about 30-35% and -2-2%, </w:t>
      </w:r>
      <w:r w:rsidRPr="00B5354D">
        <w:t xml:space="preserve">respectively </w:t>
      </w:r>
      <w:r w:rsidRPr="00B5354D">
        <w:fldChar w:fldCharType="begin"/>
      </w:r>
      <w:r>
        <w:instrText xml:space="preserve"> ADDIN ZOTERO_ITEM CSL_CITATION {"citationID":"Wb14wgym","properties":{"formattedCitation":"(Sutka et al., 2006)","plainCitation":"(Sutka et al., 2006)","noteIndex":0},"citationItems":[{"id":2827,"uris":["http://zotero.org/groups/5631027/items/JHXRBJP8"],"itemData":{"id":2827,"type":"article-journal","abstract":"The intramolecular distribution of nitrogen isotopes in N2O is an emerging tool for defining the relative importance of microbial sources of this greenhouse gas. The application of intramolecular isotopic distributions to evaluate the origins of N2O, however, requires a foundation in laboratory experiments in which individual production pathways can be isolated. Here we evaluate the site preferences of N2O produced during hydroxylamine oxidation by ammonia oxidizers and by a methanotroph, ammonia oxidation by a nitrifier, nitrite reduction during nitrifier denitrification, and nitrate and nitrite reduction by denitrifiers. The site preferences produced during hydroxylamine oxidation were 33.5 ± 1.2‰, 32.5 ± 0.6‰, and 35.6 ± 1.4‰ for Nitrosomonas europaea, Nitrosospira multiformis, and Methylosinus trichosporium, respectively, indicating similar site preferences for methane and ammonia oxidizers. The site preference of N2O from ammonia oxidation by N. europaea (31.4 ± 4.2‰) was similar to that produced during hydroxylamine oxidation (33.5 ± 1.2‰) and distinct from that produced during nitrifier denitrification by N. multiformis (0.1 ± 1.7‰), indicating that isotopomers differentiate between nitrification and nitrifier denitrification. The site preferences of N2O produced during nitrite reduction by the denitrifiers Pseudomonas chlororaphis and Pseudomonas aureofaciens (−0.6 ± 1.9‰ and −0.5 ± 1.9‰, respectively) were similar to those during nitrate reduction (−0.5 ± 1.9‰ and −0.5 ± 0.6‰, respectively), indicating no influence of either substrate on site preference. Site preferences of </w:instrText>
      </w:r>
      <w:r>
        <w:rPr>
          <w:rFonts w:ascii="Cambria Math" w:hAnsi="Cambria Math" w:cs="Cambria Math"/>
        </w:rPr>
        <w:instrText>∼</w:instrText>
      </w:r>
      <w:r>
        <w:instrText>33</w:instrText>
      </w:r>
      <w:r>
        <w:rPr>
          <w:rFonts w:cs="Times New Roman"/>
        </w:rPr>
        <w:instrText>‰</w:instrText>
      </w:r>
      <w:r>
        <w:instrText xml:space="preserve"> and </w:instrText>
      </w:r>
      <w:r>
        <w:rPr>
          <w:rFonts w:ascii="Cambria Math" w:hAnsi="Cambria Math" w:cs="Cambria Math"/>
        </w:rPr>
        <w:instrText>∼</w:instrText>
      </w:r>
      <w:r>
        <w:instrText>0</w:instrText>
      </w:r>
      <w:r>
        <w:rPr>
          <w:rFonts w:cs="Times New Roman"/>
        </w:rPr>
        <w:instrText>‰</w:instrText>
      </w:r>
      <w:r>
        <w:instrText xml:space="preserve"> are characteristic of nitrification and denitrification, respectively, and provide a basis to quantitatively apportion N2O.","container-title":"Applied and Environmental Microbiology","DOI":"10.1128/AEM.72.1.638-644.2006","issue":"1","note":"publisher: American Society for Microbiology","page":"638-644","source":"journals.asm.org (Atypon)","title":"Distinguishing Nitrous Oxide Production from Nitrification and Denitrification on the Basis of Isotopomer Abundances","volume":"72","author":[{"family":"Sutka","given":"R. L."},{"family":"Ostrom","given":"N. E."},{"family":"Ostrom","given":"P. H."},{"family":"Breznak","given":"J. A."},{"family":"Gandhi","given":"H."},{"family":"Pitt","given":"A. J."},{"family":"Li","given":"F."}],"issued":{"date-parts":[["2006",1]]}}}],"schema":"https://github.com/citation-style-language/schema/raw/master/csl-citation.json"} </w:instrText>
      </w:r>
      <w:r w:rsidRPr="00B5354D">
        <w:fldChar w:fldCharType="separate"/>
      </w:r>
      <w:r w:rsidRPr="00B5354D">
        <w:t>(Sutka et al., 2006)</w:t>
      </w:r>
      <w:r w:rsidRPr="00B5354D">
        <w:fldChar w:fldCharType="end"/>
      </w:r>
      <w:r>
        <w:t>.</w:t>
      </w:r>
      <w:r w:rsidRPr="00B5354D">
        <w:t xml:space="preserve"> </w:t>
      </w:r>
      <w:r>
        <w:t>T</w:t>
      </w:r>
      <w:r w:rsidRPr="00B5354D">
        <w:t>hus</w:t>
      </w:r>
      <w:r>
        <w:t>, we compared the overall site preference of N</w:t>
      </w:r>
      <w:r>
        <w:rPr>
          <w:vertAlign w:val="subscript"/>
        </w:rPr>
        <w:t>2</w:t>
      </w:r>
      <w:r>
        <w:t xml:space="preserve">O sampled from soil cores to an </w:t>
      </w:r>
      <w:r>
        <w:lastRenderedPageBreak/>
        <w:t>assumed a nitrification site preference of 35% and denitrification site preference of 0%</w:t>
      </w:r>
      <w:r w:rsidRPr="00B5354D">
        <w:t xml:space="preserve"> to determine broadl</w:t>
      </w:r>
      <w:r>
        <w:t xml:space="preserve">y the relative contributions of nitrification and denitrification to fluxes </w:t>
      </w:r>
      <w:r>
        <w:fldChar w:fldCharType="begin"/>
      </w:r>
      <w:r w:rsidR="00D74AD1">
        <w:instrText xml:space="preserve"> ADDIN ZOTERO_ITEM CSL_CITATION {"citationID":"Fvqsz4ud","properties":{"formattedCitation":"(Kravchenko et al., 2018; Saha, Kaye, et al., 2021b)","plainCitation":"(Kravchenko et al., 2018; Saha, Kaye, et al., 2021b)","noteIndex":0},"citationItems":[{"id":3546,"uris":["http://zotero.org/groups/6023057/items/SBATY4YH"],"itemData":{"id":3546,"type":"article-journal","abstract":"While renewable biofuels can reduce negative effects of fossil fuel energy consumption, the magnitude of their benefits depends on the magnitude of N2O emissions. High variability of N2O emissions overpowers efforts to curb uncertainties in estimating N2O fluxes from biofuel systems. In this study, we explored (a) N2O production via bacterial denitrification and (b) N2O emissions from soils under several contrasting bioenergy cropping systems, with specific focus on explaining N2O variations by accounting for soil pore characteristics. Intact soil samples were collected after 9 years of implementing five biofuel systems: continuous corn with and without winter cover crop, monoculture switchgrass, poplars, and early-successional vegetation. After incubation, N2O emissions were measured and bacterial denitrification was determined based on the site-preference method. Soil pore characteristics were quantified using X-ray computed microtomography. Three bioenergy systems with low plant diversity, that is, corn and switchgrass systems, had low porosities, low organic carbon contents, and large volumes of poorly aerated soil. In these systems, greater volumes of poorly aerated soil were associated with greater bacterial denitrification, which in turn was associated with greater N2O emissions (R2 = 0.52, p &lt; 0.05). However, the two systems with high plant diversity, that is, poplars and early-successional vegetation, over the 9 years of implementation had developed higher porosities and organic carbon contents. In these systems, volumes of poorly aerated soil were positively associated with N2O emissions without a concomitant increase in bacterial denitrification. Our results suggest that changes in soil pore architecture generated by long-term implementation of contrasting bioenergy systems may affect the pathways of N2O production, thus, change associations between N2O emissions and other soil properties. Plant diversity appears as one of the factors determining which microscale soil characteristics will influence the amounts of N2O emitted into the atmosphere and, thus, which can be used as effective empirical predictors.","container-title":"GCB Bioenergy","DOI":"10.1111/gcbb.12552","ISSN":"1757-1707","issue":"11","language":"en","license":"© 2018 The Authors. GCB Bioenergy Published by John Wiley &amp; Sons Ltd.","note":"_eprint: https://onlinelibrary.wiley.com/doi/pdf/10.1111/gcbb.12552","page":"894-909","source":"Wiley Online Library","title":"X-ray computed tomography to predict soil N2O production via bacterial denitrification and N2O emission in contrasting bioenergy cropping systems","volume":"10","author":[{"family":"Kravchenko","given":"Alexandra N."},{"family":"Guber","given":"Andrey K."},{"family":"Quigley","given":"Michelle Y."},{"family":"Koestel","given":"John"},{"family":"Gandhi","given":"Hasand"},{"family":"Ostrom","given":"Nathaniel E."}],"issued":{"date-parts":[["2018"]]}}},{"id":3537,"uris":["http://zotero.org/groups/6023057/items/9B72FAHU"],"itemData":{"id":3537,"type":"article-journal","abstract":"Soil fertility in organic agriculture relies on microbial cycling of nutrient inputs from legume cover crops and animal manure. However, large quantities of labile carbon (C) and nitrogen (N) in these amendments may promote the production and emission of nitrous oxide (N2O) from soils. Better ecological understanding of the N2O emission controls may lead to new management strategies to reduce these emissions. We measured soil N2O emission for two growing seasons in four corn–soybean–winter grain rotations with tillage, cover crop, and manure management variations typical of organic agriculture in temperate and humid North America. To identify N2O production pathways and mitigation opportunities, we supplemented N2O flux measurements with determinations of N2O isotopomer composition and microbiological genomic DNA abundances in microplots where we manipulated cover crop and manure additions. The N input from legume-rich cover crops and manure prior to corn planting made the corn phase the main source of N2O emissions, averaging 9.8 kg/ha of N2O-N and representing 80% of the 3-yr rotations’ total emissions. Nitrous oxide emissions increased sharply when legume cover crop and manure inputs exceeded 1.8 and 4 Mg/ha (dry matter), respectively. Removing the legume aboveground biomass before corn planting to prevent co-location of fresh biomass and manure decreased N2O emissions by 60% during the corn phase. The co-occurrence of peak N2O emission and high carbon dioxide emission suggests that oxygen (O2) consumption likely caused hypoxia and bacterial denitrification. This interpretation is supported by the N2O site preference values trending towards denitrification during peak emissions with limited N2O reduction, as revealed by the N2O δ15N and δ18O and the decrease in clade I nosZ gene abundance following incorporation of cover crops and manure. Thus, accelerated microbial O2 consumption seems to be a critical control of N2O emissions in systems with large additions of decomposable C and N substrates. Because many agricultural systems rely on combined fertility inputs from legumes and manures, our research suggests that controlling the rate and timing of organic input additions, as well as preventing the co-location of legume cover crops and manure, could mitigate N2O emissions.","container-title":"Ecological Applications","DOI":"10.1002/eap.2403","ISSN":"1939-5582","issue":"7","language":"en","license":"© 2021 by the Ecological Society of America","note":"_eprint: https://esajournals.onlinelibrary.wiley.com/doi/pdf/10.1002/eap.2403","page":"e02403","source":"Wiley Online Library","title":"Organic fertility inputs synergistically increase denitrification-derived nitrous oxide emissions in agroecosystems","volume":"31","author":[{"family":"Saha","given":"Debasish"},{"family":"Kaye","given":"Jason P."},{"family":"Bhowmik","given":"Arnab"},{"family":"Bruns","given":"Mary Ann"},{"family":"Wallace","given":"John M."},{"family":"Kemanian","given":"Armen R."}],"issued":{"date-parts":[["2021"]]}}}],"schema":"https://github.com/citation-style-language/schema/raw/master/csl-citation.json"} </w:instrText>
      </w:r>
      <w:r>
        <w:fldChar w:fldCharType="separate"/>
      </w:r>
      <w:r w:rsidR="00D74AD1" w:rsidRPr="00D74AD1">
        <w:rPr>
          <w:rFonts w:cs="Times New Roman"/>
        </w:rPr>
        <w:t>(Kravchenko et al., 2018; Saha et al., 2021b)</w:t>
      </w:r>
      <w:r>
        <w:fldChar w:fldCharType="end"/>
      </w:r>
      <w:r>
        <w:t>.</w:t>
      </w:r>
    </w:p>
    <w:p w14:paraId="14DE7043" w14:textId="029FF773" w:rsidR="00EE287F" w:rsidRPr="0069494F" w:rsidRDefault="00EE287F" w:rsidP="001B567A">
      <w:pPr>
        <w:pStyle w:val="Heading3"/>
      </w:pPr>
      <w:bookmarkStart w:id="102" w:name="_Toc202172995"/>
      <w:bookmarkStart w:id="103" w:name="_Toc204282785"/>
      <w:r w:rsidRPr="0069494F">
        <w:t xml:space="preserve">Soil </w:t>
      </w:r>
      <w:r>
        <w:t>c</w:t>
      </w:r>
      <w:r w:rsidRPr="0069494F">
        <w:t xml:space="preserve">hemical </w:t>
      </w:r>
      <w:r>
        <w:t>p</w:t>
      </w:r>
      <w:r w:rsidRPr="0069494F">
        <w:t xml:space="preserve">roperty </w:t>
      </w:r>
      <w:r>
        <w:t>m</w:t>
      </w:r>
      <w:r w:rsidRPr="0069494F">
        <w:t>easurements</w:t>
      </w:r>
      <w:bookmarkEnd w:id="102"/>
      <w:bookmarkEnd w:id="103"/>
    </w:p>
    <w:p w14:paraId="348564C0" w14:textId="77777777" w:rsidR="00EE287F" w:rsidRPr="001E7892" w:rsidRDefault="00EE287F" w:rsidP="001B567A">
      <w:pPr>
        <w:widowControl w:val="0"/>
        <w:autoSpaceDE w:val="0"/>
        <w:autoSpaceDN w:val="0"/>
        <w:adjustRightInd w:val="0"/>
        <w:spacing w:after="0" w:line="480" w:lineRule="auto"/>
      </w:pPr>
      <w:r>
        <w:t>Soil cores intended for destructive sampling were bagged and frozen. Remaining soil cores at the end of the incubation period were also bagged and frozen. Soils were analyzed for inorganic NH</w:t>
      </w:r>
      <w:r>
        <w:rPr>
          <w:vertAlign w:val="subscript"/>
        </w:rPr>
        <w:t>4</w:t>
      </w:r>
      <w:r>
        <w:rPr>
          <w:vertAlign w:val="superscript"/>
        </w:rPr>
        <w:t>+</w:t>
      </w:r>
      <w:r>
        <w:t xml:space="preserve"> and NO</w:t>
      </w:r>
      <w:r>
        <w:rPr>
          <w:vertAlign w:val="subscript"/>
        </w:rPr>
        <w:t>3</w:t>
      </w:r>
      <w:r>
        <w:rPr>
          <w:vertAlign w:val="superscript"/>
        </w:rPr>
        <w:t>-</w:t>
      </w:r>
      <w:r>
        <w:t xml:space="preserve"> by extracting 10 g of fresh soil with 40 mL of 2 M KCl solution. Extractions were centrifuged and reagents were added to make colorimetric determinations of samples and known concentrations of NH</w:t>
      </w:r>
      <w:r>
        <w:rPr>
          <w:vertAlign w:val="subscript"/>
        </w:rPr>
        <w:t>4</w:t>
      </w:r>
      <w:r>
        <w:rPr>
          <w:vertAlign w:val="superscript"/>
        </w:rPr>
        <w:t>+</w:t>
      </w:r>
      <w:r>
        <w:t xml:space="preserve"> and NO</w:t>
      </w:r>
      <w:r>
        <w:rPr>
          <w:vertAlign w:val="subscript"/>
        </w:rPr>
        <w:t>3</w:t>
      </w:r>
      <w:r>
        <w:rPr>
          <w:vertAlign w:val="superscript"/>
        </w:rPr>
        <w:t>-</w:t>
      </w:r>
      <w:r>
        <w:t xml:space="preserve"> </w:t>
      </w:r>
      <w:r>
        <w:fldChar w:fldCharType="begin"/>
      </w:r>
      <w:r>
        <w:instrText xml:space="preserve"> ADDIN ZOTERO_ITEM CSL_CITATION {"citationID":"KU41eqkA","properties":{"formattedCitation":"(Doane &amp; and Horw\\uc0\\u225{}th, 2003; Forster, 1995; Mulvaney, 1996; Verdouw et al., 1978)","plainCitation":"(Doane &amp; and Horwáth, 2003; Forster, 1995; Mulvaney, 1996; Verdouw et al., 1978)","dontUpdate":true,"noteIndex":0},"citationItems":[{"id":3524,"uris":["http://zotero.org/groups/6023057/items/IAA3PSGB"],"itemData":{"id":3524,"type":"article-journal","abstract":"A spectrophotometric procedure for determination of nitrate in water, soil extracts, and a variety of other sample types is described using one reagent solution which is easily prepared and stored. Sample and equipment requirements are minimal. Reduced chemical hazard, simplicity, and versatility represent improvements over existing methods. Limit of detection is 0.01 µg N mL−1 (0.72 μM  ) or less, depending on the matrix.","container-title":"Analytical Letters","DOI":"10.1081/AL-120024647","ISSN":"0003-2719","issue":"12","note":"publisher: Taylor &amp; Francis\n_eprint: https://doi.org/10.1081/AL-120024647","page":"2713-2722","source":"Taylor and Francis+NEJM","title":"Spectrophotometric Determination of Nitrate with a Single Reagent","volume":"36","author":[{"family":"Doane","given":"Timothy A."},{"family":"Horwáth","given":"William R.","non-dropping-particle":"and"}],"issued":{"date-parts":[["2003",1,10]]}}},{"id":3522,"uris":["http://zotero.org/groups/6023057/items/UUI46NYN"],"itemData":{"id":3522,"type":"chapter","abstract":"The chapter discusses the manner in which microbial life in soil has been studied intensively and how a multitude of parameters are available for its characterization. The organic and especially the microbiological properties of soil are often extremely heterogeneous in the field. Samples should be transferred to the laboratory as soon as possible after sampling to avoid dramatic changes in microbial populations and activities. For studying the transport of chemicals in soil, estimation of microbial biomass or enzyme activity and the soil needs to be sterilized, and microbial activities need to be inhibited. All (bio) chemical transformations in soil are influenced by the proton activity in the soil solution, which is usually given as the pH value. In structured soils, microorganisms are usually situated at the surface of or inside the single aggregates which form the bulk soil. Organic carbon is essential to microorganisms not only as a nutrient source, but also as a physical soil conditioner that influences soil aggregation and water characteristics. Lignin is considered to be one of the major precursors of aromatic carbon in humic compounds. Soil scientists have used physical separation techniques to study humification processes and an organic fraction with varying percentages between 5% and 95% of the total for each. The colorimetric analysis of soil extracts reflects the total (detectable) quantity of extracted phosphorus (P), irrespective of the individual chemical structure of P compounds. Bulk density is the dry weight per unit volume of soil; it is useful for converting a weight-based result to a volume-based number.","container-title":"Methods in Applied Soil Microbiology and Biochemistry","event-place":"London","ISBN":"978-0-12-513840-6","note":"DOI: 10.1016/B978-012513840-6/50018-5","page":"49-121","publisher":"Academic Press","publisher-place":"London","source":"ScienceDirect","title":"3 - Soil sampling, handling, storage and analysis","URL":"https://www.sciencedirect.com/science/article/pii/B9780125138406500185","author":[{"family":"Forster","given":"J. C."}],"editor":[{"family":"Alef","given":"Kassem"},{"family":"Nannipieri","given":"Paolo"}],"accessed":{"date-parts":[["2025",6,12]]},"issued":{"date-parts":[["1995",1,1]]}}},{"id":3521,"uris":["http://zotero.org/groups/6023057/items/YH98MQAP"],"itemData":{"id":3521,"type":"chapter","abstract":"Most soils contain inorganic nitrogen (N) in the form of ammonium (NH4 +) and nitrate (NO3 -). Although methods have been described to determine exchangeable NH4 +, NO3 -, or NO2 - in soils without extraction, most methods for these determinations involve the preparation of extracts, which are easily stored for later analysis. To prevent loss of NO2 –N through chemical decomposition of HN02 formed under acidic conditions, a neutral or alkaline reagent is normally employed in extracting soil for determination of NO3 - or NO2 -. The steam-distillation procedures described for determination of NH4 +, N03 -, and NO2 - in soil extracts developed from the finding that interference by alkali-labile organic-N compounds in alkali-distillation methods of determining NH4 +is eliminated if the distillation is performed with steam for only a short period using a small amount of MgO. The duplicate distillation procedure for estimating nonexchangeable NH4 + in soils was originally proposed by I. Barshad.","container-title":"Methods of Soil Analysis","ISBN":"978-0-89118-866-7","language":"en","license":"Copyright © 1996 Soil Science Society of America and American Society of Agronomy","note":"section: 38\n_eprint: https://acsess.onlinelibrary.wiley.com/doi/pdf/10.2136/sssabookser5.3.c38\nDOI: 10.2136/sssabookser5.3.c38","page":"1123-1184","publisher":"John Wiley &amp; Sons, Ltd","source":"Wiley Online Library","title":"Nitrogen—Inorganic Forms","URL":"https://onlinelibrary.wiley.com/doi/abs/10.2136/sssabookser5.3.c38","author":[{"family":"Mulvaney","given":"R. L."}],"accessed":{"date-parts":[["2025",6,12]]},"issued":{"date-parts":[["1996"]]}}},{"id":3520,"uris":["http://zotero.org/groups/6023057/items/3HG3HZQP"],"itemData":{"id":3520,"type":"article-journal","abstract":"An ammonia determination based on formation of a substituted indophenol with sodium salicylate as phenolic reagent has been developed and compared with other methods. Sensitivity and reproducibility are comparable with results obtained in a method where phenol was used, while a number of the disadvantages inherent to the use of phenol are avoided. The salicylate method is specific for NH3</w:instrText>
      </w:r>
      <w:r>
        <w:rPr>
          <w:rFonts w:hint="eastAsia"/>
        </w:rPr>
        <w:instrText></w:instrText>
      </w:r>
      <w:r>
        <w:instrText xml:space="preserve">N and interferences are generally absent in samples from natural fresh waters. The method can be easily applied for seawater analysis.","container-title":"Water Research","DOI":"10.1016/0043-1354(78)90107-0","ISSN":"0043-1354","issue":"6","journalAbbreviation":"Water Research","page":"399-402","source":"ScienceDirect","title":"Ammonia determination based on indophenol formation with sodium salicylate","volume":"12","author":[{"family":"Verdouw","given":"H."},{"family":"Van Echteld","given":"C. J. A."},{"family":"Dekkers","given":"E. M. J."}],"issued":{"date-parts":[["1978",1,1]]}}}],"schema":"https://github.com/citation-style-language/schema/raw/master/csl-citation.json"} </w:instrText>
      </w:r>
      <w:r>
        <w:fldChar w:fldCharType="separate"/>
      </w:r>
      <w:r w:rsidRPr="00B42D84">
        <w:rPr>
          <w:kern w:val="0"/>
        </w:rPr>
        <w:t>(Doane &amp; Horwáth, 2003; Forster, 1995; Mulvaney, 1996; Verdouw et al., 1978)</w:t>
      </w:r>
      <w:r>
        <w:fldChar w:fldCharType="end"/>
      </w:r>
      <w:r>
        <w:t xml:space="preserve"> using a </w:t>
      </w:r>
      <w:r w:rsidRPr="003041D3">
        <w:t>Microplate reader (BioTek Instruments, Winooski, VT)</w:t>
      </w:r>
      <w:r>
        <w:t xml:space="preserve">. Soils were also analyzed for DOC by extracting 4 g of dry soil with 40 mL of Milli-Q water </w:t>
      </w:r>
      <w:r>
        <w:fldChar w:fldCharType="begin"/>
      </w:r>
      <w:r>
        <w:instrText xml:space="preserve"> ADDIN ZOTERO_ITEM CSL_CITATION {"citationID":"atgqheeo31","properties":{"formattedCitation":"(Jones &amp; Willett, 2006)","plainCitation":"(Jones &amp; Willett, 2006)","noteIndex":0},"citationItems":[{"id":3608,"uris":["http://zotero.org/groups/6023057/items/FIE6PHMV"],"itemData":{"id":3608,"type":"article-journal","abstract":"A significant proportion of the total nutrient in soil solution can be bound to organic molecules and these often constitute a major loss from soil to freshwater. Our purpose was to determine whether chemical extractants used for measuring inorganic N could also be used to quantify dissolved organic nitrogen (DON) and carbon (DOC) in soil. In a range of soils, DOC and DON were extracted with either distilled water or 2M KCl and the amount recovered compared with that present in soil solution recovered by centrifugal-drainage. The recovery of DON and DOC from soil was highly dependent upon the method of extraction. Factors such as soil sampling strategy (number of samples over space and time), sample preparation (sieving and drying), soil storage, extraction temperature, shaking time, and soil-to-extractant volume ratio all significantly affected the amount of DOC and DON extracted from soil. To allow direct comparison between independent studies we therefore propose the introduction of a standardized extraction procedure: Replicate samples of unsieved, field-moist soil extracted as soon as possible after collection with distilled water, 0.5M K2SO4 or 2M KCl at a 1:5w/v ratio for 1h at 20°C.","container-title":"Soil Biology and Biochemistry","DOI":"10.1016/j.soilbio.2005.08.012","ISSN":"0038-0717","issue":"5","journalAbbreviation":"Soil Biology and Biochemistry","page":"991-999","source":"ScienceDirect","title":"Experimental evaluation of methods to quantify dissolved organic nitrogen (DON) and dissolved organic carbon (DOC) in soil","volume":"38","author":[{"family":"Jones","given":"D. L."},{"family":"Willett","given":"V. B."}],"issued":{"date-parts":[["2006",5,1]]}}}],"schema":"https://github.com/citation-style-language/schema/raw/master/csl-citation.json"} </w:instrText>
      </w:r>
      <w:r>
        <w:fldChar w:fldCharType="separate"/>
      </w:r>
      <w:r w:rsidRPr="00995B79">
        <w:rPr>
          <w:kern w:val="0"/>
        </w:rPr>
        <w:t>(Jones &amp; Willett, 2006)</w:t>
      </w:r>
      <w:r>
        <w:fldChar w:fldCharType="end"/>
      </w:r>
      <w:r>
        <w:t>. Extractions were centrifuged and analyzed on an Elementar vario TOC cube in liquid mode (</w:t>
      </w:r>
      <w:r w:rsidRPr="008E5E04">
        <w:t>Hanau, Germany</w:t>
      </w:r>
      <w:r>
        <w:t>).</w:t>
      </w:r>
    </w:p>
    <w:p w14:paraId="7C76EC3E" w14:textId="71B13B9C" w:rsidR="00EE287F" w:rsidRPr="0069494F" w:rsidRDefault="00EE287F" w:rsidP="001B567A">
      <w:pPr>
        <w:pStyle w:val="Heading3"/>
      </w:pPr>
      <w:bookmarkStart w:id="104" w:name="_Toc202172996"/>
      <w:bookmarkStart w:id="105" w:name="_Toc204282786"/>
      <w:r w:rsidRPr="0069494F">
        <w:t xml:space="preserve">Statistical </w:t>
      </w:r>
      <w:r>
        <w:t>a</w:t>
      </w:r>
      <w:r w:rsidRPr="0069494F">
        <w:t>nalysis</w:t>
      </w:r>
      <w:bookmarkEnd w:id="104"/>
      <w:bookmarkEnd w:id="105"/>
    </w:p>
    <w:p w14:paraId="7DB318FC" w14:textId="17C9C08D" w:rsidR="0007784A" w:rsidRDefault="0007784A" w:rsidP="001B567A">
      <w:pPr>
        <w:spacing w:after="0" w:line="480" w:lineRule="auto"/>
      </w:pPr>
      <w:r>
        <w:t>It was initially theorized that flux would be relatively low or stable during the flooding period due to impeded gas diffusion, and thus flux was not measured every day during this period. Most notably, this presented a difficult decision in that flux was not measured on day 2 after wetting for the 3F and 7F treatments. In actuality, some soil textures experienced large spikes in flux on day 1 of the flooding period, and by day 3 had fallen back near the baseline level, with no measurement on day 2. Interpolating between gaps in N</w:t>
      </w:r>
      <w:r>
        <w:rPr>
          <w:vertAlign w:val="subscript"/>
        </w:rPr>
        <w:t>2</w:t>
      </w:r>
      <w:r>
        <w:t>O measurements, particularly during hot moments and periods of high variability, has been shown to introduce significant error in cumulative flux estimation. Therefore, no interpolation was used in the estimation of cumulative flux. Rather, cumulative N</w:t>
      </w:r>
      <w:r>
        <w:rPr>
          <w:vertAlign w:val="subscript"/>
        </w:rPr>
        <w:t>2</w:t>
      </w:r>
      <w:r>
        <w:t xml:space="preserve">O flux was calculated as the sum of flux measurements from each </w:t>
      </w:r>
      <w:r>
        <w:lastRenderedPageBreak/>
        <w:t xml:space="preserve">treatment on days -1, 0, 1, 3, 4, 7, and 10 where day 0 was the day of soil wetting. These dates were selected because flux was measured on each of these days across all treatments, and could be used to provide a fair comparison between treatments. The shortcoming of this method is that by omitting flux measurements on days where significant differences in fluxes across treatments may have existed, it could lead to an underestimation of treatment effects. </w:t>
      </w:r>
    </w:p>
    <w:p w14:paraId="5AD28364" w14:textId="31EC9C44" w:rsidR="0007784A" w:rsidRPr="00DA2520" w:rsidRDefault="0007784A" w:rsidP="001B567A">
      <w:pPr>
        <w:spacing w:after="0" w:line="480" w:lineRule="auto"/>
      </w:pPr>
      <w:r>
        <w:t xml:space="preserve">The existence of significant differences in cumulative flux between soil textures and flooding periods was </w:t>
      </w:r>
      <w:r w:rsidR="00EE287F">
        <w:t xml:space="preserve">investigated by </w:t>
      </w:r>
      <w:r>
        <w:t xml:space="preserve">two-way ANOVA. Subsequently, the effect of flooding period on cumulative flux was evaluated independently for each soil texture using post-hoc Tukey’s pairwise honest significant difference </w:t>
      </w:r>
      <w:r w:rsidR="00EE287F">
        <w:t xml:space="preserve">(HSD) </w:t>
      </w:r>
      <w:r>
        <w:t>tests. Finally, the significance and marginal relative impact of both characteristics unique to each soil type and the flooding period were determined by ordinary least squares</w:t>
      </w:r>
      <w:r w:rsidR="007338AA">
        <w:t xml:space="preserve"> (OLS)</w:t>
      </w:r>
      <w:r>
        <w:t xml:space="preserve"> linear regression. A full factorial, second-order equation including flooding period, clay content, and DOC content was evaluated. </w:t>
      </w:r>
      <w:r w:rsidR="00EE287F">
        <w:t>DOC was used as a metric of organic carbon availability due to its immediate accessibility by denitrifiers compared to total organic carbon, which is often dominated by mineral protected carbon and has been shown to be a poor predictor of N</w:t>
      </w:r>
      <w:r w:rsidR="00EE287F">
        <w:rPr>
          <w:vertAlign w:val="subscript"/>
        </w:rPr>
        <w:t>2</w:t>
      </w:r>
      <w:r w:rsidR="00EE287F">
        <w:t xml:space="preserve">O emissions </w:t>
      </w:r>
      <w:r w:rsidR="00EE287F">
        <w:fldChar w:fldCharType="begin"/>
      </w:r>
      <w:r w:rsidR="00EE287F">
        <w:instrText xml:space="preserve"> ADDIN ZOTERO_ITEM CSL_CITATION {"citationID":"SSAVQmay","properties":{"formattedCitation":"(Stuchiner et al., 2024)","plainCitation":"(Stuchiner et al., 2024)","noteIndex":0},"citationItems":[{"id":3592,"uris":["http://zotero.org/groups/6023057/items/2B2DZRHP"],"itemData":{"id":3592,"type":"article-journal","abstract":"High spatiotemporal variability in soil nitrous oxide (N2O) fluxes challenges quantification and prediction of emissions to evaluate the climate change mitigation outcomes of sustainable agricultural practices. Triggers for large, short-lived N2O emission pulses, such as rainfall and fertilization, alter soil oxygen (O2) and nitrate (NO3–) availability to favor N2O production via denitrification. However, the organic C (OC) needed to fuel denitrification may exhibit subfield variation that constrains the potential for high denitrification rates to occur, leading to spatial variation in N2O hot moments. We tested the hypothesis that the particulate organic matter (POM) fraction of soil organic matter (SOM) controls subfield variation in denitrification potential by regulating availability of dissolved organic C (DOC), the form of OC used by denitrifiers. Among 38 soil samples collected across a maize field in central Illinois, USA, we found that potential denitrification rate was best predicted by POM C concentration (R2 = 0.35). Using multiple linear regression analysis that included other soil properties as explanatory variables, we found that POM C fraction of bulk soil (mg POM C/g SOC) was the most important predictor based on regression coefficient size (P &lt; 0.01). Our results, which provide support for our hypothesis, suggest that consideration of the link between C and N cycling may be a key to predicting spatiotemporal variation in soil N2O emissions when denitrification is the dominant N2O source process.","container-title":"Geoderma","DOI":"10.1016/j.geoderma.2024.116943","ISSN":"0016-7061","journalAbbreviation":"Geoderma","page":"116943","source":"ScienceDirect","title":"Particulate organic matter predicts spatial variation in denitrification potential at the field scale","volume":"448","author":[{"family":"Stuchiner","given":"Emily R."},{"family":"Jernigan","given":"Wyatt A."},{"family":"Zhang","given":"Ziliang"},{"family":"Eddy","given":"William C."},{"family":"DeLucia","given":"Evan H."},{"family":"Yang","given":"Wendy H."}],"issued":{"date-parts":[["2024",8,1]]}}}],"schema":"https://github.com/citation-style-language/schema/raw/master/csl-citation.json"} </w:instrText>
      </w:r>
      <w:r w:rsidR="00EE287F">
        <w:fldChar w:fldCharType="separate"/>
      </w:r>
      <w:r w:rsidR="00EE287F" w:rsidRPr="001A2A17">
        <w:t>(Stuchiner et al., 2024)</w:t>
      </w:r>
      <w:r w:rsidR="00EE287F">
        <w:fldChar w:fldCharType="end"/>
      </w:r>
      <w:r w:rsidR="00EE287F">
        <w:t xml:space="preserve">. </w:t>
      </w:r>
      <w:r>
        <w:t>Clay was used as a proxy for soil texture due to clay’s dominant role in many soil physical characteristics related to texture. Other relevant factors to N</w:t>
      </w:r>
      <w:r>
        <w:rPr>
          <w:vertAlign w:val="subscript"/>
        </w:rPr>
        <w:t>2</w:t>
      </w:r>
      <w:r>
        <w:t>O emissions, including pH and initial total nitrogen content, were excluded due to only minute differences being found between textures.</w:t>
      </w:r>
    </w:p>
    <w:p w14:paraId="490C41C1" w14:textId="488044CE" w:rsidR="00EE287F" w:rsidRPr="0069494F" w:rsidRDefault="00EE287F" w:rsidP="001B567A">
      <w:pPr>
        <w:pStyle w:val="Heading2"/>
      </w:pPr>
      <w:bookmarkStart w:id="106" w:name="_Toc202172997"/>
      <w:bookmarkStart w:id="107" w:name="_Toc204282787"/>
      <w:r w:rsidRPr="0069494F">
        <w:t>Results</w:t>
      </w:r>
      <w:bookmarkEnd w:id="106"/>
      <w:bookmarkEnd w:id="107"/>
    </w:p>
    <w:p w14:paraId="76435BAE" w14:textId="6ECDDFE9" w:rsidR="00EE287F" w:rsidRPr="0069494F" w:rsidRDefault="00EE287F" w:rsidP="001B567A">
      <w:pPr>
        <w:pStyle w:val="Heading3"/>
      </w:pPr>
      <w:bookmarkStart w:id="108" w:name="_Toc202172998"/>
      <w:bookmarkStart w:id="109" w:name="_Toc204282788"/>
      <w:r w:rsidRPr="00B465F0">
        <w:t>Temporal N</w:t>
      </w:r>
      <w:r w:rsidRPr="00382D2C">
        <w:rPr>
          <w:vertAlign w:val="subscript"/>
        </w:rPr>
        <w:t>2</w:t>
      </w:r>
      <w:r w:rsidRPr="00B465F0">
        <w:t xml:space="preserve">O </w:t>
      </w:r>
      <w:r>
        <w:t>f</w:t>
      </w:r>
      <w:r w:rsidRPr="00B465F0">
        <w:t xml:space="preserve">luxes </w:t>
      </w:r>
      <w:r>
        <w:t>in response to flooding</w:t>
      </w:r>
      <w:r w:rsidRPr="0035473C">
        <w:rPr>
          <w:noProof/>
        </w:rPr>
        <w:t xml:space="preserve"> </w:t>
      </w:r>
      <w:r>
        <w:rPr>
          <w:noProof/>
        </w:rPr>
        <w:t>under different soil textures</w:t>
      </w:r>
      <w:bookmarkEnd w:id="108"/>
      <w:bookmarkEnd w:id="109"/>
    </w:p>
    <w:p w14:paraId="112128DC" w14:textId="77777777" w:rsidR="00EE287F" w:rsidRDefault="00EE287F" w:rsidP="001B567A">
      <w:pPr>
        <w:spacing w:after="0" w:line="480" w:lineRule="auto"/>
      </w:pPr>
      <w:r>
        <w:t>N</w:t>
      </w:r>
      <w:r>
        <w:rPr>
          <w:vertAlign w:val="subscript"/>
        </w:rPr>
        <w:t>2</w:t>
      </w:r>
      <w:r>
        <w:t>O fluxes across all treatments were near 0 ug N kg</w:t>
      </w:r>
      <w:r w:rsidRPr="00FA5B74">
        <w:rPr>
          <w:vertAlign w:val="superscript"/>
        </w:rPr>
        <w:t>-1</w:t>
      </w:r>
      <w:r>
        <w:t xml:space="preserve"> d</w:t>
      </w:r>
      <w:r w:rsidRPr="00FA5B74">
        <w:rPr>
          <w:vertAlign w:val="superscript"/>
        </w:rPr>
        <w:t>-1</w:t>
      </w:r>
      <w:r>
        <w:t xml:space="preserve"> after the initial wetting event to 35% WFPS. After wetting to 90% WFPS, all soils experienced an increase in N</w:t>
      </w:r>
      <w:r>
        <w:rPr>
          <w:vertAlign w:val="subscript"/>
        </w:rPr>
        <w:t>2</w:t>
      </w:r>
      <w:r>
        <w:t xml:space="preserve">O emissions, with variations in the timing and magnitude of increase across different textures and flooding period </w:t>
      </w:r>
      <w:r>
        <w:lastRenderedPageBreak/>
        <w:t>treatments. Across all soil textures, the peak magnitudes of N</w:t>
      </w:r>
      <w:r>
        <w:rPr>
          <w:vertAlign w:val="subscript"/>
        </w:rPr>
        <w:t>2</w:t>
      </w:r>
      <w:r>
        <w:t>O fluxes after flooding were lowest in the 0F treatments (</w:t>
      </w:r>
      <w:r w:rsidRPr="00D0132C">
        <w:rPr>
          <w:b/>
        </w:rPr>
        <w:t>Figure 4.1</w:t>
      </w:r>
      <w:r>
        <w:t>). The timing of peak flux magnitude also varied across soil textures. In clay loam and sandy clay loam soils, N</w:t>
      </w:r>
      <w:r>
        <w:rPr>
          <w:vertAlign w:val="subscript"/>
        </w:rPr>
        <w:t>2</w:t>
      </w:r>
      <w:r>
        <w:t xml:space="preserve">O flux always sharply rose immediately after wetting, regardless of flooding treatment. The clay loam, which experienced the highest peak flux of all textures, also experienced the briefest hot moments, returning to negligible fluxes on the next measurement day after peaking. The sandy clay loam experienced smaller but more sustained hot moments, with emissions above the baseline level for 2-3 days after wetting. </w:t>
      </w:r>
    </w:p>
    <w:p w14:paraId="40294322" w14:textId="29F6BC05" w:rsidR="00EE287F" w:rsidRDefault="00EE287F" w:rsidP="001B567A">
      <w:pPr>
        <w:spacing w:after="0" w:line="480" w:lineRule="auto"/>
      </w:pPr>
      <w:r>
        <w:t>On the other hand, the sand and loamy sand experienced delayed hot moments. Fluxes measured in these soils remained at the background level on the first day after wetting to 90% WFPS. Emissions from the loamy sand first increased on the second measurement day following flooding, which was either two or three days after the wetting event depending on the flooding period treatment. Hot moments were most delayed in sand. Average flux first rose notably four days after flooding in the 3F and 7F treatments but remained near the baseline on this day in the 0F treatment. It is possible that emissions rose earlier than was measured, i.e. five or six days after flooding, but was unmeasured. As a result, a notable increase in flux for the sandy soil was first measured seven days after flooding in the 0F. Notably, hot moments from sand and loamy sand occurred prior to the end of the flooding period in the 3F and 7F treatments, indicating that gas diffusion to the atmosphere was not completely prevented by wetting beyond the AEV.</w:t>
      </w:r>
    </w:p>
    <w:p w14:paraId="32C6AC0D" w14:textId="77777777" w:rsidR="00D0132C" w:rsidRPr="0069494F" w:rsidRDefault="00D0132C" w:rsidP="001B567A">
      <w:pPr>
        <w:pStyle w:val="Heading3"/>
      </w:pPr>
      <w:bookmarkStart w:id="110" w:name="_Toc202172999"/>
      <w:bookmarkStart w:id="111" w:name="_Toc204282789"/>
      <w:r w:rsidRPr="0069494F">
        <w:t xml:space="preserve">Changes in </w:t>
      </w:r>
      <w:r>
        <w:t>s</w:t>
      </w:r>
      <w:r w:rsidRPr="0069494F">
        <w:t xml:space="preserve">oil </w:t>
      </w:r>
      <w:r>
        <w:t>c</w:t>
      </w:r>
      <w:r w:rsidRPr="0069494F">
        <w:t xml:space="preserve">hemical </w:t>
      </w:r>
      <w:r>
        <w:t>p</w:t>
      </w:r>
      <w:r w:rsidRPr="0069494F">
        <w:t>roperties</w:t>
      </w:r>
      <w:bookmarkEnd w:id="110"/>
      <w:bookmarkEnd w:id="111"/>
    </w:p>
    <w:p w14:paraId="0A014692" w14:textId="47182C99" w:rsidR="00EE287F" w:rsidRDefault="00D0132C" w:rsidP="001B567A">
      <w:pPr>
        <w:spacing w:after="0" w:line="480" w:lineRule="auto"/>
        <w:rPr>
          <w:noProof/>
        </w:rPr>
      </w:pPr>
      <w:r>
        <w:t>Prior to the initialization of flooding which carried dissolved fertilizer, nitrate and ammonium content was below 3 mg N kg</w:t>
      </w:r>
      <w:r>
        <w:rPr>
          <w:vertAlign w:val="superscript"/>
        </w:rPr>
        <w:t>-1</w:t>
      </w:r>
      <w:r>
        <w:t>. 24 hours after flooding of the 0F treatment, the nitrate concentration of all soils had increased, with the clay loam and sandy clay loam soils increasing by a greater extent (</w:t>
      </w:r>
      <w:r w:rsidRPr="00D0132C">
        <w:rPr>
          <w:b/>
          <w:bCs/>
        </w:rPr>
        <w:t>Figure 4.2a</w:t>
      </w:r>
      <w:r>
        <w:t>). Ammonium concentration of the 0F treatment increased</w:t>
      </w:r>
    </w:p>
    <w:p w14:paraId="6DFD12FF" w14:textId="7E57278B" w:rsidR="00EE287F" w:rsidRDefault="00EE287F" w:rsidP="00D24801">
      <w:pPr>
        <w:keepNext/>
      </w:pPr>
      <w:r w:rsidRPr="007F45DA">
        <w:rPr>
          <w:noProof/>
        </w:rPr>
        <w:lastRenderedPageBreak/>
        <w:drawing>
          <wp:inline distT="0" distB="0" distL="0" distR="0" wp14:anchorId="69CD165B" wp14:editId="7BDF82B0">
            <wp:extent cx="5960853" cy="5405271"/>
            <wp:effectExtent l="0" t="0" r="1905" b="5080"/>
            <wp:docPr id="378845718"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8845718" name="Graphic 1"/>
                    <pic:cNvPicPr/>
                  </pic:nvPicPr>
                  <pic:blipFill rotWithShape="1">
                    <a:blip r:embed="rId39">
                      <a:extLst>
                        <a:ext uri="{96DAC541-7B7A-43D3-8B79-37D633B846F1}">
                          <asvg:svgBlip xmlns:asvg="http://schemas.microsoft.com/office/drawing/2016/SVG/main" r:embed="rId40"/>
                        </a:ext>
                      </a:extLst>
                    </a:blip>
                    <a:srcRect l="14069" r="23901"/>
                    <a:stretch>
                      <a:fillRect/>
                    </a:stretch>
                  </pic:blipFill>
                  <pic:spPr bwMode="auto">
                    <a:xfrm>
                      <a:off x="0" y="0"/>
                      <a:ext cx="5962156" cy="5406453"/>
                    </a:xfrm>
                    <a:prstGeom prst="rect">
                      <a:avLst/>
                    </a:prstGeom>
                    <a:ln>
                      <a:noFill/>
                    </a:ln>
                    <a:extLst>
                      <a:ext uri="{53640926-AAD7-44D8-BBD7-CCE9431645EC}">
                        <a14:shadowObscured xmlns:a14="http://schemas.microsoft.com/office/drawing/2010/main"/>
                      </a:ext>
                    </a:extLst>
                  </pic:spPr>
                </pic:pic>
              </a:graphicData>
            </a:graphic>
          </wp:inline>
        </w:drawing>
      </w:r>
    </w:p>
    <w:p w14:paraId="20CEB72D" w14:textId="3E72EB49" w:rsidR="00EE287F" w:rsidRPr="00D24801" w:rsidRDefault="00D24801" w:rsidP="00D24801">
      <w:pPr>
        <w:pStyle w:val="Caption"/>
        <w:rPr>
          <w:i w:val="0"/>
          <w:color w:val="auto"/>
          <w:sz w:val="24"/>
          <w:szCs w:val="24"/>
        </w:rPr>
      </w:pPr>
      <w:bookmarkStart w:id="112" w:name="_Toc204263366"/>
      <w:r w:rsidRPr="00D24801">
        <w:rPr>
          <w:b/>
          <w:bCs/>
          <w:i w:val="0"/>
          <w:iCs w:val="0"/>
          <w:color w:val="auto"/>
          <w:sz w:val="24"/>
          <w:szCs w:val="24"/>
        </w:rPr>
        <w:t>Figure 4</w:t>
      </w:r>
      <w:r>
        <w:rPr>
          <w:b/>
          <w:bCs/>
          <w:i w:val="0"/>
          <w:iCs w:val="0"/>
          <w:color w:val="auto"/>
          <w:sz w:val="24"/>
          <w:szCs w:val="24"/>
        </w:rPr>
        <w:t>.</w:t>
      </w:r>
      <w:r>
        <w:rPr>
          <w:b/>
          <w:bCs/>
          <w:i w:val="0"/>
          <w:iCs w:val="0"/>
          <w:color w:val="auto"/>
          <w:sz w:val="24"/>
          <w:szCs w:val="24"/>
        </w:rPr>
        <w:fldChar w:fldCharType="begin"/>
      </w:r>
      <w:r>
        <w:rPr>
          <w:b/>
          <w:bCs/>
          <w:i w:val="0"/>
          <w:iCs w:val="0"/>
          <w:color w:val="auto"/>
          <w:sz w:val="24"/>
          <w:szCs w:val="24"/>
        </w:rPr>
        <w:instrText xml:space="preserve"> SEQ Figure \* ARABIC \s 1 </w:instrText>
      </w:r>
      <w:r>
        <w:rPr>
          <w:b/>
          <w:bCs/>
          <w:i w:val="0"/>
          <w:iCs w:val="0"/>
          <w:color w:val="auto"/>
          <w:sz w:val="24"/>
          <w:szCs w:val="24"/>
        </w:rPr>
        <w:fldChar w:fldCharType="separate"/>
      </w:r>
      <w:r>
        <w:rPr>
          <w:b/>
          <w:bCs/>
          <w:i w:val="0"/>
          <w:iCs w:val="0"/>
          <w:noProof/>
          <w:color w:val="auto"/>
          <w:sz w:val="24"/>
          <w:szCs w:val="24"/>
        </w:rPr>
        <w:t>1</w:t>
      </w:r>
      <w:r>
        <w:rPr>
          <w:b/>
          <w:bCs/>
          <w:i w:val="0"/>
          <w:iCs w:val="0"/>
          <w:color w:val="auto"/>
          <w:sz w:val="24"/>
          <w:szCs w:val="24"/>
        </w:rPr>
        <w:fldChar w:fldCharType="end"/>
      </w:r>
      <w:r w:rsidR="00EE287F" w:rsidRPr="00D24801">
        <w:rPr>
          <w:i w:val="0"/>
          <w:iCs w:val="0"/>
          <w:noProof/>
          <w:color w:val="auto"/>
          <w:sz w:val="24"/>
          <w:szCs w:val="24"/>
        </w:rPr>
        <w:t xml:space="preserve">: </w:t>
      </w:r>
      <w:r w:rsidR="00EE287F" w:rsidRPr="00D24801">
        <w:rPr>
          <w:i w:val="0"/>
          <w:color w:val="auto"/>
          <w:sz w:val="24"/>
          <w:szCs w:val="24"/>
        </w:rPr>
        <w:t>Daily soil moisture and N</w:t>
      </w:r>
      <w:r w:rsidR="00EE287F" w:rsidRPr="00D24801">
        <w:rPr>
          <w:i w:val="0"/>
          <w:color w:val="auto"/>
          <w:sz w:val="24"/>
          <w:szCs w:val="24"/>
          <w:vertAlign w:val="subscript"/>
        </w:rPr>
        <w:t>2</w:t>
      </w:r>
      <w:r w:rsidR="00EE287F" w:rsidRPr="00D24801">
        <w:rPr>
          <w:i w:val="0"/>
          <w:color w:val="auto"/>
          <w:sz w:val="24"/>
          <w:szCs w:val="24"/>
        </w:rPr>
        <w:t>O, CO</w:t>
      </w:r>
      <w:r w:rsidR="00EE287F" w:rsidRPr="00D24801">
        <w:rPr>
          <w:i w:val="0"/>
          <w:color w:val="auto"/>
          <w:sz w:val="24"/>
          <w:szCs w:val="24"/>
          <w:vertAlign w:val="subscript"/>
        </w:rPr>
        <w:t>2</w:t>
      </w:r>
      <w:r w:rsidR="00EE287F" w:rsidRPr="00D24801">
        <w:rPr>
          <w:i w:val="0"/>
          <w:color w:val="auto"/>
          <w:sz w:val="24"/>
          <w:szCs w:val="24"/>
        </w:rPr>
        <w:t>, and CH</w:t>
      </w:r>
      <w:r w:rsidR="00EE287F" w:rsidRPr="00D24801">
        <w:rPr>
          <w:i w:val="0"/>
          <w:color w:val="auto"/>
          <w:sz w:val="24"/>
          <w:szCs w:val="24"/>
          <w:vertAlign w:val="subscript"/>
        </w:rPr>
        <w:t>4</w:t>
      </w:r>
      <w:r w:rsidR="00EE287F" w:rsidRPr="00D24801">
        <w:rPr>
          <w:i w:val="0"/>
          <w:color w:val="auto"/>
          <w:sz w:val="24"/>
          <w:szCs w:val="24"/>
        </w:rPr>
        <w:t xml:space="preserve"> fluxes measured for the a) 0F, b) 3F, and c) 7F flooding duration treatments. Multiple panels of N</w:t>
      </w:r>
      <w:r w:rsidR="00EE287F" w:rsidRPr="00D24801">
        <w:rPr>
          <w:i w:val="0"/>
          <w:color w:val="auto"/>
          <w:sz w:val="24"/>
          <w:szCs w:val="24"/>
          <w:vertAlign w:val="subscript"/>
        </w:rPr>
        <w:t>2</w:t>
      </w:r>
      <w:r w:rsidR="00EE287F" w:rsidRPr="00D24801">
        <w:rPr>
          <w:i w:val="0"/>
          <w:color w:val="auto"/>
          <w:sz w:val="24"/>
          <w:szCs w:val="24"/>
        </w:rPr>
        <w:t>O and CO</w:t>
      </w:r>
      <w:r w:rsidR="00EE287F" w:rsidRPr="00D24801">
        <w:rPr>
          <w:i w:val="0"/>
          <w:color w:val="auto"/>
          <w:sz w:val="24"/>
          <w:szCs w:val="24"/>
          <w:vertAlign w:val="subscript"/>
        </w:rPr>
        <w:t>2</w:t>
      </w:r>
      <w:r w:rsidR="00EE287F" w:rsidRPr="00D24801">
        <w:rPr>
          <w:i w:val="0"/>
          <w:color w:val="auto"/>
          <w:sz w:val="24"/>
          <w:szCs w:val="24"/>
        </w:rPr>
        <w:t xml:space="preserve"> fluxes are shown due to significantly different ranges of fluxes across soil textures. Light blue area indicates the flooding perio</w:t>
      </w:r>
      <w:r w:rsidR="005A6916">
        <w:rPr>
          <w:i w:val="0"/>
          <w:color w:val="auto"/>
          <w:sz w:val="24"/>
          <w:szCs w:val="24"/>
        </w:rPr>
        <w:t>d</w:t>
      </w:r>
      <w:r w:rsidR="00EE287F" w:rsidRPr="00D24801">
        <w:rPr>
          <w:i w:val="0"/>
          <w:color w:val="auto"/>
          <w:sz w:val="24"/>
          <w:szCs w:val="24"/>
        </w:rPr>
        <w:t xml:space="preserve"> during which 90% WFPS was maintained.</w:t>
      </w:r>
      <w:bookmarkEnd w:id="112"/>
    </w:p>
    <w:p w14:paraId="67EDC40C" w14:textId="77777777" w:rsidR="001F42C5" w:rsidRDefault="00D0132C" w:rsidP="00D24801">
      <w:pPr>
        <w:keepNext/>
        <w:rPr>
          <w:noProof/>
        </w:rPr>
      </w:pPr>
      <w:r>
        <w:rPr>
          <w:noProof/>
        </w:rPr>
        <w:br w:type="page"/>
      </w:r>
    </w:p>
    <w:p w14:paraId="3B8F58BF" w14:textId="7E24E18C" w:rsidR="00D24801" w:rsidRDefault="006122A9" w:rsidP="00D24801">
      <w:pPr>
        <w:keepNext/>
      </w:pPr>
      <w:r w:rsidRPr="009D6098">
        <w:rPr>
          <w:noProof/>
        </w:rPr>
        <w:lastRenderedPageBreak/>
        <w:drawing>
          <wp:inline distT="0" distB="0" distL="0" distR="0" wp14:anchorId="6CD119C8" wp14:editId="50AFAA4B">
            <wp:extent cx="6142008" cy="3895631"/>
            <wp:effectExtent l="0" t="0" r="0" b="0"/>
            <wp:docPr id="1033598889"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3598889" name="Graphic 1"/>
                    <pic:cNvPicPr/>
                  </pic:nvPicPr>
                  <pic:blipFill rotWithShape="1">
                    <a:blip r:embed="rId41">
                      <a:extLst>
                        <a:ext uri="{96DAC541-7B7A-43D3-8B79-37D633B846F1}">
                          <asvg:svgBlip xmlns:asvg="http://schemas.microsoft.com/office/drawing/2016/SVG/main" r:embed="rId42"/>
                        </a:ext>
                      </a:extLst>
                    </a:blip>
                    <a:srcRect l="1484" r="9829"/>
                    <a:stretch>
                      <a:fillRect/>
                    </a:stretch>
                  </pic:blipFill>
                  <pic:spPr bwMode="auto">
                    <a:xfrm>
                      <a:off x="0" y="0"/>
                      <a:ext cx="6142952" cy="3896230"/>
                    </a:xfrm>
                    <a:prstGeom prst="rect">
                      <a:avLst/>
                    </a:prstGeom>
                    <a:ln>
                      <a:noFill/>
                    </a:ln>
                    <a:extLst>
                      <a:ext uri="{53640926-AAD7-44D8-BBD7-CCE9431645EC}">
                        <a14:shadowObscured xmlns:a14="http://schemas.microsoft.com/office/drawing/2010/main"/>
                      </a:ext>
                    </a:extLst>
                  </pic:spPr>
                </pic:pic>
              </a:graphicData>
            </a:graphic>
          </wp:inline>
        </w:drawing>
      </w:r>
    </w:p>
    <w:p w14:paraId="5672C4A8" w14:textId="222999BC" w:rsidR="006122A9" w:rsidRPr="004D78CD" w:rsidRDefault="00D24801" w:rsidP="004D78CD">
      <w:pPr>
        <w:pStyle w:val="Caption"/>
        <w:rPr>
          <w:b/>
          <w:i w:val="0"/>
          <w:color w:val="auto"/>
          <w:sz w:val="24"/>
          <w:szCs w:val="24"/>
        </w:rPr>
      </w:pPr>
      <w:bookmarkStart w:id="113" w:name="_Toc204263367"/>
      <w:r w:rsidRPr="00285053">
        <w:rPr>
          <w:b/>
          <w:bCs/>
          <w:i w:val="0"/>
          <w:iCs w:val="0"/>
          <w:color w:val="auto"/>
          <w:sz w:val="24"/>
          <w:szCs w:val="24"/>
        </w:rPr>
        <w:t xml:space="preserve">Figure </w:t>
      </w:r>
      <w:r w:rsidR="004D78CD">
        <w:rPr>
          <w:b/>
          <w:bCs/>
          <w:i w:val="0"/>
          <w:iCs w:val="0"/>
          <w:color w:val="auto"/>
          <w:sz w:val="24"/>
          <w:szCs w:val="24"/>
        </w:rPr>
        <w:t>4</w:t>
      </w:r>
      <w:r w:rsidRPr="00285053">
        <w:rPr>
          <w:b/>
          <w:bCs/>
          <w:i w:val="0"/>
          <w:iCs w:val="0"/>
          <w:color w:val="auto"/>
          <w:sz w:val="24"/>
          <w:szCs w:val="24"/>
        </w:rPr>
        <w:t>.</w:t>
      </w:r>
      <w:r w:rsidRPr="00285053">
        <w:rPr>
          <w:b/>
          <w:bCs/>
          <w:i w:val="0"/>
          <w:iCs w:val="0"/>
          <w:color w:val="auto"/>
          <w:sz w:val="24"/>
          <w:szCs w:val="24"/>
        </w:rPr>
        <w:fldChar w:fldCharType="begin"/>
      </w:r>
      <w:r w:rsidRPr="00285053">
        <w:rPr>
          <w:b/>
          <w:bCs/>
          <w:i w:val="0"/>
          <w:iCs w:val="0"/>
          <w:color w:val="auto"/>
          <w:sz w:val="24"/>
          <w:szCs w:val="24"/>
        </w:rPr>
        <w:instrText xml:space="preserve"> SEQ Figure \* ARABIC \s 1 </w:instrText>
      </w:r>
      <w:r w:rsidRPr="00285053">
        <w:rPr>
          <w:b/>
          <w:bCs/>
          <w:i w:val="0"/>
          <w:iCs w:val="0"/>
          <w:color w:val="auto"/>
          <w:sz w:val="24"/>
          <w:szCs w:val="24"/>
        </w:rPr>
        <w:fldChar w:fldCharType="separate"/>
      </w:r>
      <w:r w:rsidRPr="00285053">
        <w:rPr>
          <w:b/>
          <w:bCs/>
          <w:i w:val="0"/>
          <w:iCs w:val="0"/>
          <w:noProof/>
          <w:color w:val="auto"/>
          <w:sz w:val="24"/>
          <w:szCs w:val="24"/>
        </w:rPr>
        <w:t>2</w:t>
      </w:r>
      <w:r w:rsidRPr="00285053">
        <w:rPr>
          <w:b/>
          <w:bCs/>
          <w:i w:val="0"/>
          <w:iCs w:val="0"/>
          <w:color w:val="auto"/>
          <w:sz w:val="24"/>
          <w:szCs w:val="24"/>
        </w:rPr>
        <w:fldChar w:fldCharType="end"/>
      </w:r>
      <w:r w:rsidR="006122A9" w:rsidRPr="004D78CD">
        <w:rPr>
          <w:i w:val="0"/>
          <w:iCs w:val="0"/>
          <w:noProof/>
          <w:color w:val="auto"/>
          <w:sz w:val="24"/>
          <w:szCs w:val="24"/>
        </w:rPr>
        <w:t>:</w:t>
      </w:r>
      <w:r w:rsidR="006122A9" w:rsidRPr="004D78CD">
        <w:rPr>
          <w:i w:val="0"/>
          <w:color w:val="auto"/>
          <w:sz w:val="24"/>
          <w:szCs w:val="24"/>
        </w:rPr>
        <w:t xml:space="preserve"> Daily soil moisture, inorganic nitrogen content, and dissolved organic </w:t>
      </w:r>
      <w:r w:rsidR="005A6916" w:rsidRPr="004D78CD">
        <w:rPr>
          <w:i w:val="0"/>
          <w:color w:val="auto"/>
          <w:sz w:val="24"/>
          <w:szCs w:val="24"/>
        </w:rPr>
        <w:t>matter</w:t>
      </w:r>
      <w:r w:rsidR="006122A9" w:rsidRPr="004D78CD">
        <w:rPr>
          <w:i w:val="0"/>
          <w:color w:val="auto"/>
          <w:sz w:val="24"/>
          <w:szCs w:val="24"/>
        </w:rPr>
        <w:t xml:space="preserve"> measured for the a) 0F, b) 3F, and c) 7F flooding duration treatments. Light blue area indicates the flooding perio</w:t>
      </w:r>
      <w:r w:rsidR="008E0FC9">
        <w:rPr>
          <w:i w:val="0"/>
          <w:color w:val="auto"/>
          <w:sz w:val="24"/>
          <w:szCs w:val="24"/>
        </w:rPr>
        <w:t>d</w:t>
      </w:r>
      <w:r w:rsidR="006122A9" w:rsidRPr="004D78CD">
        <w:rPr>
          <w:i w:val="0"/>
          <w:color w:val="auto"/>
          <w:sz w:val="24"/>
          <w:szCs w:val="24"/>
        </w:rPr>
        <w:t xml:space="preserve"> during which 90% WFPS was maintained.</w:t>
      </w:r>
      <w:bookmarkEnd w:id="113"/>
    </w:p>
    <w:p w14:paraId="0BEF4AC2" w14:textId="77777777" w:rsidR="00D0132C" w:rsidRDefault="006122A9" w:rsidP="00EE287F">
      <w:pPr>
        <w:rPr>
          <w:noProof/>
        </w:rPr>
      </w:pPr>
      <w:r>
        <w:rPr>
          <w:noProof/>
        </w:rPr>
        <w:br w:type="page"/>
      </w:r>
    </w:p>
    <w:p w14:paraId="00FF552D" w14:textId="70B64B24" w:rsidR="00D0132C" w:rsidRPr="009A1CAB" w:rsidRDefault="00EE287F" w:rsidP="001B567A">
      <w:pPr>
        <w:spacing w:after="0" w:line="480" w:lineRule="auto"/>
        <w:rPr>
          <w:noProof/>
        </w:rPr>
      </w:pPr>
      <w:r>
        <w:lastRenderedPageBreak/>
        <w:t>slightly in the sand and loamy sand over this time period, and decreased in the clay loam and sandy clay loam soils (</w:t>
      </w:r>
      <w:r w:rsidRPr="00D0132C">
        <w:rPr>
          <w:b/>
        </w:rPr>
        <w:t>Figure 4.2a</w:t>
      </w:r>
      <w:r>
        <w:t>). Similarly, by 10 days after the initialization of flooding all soils had an ammonium content below 1 mg N kg</w:t>
      </w:r>
      <w:r>
        <w:rPr>
          <w:vertAlign w:val="superscript"/>
        </w:rPr>
        <w:t>-1</w:t>
      </w:r>
      <w:r>
        <w:t>and nitrate content below 2 mg N kg</w:t>
      </w:r>
      <w:r>
        <w:rPr>
          <w:vertAlign w:val="superscript"/>
        </w:rPr>
        <w:t>-1</w:t>
      </w:r>
      <w:r>
        <w:t xml:space="preserve"> (</w:t>
      </w:r>
      <w:r w:rsidRPr="00D0132C">
        <w:rPr>
          <w:b/>
        </w:rPr>
        <w:t>Figure 4.2a</w:t>
      </w:r>
      <w:r>
        <w:t>). In contrast to the other soil textures, ammonium concentration of the clay loam fell during the flooding period across all treatments, with greater flooding duration corresponding to greater decreases in ammonium. From the end of the flooding period to the end of the experiment, the ammonium concentration of all textures and treatments decreased. The nitrate concentration of loamy sand, sandy clay loam, and clay loam 24 hours after the end of the flooding treatment was associated with the flooding duration, with longer flooding periods measured to have lower subsequent nitrate concentrations. Finally, the DOC concentration consistently decreased throughout the flooding period in the sandy clay loam, while all other textures maintained a statistically equivalent concentration throughout flooding periods of all durations (</w:t>
      </w:r>
      <w:r w:rsidRPr="00D0132C">
        <w:rPr>
          <w:b/>
          <w:bCs/>
        </w:rPr>
        <w:t>Figure 4.2</w:t>
      </w:r>
      <w:r>
        <w:t>)</w:t>
      </w:r>
    </w:p>
    <w:p w14:paraId="76A25907" w14:textId="170AA96D" w:rsidR="00EE287F" w:rsidRDefault="00EE287F" w:rsidP="001B567A">
      <w:pPr>
        <w:pStyle w:val="Heading3"/>
      </w:pPr>
      <w:bookmarkStart w:id="114" w:name="_Toc204282790"/>
      <w:r>
        <w:t>Isotopomer analysis and biological processes driving hot moments</w:t>
      </w:r>
      <w:bookmarkEnd w:id="114"/>
    </w:p>
    <w:p w14:paraId="4D3E57DB" w14:textId="77777777" w:rsidR="00EE287F" w:rsidRPr="00E1726D" w:rsidRDefault="00EE287F" w:rsidP="001B567A">
      <w:pPr>
        <w:spacing w:after="0" w:line="480" w:lineRule="auto"/>
      </w:pPr>
      <w:r>
        <w:t xml:space="preserve">It was anticipated that hot moments would be most likely to occur upon the commencement of drying following the flooding period, and thus gas sampling for isotopomer analysis was performed 24 hours after the final addition of water to maintain 90% WFPS. Additional isotopomer gas sampling was collected in the middle of the flooding period for the 7F treatments. In reality, however, these days did not always line up with elevated emissions. As a result, analysis of the biological processes underlying hot moments could only be obtained for certain treatments. For sand, this included the 7F treatment during and immediately after the flooding treatment. For loamy sand, this included during the flooding period for the 7F treatment and immediately after the flooding period for the 3F treatment. For sandy clay loam, isotopomer </w:t>
      </w:r>
      <w:r>
        <w:lastRenderedPageBreak/>
        <w:t>analysis was performed during elevated emissions only for the 0F treatment 24 hours after flooding. Finally, for the clay loam, analysis of biological contributors to hot moments could be determined for the 0F and 3F treatments 24 hours after the end of the flooding period and for the 7F treatment in the middle of the flooding period. All other gas samples analyzed for microbial source contribution before, during, and after the flooding period were found to have N</w:t>
      </w:r>
      <w:r>
        <w:rPr>
          <w:vertAlign w:val="subscript"/>
        </w:rPr>
        <w:t>2</w:t>
      </w:r>
      <w:r>
        <w:t>O concentrations equal to the ambient atmospheric concentration.</w:t>
      </w:r>
    </w:p>
    <w:p w14:paraId="6BBD3F34" w14:textId="058FB230" w:rsidR="00EE287F" w:rsidRPr="007620BD" w:rsidRDefault="00EE287F" w:rsidP="001B567A">
      <w:pPr>
        <w:spacing w:after="0" w:line="480" w:lineRule="auto"/>
      </w:pPr>
      <w:r>
        <w:t>Isotopomer analysis indicated that denitrification was the primary biotic process responsible for soil N</w:t>
      </w:r>
      <w:r>
        <w:rPr>
          <w:vertAlign w:val="subscript"/>
        </w:rPr>
        <w:t>2</w:t>
      </w:r>
      <w:r>
        <w:t xml:space="preserve">O </w:t>
      </w:r>
      <w:r w:rsidRPr="00527BA2">
        <w:t>production</w:t>
      </w:r>
      <w:r>
        <w:t xml:space="preserve"> across all soil textures, although variation occurred with soil texture and the timing of gas sampling</w:t>
      </w:r>
      <w:r w:rsidR="006122A9">
        <w:t xml:space="preserve"> (</w:t>
      </w:r>
      <w:r w:rsidR="006122A9" w:rsidRPr="006122A9">
        <w:rPr>
          <w:b/>
          <w:bCs/>
        </w:rPr>
        <w:t>Table 4.2</w:t>
      </w:r>
      <w:r w:rsidR="006122A9">
        <w:t>)</w:t>
      </w:r>
      <w:r>
        <w:t>. Nitrification, and potentially fungal denitrification, were most significant in sand (~35%) during all periods of elevated emissions. Nitrification also played a relatively important role in hot moment emissions of the clay loam and sandy clay loam, though only in the 0F treatments. Denitrification was estimated to have contributed more than 90% of hot moment N</w:t>
      </w:r>
      <w:r>
        <w:rPr>
          <w:vertAlign w:val="subscript"/>
        </w:rPr>
        <w:t>2</w:t>
      </w:r>
      <w:r>
        <w:t>O emissions for all other flooding treatments and soil textures.</w:t>
      </w:r>
    </w:p>
    <w:p w14:paraId="38E07FB8" w14:textId="77777777" w:rsidR="006122A9" w:rsidRPr="0069494F" w:rsidRDefault="006122A9" w:rsidP="001B567A">
      <w:pPr>
        <w:pStyle w:val="Heading3"/>
      </w:pPr>
      <w:bookmarkStart w:id="115" w:name="_Toc202173000"/>
      <w:bookmarkStart w:id="116" w:name="_Toc204282791"/>
      <w:r w:rsidRPr="0069494F">
        <w:t xml:space="preserve">Effect of </w:t>
      </w:r>
      <w:r>
        <w:t>f</w:t>
      </w:r>
      <w:r w:rsidRPr="0069494F">
        <w:t xml:space="preserve">looding </w:t>
      </w:r>
      <w:r>
        <w:t>p</w:t>
      </w:r>
      <w:r w:rsidRPr="0069494F">
        <w:t xml:space="preserve">eriod and </w:t>
      </w:r>
      <w:r>
        <w:t>s</w:t>
      </w:r>
      <w:r w:rsidRPr="0069494F">
        <w:t xml:space="preserve">oil </w:t>
      </w:r>
      <w:r>
        <w:t>p</w:t>
      </w:r>
      <w:r w:rsidRPr="0069494F">
        <w:t xml:space="preserve">roperties on </w:t>
      </w:r>
      <w:r>
        <w:t>c</w:t>
      </w:r>
      <w:r w:rsidRPr="0069494F">
        <w:t>umulative N</w:t>
      </w:r>
      <w:r w:rsidRPr="0069494F">
        <w:rPr>
          <w:vertAlign w:val="subscript"/>
        </w:rPr>
        <w:t>2</w:t>
      </w:r>
      <w:r w:rsidRPr="0069494F">
        <w:t xml:space="preserve">O </w:t>
      </w:r>
      <w:r>
        <w:t>f</w:t>
      </w:r>
      <w:r w:rsidRPr="0069494F">
        <w:t>lux</w:t>
      </w:r>
      <w:bookmarkEnd w:id="115"/>
      <w:bookmarkEnd w:id="116"/>
    </w:p>
    <w:p w14:paraId="1790971A" w14:textId="77777777" w:rsidR="006122A9" w:rsidRDefault="006122A9" w:rsidP="001B567A">
      <w:pPr>
        <w:spacing w:after="0" w:line="480" w:lineRule="auto"/>
      </w:pPr>
      <w:r>
        <w:t>Cumulative flux varied from 7 to 616 ug N kg</w:t>
      </w:r>
      <w:r>
        <w:rPr>
          <w:vertAlign w:val="superscript"/>
        </w:rPr>
        <w:t>-1</w:t>
      </w:r>
      <w:r>
        <w:t>.  Lengthening the duration of flooding events significantly increased cumulative N</w:t>
      </w:r>
      <w:r>
        <w:rPr>
          <w:vertAlign w:val="subscript"/>
        </w:rPr>
        <w:t>2</w:t>
      </w:r>
      <w:r>
        <w:t>O flux in three of the four soil textures (</w:t>
      </w:r>
      <w:r w:rsidRPr="006122A9">
        <w:rPr>
          <w:b/>
          <w:bCs/>
        </w:rPr>
        <w:t>Figure 4.3</w:t>
      </w:r>
      <w:r>
        <w:t>). Cumulative flux of the 3F treatments were on average 108% higher than the 0F treatments, while cumulative flux of the 7F treatments were on average 28% higher than the 3F treatments across different soil textures. Cumulative flux from the 3F and 7F treatments were never statistically significant for a given soil texture, indicating that the effect of flooding time on emissions experienced diminishing returns over the week period (</w:t>
      </w:r>
      <w:r w:rsidRPr="006122A9">
        <w:rPr>
          <w:b/>
          <w:bCs/>
        </w:rPr>
        <w:t>Figure 4.3</w:t>
      </w:r>
      <w:r>
        <w:t xml:space="preserve">). </w:t>
      </w:r>
    </w:p>
    <w:p w14:paraId="28C06A32" w14:textId="5825FF76" w:rsidR="006122A9" w:rsidRPr="006122A9" w:rsidRDefault="006122A9" w:rsidP="001B567A">
      <w:pPr>
        <w:spacing w:after="0" w:line="480" w:lineRule="auto"/>
      </w:pPr>
      <w:r>
        <w:t>Beyond the effect of flooding duration, several other factors and interactions were significant in driving cumulative N</w:t>
      </w:r>
      <w:r>
        <w:rPr>
          <w:vertAlign w:val="subscript"/>
        </w:rPr>
        <w:t>2</w:t>
      </w:r>
      <w:r>
        <w:t>O emissions, particularly the major differences found between soil</w:t>
      </w:r>
    </w:p>
    <w:p w14:paraId="5BAE0234" w14:textId="5F8AE7B5" w:rsidR="00501E17" w:rsidRPr="00A0212D" w:rsidRDefault="00501E17" w:rsidP="00501E17">
      <w:pPr>
        <w:pStyle w:val="Caption"/>
        <w:keepNext/>
        <w:rPr>
          <w:i w:val="0"/>
          <w:iCs w:val="0"/>
          <w:color w:val="auto"/>
          <w:sz w:val="24"/>
          <w:szCs w:val="24"/>
        </w:rPr>
      </w:pPr>
      <w:bookmarkStart w:id="117" w:name="_Toc204261968"/>
      <w:r w:rsidRPr="00FE5D44">
        <w:rPr>
          <w:b/>
          <w:bCs/>
          <w:i w:val="0"/>
          <w:iCs w:val="0"/>
          <w:color w:val="auto"/>
          <w:sz w:val="24"/>
          <w:szCs w:val="24"/>
        </w:rPr>
        <w:lastRenderedPageBreak/>
        <w:t>Table 4</w:t>
      </w:r>
      <w:r w:rsidR="00827B75">
        <w:rPr>
          <w:b/>
          <w:bCs/>
          <w:i w:val="0"/>
          <w:iCs w:val="0"/>
          <w:color w:val="auto"/>
          <w:sz w:val="24"/>
          <w:szCs w:val="24"/>
        </w:rPr>
        <w:t>.</w:t>
      </w:r>
      <w:r w:rsidR="00827B75">
        <w:rPr>
          <w:b/>
          <w:bCs/>
          <w:i w:val="0"/>
          <w:iCs w:val="0"/>
          <w:color w:val="auto"/>
          <w:sz w:val="24"/>
          <w:szCs w:val="24"/>
        </w:rPr>
        <w:fldChar w:fldCharType="begin"/>
      </w:r>
      <w:r w:rsidR="00827B75">
        <w:rPr>
          <w:b/>
          <w:bCs/>
          <w:i w:val="0"/>
          <w:iCs w:val="0"/>
          <w:color w:val="auto"/>
          <w:sz w:val="24"/>
          <w:szCs w:val="24"/>
        </w:rPr>
        <w:instrText xml:space="preserve"> SEQ Table \* ARABIC \s 1 </w:instrText>
      </w:r>
      <w:r w:rsidR="00827B75">
        <w:rPr>
          <w:b/>
          <w:bCs/>
          <w:i w:val="0"/>
          <w:iCs w:val="0"/>
          <w:color w:val="auto"/>
          <w:sz w:val="24"/>
          <w:szCs w:val="24"/>
        </w:rPr>
        <w:fldChar w:fldCharType="separate"/>
      </w:r>
      <w:r w:rsidR="00827B75">
        <w:rPr>
          <w:b/>
          <w:bCs/>
          <w:i w:val="0"/>
          <w:iCs w:val="0"/>
          <w:noProof/>
          <w:color w:val="auto"/>
          <w:sz w:val="24"/>
          <w:szCs w:val="24"/>
        </w:rPr>
        <w:t>2</w:t>
      </w:r>
      <w:r w:rsidR="00827B75">
        <w:rPr>
          <w:b/>
          <w:bCs/>
          <w:i w:val="0"/>
          <w:iCs w:val="0"/>
          <w:color w:val="auto"/>
          <w:sz w:val="24"/>
          <w:szCs w:val="24"/>
        </w:rPr>
        <w:fldChar w:fldCharType="end"/>
      </w:r>
      <w:r w:rsidRPr="00A0212D">
        <w:rPr>
          <w:i w:val="0"/>
          <w:iCs w:val="0"/>
          <w:color w:val="auto"/>
          <w:sz w:val="24"/>
          <w:szCs w:val="24"/>
        </w:rPr>
        <w:t xml:space="preserve">: </w:t>
      </w:r>
      <w:r w:rsidR="002C778D">
        <w:rPr>
          <w:i w:val="0"/>
          <w:iCs w:val="0"/>
          <w:color w:val="auto"/>
          <w:sz w:val="24"/>
          <w:szCs w:val="24"/>
        </w:rPr>
        <w:t xml:space="preserve">Isotopomer analysis of gases sampled </w:t>
      </w:r>
      <w:r w:rsidR="00962C21">
        <w:rPr>
          <w:i w:val="0"/>
          <w:iCs w:val="0"/>
          <w:color w:val="auto"/>
          <w:sz w:val="24"/>
          <w:szCs w:val="24"/>
        </w:rPr>
        <w:t>during periods of elevated emissions.</w:t>
      </w:r>
      <w:r w:rsidR="002C778D">
        <w:rPr>
          <w:i w:val="0"/>
          <w:iCs w:val="0"/>
          <w:color w:val="auto"/>
          <w:sz w:val="24"/>
          <w:szCs w:val="24"/>
        </w:rPr>
        <w:t xml:space="preserve"> </w:t>
      </w:r>
      <w:r w:rsidRPr="00A0212D">
        <w:rPr>
          <w:i w:val="0"/>
          <w:iCs w:val="0"/>
          <w:color w:val="auto"/>
          <w:sz w:val="24"/>
          <w:szCs w:val="24"/>
        </w:rPr>
        <w:t xml:space="preserve">Site preference (SP) of </w:t>
      </w:r>
      <w:r w:rsidRPr="00A0212D">
        <w:rPr>
          <w:i w:val="0"/>
          <w:iCs w:val="0"/>
          <w:color w:val="auto"/>
          <w:sz w:val="24"/>
          <w:szCs w:val="24"/>
          <w:vertAlign w:val="superscript"/>
        </w:rPr>
        <w:t>15</w:t>
      </w:r>
      <w:r w:rsidRPr="00A0212D">
        <w:rPr>
          <w:i w:val="0"/>
          <w:iCs w:val="0"/>
          <w:color w:val="auto"/>
          <w:sz w:val="24"/>
          <w:szCs w:val="24"/>
        </w:rPr>
        <w:t>N and relative contributions of bacterial denitrification (</w:t>
      </w:r>
      <w:hyperlink r:id="rId43" w:tgtFrame="_self" w:history="1">
        <w:r w:rsidRPr="00A0212D">
          <w:rPr>
            <w:rStyle w:val="ektkfwmypwzmkoyr0gym"/>
            <w:i w:val="0"/>
            <w:iCs w:val="0"/>
            <w:color w:val="auto"/>
            <w:sz w:val="24"/>
            <w:szCs w:val="24"/>
          </w:rPr>
          <w:t>ƒ</w:t>
        </w:r>
      </w:hyperlink>
      <w:r w:rsidRPr="00A0212D">
        <w:rPr>
          <w:i w:val="0"/>
          <w:iCs w:val="0"/>
          <w:color w:val="auto"/>
          <w:sz w:val="24"/>
          <w:szCs w:val="24"/>
          <w:vertAlign w:val="subscript"/>
        </w:rPr>
        <w:t>D</w:t>
      </w:r>
      <w:r w:rsidRPr="00A0212D">
        <w:rPr>
          <w:i w:val="0"/>
          <w:iCs w:val="0"/>
          <w:color w:val="auto"/>
          <w:sz w:val="24"/>
          <w:szCs w:val="24"/>
        </w:rPr>
        <w:t>) and nitrification/fungal denitrification (</w:t>
      </w:r>
      <w:hyperlink r:id="rId44" w:tgtFrame="_self" w:history="1">
        <w:r w:rsidRPr="00A0212D">
          <w:rPr>
            <w:rStyle w:val="ektkfwmypwzmkoyr0gym"/>
            <w:i w:val="0"/>
            <w:iCs w:val="0"/>
            <w:color w:val="auto"/>
            <w:sz w:val="24"/>
            <w:szCs w:val="24"/>
          </w:rPr>
          <w:t>ƒ</w:t>
        </w:r>
      </w:hyperlink>
      <w:r w:rsidRPr="00A0212D">
        <w:rPr>
          <w:i w:val="0"/>
          <w:iCs w:val="0"/>
          <w:color w:val="auto"/>
          <w:sz w:val="24"/>
          <w:szCs w:val="24"/>
          <w:vertAlign w:val="subscript"/>
        </w:rPr>
        <w:t>N + FD</w:t>
      </w:r>
      <w:r w:rsidRPr="00A0212D">
        <w:rPr>
          <w:i w:val="0"/>
          <w:iCs w:val="0"/>
          <w:color w:val="auto"/>
          <w:sz w:val="24"/>
          <w:szCs w:val="24"/>
        </w:rPr>
        <w:t>) and their standard deviations across soil textures</w:t>
      </w:r>
      <w:r w:rsidR="00962C21">
        <w:rPr>
          <w:i w:val="0"/>
          <w:iCs w:val="0"/>
          <w:color w:val="auto"/>
          <w:sz w:val="24"/>
          <w:szCs w:val="24"/>
        </w:rPr>
        <w:t xml:space="preserve"> are given</w:t>
      </w:r>
      <w:r w:rsidRPr="00A0212D">
        <w:rPr>
          <w:i w:val="0"/>
          <w:iCs w:val="0"/>
          <w:color w:val="auto"/>
          <w:sz w:val="24"/>
          <w:szCs w:val="24"/>
        </w:rPr>
        <w:t>.</w:t>
      </w:r>
      <w:r w:rsidR="00962C21">
        <w:rPr>
          <w:i w:val="0"/>
          <w:iCs w:val="0"/>
          <w:color w:val="auto"/>
          <w:sz w:val="24"/>
          <w:szCs w:val="24"/>
        </w:rPr>
        <w:t xml:space="preserve"> </w:t>
      </w:r>
      <w:r w:rsidR="00B90898">
        <w:rPr>
          <w:i w:val="0"/>
          <w:iCs w:val="0"/>
          <w:color w:val="auto"/>
          <w:sz w:val="24"/>
          <w:szCs w:val="24"/>
        </w:rPr>
        <w:t xml:space="preserve">Depending on texture and flooding treatment, elevated emissions </w:t>
      </w:r>
      <w:r w:rsidR="00336D8D">
        <w:rPr>
          <w:i w:val="0"/>
          <w:iCs w:val="0"/>
          <w:color w:val="auto"/>
          <w:sz w:val="24"/>
          <w:szCs w:val="24"/>
        </w:rPr>
        <w:t>coincided with isotopomer gas sampling</w:t>
      </w:r>
      <w:r w:rsidR="00B90898">
        <w:rPr>
          <w:i w:val="0"/>
          <w:iCs w:val="0"/>
          <w:color w:val="auto"/>
          <w:sz w:val="24"/>
          <w:szCs w:val="24"/>
        </w:rPr>
        <w:t xml:space="preserve"> </w:t>
      </w:r>
      <w:r w:rsidR="00C15557">
        <w:rPr>
          <w:i w:val="0"/>
          <w:iCs w:val="0"/>
          <w:color w:val="auto"/>
          <w:sz w:val="24"/>
          <w:szCs w:val="24"/>
        </w:rPr>
        <w:t xml:space="preserve">24 hours after first allowing flooded soils to dry (After Flooding) or </w:t>
      </w:r>
      <w:r w:rsidR="00123F5D">
        <w:rPr>
          <w:i w:val="0"/>
          <w:iCs w:val="0"/>
          <w:color w:val="auto"/>
          <w:sz w:val="24"/>
          <w:szCs w:val="24"/>
        </w:rPr>
        <w:t>at some point during the maintenance of the flooding period (During Flooding).</w:t>
      </w:r>
      <w:bookmarkEnd w:id="117"/>
      <w:r w:rsidR="00123F5D">
        <w:rPr>
          <w:i w:val="0"/>
          <w:iCs w:val="0"/>
          <w:color w:val="auto"/>
          <w:sz w:val="24"/>
          <w:szCs w:val="24"/>
        </w:rPr>
        <w:t xml:space="preserve"> </w:t>
      </w:r>
      <w:r w:rsidR="00B90898">
        <w:rPr>
          <w:i w:val="0"/>
          <w:iCs w:val="0"/>
          <w:color w:val="auto"/>
          <w:sz w:val="24"/>
          <w:szCs w:val="24"/>
        </w:rPr>
        <w:t xml:space="preserve"> </w:t>
      </w:r>
    </w:p>
    <w:tbl>
      <w:tblPr>
        <w:tblW w:w="9360" w:type="dxa"/>
        <w:tblCellMar>
          <w:top w:w="100" w:type="dxa"/>
          <w:left w:w="100" w:type="dxa"/>
          <w:bottom w:w="100" w:type="dxa"/>
          <w:right w:w="100" w:type="dxa"/>
        </w:tblCellMar>
        <w:tblLook w:val="0600" w:firstRow="0" w:lastRow="0" w:firstColumn="0" w:lastColumn="0" w:noHBand="1" w:noVBand="1"/>
      </w:tblPr>
      <w:tblGrid>
        <w:gridCol w:w="1748"/>
        <w:gridCol w:w="1178"/>
        <w:gridCol w:w="2384"/>
        <w:gridCol w:w="900"/>
        <w:gridCol w:w="1440"/>
        <w:gridCol w:w="1504"/>
        <w:gridCol w:w="206"/>
      </w:tblGrid>
      <w:tr w:rsidR="00501E17" w14:paraId="4AA0589F" w14:textId="77777777" w:rsidTr="00A36FDC">
        <w:trPr>
          <w:trHeight w:val="444"/>
        </w:trPr>
        <w:tc>
          <w:tcPr>
            <w:tcW w:w="1748" w:type="dxa"/>
            <w:tcBorders>
              <w:top w:val="single" w:sz="4" w:space="0" w:color="auto"/>
              <w:bottom w:val="single" w:sz="12" w:space="0" w:color="auto"/>
            </w:tcBorders>
            <w:tcMar>
              <w:top w:w="100" w:type="dxa"/>
              <w:left w:w="100" w:type="dxa"/>
              <w:bottom w:w="100" w:type="dxa"/>
              <w:right w:w="100" w:type="dxa"/>
            </w:tcMar>
          </w:tcPr>
          <w:p w14:paraId="3D975DFB" w14:textId="77777777" w:rsidR="00501E17" w:rsidRDefault="00501E17" w:rsidP="007C102B">
            <w:pPr>
              <w:widowControl w:val="0"/>
              <w:spacing w:after="0" w:line="240" w:lineRule="auto"/>
              <w:jc w:val="center"/>
            </w:pPr>
          </w:p>
        </w:tc>
        <w:tc>
          <w:tcPr>
            <w:tcW w:w="1178" w:type="dxa"/>
            <w:tcBorders>
              <w:top w:val="single" w:sz="4" w:space="0" w:color="auto"/>
              <w:bottom w:val="single" w:sz="12" w:space="0" w:color="auto"/>
            </w:tcBorders>
          </w:tcPr>
          <w:p w14:paraId="18D3B1E3" w14:textId="76C91CBE" w:rsidR="003A1BA0" w:rsidRDefault="003A1BA0">
            <w:pPr>
              <w:jc w:val="center"/>
            </w:pPr>
            <w:r>
              <w:t>Treatment</w:t>
            </w:r>
          </w:p>
        </w:tc>
        <w:tc>
          <w:tcPr>
            <w:tcW w:w="2384" w:type="dxa"/>
            <w:tcBorders>
              <w:top w:val="single" w:sz="4" w:space="0" w:color="auto"/>
              <w:bottom w:val="single" w:sz="12" w:space="0" w:color="auto"/>
            </w:tcBorders>
          </w:tcPr>
          <w:p w14:paraId="7FA7E71A" w14:textId="760AD67F" w:rsidR="00720BD7" w:rsidRPr="003F775E" w:rsidRDefault="00A458D9">
            <w:pPr>
              <w:jc w:val="center"/>
            </w:pPr>
            <w:r>
              <w:t>Period</w:t>
            </w:r>
          </w:p>
        </w:tc>
        <w:tc>
          <w:tcPr>
            <w:tcW w:w="900" w:type="dxa"/>
            <w:tcBorders>
              <w:top w:val="single" w:sz="4" w:space="0" w:color="auto"/>
              <w:bottom w:val="single" w:sz="12" w:space="0" w:color="auto"/>
            </w:tcBorders>
          </w:tcPr>
          <w:p w14:paraId="72FD3EE5" w14:textId="590DC0BD" w:rsidR="00501E17" w:rsidRPr="003F775E" w:rsidRDefault="00501E17" w:rsidP="007C102B">
            <w:pPr>
              <w:jc w:val="center"/>
            </w:pPr>
            <w:r w:rsidRPr="003F775E">
              <w:t>SP</w:t>
            </w:r>
          </w:p>
        </w:tc>
        <w:tc>
          <w:tcPr>
            <w:tcW w:w="1440" w:type="dxa"/>
            <w:tcBorders>
              <w:top w:val="single" w:sz="4" w:space="0" w:color="auto"/>
              <w:bottom w:val="single" w:sz="12" w:space="0" w:color="auto"/>
            </w:tcBorders>
          </w:tcPr>
          <w:p w14:paraId="7862D9CA" w14:textId="77777777" w:rsidR="00501E17" w:rsidRPr="007A6C3C" w:rsidRDefault="00501E17" w:rsidP="007C102B">
            <w:pPr>
              <w:widowControl w:val="0"/>
              <w:spacing w:after="0" w:line="240" w:lineRule="auto"/>
              <w:jc w:val="center"/>
            </w:pPr>
            <w:hyperlink r:id="rId45" w:tgtFrame="_self" w:history="1">
              <w:r w:rsidRPr="007A6C3C">
                <w:rPr>
                  <w:rStyle w:val="ektkfwmypwzmkoyr0gym"/>
                </w:rPr>
                <w:t>ƒ</w:t>
              </w:r>
            </w:hyperlink>
            <w:r w:rsidRPr="007A6C3C">
              <w:rPr>
                <w:vertAlign w:val="subscript"/>
              </w:rPr>
              <w:t>D</w:t>
            </w:r>
            <w:r>
              <w:rPr>
                <w:vertAlign w:val="subscript"/>
              </w:rPr>
              <w:t xml:space="preserve">  </w:t>
            </w:r>
            <w:r>
              <w:t>(%)</w:t>
            </w:r>
          </w:p>
        </w:tc>
        <w:tc>
          <w:tcPr>
            <w:tcW w:w="1710" w:type="dxa"/>
            <w:gridSpan w:val="2"/>
            <w:tcBorders>
              <w:top w:val="single" w:sz="4" w:space="0" w:color="auto"/>
              <w:bottom w:val="single" w:sz="12" w:space="0" w:color="auto"/>
            </w:tcBorders>
          </w:tcPr>
          <w:p w14:paraId="034A0B4E" w14:textId="77777777" w:rsidR="00501E17" w:rsidRDefault="00501E17" w:rsidP="007C102B">
            <w:pPr>
              <w:widowControl w:val="0"/>
              <w:spacing w:after="0" w:line="240" w:lineRule="auto"/>
              <w:jc w:val="center"/>
            </w:pPr>
            <w:hyperlink r:id="rId46" w:tgtFrame="_self" w:history="1">
              <w:r w:rsidRPr="003F775E">
                <w:rPr>
                  <w:rStyle w:val="ektkfwmypwzmkoyr0gym"/>
                </w:rPr>
                <w:t>ƒ</w:t>
              </w:r>
            </w:hyperlink>
            <w:r w:rsidRPr="003F775E">
              <w:rPr>
                <w:vertAlign w:val="subscript"/>
              </w:rPr>
              <w:t>N + FD</w:t>
            </w:r>
            <w:r>
              <w:rPr>
                <w:vertAlign w:val="subscript"/>
              </w:rPr>
              <w:t xml:space="preserve">  </w:t>
            </w:r>
            <w:r>
              <w:t>(%)</w:t>
            </w:r>
          </w:p>
        </w:tc>
      </w:tr>
      <w:tr w:rsidR="00501E17" w14:paraId="6BB1DFD5" w14:textId="77777777" w:rsidTr="00536208">
        <w:trPr>
          <w:trHeight w:val="340"/>
        </w:trPr>
        <w:tc>
          <w:tcPr>
            <w:tcW w:w="1748" w:type="dxa"/>
            <w:tcMar>
              <w:top w:w="100" w:type="dxa"/>
              <w:left w:w="100" w:type="dxa"/>
              <w:bottom w:w="100" w:type="dxa"/>
              <w:right w:w="100" w:type="dxa"/>
            </w:tcMar>
          </w:tcPr>
          <w:p w14:paraId="0474A8D4" w14:textId="77777777" w:rsidR="00501E17" w:rsidRDefault="00501E17" w:rsidP="007C102B">
            <w:pPr>
              <w:widowControl w:val="0"/>
              <w:spacing w:after="0" w:line="240" w:lineRule="auto"/>
              <w:jc w:val="center"/>
            </w:pPr>
            <w:r>
              <w:t>Sand</w:t>
            </w:r>
          </w:p>
        </w:tc>
        <w:tc>
          <w:tcPr>
            <w:tcW w:w="1178" w:type="dxa"/>
          </w:tcPr>
          <w:p w14:paraId="2D793165" w14:textId="7CA7F989" w:rsidR="003A1BA0" w:rsidRDefault="005B76DC">
            <w:pPr>
              <w:widowControl w:val="0"/>
              <w:spacing w:after="0" w:line="240" w:lineRule="auto"/>
              <w:jc w:val="center"/>
            </w:pPr>
            <w:r>
              <w:t>3F</w:t>
            </w:r>
          </w:p>
        </w:tc>
        <w:tc>
          <w:tcPr>
            <w:tcW w:w="2384" w:type="dxa"/>
          </w:tcPr>
          <w:p w14:paraId="37E42490" w14:textId="2B245FBA" w:rsidR="00720BD7" w:rsidRDefault="00066006">
            <w:pPr>
              <w:widowControl w:val="0"/>
              <w:spacing w:after="0" w:line="240" w:lineRule="auto"/>
              <w:jc w:val="center"/>
            </w:pPr>
            <w:r>
              <w:t>After</w:t>
            </w:r>
            <w:r w:rsidR="00E84DEB">
              <w:t xml:space="preserve"> Flooding</w:t>
            </w:r>
          </w:p>
        </w:tc>
        <w:tc>
          <w:tcPr>
            <w:tcW w:w="900" w:type="dxa"/>
          </w:tcPr>
          <w:p w14:paraId="0A7D8810" w14:textId="0B966CCA" w:rsidR="00501E17" w:rsidRDefault="003A1BA0" w:rsidP="007C102B">
            <w:pPr>
              <w:widowControl w:val="0"/>
              <w:spacing w:after="0" w:line="240" w:lineRule="auto"/>
              <w:jc w:val="center"/>
            </w:pPr>
            <w:r>
              <w:t>1</w:t>
            </w:r>
            <w:r w:rsidR="00C763F2">
              <w:t>1</w:t>
            </w:r>
            <w:r w:rsidR="00501E17">
              <w:t>.</w:t>
            </w:r>
            <w:r>
              <w:t>3</w:t>
            </w:r>
          </w:p>
        </w:tc>
        <w:tc>
          <w:tcPr>
            <w:tcW w:w="1440" w:type="dxa"/>
          </w:tcPr>
          <w:p w14:paraId="0CD98663" w14:textId="03A8BAF0" w:rsidR="00501E17" w:rsidRDefault="003A1BA0" w:rsidP="007C102B">
            <w:pPr>
              <w:widowControl w:val="0"/>
              <w:spacing w:after="0" w:line="240" w:lineRule="auto"/>
              <w:jc w:val="center"/>
            </w:pPr>
            <w:r>
              <w:t>6</w:t>
            </w:r>
            <w:r w:rsidR="00626E33">
              <w:t>7</w:t>
            </w:r>
            <w:r>
              <w:t>.</w:t>
            </w:r>
            <w:r w:rsidR="00626E33">
              <w:t>7</w:t>
            </w:r>
            <w:r>
              <w:t xml:space="preserve"> </w:t>
            </w:r>
            <w:r w:rsidRPr="00917CCA">
              <w:t>±</w:t>
            </w:r>
            <w:r>
              <w:t xml:space="preserve"> </w:t>
            </w:r>
            <w:r w:rsidR="00626E33">
              <w:t>0</w:t>
            </w:r>
            <w:r>
              <w:t>.</w:t>
            </w:r>
            <w:r w:rsidR="00626E33">
              <w:t>4</w:t>
            </w:r>
          </w:p>
        </w:tc>
        <w:tc>
          <w:tcPr>
            <w:tcW w:w="1504" w:type="dxa"/>
          </w:tcPr>
          <w:p w14:paraId="10053CC4" w14:textId="26882AF3" w:rsidR="00501E17" w:rsidRDefault="003A1BA0" w:rsidP="007C102B">
            <w:pPr>
              <w:widowControl w:val="0"/>
              <w:spacing w:after="0" w:line="240" w:lineRule="auto"/>
              <w:jc w:val="center"/>
            </w:pPr>
            <w:r>
              <w:t>3</w:t>
            </w:r>
            <w:r w:rsidR="001F0561">
              <w:t>2</w:t>
            </w:r>
            <w:r w:rsidR="00501E17">
              <w:t xml:space="preserve">.2 </w:t>
            </w:r>
            <w:r w:rsidR="00501E17" w:rsidRPr="00917CCA">
              <w:t>±</w:t>
            </w:r>
            <w:r w:rsidR="00501E17">
              <w:t xml:space="preserve"> </w:t>
            </w:r>
            <w:r w:rsidR="00626E33">
              <w:t>0</w:t>
            </w:r>
            <w:r>
              <w:t>.</w:t>
            </w:r>
            <w:r w:rsidR="00626E33">
              <w:t>4</w:t>
            </w:r>
          </w:p>
        </w:tc>
        <w:tc>
          <w:tcPr>
            <w:tcW w:w="0" w:type="auto"/>
          </w:tcPr>
          <w:p w14:paraId="33F8D28B" w14:textId="77777777" w:rsidR="00501E17" w:rsidRDefault="00501E17" w:rsidP="007C102B">
            <w:pPr>
              <w:widowControl w:val="0"/>
              <w:spacing w:after="0" w:line="240" w:lineRule="auto"/>
              <w:jc w:val="center"/>
            </w:pPr>
          </w:p>
        </w:tc>
      </w:tr>
      <w:tr w:rsidR="00A36FDC" w14:paraId="3AC42F66" w14:textId="77777777" w:rsidTr="00536208">
        <w:trPr>
          <w:trHeight w:val="340"/>
        </w:trPr>
        <w:tc>
          <w:tcPr>
            <w:tcW w:w="1748" w:type="dxa"/>
            <w:tcMar>
              <w:top w:w="100" w:type="dxa"/>
              <w:left w:w="100" w:type="dxa"/>
              <w:bottom w:w="100" w:type="dxa"/>
              <w:right w:w="100" w:type="dxa"/>
            </w:tcMar>
          </w:tcPr>
          <w:p w14:paraId="6DA48121" w14:textId="16D596B9" w:rsidR="00A36FDC" w:rsidRDefault="00A36FDC" w:rsidP="00A36FDC">
            <w:pPr>
              <w:widowControl w:val="0"/>
              <w:spacing w:after="0" w:line="240" w:lineRule="auto"/>
              <w:jc w:val="center"/>
            </w:pPr>
            <w:r>
              <w:t>Sand</w:t>
            </w:r>
          </w:p>
        </w:tc>
        <w:tc>
          <w:tcPr>
            <w:tcW w:w="1178" w:type="dxa"/>
          </w:tcPr>
          <w:p w14:paraId="5AFABC02" w14:textId="0FFF2260" w:rsidR="00A36FDC" w:rsidRDefault="00A36FDC" w:rsidP="00A36FDC">
            <w:pPr>
              <w:widowControl w:val="0"/>
              <w:spacing w:after="0" w:line="240" w:lineRule="auto"/>
              <w:jc w:val="center"/>
            </w:pPr>
            <w:r>
              <w:t>7F</w:t>
            </w:r>
          </w:p>
        </w:tc>
        <w:tc>
          <w:tcPr>
            <w:tcW w:w="2384" w:type="dxa"/>
          </w:tcPr>
          <w:p w14:paraId="600B7DA7" w14:textId="209031B8" w:rsidR="00A36FDC" w:rsidRDefault="00A36FDC" w:rsidP="00A36FDC">
            <w:pPr>
              <w:widowControl w:val="0"/>
              <w:spacing w:after="0" w:line="240" w:lineRule="auto"/>
              <w:jc w:val="center"/>
            </w:pPr>
            <w:r>
              <w:t>During Flooding</w:t>
            </w:r>
          </w:p>
        </w:tc>
        <w:tc>
          <w:tcPr>
            <w:tcW w:w="900" w:type="dxa"/>
          </w:tcPr>
          <w:p w14:paraId="33E06335" w14:textId="05EDB71C" w:rsidR="00A36FDC" w:rsidRDefault="00A36FDC" w:rsidP="00A36FDC">
            <w:pPr>
              <w:widowControl w:val="0"/>
              <w:spacing w:after="0" w:line="240" w:lineRule="auto"/>
              <w:jc w:val="center"/>
            </w:pPr>
            <w:r>
              <w:t>1</w:t>
            </w:r>
            <w:r w:rsidR="00DF6311">
              <w:t>1</w:t>
            </w:r>
            <w:r>
              <w:t>.</w:t>
            </w:r>
            <w:r w:rsidR="00DF6311">
              <w:t>9</w:t>
            </w:r>
          </w:p>
        </w:tc>
        <w:tc>
          <w:tcPr>
            <w:tcW w:w="1440" w:type="dxa"/>
          </w:tcPr>
          <w:p w14:paraId="424AC58A" w14:textId="5CF54DA0" w:rsidR="00A36FDC" w:rsidRDefault="00A36FDC" w:rsidP="00A36FDC">
            <w:pPr>
              <w:widowControl w:val="0"/>
              <w:spacing w:after="0" w:line="240" w:lineRule="auto"/>
              <w:jc w:val="center"/>
            </w:pPr>
            <w:r>
              <w:t>6</w:t>
            </w:r>
            <w:r w:rsidR="0002723A">
              <w:t>6</w:t>
            </w:r>
            <w:r>
              <w:t>.</w:t>
            </w:r>
            <w:r w:rsidR="0002723A">
              <w:t>1</w:t>
            </w:r>
            <w:r>
              <w:t xml:space="preserve"> </w:t>
            </w:r>
            <w:r w:rsidRPr="00917CCA">
              <w:t>±</w:t>
            </w:r>
            <w:r>
              <w:t xml:space="preserve"> </w:t>
            </w:r>
            <w:r w:rsidR="0002723A">
              <w:t>6</w:t>
            </w:r>
            <w:r>
              <w:t>.8</w:t>
            </w:r>
          </w:p>
        </w:tc>
        <w:tc>
          <w:tcPr>
            <w:tcW w:w="1504" w:type="dxa"/>
          </w:tcPr>
          <w:p w14:paraId="49891E71" w14:textId="2001C8EF" w:rsidR="00A36FDC" w:rsidRDefault="00A36FDC" w:rsidP="00A36FDC">
            <w:pPr>
              <w:widowControl w:val="0"/>
              <w:spacing w:after="0" w:line="240" w:lineRule="auto"/>
              <w:jc w:val="center"/>
            </w:pPr>
            <w:r>
              <w:t>3</w:t>
            </w:r>
            <w:r w:rsidR="00E31254">
              <w:t>3</w:t>
            </w:r>
            <w:r>
              <w:t>.</w:t>
            </w:r>
            <w:r w:rsidR="00E31254">
              <w:t>9</w:t>
            </w:r>
            <w:r>
              <w:t xml:space="preserve"> </w:t>
            </w:r>
            <w:r w:rsidRPr="00917CCA">
              <w:t>±</w:t>
            </w:r>
            <w:r>
              <w:t xml:space="preserve"> </w:t>
            </w:r>
            <w:r w:rsidR="0002723A">
              <w:t>6</w:t>
            </w:r>
            <w:r>
              <w:t>.8</w:t>
            </w:r>
          </w:p>
        </w:tc>
        <w:tc>
          <w:tcPr>
            <w:tcW w:w="0" w:type="auto"/>
          </w:tcPr>
          <w:p w14:paraId="2C61B0B1" w14:textId="77777777" w:rsidR="00A36FDC" w:rsidRDefault="00A36FDC" w:rsidP="00A36FDC">
            <w:pPr>
              <w:widowControl w:val="0"/>
              <w:spacing w:after="0" w:line="240" w:lineRule="auto"/>
              <w:jc w:val="center"/>
            </w:pPr>
          </w:p>
        </w:tc>
      </w:tr>
      <w:tr w:rsidR="00A36FDC" w14:paraId="3F7E5DAD" w14:textId="77777777" w:rsidTr="00536208">
        <w:trPr>
          <w:trHeight w:val="340"/>
        </w:trPr>
        <w:tc>
          <w:tcPr>
            <w:tcW w:w="1748" w:type="dxa"/>
            <w:tcMar>
              <w:top w:w="100" w:type="dxa"/>
              <w:left w:w="100" w:type="dxa"/>
              <w:bottom w:w="100" w:type="dxa"/>
              <w:right w:w="100" w:type="dxa"/>
            </w:tcMar>
          </w:tcPr>
          <w:p w14:paraId="2FADA590" w14:textId="0324C0AC" w:rsidR="00A36FDC" w:rsidRDefault="00A36FDC" w:rsidP="00A36FDC">
            <w:pPr>
              <w:widowControl w:val="0"/>
              <w:spacing w:after="0" w:line="240" w:lineRule="auto"/>
              <w:jc w:val="center"/>
            </w:pPr>
            <w:r>
              <w:t>Sand</w:t>
            </w:r>
          </w:p>
        </w:tc>
        <w:tc>
          <w:tcPr>
            <w:tcW w:w="1178" w:type="dxa"/>
          </w:tcPr>
          <w:p w14:paraId="33B54D05" w14:textId="79CF160C" w:rsidR="00A36FDC" w:rsidRDefault="00A36FDC" w:rsidP="00A36FDC">
            <w:pPr>
              <w:widowControl w:val="0"/>
              <w:spacing w:after="0" w:line="240" w:lineRule="auto"/>
              <w:jc w:val="center"/>
            </w:pPr>
            <w:r>
              <w:t>7F</w:t>
            </w:r>
          </w:p>
        </w:tc>
        <w:tc>
          <w:tcPr>
            <w:tcW w:w="2384" w:type="dxa"/>
          </w:tcPr>
          <w:p w14:paraId="4D588C23" w14:textId="091B1444" w:rsidR="00A36FDC" w:rsidRDefault="00A36FDC" w:rsidP="00A36FDC">
            <w:pPr>
              <w:widowControl w:val="0"/>
              <w:spacing w:after="0" w:line="240" w:lineRule="auto"/>
              <w:jc w:val="center"/>
            </w:pPr>
            <w:r>
              <w:t>After Flooding</w:t>
            </w:r>
          </w:p>
        </w:tc>
        <w:tc>
          <w:tcPr>
            <w:tcW w:w="900" w:type="dxa"/>
          </w:tcPr>
          <w:p w14:paraId="5904F3F4" w14:textId="4EEAF437" w:rsidR="00A36FDC" w:rsidRDefault="00A36FDC" w:rsidP="00A36FDC">
            <w:pPr>
              <w:widowControl w:val="0"/>
              <w:spacing w:after="0" w:line="240" w:lineRule="auto"/>
              <w:jc w:val="center"/>
            </w:pPr>
            <w:r>
              <w:t>1</w:t>
            </w:r>
            <w:r w:rsidR="00E15ED5">
              <w:t>3.0</w:t>
            </w:r>
          </w:p>
        </w:tc>
        <w:tc>
          <w:tcPr>
            <w:tcW w:w="1440" w:type="dxa"/>
          </w:tcPr>
          <w:p w14:paraId="2E0FBE4B" w14:textId="243B9618" w:rsidR="00A36FDC" w:rsidRDefault="00A36FDC" w:rsidP="00A36FDC">
            <w:pPr>
              <w:widowControl w:val="0"/>
              <w:spacing w:after="0" w:line="240" w:lineRule="auto"/>
              <w:jc w:val="center"/>
            </w:pPr>
            <w:r>
              <w:t>6</w:t>
            </w:r>
            <w:r w:rsidR="001A4C4C">
              <w:t>2</w:t>
            </w:r>
            <w:r>
              <w:t>.</w:t>
            </w:r>
            <w:r w:rsidR="001A4C4C">
              <w:t>9</w:t>
            </w:r>
            <w:r>
              <w:t xml:space="preserve"> </w:t>
            </w:r>
            <w:r w:rsidRPr="00917CCA">
              <w:t>±</w:t>
            </w:r>
            <w:r>
              <w:t xml:space="preserve"> 1</w:t>
            </w:r>
            <w:r w:rsidR="001A4C4C">
              <w:t>6</w:t>
            </w:r>
            <w:r>
              <w:t>.</w:t>
            </w:r>
            <w:r w:rsidR="001A4C4C">
              <w:t>4</w:t>
            </w:r>
          </w:p>
        </w:tc>
        <w:tc>
          <w:tcPr>
            <w:tcW w:w="1504" w:type="dxa"/>
          </w:tcPr>
          <w:p w14:paraId="2D04173E" w14:textId="18EEB73F" w:rsidR="00A36FDC" w:rsidRDefault="00A36FDC" w:rsidP="00A36FDC">
            <w:pPr>
              <w:widowControl w:val="0"/>
              <w:spacing w:after="0" w:line="240" w:lineRule="auto"/>
              <w:jc w:val="center"/>
            </w:pPr>
            <w:r>
              <w:t>3</w:t>
            </w:r>
            <w:r w:rsidR="00E15ED5">
              <w:t>7</w:t>
            </w:r>
            <w:r>
              <w:t>.</w:t>
            </w:r>
            <w:r w:rsidR="00E15ED5">
              <w:t>1</w:t>
            </w:r>
            <w:r>
              <w:t xml:space="preserve"> </w:t>
            </w:r>
            <w:r w:rsidRPr="00917CCA">
              <w:t>±</w:t>
            </w:r>
            <w:r>
              <w:t xml:space="preserve"> 1</w:t>
            </w:r>
            <w:r w:rsidR="00E31254">
              <w:t>6</w:t>
            </w:r>
            <w:r>
              <w:t>.</w:t>
            </w:r>
            <w:r w:rsidR="00E31254">
              <w:t>4</w:t>
            </w:r>
          </w:p>
        </w:tc>
        <w:tc>
          <w:tcPr>
            <w:tcW w:w="0" w:type="auto"/>
          </w:tcPr>
          <w:p w14:paraId="10FC70C1" w14:textId="77777777" w:rsidR="00A36FDC" w:rsidRDefault="00A36FDC" w:rsidP="00A36FDC">
            <w:pPr>
              <w:widowControl w:val="0"/>
              <w:spacing w:after="0" w:line="240" w:lineRule="auto"/>
              <w:jc w:val="center"/>
            </w:pPr>
          </w:p>
        </w:tc>
      </w:tr>
      <w:tr w:rsidR="00501E17" w14:paraId="6C9EDE7E" w14:textId="77777777" w:rsidTr="00A36FDC">
        <w:trPr>
          <w:trHeight w:val="340"/>
        </w:trPr>
        <w:tc>
          <w:tcPr>
            <w:tcW w:w="1748" w:type="dxa"/>
            <w:tcMar>
              <w:top w:w="100" w:type="dxa"/>
              <w:left w:w="100" w:type="dxa"/>
              <w:bottom w:w="100" w:type="dxa"/>
              <w:right w:w="100" w:type="dxa"/>
            </w:tcMar>
          </w:tcPr>
          <w:p w14:paraId="21E4D735" w14:textId="77777777" w:rsidR="00501E17" w:rsidRDefault="00501E17" w:rsidP="007C102B">
            <w:pPr>
              <w:widowControl w:val="0"/>
              <w:spacing w:after="0" w:line="240" w:lineRule="auto"/>
              <w:jc w:val="center"/>
            </w:pPr>
            <w:r>
              <w:t>Loamy Sand</w:t>
            </w:r>
          </w:p>
        </w:tc>
        <w:tc>
          <w:tcPr>
            <w:tcW w:w="1178" w:type="dxa"/>
          </w:tcPr>
          <w:p w14:paraId="52E1342D" w14:textId="16E82410" w:rsidR="003A1BA0" w:rsidRDefault="00051167">
            <w:pPr>
              <w:widowControl w:val="0"/>
              <w:spacing w:after="0" w:line="240" w:lineRule="auto"/>
              <w:jc w:val="center"/>
            </w:pPr>
            <w:r>
              <w:t>7F</w:t>
            </w:r>
          </w:p>
        </w:tc>
        <w:tc>
          <w:tcPr>
            <w:tcW w:w="2384" w:type="dxa"/>
          </w:tcPr>
          <w:p w14:paraId="47FD0E87" w14:textId="427663D8" w:rsidR="00720BD7" w:rsidRDefault="00E84DEB">
            <w:pPr>
              <w:widowControl w:val="0"/>
              <w:spacing w:after="0" w:line="240" w:lineRule="auto"/>
              <w:jc w:val="center"/>
            </w:pPr>
            <w:r>
              <w:t>During Flooding</w:t>
            </w:r>
          </w:p>
        </w:tc>
        <w:tc>
          <w:tcPr>
            <w:tcW w:w="900" w:type="dxa"/>
          </w:tcPr>
          <w:p w14:paraId="6320C439" w14:textId="1C025C96" w:rsidR="00501E17" w:rsidRDefault="0082038F" w:rsidP="007C102B">
            <w:pPr>
              <w:widowControl w:val="0"/>
              <w:spacing w:after="0" w:line="240" w:lineRule="auto"/>
              <w:jc w:val="center"/>
            </w:pPr>
            <w:r>
              <w:t>2.65</w:t>
            </w:r>
          </w:p>
        </w:tc>
        <w:tc>
          <w:tcPr>
            <w:tcW w:w="1440" w:type="dxa"/>
          </w:tcPr>
          <w:p w14:paraId="7B14B2D8" w14:textId="5A753608" w:rsidR="00501E17" w:rsidRDefault="00501E17" w:rsidP="007C102B">
            <w:pPr>
              <w:widowControl w:val="0"/>
              <w:spacing w:after="0" w:line="240" w:lineRule="auto"/>
              <w:jc w:val="center"/>
            </w:pPr>
            <w:r>
              <w:t>91.</w:t>
            </w:r>
            <w:r w:rsidR="00455766">
              <w:t>5</w:t>
            </w:r>
            <w:r>
              <w:t xml:space="preserve"> </w:t>
            </w:r>
            <w:r w:rsidRPr="00917CCA">
              <w:t>±</w:t>
            </w:r>
            <w:r>
              <w:t xml:space="preserve"> </w:t>
            </w:r>
            <w:r w:rsidR="0082038F">
              <w:t>7.4</w:t>
            </w:r>
          </w:p>
        </w:tc>
        <w:tc>
          <w:tcPr>
            <w:tcW w:w="1710" w:type="dxa"/>
            <w:gridSpan w:val="2"/>
          </w:tcPr>
          <w:p w14:paraId="641DF723" w14:textId="524B14B0" w:rsidR="00501E17" w:rsidRDefault="00720BD7" w:rsidP="007C102B">
            <w:pPr>
              <w:widowControl w:val="0"/>
              <w:spacing w:after="0" w:line="240" w:lineRule="auto"/>
              <w:jc w:val="center"/>
            </w:pPr>
            <w:r>
              <w:t xml:space="preserve">8.4 </w:t>
            </w:r>
            <w:r w:rsidRPr="00917CCA">
              <w:t>±</w:t>
            </w:r>
            <w:r>
              <w:t xml:space="preserve"> </w:t>
            </w:r>
            <w:r w:rsidR="00992039">
              <w:t>7.4</w:t>
            </w:r>
          </w:p>
        </w:tc>
      </w:tr>
      <w:tr w:rsidR="00E84DEB" w14:paraId="20DF0A00" w14:textId="77777777" w:rsidTr="00A36FDC">
        <w:trPr>
          <w:trHeight w:val="340"/>
        </w:trPr>
        <w:tc>
          <w:tcPr>
            <w:tcW w:w="1748" w:type="dxa"/>
            <w:tcMar>
              <w:top w:w="100" w:type="dxa"/>
              <w:left w:w="100" w:type="dxa"/>
              <w:bottom w:w="100" w:type="dxa"/>
              <w:right w:w="100" w:type="dxa"/>
            </w:tcMar>
          </w:tcPr>
          <w:p w14:paraId="65123AD7" w14:textId="21B03FE9" w:rsidR="00E84DEB" w:rsidRDefault="00E84DEB" w:rsidP="00E84DEB">
            <w:pPr>
              <w:widowControl w:val="0"/>
              <w:spacing w:after="0" w:line="240" w:lineRule="auto"/>
              <w:jc w:val="center"/>
            </w:pPr>
            <w:r>
              <w:t>Loamy Sand</w:t>
            </w:r>
          </w:p>
        </w:tc>
        <w:tc>
          <w:tcPr>
            <w:tcW w:w="1178" w:type="dxa"/>
          </w:tcPr>
          <w:p w14:paraId="0C6B6642" w14:textId="676BFB5D" w:rsidR="003A1BA0" w:rsidRDefault="00051167" w:rsidP="00E84DEB">
            <w:pPr>
              <w:widowControl w:val="0"/>
              <w:spacing w:after="0" w:line="240" w:lineRule="auto"/>
              <w:jc w:val="center"/>
            </w:pPr>
            <w:r>
              <w:t>3F</w:t>
            </w:r>
          </w:p>
        </w:tc>
        <w:tc>
          <w:tcPr>
            <w:tcW w:w="2384" w:type="dxa"/>
          </w:tcPr>
          <w:p w14:paraId="076830B0" w14:textId="6A063D52" w:rsidR="00E84DEB" w:rsidRDefault="00E84DEB" w:rsidP="00E84DEB">
            <w:pPr>
              <w:widowControl w:val="0"/>
              <w:spacing w:after="0" w:line="240" w:lineRule="auto"/>
              <w:jc w:val="center"/>
            </w:pPr>
            <w:r>
              <w:t>After Flooding</w:t>
            </w:r>
          </w:p>
        </w:tc>
        <w:tc>
          <w:tcPr>
            <w:tcW w:w="900" w:type="dxa"/>
          </w:tcPr>
          <w:p w14:paraId="4320769A" w14:textId="337D9DF6" w:rsidR="00E84DEB" w:rsidRDefault="00992039" w:rsidP="00E84DEB">
            <w:pPr>
              <w:widowControl w:val="0"/>
              <w:spacing w:after="0" w:line="240" w:lineRule="auto"/>
              <w:jc w:val="center"/>
            </w:pPr>
            <w:r>
              <w:t>0.94</w:t>
            </w:r>
          </w:p>
        </w:tc>
        <w:tc>
          <w:tcPr>
            <w:tcW w:w="1440" w:type="dxa"/>
          </w:tcPr>
          <w:p w14:paraId="4F72C14B" w14:textId="13613B41" w:rsidR="00E84DEB" w:rsidRDefault="00DD681C" w:rsidP="00E84DEB">
            <w:pPr>
              <w:widowControl w:val="0"/>
              <w:spacing w:after="0" w:line="240" w:lineRule="auto"/>
              <w:jc w:val="center"/>
            </w:pPr>
            <w:r>
              <w:t xml:space="preserve">91.6 </w:t>
            </w:r>
            <w:r w:rsidRPr="00917CCA">
              <w:t>±</w:t>
            </w:r>
            <w:r>
              <w:t xml:space="preserve"> 7.4</w:t>
            </w:r>
          </w:p>
        </w:tc>
        <w:tc>
          <w:tcPr>
            <w:tcW w:w="1710" w:type="dxa"/>
            <w:gridSpan w:val="2"/>
          </w:tcPr>
          <w:p w14:paraId="006E41CD" w14:textId="06C61BFA" w:rsidR="00E84DEB" w:rsidRDefault="00BD3E53" w:rsidP="00E84DEB">
            <w:pPr>
              <w:widowControl w:val="0"/>
              <w:spacing w:after="0" w:line="240" w:lineRule="auto"/>
              <w:jc w:val="center"/>
            </w:pPr>
            <w:r>
              <w:t xml:space="preserve">8.5 </w:t>
            </w:r>
            <w:r w:rsidRPr="00917CCA">
              <w:t>±</w:t>
            </w:r>
            <w:r>
              <w:t xml:space="preserve"> 8.6</w:t>
            </w:r>
          </w:p>
        </w:tc>
      </w:tr>
      <w:tr w:rsidR="00501E17" w14:paraId="32983FE2" w14:textId="77777777" w:rsidTr="00A36FDC">
        <w:trPr>
          <w:trHeight w:val="340"/>
        </w:trPr>
        <w:tc>
          <w:tcPr>
            <w:tcW w:w="1748" w:type="dxa"/>
            <w:tcMar>
              <w:top w:w="100" w:type="dxa"/>
              <w:left w:w="100" w:type="dxa"/>
              <w:bottom w:w="100" w:type="dxa"/>
              <w:right w:w="100" w:type="dxa"/>
            </w:tcMar>
          </w:tcPr>
          <w:p w14:paraId="25CA6D61" w14:textId="77777777" w:rsidR="00501E17" w:rsidRDefault="00501E17" w:rsidP="007C102B">
            <w:pPr>
              <w:widowControl w:val="0"/>
              <w:spacing w:after="0" w:line="240" w:lineRule="auto"/>
              <w:jc w:val="center"/>
            </w:pPr>
            <w:r>
              <w:t>Sandy Clay Loam</w:t>
            </w:r>
          </w:p>
        </w:tc>
        <w:tc>
          <w:tcPr>
            <w:tcW w:w="1178" w:type="dxa"/>
          </w:tcPr>
          <w:p w14:paraId="47425D7C" w14:textId="6A667ABE" w:rsidR="003A1BA0" w:rsidRDefault="00DB2DFC" w:rsidP="00E84DEB">
            <w:pPr>
              <w:widowControl w:val="0"/>
              <w:spacing w:after="0" w:line="240" w:lineRule="auto"/>
              <w:jc w:val="center"/>
            </w:pPr>
            <w:r>
              <w:t>0F</w:t>
            </w:r>
          </w:p>
        </w:tc>
        <w:tc>
          <w:tcPr>
            <w:tcW w:w="2384" w:type="dxa"/>
          </w:tcPr>
          <w:p w14:paraId="267ED6AE" w14:textId="04C9A818" w:rsidR="00720BD7" w:rsidRDefault="00FD373A">
            <w:pPr>
              <w:widowControl w:val="0"/>
              <w:spacing w:after="0" w:line="240" w:lineRule="auto"/>
              <w:jc w:val="center"/>
            </w:pPr>
            <w:r>
              <w:t>After Flooding</w:t>
            </w:r>
          </w:p>
        </w:tc>
        <w:tc>
          <w:tcPr>
            <w:tcW w:w="900" w:type="dxa"/>
          </w:tcPr>
          <w:p w14:paraId="61D2E167" w14:textId="1B0B95CF" w:rsidR="00501E17" w:rsidRDefault="00501E17" w:rsidP="007C102B">
            <w:pPr>
              <w:widowControl w:val="0"/>
              <w:spacing w:after="0" w:line="240" w:lineRule="auto"/>
              <w:jc w:val="center"/>
            </w:pPr>
            <w:r>
              <w:t>4.66</w:t>
            </w:r>
          </w:p>
        </w:tc>
        <w:tc>
          <w:tcPr>
            <w:tcW w:w="1440" w:type="dxa"/>
          </w:tcPr>
          <w:p w14:paraId="721E0AFA" w14:textId="0521C922" w:rsidR="00501E17" w:rsidRDefault="009F0940" w:rsidP="007C102B">
            <w:pPr>
              <w:widowControl w:val="0"/>
              <w:spacing w:after="0" w:line="240" w:lineRule="auto"/>
              <w:jc w:val="center"/>
            </w:pPr>
            <w:r>
              <w:t xml:space="preserve">74.7 </w:t>
            </w:r>
            <w:r w:rsidRPr="00917CCA">
              <w:t>±</w:t>
            </w:r>
            <w:r>
              <w:t xml:space="preserve"> 3.2</w:t>
            </w:r>
          </w:p>
        </w:tc>
        <w:tc>
          <w:tcPr>
            <w:tcW w:w="1710" w:type="dxa"/>
            <w:gridSpan w:val="2"/>
          </w:tcPr>
          <w:p w14:paraId="0597FB81" w14:textId="1FEC960A" w:rsidR="00501E17" w:rsidRDefault="009F0940" w:rsidP="007C102B">
            <w:pPr>
              <w:widowControl w:val="0"/>
              <w:spacing w:after="0" w:line="240" w:lineRule="auto"/>
              <w:jc w:val="center"/>
            </w:pPr>
            <w:r>
              <w:t xml:space="preserve">25.3 </w:t>
            </w:r>
            <w:r w:rsidRPr="00917CCA">
              <w:t>±</w:t>
            </w:r>
            <w:r>
              <w:t xml:space="preserve"> 3.2</w:t>
            </w:r>
          </w:p>
        </w:tc>
      </w:tr>
      <w:tr w:rsidR="00501E17" w14:paraId="6E96DFE1" w14:textId="77777777" w:rsidTr="00A36FDC">
        <w:trPr>
          <w:trHeight w:val="340"/>
        </w:trPr>
        <w:tc>
          <w:tcPr>
            <w:tcW w:w="1748" w:type="dxa"/>
            <w:tcMar>
              <w:top w:w="100" w:type="dxa"/>
              <w:left w:w="100" w:type="dxa"/>
              <w:bottom w:w="100" w:type="dxa"/>
              <w:right w:w="100" w:type="dxa"/>
            </w:tcMar>
          </w:tcPr>
          <w:p w14:paraId="15D78789" w14:textId="77777777" w:rsidR="00501E17" w:rsidRDefault="00501E17" w:rsidP="007C102B">
            <w:pPr>
              <w:widowControl w:val="0"/>
              <w:spacing w:after="0" w:line="240" w:lineRule="auto"/>
              <w:jc w:val="center"/>
            </w:pPr>
            <w:r>
              <w:t>Clay Loam</w:t>
            </w:r>
          </w:p>
        </w:tc>
        <w:tc>
          <w:tcPr>
            <w:tcW w:w="1178" w:type="dxa"/>
          </w:tcPr>
          <w:p w14:paraId="02837B47" w14:textId="29519FC2" w:rsidR="003A1BA0" w:rsidRDefault="00EB124F" w:rsidP="00E84DEB">
            <w:pPr>
              <w:widowControl w:val="0"/>
              <w:spacing w:after="0" w:line="240" w:lineRule="auto"/>
              <w:jc w:val="center"/>
            </w:pPr>
            <w:r>
              <w:t>0F</w:t>
            </w:r>
          </w:p>
        </w:tc>
        <w:tc>
          <w:tcPr>
            <w:tcW w:w="2384" w:type="dxa"/>
          </w:tcPr>
          <w:p w14:paraId="5279D90C" w14:textId="13727D2C" w:rsidR="00720BD7" w:rsidRDefault="00CB0F7D">
            <w:pPr>
              <w:widowControl w:val="0"/>
              <w:spacing w:after="0" w:line="240" w:lineRule="auto"/>
              <w:jc w:val="center"/>
            </w:pPr>
            <w:r>
              <w:t>After</w:t>
            </w:r>
            <w:r w:rsidR="00FD373A">
              <w:t xml:space="preserve"> Flooding</w:t>
            </w:r>
          </w:p>
        </w:tc>
        <w:tc>
          <w:tcPr>
            <w:tcW w:w="900" w:type="dxa"/>
          </w:tcPr>
          <w:p w14:paraId="087762B9" w14:textId="3F360DFA" w:rsidR="00501E17" w:rsidRDefault="000F7019" w:rsidP="007C102B">
            <w:pPr>
              <w:widowControl w:val="0"/>
              <w:spacing w:after="0" w:line="240" w:lineRule="auto"/>
              <w:jc w:val="center"/>
            </w:pPr>
            <w:r>
              <w:t>5</w:t>
            </w:r>
            <w:r w:rsidR="00A36FDC">
              <w:t>.</w:t>
            </w:r>
            <w:r>
              <w:t>0</w:t>
            </w:r>
          </w:p>
        </w:tc>
        <w:tc>
          <w:tcPr>
            <w:tcW w:w="1440" w:type="dxa"/>
          </w:tcPr>
          <w:p w14:paraId="6712FF6A" w14:textId="515DFB98" w:rsidR="00501E17" w:rsidRDefault="00C93137" w:rsidP="007C102B">
            <w:pPr>
              <w:widowControl w:val="0"/>
              <w:spacing w:after="0" w:line="240" w:lineRule="auto"/>
              <w:jc w:val="center"/>
            </w:pPr>
            <w:r>
              <w:t>8</w:t>
            </w:r>
            <w:r w:rsidR="00A36FDC">
              <w:t>4.</w:t>
            </w:r>
            <w:r>
              <w:t>6</w:t>
            </w:r>
            <w:r w:rsidR="00A36FDC">
              <w:t xml:space="preserve"> </w:t>
            </w:r>
            <w:r w:rsidR="00A36FDC" w:rsidRPr="00917CCA">
              <w:t>±</w:t>
            </w:r>
            <w:r w:rsidR="00A36FDC">
              <w:t xml:space="preserve"> </w:t>
            </w:r>
            <w:r>
              <w:t>11</w:t>
            </w:r>
            <w:r w:rsidR="00A36FDC">
              <w:t>.</w:t>
            </w:r>
            <w:r>
              <w:t>1</w:t>
            </w:r>
          </w:p>
        </w:tc>
        <w:tc>
          <w:tcPr>
            <w:tcW w:w="1710" w:type="dxa"/>
            <w:gridSpan w:val="2"/>
          </w:tcPr>
          <w:p w14:paraId="5EDD65CA" w14:textId="51C62658" w:rsidR="00501E17" w:rsidRDefault="00C93137" w:rsidP="007C102B">
            <w:pPr>
              <w:widowControl w:val="0"/>
              <w:spacing w:after="0" w:line="240" w:lineRule="auto"/>
              <w:jc w:val="center"/>
            </w:pPr>
            <w:r>
              <w:t xml:space="preserve">15.4 </w:t>
            </w:r>
            <w:r w:rsidRPr="00917CCA">
              <w:t>±</w:t>
            </w:r>
            <w:r>
              <w:t xml:space="preserve"> 11.1</w:t>
            </w:r>
          </w:p>
        </w:tc>
      </w:tr>
      <w:tr w:rsidR="00FD373A" w14:paraId="00B31AAD" w14:textId="77777777" w:rsidTr="00A36FDC">
        <w:trPr>
          <w:trHeight w:val="340"/>
        </w:trPr>
        <w:tc>
          <w:tcPr>
            <w:tcW w:w="1748" w:type="dxa"/>
            <w:tcMar>
              <w:top w:w="100" w:type="dxa"/>
              <w:left w:w="100" w:type="dxa"/>
              <w:bottom w:w="100" w:type="dxa"/>
              <w:right w:w="100" w:type="dxa"/>
            </w:tcMar>
          </w:tcPr>
          <w:p w14:paraId="56A9396F" w14:textId="6E5B349C" w:rsidR="00FD373A" w:rsidRDefault="00FD373A" w:rsidP="00FD373A">
            <w:pPr>
              <w:widowControl w:val="0"/>
              <w:spacing w:after="0" w:line="240" w:lineRule="auto"/>
              <w:jc w:val="center"/>
            </w:pPr>
            <w:r>
              <w:t>Clay Loam</w:t>
            </w:r>
          </w:p>
        </w:tc>
        <w:tc>
          <w:tcPr>
            <w:tcW w:w="1178" w:type="dxa"/>
          </w:tcPr>
          <w:p w14:paraId="599F5316" w14:textId="029E9899" w:rsidR="003A1BA0" w:rsidRDefault="00EB124F" w:rsidP="00FD373A">
            <w:pPr>
              <w:widowControl w:val="0"/>
              <w:spacing w:after="0" w:line="240" w:lineRule="auto"/>
              <w:jc w:val="center"/>
            </w:pPr>
            <w:r>
              <w:t>3F</w:t>
            </w:r>
          </w:p>
        </w:tc>
        <w:tc>
          <w:tcPr>
            <w:tcW w:w="2384" w:type="dxa"/>
          </w:tcPr>
          <w:p w14:paraId="350D2A32" w14:textId="20F45CF8" w:rsidR="00FD373A" w:rsidRDefault="00FD373A" w:rsidP="00FD373A">
            <w:pPr>
              <w:widowControl w:val="0"/>
              <w:spacing w:after="0" w:line="240" w:lineRule="auto"/>
              <w:jc w:val="center"/>
            </w:pPr>
            <w:r>
              <w:t>After Flooding</w:t>
            </w:r>
          </w:p>
        </w:tc>
        <w:tc>
          <w:tcPr>
            <w:tcW w:w="900" w:type="dxa"/>
          </w:tcPr>
          <w:p w14:paraId="551895F5" w14:textId="6EE96DD0" w:rsidR="00FD373A" w:rsidRDefault="00E35DB8" w:rsidP="00FD373A">
            <w:pPr>
              <w:widowControl w:val="0"/>
              <w:spacing w:after="0" w:line="240" w:lineRule="auto"/>
              <w:jc w:val="center"/>
            </w:pPr>
            <w:r>
              <w:t>2.0</w:t>
            </w:r>
          </w:p>
        </w:tc>
        <w:tc>
          <w:tcPr>
            <w:tcW w:w="1440" w:type="dxa"/>
          </w:tcPr>
          <w:p w14:paraId="2B3DB105" w14:textId="4356C367" w:rsidR="00FD373A" w:rsidRDefault="00E35DB8" w:rsidP="00FD373A">
            <w:pPr>
              <w:widowControl w:val="0"/>
              <w:spacing w:after="0" w:line="240" w:lineRule="auto"/>
              <w:jc w:val="center"/>
            </w:pPr>
            <w:r>
              <w:t>9</w:t>
            </w:r>
            <w:r w:rsidR="00A36FDC">
              <w:t>4.</w:t>
            </w:r>
            <w:r>
              <w:t>4</w:t>
            </w:r>
            <w:r w:rsidR="00FD373A">
              <w:t xml:space="preserve"> </w:t>
            </w:r>
            <w:r w:rsidR="00FD373A" w:rsidRPr="00917CCA">
              <w:t>±</w:t>
            </w:r>
            <w:r w:rsidR="00FD373A">
              <w:t xml:space="preserve"> </w:t>
            </w:r>
            <w:r w:rsidR="007D381A">
              <w:t>1</w:t>
            </w:r>
            <w:r w:rsidR="00A36FDC">
              <w:t>.</w:t>
            </w:r>
            <w:r w:rsidR="007D381A">
              <w:t>8</w:t>
            </w:r>
          </w:p>
        </w:tc>
        <w:tc>
          <w:tcPr>
            <w:tcW w:w="1710" w:type="dxa"/>
            <w:gridSpan w:val="2"/>
          </w:tcPr>
          <w:p w14:paraId="78BCDE8F" w14:textId="291C45BC" w:rsidR="00FD373A" w:rsidRDefault="00A36FDC" w:rsidP="00FD373A">
            <w:pPr>
              <w:widowControl w:val="0"/>
              <w:spacing w:after="0" w:line="240" w:lineRule="auto"/>
              <w:jc w:val="center"/>
            </w:pPr>
            <w:r>
              <w:t>5.</w:t>
            </w:r>
            <w:r w:rsidR="007D381A">
              <w:t>6</w:t>
            </w:r>
            <w:r>
              <w:t xml:space="preserve"> </w:t>
            </w:r>
            <w:r w:rsidRPr="00917CCA">
              <w:t>±</w:t>
            </w:r>
            <w:r>
              <w:t xml:space="preserve"> </w:t>
            </w:r>
            <w:r w:rsidR="007D381A">
              <w:t>1</w:t>
            </w:r>
            <w:r>
              <w:t>.</w:t>
            </w:r>
            <w:r w:rsidR="007D381A">
              <w:t>8</w:t>
            </w:r>
          </w:p>
        </w:tc>
      </w:tr>
      <w:tr w:rsidR="00EB124F" w14:paraId="3045A34E" w14:textId="77777777" w:rsidTr="00A36FDC">
        <w:trPr>
          <w:trHeight w:val="340"/>
        </w:trPr>
        <w:tc>
          <w:tcPr>
            <w:tcW w:w="1748" w:type="dxa"/>
            <w:tcMar>
              <w:top w:w="100" w:type="dxa"/>
              <w:left w:w="100" w:type="dxa"/>
              <w:bottom w:w="100" w:type="dxa"/>
              <w:right w:w="100" w:type="dxa"/>
            </w:tcMar>
          </w:tcPr>
          <w:p w14:paraId="55060676" w14:textId="0C33B13B" w:rsidR="00EB124F" w:rsidRDefault="00EB124F" w:rsidP="00EB124F">
            <w:pPr>
              <w:widowControl w:val="0"/>
              <w:spacing w:after="0" w:line="240" w:lineRule="auto"/>
              <w:jc w:val="center"/>
            </w:pPr>
            <w:r>
              <w:t>Clay Loam</w:t>
            </w:r>
          </w:p>
        </w:tc>
        <w:tc>
          <w:tcPr>
            <w:tcW w:w="1178" w:type="dxa"/>
          </w:tcPr>
          <w:p w14:paraId="6332BD39" w14:textId="461E238A" w:rsidR="00EB124F" w:rsidRDefault="00EB124F" w:rsidP="00EB124F">
            <w:pPr>
              <w:widowControl w:val="0"/>
              <w:spacing w:after="0" w:line="240" w:lineRule="auto"/>
              <w:jc w:val="center"/>
            </w:pPr>
            <w:r>
              <w:t>7F</w:t>
            </w:r>
          </w:p>
        </w:tc>
        <w:tc>
          <w:tcPr>
            <w:tcW w:w="2384" w:type="dxa"/>
          </w:tcPr>
          <w:p w14:paraId="2C92242D" w14:textId="2DFF7688" w:rsidR="00EB124F" w:rsidRDefault="00EB124F" w:rsidP="00EB124F">
            <w:pPr>
              <w:widowControl w:val="0"/>
              <w:spacing w:after="0" w:line="240" w:lineRule="auto"/>
              <w:jc w:val="center"/>
            </w:pPr>
            <w:r>
              <w:t>During Flooding</w:t>
            </w:r>
          </w:p>
        </w:tc>
        <w:tc>
          <w:tcPr>
            <w:tcW w:w="900" w:type="dxa"/>
          </w:tcPr>
          <w:p w14:paraId="7D829E79" w14:textId="4AC63AF9" w:rsidR="00EB124F" w:rsidRDefault="007D381A" w:rsidP="00EB124F">
            <w:pPr>
              <w:widowControl w:val="0"/>
              <w:spacing w:after="0" w:line="240" w:lineRule="auto"/>
              <w:jc w:val="center"/>
            </w:pPr>
            <w:r>
              <w:t>2.3</w:t>
            </w:r>
          </w:p>
        </w:tc>
        <w:tc>
          <w:tcPr>
            <w:tcW w:w="1440" w:type="dxa"/>
          </w:tcPr>
          <w:p w14:paraId="170676C7" w14:textId="3380EC22" w:rsidR="00EB124F" w:rsidRDefault="004F0431" w:rsidP="00EB124F">
            <w:pPr>
              <w:widowControl w:val="0"/>
              <w:spacing w:after="0" w:line="240" w:lineRule="auto"/>
              <w:jc w:val="center"/>
            </w:pPr>
            <w:r>
              <w:t>93.4</w:t>
            </w:r>
            <w:r w:rsidR="00EB124F">
              <w:t xml:space="preserve"> </w:t>
            </w:r>
            <w:r w:rsidR="00EB124F" w:rsidRPr="00917CCA">
              <w:t>±</w:t>
            </w:r>
            <w:r w:rsidR="00EB124F">
              <w:t xml:space="preserve"> </w:t>
            </w:r>
            <w:r>
              <w:t>1</w:t>
            </w:r>
            <w:r w:rsidR="00EB124F">
              <w:t>.</w:t>
            </w:r>
            <w:r>
              <w:t>3</w:t>
            </w:r>
          </w:p>
        </w:tc>
        <w:tc>
          <w:tcPr>
            <w:tcW w:w="1710" w:type="dxa"/>
            <w:gridSpan w:val="2"/>
          </w:tcPr>
          <w:p w14:paraId="6E077CA4" w14:textId="79D1D709" w:rsidR="00EB124F" w:rsidRDefault="004F0431" w:rsidP="00EB124F">
            <w:pPr>
              <w:widowControl w:val="0"/>
              <w:spacing w:after="0" w:line="240" w:lineRule="auto"/>
              <w:jc w:val="center"/>
            </w:pPr>
            <w:r>
              <w:t>6</w:t>
            </w:r>
            <w:r w:rsidR="00EB124F">
              <w:t>.</w:t>
            </w:r>
            <w:r>
              <w:t>6</w:t>
            </w:r>
            <w:r w:rsidR="00EB124F">
              <w:t xml:space="preserve"> </w:t>
            </w:r>
            <w:r w:rsidR="00EB124F" w:rsidRPr="00917CCA">
              <w:t>±</w:t>
            </w:r>
            <w:r w:rsidR="00EB124F">
              <w:t xml:space="preserve"> </w:t>
            </w:r>
            <w:r>
              <w:t>1</w:t>
            </w:r>
            <w:r w:rsidR="00EB124F">
              <w:t>.</w:t>
            </w:r>
            <w:r>
              <w:t>3</w:t>
            </w:r>
          </w:p>
        </w:tc>
      </w:tr>
      <w:tr w:rsidR="00501E17" w14:paraId="1E6B90E4" w14:textId="77777777" w:rsidTr="00A36FDC">
        <w:trPr>
          <w:trHeight w:val="329"/>
        </w:trPr>
        <w:tc>
          <w:tcPr>
            <w:tcW w:w="1748" w:type="dxa"/>
            <w:tcBorders>
              <w:bottom w:val="single" w:sz="4" w:space="0" w:color="auto"/>
            </w:tcBorders>
            <w:tcMar>
              <w:top w:w="100" w:type="dxa"/>
              <w:left w:w="100" w:type="dxa"/>
              <w:bottom w:w="100" w:type="dxa"/>
              <w:right w:w="100" w:type="dxa"/>
            </w:tcMar>
          </w:tcPr>
          <w:p w14:paraId="2D17B15A" w14:textId="77777777" w:rsidR="00501E17" w:rsidRDefault="00501E17" w:rsidP="007C102B">
            <w:pPr>
              <w:widowControl w:val="0"/>
              <w:spacing w:after="0" w:line="240" w:lineRule="auto"/>
              <w:jc w:val="center"/>
            </w:pPr>
            <w:r>
              <w:t>All Samples</w:t>
            </w:r>
          </w:p>
        </w:tc>
        <w:tc>
          <w:tcPr>
            <w:tcW w:w="1178" w:type="dxa"/>
            <w:tcBorders>
              <w:bottom w:val="single" w:sz="4" w:space="0" w:color="auto"/>
            </w:tcBorders>
          </w:tcPr>
          <w:p w14:paraId="5703F4C1" w14:textId="77777777" w:rsidR="003A1BA0" w:rsidRDefault="003A1BA0" w:rsidP="00E84DEB">
            <w:pPr>
              <w:widowControl w:val="0"/>
              <w:spacing w:after="0" w:line="240" w:lineRule="auto"/>
              <w:jc w:val="center"/>
            </w:pPr>
          </w:p>
        </w:tc>
        <w:tc>
          <w:tcPr>
            <w:tcW w:w="2384" w:type="dxa"/>
            <w:tcBorders>
              <w:bottom w:val="single" w:sz="4" w:space="0" w:color="auto"/>
            </w:tcBorders>
          </w:tcPr>
          <w:p w14:paraId="4582FD38" w14:textId="25F58534" w:rsidR="00720BD7" w:rsidRDefault="00720BD7">
            <w:pPr>
              <w:widowControl w:val="0"/>
              <w:spacing w:after="0" w:line="240" w:lineRule="auto"/>
              <w:jc w:val="center"/>
            </w:pPr>
          </w:p>
        </w:tc>
        <w:tc>
          <w:tcPr>
            <w:tcW w:w="900" w:type="dxa"/>
            <w:tcBorders>
              <w:bottom w:val="single" w:sz="4" w:space="0" w:color="auto"/>
            </w:tcBorders>
          </w:tcPr>
          <w:p w14:paraId="00FB91DB" w14:textId="7F323E0A" w:rsidR="00501E17" w:rsidRDefault="00501E17" w:rsidP="007C102B">
            <w:pPr>
              <w:widowControl w:val="0"/>
              <w:spacing w:after="0" w:line="240" w:lineRule="auto"/>
              <w:jc w:val="center"/>
            </w:pPr>
            <w:r>
              <w:t>6.19</w:t>
            </w:r>
          </w:p>
        </w:tc>
        <w:tc>
          <w:tcPr>
            <w:tcW w:w="1440" w:type="dxa"/>
            <w:tcBorders>
              <w:bottom w:val="single" w:sz="4" w:space="0" w:color="auto"/>
            </w:tcBorders>
          </w:tcPr>
          <w:p w14:paraId="4E172EF6" w14:textId="77777777" w:rsidR="00501E17" w:rsidRDefault="00501E17" w:rsidP="007C102B">
            <w:pPr>
              <w:widowControl w:val="0"/>
              <w:spacing w:after="0" w:line="240" w:lineRule="auto"/>
              <w:jc w:val="center"/>
            </w:pPr>
            <w:r>
              <w:t xml:space="preserve">83.3 </w:t>
            </w:r>
            <w:r w:rsidRPr="00917CCA">
              <w:t>±</w:t>
            </w:r>
            <w:r>
              <w:t xml:space="preserve"> 14.6</w:t>
            </w:r>
          </w:p>
        </w:tc>
        <w:tc>
          <w:tcPr>
            <w:tcW w:w="1710" w:type="dxa"/>
            <w:gridSpan w:val="2"/>
            <w:tcBorders>
              <w:bottom w:val="single" w:sz="4" w:space="0" w:color="auto"/>
            </w:tcBorders>
          </w:tcPr>
          <w:p w14:paraId="6A717A3E" w14:textId="77777777" w:rsidR="00501E17" w:rsidRDefault="00501E17" w:rsidP="007C102B">
            <w:pPr>
              <w:widowControl w:val="0"/>
              <w:spacing w:after="0" w:line="240" w:lineRule="auto"/>
              <w:jc w:val="center"/>
            </w:pPr>
            <w:r>
              <w:t xml:space="preserve">17.7 </w:t>
            </w:r>
            <w:r w:rsidRPr="00917CCA">
              <w:t>±</w:t>
            </w:r>
            <w:r>
              <w:t xml:space="preserve"> 14.6</w:t>
            </w:r>
          </w:p>
        </w:tc>
      </w:tr>
    </w:tbl>
    <w:p w14:paraId="504F8695" w14:textId="77777777" w:rsidR="004A40C1" w:rsidRDefault="004A40C1" w:rsidP="004A40C1"/>
    <w:p w14:paraId="53DDA9F8" w14:textId="77777777" w:rsidR="006122A9" w:rsidRDefault="006122A9">
      <w:r>
        <w:br w:type="page"/>
      </w:r>
    </w:p>
    <w:p w14:paraId="6716268F" w14:textId="77777777" w:rsidR="00D24801" w:rsidRDefault="006122A9" w:rsidP="00D24801">
      <w:pPr>
        <w:keepNext/>
        <w:spacing w:line="480" w:lineRule="auto"/>
      </w:pPr>
      <w:r w:rsidRPr="002E51BD">
        <w:rPr>
          <w:noProof/>
        </w:rPr>
        <w:lastRenderedPageBreak/>
        <w:drawing>
          <wp:inline distT="0" distB="0" distL="0" distR="0" wp14:anchorId="6FEDC46E" wp14:editId="0F95B051">
            <wp:extent cx="5943600" cy="3271857"/>
            <wp:effectExtent l="0" t="0" r="0" b="5080"/>
            <wp:docPr id="1660266703" name="Graphic 1">
              <a:extLst xmlns:a="http://schemas.openxmlformats.org/drawingml/2006/main">
                <a:ext uri="{FF2B5EF4-FFF2-40B4-BE49-F238E27FC236}">
                  <a16:creationId xmlns:a16="http://schemas.microsoft.com/office/drawing/2014/main" id="{EC84B6D0-82C1-479C-B83C-01DAB5A2B11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0266703" name="Graphic 1"/>
                    <pic:cNvPicPr/>
                  </pic:nvPicPr>
                  <pic:blipFill>
                    <a:blip r:embed="rId47">
                      <a:extLst>
                        <a:ext uri="{96DAC541-7B7A-43D3-8B79-37D633B846F1}">
                          <asvg:svgBlip xmlns:asvg="http://schemas.microsoft.com/office/drawing/2016/SVG/main" r:embed="rId48"/>
                        </a:ext>
                      </a:extLst>
                    </a:blip>
                    <a:stretch>
                      <a:fillRect/>
                    </a:stretch>
                  </pic:blipFill>
                  <pic:spPr>
                    <a:xfrm>
                      <a:off x="0" y="0"/>
                      <a:ext cx="5943600" cy="3271857"/>
                    </a:xfrm>
                    <a:prstGeom prst="rect">
                      <a:avLst/>
                    </a:prstGeom>
                  </pic:spPr>
                </pic:pic>
              </a:graphicData>
            </a:graphic>
          </wp:inline>
        </w:drawing>
      </w:r>
    </w:p>
    <w:p w14:paraId="79634227" w14:textId="3274CF2B" w:rsidR="006122A9" w:rsidRPr="00285053" w:rsidRDefault="006122A9" w:rsidP="006122A9">
      <w:pPr>
        <w:pStyle w:val="Caption"/>
        <w:rPr>
          <w:b/>
          <w:i w:val="0"/>
          <w:color w:val="auto"/>
          <w:sz w:val="24"/>
          <w:szCs w:val="24"/>
        </w:rPr>
      </w:pPr>
      <w:bookmarkStart w:id="118" w:name="_Toc204263368"/>
      <w:r w:rsidRPr="0003218F">
        <w:rPr>
          <w:b/>
          <w:bCs/>
          <w:i w:val="0"/>
          <w:iCs w:val="0"/>
          <w:color w:val="auto"/>
          <w:sz w:val="24"/>
          <w:szCs w:val="24"/>
        </w:rPr>
        <w:t>Figure 4</w:t>
      </w:r>
      <w:r w:rsidR="00D24801" w:rsidRPr="00285053">
        <w:rPr>
          <w:b/>
          <w:bCs/>
          <w:i w:val="0"/>
          <w:iCs w:val="0"/>
          <w:color w:val="auto"/>
          <w:sz w:val="24"/>
          <w:szCs w:val="24"/>
        </w:rPr>
        <w:t>.</w:t>
      </w:r>
      <w:r w:rsidR="00D24801" w:rsidRPr="00285053">
        <w:rPr>
          <w:b/>
          <w:bCs/>
          <w:i w:val="0"/>
          <w:iCs w:val="0"/>
          <w:color w:val="auto"/>
          <w:sz w:val="24"/>
          <w:szCs w:val="24"/>
        </w:rPr>
        <w:fldChar w:fldCharType="begin"/>
      </w:r>
      <w:r w:rsidR="00D24801" w:rsidRPr="00285053">
        <w:rPr>
          <w:b/>
          <w:bCs/>
          <w:i w:val="0"/>
          <w:iCs w:val="0"/>
          <w:color w:val="auto"/>
          <w:sz w:val="24"/>
          <w:szCs w:val="24"/>
        </w:rPr>
        <w:instrText xml:space="preserve"> SEQ Figure \* ARABIC \s 1 </w:instrText>
      </w:r>
      <w:r w:rsidR="00D24801" w:rsidRPr="00285053">
        <w:rPr>
          <w:b/>
          <w:bCs/>
          <w:i w:val="0"/>
          <w:iCs w:val="0"/>
          <w:color w:val="auto"/>
          <w:sz w:val="24"/>
          <w:szCs w:val="24"/>
        </w:rPr>
        <w:fldChar w:fldCharType="separate"/>
      </w:r>
      <w:r w:rsidR="00D24801" w:rsidRPr="00285053">
        <w:rPr>
          <w:b/>
          <w:bCs/>
          <w:i w:val="0"/>
          <w:iCs w:val="0"/>
          <w:noProof/>
          <w:color w:val="auto"/>
          <w:sz w:val="24"/>
          <w:szCs w:val="24"/>
        </w:rPr>
        <w:t>3</w:t>
      </w:r>
      <w:r w:rsidR="00D24801" w:rsidRPr="00285053">
        <w:rPr>
          <w:b/>
          <w:bCs/>
          <w:i w:val="0"/>
          <w:iCs w:val="0"/>
          <w:color w:val="auto"/>
          <w:sz w:val="24"/>
          <w:szCs w:val="24"/>
        </w:rPr>
        <w:fldChar w:fldCharType="end"/>
      </w:r>
      <w:r w:rsidRPr="0003218F">
        <w:rPr>
          <w:i w:val="0"/>
          <w:iCs w:val="0"/>
          <w:color w:val="auto"/>
          <w:sz w:val="24"/>
          <w:szCs w:val="24"/>
        </w:rPr>
        <w:t>: Cumulative N</w:t>
      </w:r>
      <w:r w:rsidRPr="0003218F">
        <w:rPr>
          <w:i w:val="0"/>
          <w:iCs w:val="0"/>
          <w:color w:val="auto"/>
          <w:sz w:val="24"/>
          <w:szCs w:val="24"/>
          <w:vertAlign w:val="subscript"/>
        </w:rPr>
        <w:t>2</w:t>
      </w:r>
      <w:r w:rsidRPr="0003218F">
        <w:rPr>
          <w:i w:val="0"/>
          <w:iCs w:val="0"/>
          <w:color w:val="auto"/>
          <w:sz w:val="24"/>
          <w:szCs w:val="24"/>
        </w:rPr>
        <w:t>O emissions of flooding treatments segmented by soil texture. Error bars represent the standard error across replications, while letters above each bar represent significant differences in cumulative fluxes by Tukey’s HSD. Significance was determined for each texture individually</w:t>
      </w:r>
      <w:r>
        <w:rPr>
          <w:i w:val="0"/>
          <w:iCs w:val="0"/>
          <w:color w:val="auto"/>
          <w:sz w:val="24"/>
          <w:szCs w:val="24"/>
        </w:rPr>
        <w:t xml:space="preserve">- </w:t>
      </w:r>
      <w:r w:rsidRPr="0003218F">
        <w:rPr>
          <w:i w:val="0"/>
          <w:iCs w:val="0"/>
          <w:color w:val="auto"/>
          <w:sz w:val="24"/>
          <w:szCs w:val="24"/>
        </w:rPr>
        <w:t>equivalent letters does not indicate statistical equivalence from one quadrant graph to another.</w:t>
      </w:r>
      <w:bookmarkEnd w:id="118"/>
    </w:p>
    <w:p w14:paraId="33509381" w14:textId="36484112" w:rsidR="00EE287F" w:rsidRDefault="006122A9" w:rsidP="00EE287F">
      <w:r>
        <w:br w:type="page"/>
      </w:r>
    </w:p>
    <w:p w14:paraId="1E55553D" w14:textId="2400C618" w:rsidR="007F1591" w:rsidRDefault="00EE287F" w:rsidP="001B567A">
      <w:pPr>
        <w:spacing w:after="0" w:line="480" w:lineRule="auto"/>
      </w:pPr>
      <w:r>
        <w:lastRenderedPageBreak/>
        <w:t>textures.</w:t>
      </w:r>
      <w:r w:rsidR="007F1591">
        <w:t xml:space="preserve"> Averaged across flooding duration treatments the loamy sand (138.8 ug N kg</w:t>
      </w:r>
      <w:r w:rsidR="007F1591">
        <w:rPr>
          <w:vertAlign w:val="superscript"/>
        </w:rPr>
        <w:t>-1</w:t>
      </w:r>
      <w:r w:rsidR="007F1591">
        <w:t>) and clay loam (145.3 ug N kg</w:t>
      </w:r>
      <w:r w:rsidR="007F1591">
        <w:rPr>
          <w:vertAlign w:val="superscript"/>
        </w:rPr>
        <w:t>-1</w:t>
      </w:r>
      <w:r w:rsidR="007F1591">
        <w:t>) emitted around an order of magnitude more N</w:t>
      </w:r>
      <w:r w:rsidR="007F1591">
        <w:rPr>
          <w:vertAlign w:val="subscript"/>
        </w:rPr>
        <w:t>2</w:t>
      </w:r>
      <w:r w:rsidR="007F1591">
        <w:t>O than did the sand (36.5 ug N kg</w:t>
      </w:r>
      <w:r w:rsidR="007F1591">
        <w:rPr>
          <w:vertAlign w:val="superscript"/>
        </w:rPr>
        <w:t>-1</w:t>
      </w:r>
      <w:r w:rsidR="007F1591">
        <w:t>), and the sandy clay loam (601.0 ug N kg</w:t>
      </w:r>
      <w:r w:rsidR="007F1591">
        <w:rPr>
          <w:vertAlign w:val="superscript"/>
        </w:rPr>
        <w:t>-1</w:t>
      </w:r>
      <w:r w:rsidR="007F1591">
        <w:t>) emitted roughly four times more than that</w:t>
      </w:r>
      <w:r>
        <w:t xml:space="preserve"> (</w:t>
      </w:r>
      <w:r w:rsidRPr="00D53A93">
        <w:rPr>
          <w:b/>
        </w:rPr>
        <w:t>Figure 4.3</w:t>
      </w:r>
      <w:r>
        <w:t xml:space="preserve">). </w:t>
      </w:r>
      <w:r w:rsidR="00617442">
        <w:t>OLS</w:t>
      </w:r>
      <w:r w:rsidR="007F1591">
        <w:t xml:space="preserve"> multiple linear regression </w:t>
      </w:r>
      <w:r w:rsidR="00A56274">
        <w:t>identified DOC</w:t>
      </w:r>
      <w:r w:rsidR="00F35EF0">
        <w:t>, flooding duration, and clay content each to play significant roles in predicting cumulative flux (</w:t>
      </w:r>
      <w:r w:rsidR="00F35EF0" w:rsidRPr="006122A9">
        <w:rPr>
          <w:b/>
        </w:rPr>
        <w:t xml:space="preserve">Table </w:t>
      </w:r>
      <w:r w:rsidRPr="006122A9">
        <w:rPr>
          <w:b/>
        </w:rPr>
        <w:t>4.3</w:t>
      </w:r>
      <w:r>
        <w:t>). Because factor values were first regularized, the coefficients can be used as a measure of the relative impact each factor had on cumulative N</w:t>
      </w:r>
      <w:r>
        <w:rPr>
          <w:vertAlign w:val="subscript"/>
        </w:rPr>
        <w:t>2</w:t>
      </w:r>
      <w:r>
        <w:t>O flux. Increasing flooding duration and DOC both positively impacted predicted cumulative flux, though the large coefficient of DOC (185) indicates a much greater impact overall than flooding duration (coefficient = 41). Similarly, the positive coefficient of the second order of DOC indicates that increasing soil carbon led to an exponential increase in cumulative N</w:t>
      </w:r>
      <w:r w:rsidRPr="001B567A">
        <w:rPr>
          <w:vertAlign w:val="subscript"/>
        </w:rPr>
        <w:t>2</w:t>
      </w:r>
      <w:r>
        <w:t>O fluxes. Conversely, the negative coefficient of the second order of flooding days indicates a diminishing effect of the flooding period’s increase on cumulative flux, in agreement with results from Tukey’s HSD evaluation (</w:t>
      </w:r>
      <w:r w:rsidRPr="006122A9">
        <w:rPr>
          <w:b/>
        </w:rPr>
        <w:t>Figure 4.3</w:t>
      </w:r>
      <w:r>
        <w:t xml:space="preserve">). </w:t>
      </w:r>
    </w:p>
    <w:p w14:paraId="5D10B464" w14:textId="04198F22" w:rsidR="006122A9" w:rsidRDefault="006122A9" w:rsidP="001B567A">
      <w:pPr>
        <w:spacing w:after="0" w:line="480" w:lineRule="auto"/>
      </w:pPr>
      <w:r>
        <w:t>The importance of texture to N</w:t>
      </w:r>
      <w:r>
        <w:rPr>
          <w:vertAlign w:val="subscript"/>
        </w:rPr>
        <w:t>2</w:t>
      </w:r>
      <w:r>
        <w:t xml:space="preserve">O emissions was identified in its interaction with flooding period, which is illustrated in the contour plot in </w:t>
      </w:r>
      <w:r w:rsidRPr="006122A9">
        <w:rPr>
          <w:b/>
          <w:bCs/>
        </w:rPr>
        <w:t>Figure 4.4</w:t>
      </w:r>
      <w:r>
        <w:t>. At low flooding duration, increasing clay content had a negative but small impact on cumulative emissions, indicated by the relatively straight lines of the contour plot. At longer flooding duration, however, increasing clay content predicted higher cumulative N</w:t>
      </w:r>
      <w:r>
        <w:rPr>
          <w:vertAlign w:val="subscript"/>
        </w:rPr>
        <w:t>2</w:t>
      </w:r>
      <w:r>
        <w:t>O emissions. The impact of clay content on emissions increased with flooding duration, illustrated by the contour lines shifting from straight to L-shaped curves further to the right. The final reduced model, including only effects reaching a 0.95 significance level, explained nearly all variance in cumulative flux across treatments (R</w:t>
      </w:r>
      <w:r>
        <w:rPr>
          <w:vertAlign w:val="superscript"/>
        </w:rPr>
        <w:t>2</w:t>
      </w:r>
      <w:r>
        <w:t xml:space="preserve"> = 0.96) (</w:t>
      </w:r>
      <w:r w:rsidRPr="006122A9">
        <w:rPr>
          <w:b/>
          <w:bCs/>
        </w:rPr>
        <w:t>Figure 4.5</w:t>
      </w:r>
      <w:r>
        <w:t xml:space="preserve">). </w:t>
      </w:r>
    </w:p>
    <w:p w14:paraId="32C8B0DA" w14:textId="77777777" w:rsidR="006122A9" w:rsidRDefault="006122A9" w:rsidP="001B567A">
      <w:pPr>
        <w:spacing w:after="0" w:line="480" w:lineRule="auto"/>
        <w:rPr>
          <w:b/>
          <w:bCs/>
        </w:rPr>
      </w:pPr>
      <w:r>
        <w:rPr>
          <w:b/>
          <w:bCs/>
        </w:rPr>
        <w:br w:type="page"/>
      </w:r>
    </w:p>
    <w:p w14:paraId="4F06663C" w14:textId="791DEF53" w:rsidR="00827B75" w:rsidRDefault="00827B75" w:rsidP="00827B75">
      <w:bookmarkStart w:id="119" w:name="_Toc204261969"/>
      <w:r w:rsidRPr="00827B75">
        <w:rPr>
          <w:b/>
          <w:bCs/>
        </w:rPr>
        <w:lastRenderedPageBreak/>
        <w:t>Table 4.</w:t>
      </w:r>
      <w:r w:rsidRPr="00827B75">
        <w:rPr>
          <w:b/>
          <w:bCs/>
        </w:rPr>
        <w:fldChar w:fldCharType="begin"/>
      </w:r>
      <w:r w:rsidRPr="00827B75">
        <w:rPr>
          <w:b/>
          <w:bCs/>
        </w:rPr>
        <w:instrText xml:space="preserve"> SEQ Table \* ARABIC \s 1 </w:instrText>
      </w:r>
      <w:r w:rsidRPr="00827B75">
        <w:rPr>
          <w:b/>
          <w:bCs/>
        </w:rPr>
        <w:fldChar w:fldCharType="separate"/>
      </w:r>
      <w:r w:rsidRPr="00827B75">
        <w:rPr>
          <w:b/>
          <w:bCs/>
          <w:noProof/>
        </w:rPr>
        <w:t>3</w:t>
      </w:r>
      <w:r w:rsidRPr="00827B75">
        <w:rPr>
          <w:b/>
          <w:bCs/>
        </w:rPr>
        <w:fldChar w:fldCharType="end"/>
      </w:r>
      <w:r w:rsidR="00EE287F">
        <w:t>: Ordinary least squares multiple linear regression of cumulative N</w:t>
      </w:r>
      <w:r w:rsidR="00EE287F">
        <w:rPr>
          <w:vertAlign w:val="subscript"/>
        </w:rPr>
        <w:t>2</w:t>
      </w:r>
      <w:r w:rsidR="00EE287F">
        <w:t>O flux.</w:t>
      </w:r>
      <w:bookmarkEnd w:id="119"/>
      <w:r w:rsidR="00EE287F">
        <w:t xml:space="preserve"> </w:t>
      </w:r>
    </w:p>
    <w:tbl>
      <w:tblPr>
        <w:tblW w:w="8986" w:type="dxa"/>
        <w:tblLayout w:type="fixed"/>
        <w:tblCellMar>
          <w:top w:w="100" w:type="dxa"/>
          <w:left w:w="100" w:type="dxa"/>
          <w:bottom w:w="100" w:type="dxa"/>
          <w:right w:w="100" w:type="dxa"/>
        </w:tblCellMar>
        <w:tblLook w:val="0600" w:firstRow="0" w:lastRow="0" w:firstColumn="0" w:lastColumn="0" w:noHBand="1" w:noVBand="1"/>
      </w:tblPr>
      <w:tblGrid>
        <w:gridCol w:w="2596"/>
        <w:gridCol w:w="1797"/>
        <w:gridCol w:w="2596"/>
        <w:gridCol w:w="1997"/>
      </w:tblGrid>
      <w:tr w:rsidR="00EE287F" w14:paraId="15CE6987" w14:textId="77777777">
        <w:trPr>
          <w:trHeight w:val="358"/>
        </w:trPr>
        <w:tc>
          <w:tcPr>
            <w:tcW w:w="2596" w:type="dxa"/>
            <w:tcBorders>
              <w:top w:val="single" w:sz="4" w:space="0" w:color="auto"/>
              <w:bottom w:val="single" w:sz="12" w:space="0" w:color="auto"/>
            </w:tcBorders>
            <w:tcMar>
              <w:top w:w="100" w:type="dxa"/>
              <w:left w:w="100" w:type="dxa"/>
              <w:bottom w:w="100" w:type="dxa"/>
              <w:right w:w="100" w:type="dxa"/>
            </w:tcMar>
            <w:vAlign w:val="bottom"/>
          </w:tcPr>
          <w:p w14:paraId="45299DFD" w14:textId="77777777" w:rsidR="00EE287F" w:rsidRDefault="00EE287F">
            <w:pPr>
              <w:widowControl w:val="0"/>
              <w:spacing w:after="0" w:line="240" w:lineRule="auto"/>
              <w:jc w:val="center"/>
            </w:pPr>
            <w:r>
              <w:t>Factor</w:t>
            </w:r>
          </w:p>
        </w:tc>
        <w:tc>
          <w:tcPr>
            <w:tcW w:w="1797" w:type="dxa"/>
            <w:tcBorders>
              <w:top w:val="single" w:sz="4" w:space="0" w:color="auto"/>
              <w:bottom w:val="single" w:sz="12" w:space="0" w:color="auto"/>
            </w:tcBorders>
            <w:tcMar>
              <w:top w:w="100" w:type="dxa"/>
              <w:left w:w="100" w:type="dxa"/>
              <w:bottom w:w="100" w:type="dxa"/>
              <w:right w:w="100" w:type="dxa"/>
            </w:tcMar>
            <w:vAlign w:val="bottom"/>
          </w:tcPr>
          <w:p w14:paraId="689ECC13" w14:textId="77777777" w:rsidR="00EE287F" w:rsidRDefault="00EE287F">
            <w:pPr>
              <w:widowControl w:val="0"/>
              <w:spacing w:after="0" w:line="240" w:lineRule="auto"/>
              <w:jc w:val="center"/>
            </w:pPr>
            <w:r>
              <w:t>Coefficient</w:t>
            </w:r>
          </w:p>
        </w:tc>
        <w:tc>
          <w:tcPr>
            <w:tcW w:w="2596" w:type="dxa"/>
            <w:tcBorders>
              <w:top w:val="single" w:sz="4" w:space="0" w:color="auto"/>
              <w:bottom w:val="single" w:sz="12" w:space="0" w:color="auto"/>
            </w:tcBorders>
            <w:vAlign w:val="bottom"/>
          </w:tcPr>
          <w:p w14:paraId="2F07D496" w14:textId="29D93F3D" w:rsidR="00EE287F" w:rsidRDefault="003649D1">
            <w:pPr>
              <w:widowControl w:val="0"/>
              <w:spacing w:after="0" w:line="240" w:lineRule="auto"/>
              <w:jc w:val="center"/>
            </w:pPr>
            <w:r>
              <w:t>t-score</w:t>
            </w:r>
          </w:p>
        </w:tc>
        <w:tc>
          <w:tcPr>
            <w:tcW w:w="1997" w:type="dxa"/>
            <w:tcBorders>
              <w:top w:val="single" w:sz="4" w:space="0" w:color="auto"/>
              <w:bottom w:val="single" w:sz="12" w:space="0" w:color="auto"/>
            </w:tcBorders>
            <w:vAlign w:val="bottom"/>
          </w:tcPr>
          <w:p w14:paraId="5A73569B" w14:textId="77777777" w:rsidR="00EE287F" w:rsidRDefault="00EE287F">
            <w:pPr>
              <w:widowControl w:val="0"/>
              <w:spacing w:after="0" w:line="240" w:lineRule="auto"/>
              <w:jc w:val="center"/>
            </w:pPr>
            <w:r>
              <w:t>P-value</w:t>
            </w:r>
          </w:p>
        </w:tc>
      </w:tr>
      <w:tr w:rsidR="00EE287F" w14:paraId="4A277512" w14:textId="77777777">
        <w:trPr>
          <w:trHeight w:val="14"/>
        </w:trPr>
        <w:tc>
          <w:tcPr>
            <w:tcW w:w="2596" w:type="dxa"/>
            <w:tcBorders>
              <w:top w:val="single" w:sz="12" w:space="0" w:color="auto"/>
            </w:tcBorders>
            <w:tcMar>
              <w:top w:w="100" w:type="dxa"/>
              <w:left w:w="100" w:type="dxa"/>
              <w:bottom w:w="100" w:type="dxa"/>
              <w:right w:w="100" w:type="dxa"/>
            </w:tcMar>
            <w:vAlign w:val="center"/>
          </w:tcPr>
          <w:p w14:paraId="2AB32521" w14:textId="77777777" w:rsidR="00EE287F" w:rsidRDefault="00EE287F">
            <w:pPr>
              <w:widowControl w:val="0"/>
              <w:spacing w:after="0" w:line="240" w:lineRule="auto"/>
              <w:jc w:val="center"/>
            </w:pPr>
            <w:r>
              <w:t>Intercept</w:t>
            </w:r>
          </w:p>
        </w:tc>
        <w:tc>
          <w:tcPr>
            <w:tcW w:w="1797" w:type="dxa"/>
            <w:tcBorders>
              <w:top w:val="single" w:sz="12" w:space="0" w:color="auto"/>
            </w:tcBorders>
            <w:tcMar>
              <w:top w:w="100" w:type="dxa"/>
              <w:left w:w="100" w:type="dxa"/>
              <w:bottom w:w="100" w:type="dxa"/>
              <w:right w:w="100" w:type="dxa"/>
            </w:tcMar>
            <w:vAlign w:val="center"/>
          </w:tcPr>
          <w:p w14:paraId="35A42899" w14:textId="77777777" w:rsidR="00EE287F" w:rsidRDefault="00EE287F">
            <w:pPr>
              <w:widowControl w:val="0"/>
              <w:spacing w:after="0" w:line="240" w:lineRule="auto"/>
              <w:jc w:val="center"/>
            </w:pPr>
            <w:r>
              <w:t>154.3</w:t>
            </w:r>
          </w:p>
        </w:tc>
        <w:tc>
          <w:tcPr>
            <w:tcW w:w="2596" w:type="dxa"/>
            <w:tcBorders>
              <w:top w:val="single" w:sz="12" w:space="0" w:color="auto"/>
            </w:tcBorders>
            <w:vAlign w:val="center"/>
          </w:tcPr>
          <w:p w14:paraId="75B6459A" w14:textId="77777777" w:rsidR="00EE287F" w:rsidRDefault="00EE287F">
            <w:pPr>
              <w:widowControl w:val="0"/>
              <w:spacing w:after="0" w:line="240" w:lineRule="auto"/>
              <w:jc w:val="center"/>
            </w:pPr>
            <w:r>
              <w:t>9.8</w:t>
            </w:r>
          </w:p>
        </w:tc>
        <w:tc>
          <w:tcPr>
            <w:tcW w:w="1997" w:type="dxa"/>
            <w:tcBorders>
              <w:top w:val="single" w:sz="12" w:space="0" w:color="auto"/>
            </w:tcBorders>
            <w:vAlign w:val="center"/>
          </w:tcPr>
          <w:p w14:paraId="6C9924D8" w14:textId="77777777" w:rsidR="00EE287F" w:rsidRDefault="00EE287F">
            <w:pPr>
              <w:widowControl w:val="0"/>
              <w:spacing w:after="0" w:line="240" w:lineRule="auto"/>
              <w:jc w:val="center"/>
            </w:pPr>
            <w:r>
              <w:t>&lt;0.0001</w:t>
            </w:r>
          </w:p>
        </w:tc>
      </w:tr>
      <w:tr w:rsidR="00EE287F" w14:paraId="2C68A29E" w14:textId="77777777">
        <w:trPr>
          <w:trHeight w:val="274"/>
        </w:trPr>
        <w:tc>
          <w:tcPr>
            <w:tcW w:w="2596" w:type="dxa"/>
            <w:tcMar>
              <w:top w:w="100" w:type="dxa"/>
              <w:left w:w="100" w:type="dxa"/>
              <w:bottom w:w="100" w:type="dxa"/>
              <w:right w:w="100" w:type="dxa"/>
            </w:tcMar>
            <w:vAlign w:val="center"/>
          </w:tcPr>
          <w:p w14:paraId="66C2FE17" w14:textId="77777777" w:rsidR="00EE287F" w:rsidRDefault="00EE287F">
            <w:pPr>
              <w:widowControl w:val="0"/>
              <w:spacing w:after="0" w:line="240" w:lineRule="auto"/>
              <w:jc w:val="center"/>
            </w:pPr>
            <w:r>
              <w:t>DOC</w:t>
            </w:r>
          </w:p>
        </w:tc>
        <w:tc>
          <w:tcPr>
            <w:tcW w:w="1797" w:type="dxa"/>
            <w:tcMar>
              <w:top w:w="100" w:type="dxa"/>
              <w:left w:w="100" w:type="dxa"/>
              <w:bottom w:w="100" w:type="dxa"/>
              <w:right w:w="100" w:type="dxa"/>
            </w:tcMar>
            <w:vAlign w:val="center"/>
          </w:tcPr>
          <w:p w14:paraId="619AAE4A" w14:textId="77777777" w:rsidR="00EE287F" w:rsidRDefault="00EE287F">
            <w:pPr>
              <w:widowControl w:val="0"/>
              <w:spacing w:after="0" w:line="240" w:lineRule="auto"/>
              <w:jc w:val="center"/>
            </w:pPr>
            <w:r>
              <w:t>206.8</w:t>
            </w:r>
          </w:p>
        </w:tc>
        <w:tc>
          <w:tcPr>
            <w:tcW w:w="2596" w:type="dxa"/>
            <w:vAlign w:val="center"/>
          </w:tcPr>
          <w:p w14:paraId="061D4958" w14:textId="2D7EAA0E" w:rsidR="00EE287F" w:rsidRDefault="0034323F">
            <w:pPr>
              <w:widowControl w:val="0"/>
              <w:spacing w:after="0" w:line="240" w:lineRule="auto"/>
              <w:jc w:val="center"/>
            </w:pPr>
            <w:r>
              <w:t>31.6</w:t>
            </w:r>
          </w:p>
        </w:tc>
        <w:tc>
          <w:tcPr>
            <w:tcW w:w="1997" w:type="dxa"/>
            <w:vAlign w:val="center"/>
          </w:tcPr>
          <w:p w14:paraId="2C935D22" w14:textId="77777777" w:rsidR="00EE287F" w:rsidRDefault="00EE287F">
            <w:pPr>
              <w:widowControl w:val="0"/>
              <w:spacing w:after="0" w:line="240" w:lineRule="auto"/>
              <w:jc w:val="center"/>
            </w:pPr>
            <w:r>
              <w:t>&lt;0.0001</w:t>
            </w:r>
          </w:p>
        </w:tc>
      </w:tr>
      <w:tr w:rsidR="00EE287F" w14:paraId="4D11840E" w14:textId="77777777">
        <w:trPr>
          <w:trHeight w:val="274"/>
        </w:trPr>
        <w:tc>
          <w:tcPr>
            <w:tcW w:w="2596" w:type="dxa"/>
            <w:tcMar>
              <w:top w:w="100" w:type="dxa"/>
              <w:left w:w="100" w:type="dxa"/>
              <w:bottom w:w="100" w:type="dxa"/>
              <w:right w:w="100" w:type="dxa"/>
            </w:tcMar>
            <w:vAlign w:val="center"/>
          </w:tcPr>
          <w:p w14:paraId="453342E4" w14:textId="77777777" w:rsidR="00EE287F" w:rsidRDefault="00EE287F">
            <w:pPr>
              <w:widowControl w:val="0"/>
              <w:spacing w:after="0" w:line="240" w:lineRule="auto"/>
              <w:jc w:val="center"/>
            </w:pPr>
            <w:r>
              <w:t>Flood Days</w:t>
            </w:r>
          </w:p>
        </w:tc>
        <w:tc>
          <w:tcPr>
            <w:tcW w:w="1797" w:type="dxa"/>
            <w:tcMar>
              <w:top w:w="100" w:type="dxa"/>
              <w:left w:w="100" w:type="dxa"/>
              <w:bottom w:w="100" w:type="dxa"/>
              <w:right w:w="100" w:type="dxa"/>
            </w:tcMar>
            <w:vAlign w:val="center"/>
          </w:tcPr>
          <w:p w14:paraId="5A9A0735" w14:textId="77777777" w:rsidR="00EE287F" w:rsidRDefault="00EE287F">
            <w:pPr>
              <w:widowControl w:val="0"/>
              <w:spacing w:after="0" w:line="240" w:lineRule="auto"/>
              <w:jc w:val="center"/>
            </w:pPr>
            <w:r>
              <w:t>41.0</w:t>
            </w:r>
          </w:p>
        </w:tc>
        <w:tc>
          <w:tcPr>
            <w:tcW w:w="2596" w:type="dxa"/>
            <w:vAlign w:val="center"/>
          </w:tcPr>
          <w:p w14:paraId="6213690C" w14:textId="44755B6A" w:rsidR="00EE287F" w:rsidRDefault="0034323F">
            <w:pPr>
              <w:widowControl w:val="0"/>
              <w:spacing w:after="0" w:line="240" w:lineRule="auto"/>
              <w:jc w:val="center"/>
            </w:pPr>
            <w:r>
              <w:t>5.0</w:t>
            </w:r>
          </w:p>
        </w:tc>
        <w:tc>
          <w:tcPr>
            <w:tcW w:w="1997" w:type="dxa"/>
            <w:vAlign w:val="center"/>
          </w:tcPr>
          <w:p w14:paraId="1DB1E7AC" w14:textId="77777777" w:rsidR="00EE287F" w:rsidRDefault="00EE287F">
            <w:pPr>
              <w:widowControl w:val="0"/>
              <w:spacing w:after="0" w:line="240" w:lineRule="auto"/>
              <w:jc w:val="center"/>
            </w:pPr>
            <w:r>
              <w:t>&lt;0.0001</w:t>
            </w:r>
          </w:p>
        </w:tc>
      </w:tr>
      <w:tr w:rsidR="00EE287F" w14:paraId="6F958AEB" w14:textId="77777777">
        <w:trPr>
          <w:trHeight w:val="265"/>
        </w:trPr>
        <w:tc>
          <w:tcPr>
            <w:tcW w:w="2596" w:type="dxa"/>
            <w:tcMar>
              <w:top w:w="100" w:type="dxa"/>
              <w:left w:w="100" w:type="dxa"/>
              <w:bottom w:w="100" w:type="dxa"/>
              <w:right w:w="100" w:type="dxa"/>
            </w:tcMar>
            <w:vAlign w:val="center"/>
          </w:tcPr>
          <w:p w14:paraId="3403ED5F" w14:textId="77777777" w:rsidR="00EE287F" w:rsidRDefault="00EE287F">
            <w:pPr>
              <w:widowControl w:val="0"/>
              <w:spacing w:after="0" w:line="240" w:lineRule="auto"/>
              <w:jc w:val="center"/>
            </w:pPr>
            <w:r>
              <w:t>Clay Content</w:t>
            </w:r>
          </w:p>
        </w:tc>
        <w:tc>
          <w:tcPr>
            <w:tcW w:w="1797" w:type="dxa"/>
            <w:tcMar>
              <w:top w:w="100" w:type="dxa"/>
              <w:left w:w="100" w:type="dxa"/>
              <w:bottom w:w="100" w:type="dxa"/>
              <w:right w:w="100" w:type="dxa"/>
            </w:tcMar>
            <w:vAlign w:val="center"/>
          </w:tcPr>
          <w:p w14:paraId="15B618A6" w14:textId="77777777" w:rsidR="00EE287F" w:rsidRDefault="00EE287F">
            <w:pPr>
              <w:widowControl w:val="0"/>
              <w:spacing w:after="0" w:line="240" w:lineRule="auto"/>
              <w:jc w:val="center"/>
            </w:pPr>
            <w:r>
              <w:t>-17.5</w:t>
            </w:r>
          </w:p>
        </w:tc>
        <w:tc>
          <w:tcPr>
            <w:tcW w:w="2596" w:type="dxa"/>
            <w:vAlign w:val="center"/>
          </w:tcPr>
          <w:p w14:paraId="05DC688F" w14:textId="22E3925D" w:rsidR="00EE287F" w:rsidRDefault="00F25E31">
            <w:pPr>
              <w:widowControl w:val="0"/>
              <w:spacing w:after="0" w:line="240" w:lineRule="auto"/>
              <w:jc w:val="center"/>
            </w:pPr>
            <w:r>
              <w:t>-1.8</w:t>
            </w:r>
          </w:p>
        </w:tc>
        <w:tc>
          <w:tcPr>
            <w:tcW w:w="1997" w:type="dxa"/>
            <w:vAlign w:val="center"/>
          </w:tcPr>
          <w:p w14:paraId="73A3D7AA" w14:textId="77777777" w:rsidR="00EE287F" w:rsidRDefault="00EE287F">
            <w:pPr>
              <w:widowControl w:val="0"/>
              <w:spacing w:after="0" w:line="240" w:lineRule="auto"/>
              <w:jc w:val="center"/>
            </w:pPr>
            <w:r>
              <w:t>0.07</w:t>
            </w:r>
          </w:p>
        </w:tc>
      </w:tr>
      <w:tr w:rsidR="00EE287F" w14:paraId="5DD5A6DB" w14:textId="77777777">
        <w:trPr>
          <w:trHeight w:val="265"/>
        </w:trPr>
        <w:tc>
          <w:tcPr>
            <w:tcW w:w="2596" w:type="dxa"/>
            <w:tcMar>
              <w:top w:w="100" w:type="dxa"/>
              <w:left w:w="100" w:type="dxa"/>
              <w:bottom w:w="100" w:type="dxa"/>
              <w:right w:w="100" w:type="dxa"/>
            </w:tcMar>
            <w:vAlign w:val="center"/>
          </w:tcPr>
          <w:p w14:paraId="56FF4471" w14:textId="77777777" w:rsidR="00EE287F" w:rsidRDefault="00EE287F">
            <w:pPr>
              <w:widowControl w:val="0"/>
              <w:spacing w:after="0" w:line="240" w:lineRule="auto"/>
              <w:jc w:val="center"/>
            </w:pPr>
            <w:r>
              <w:t>Flood Days x DOC</w:t>
            </w:r>
          </w:p>
        </w:tc>
        <w:tc>
          <w:tcPr>
            <w:tcW w:w="1797" w:type="dxa"/>
            <w:tcMar>
              <w:top w:w="100" w:type="dxa"/>
              <w:left w:w="100" w:type="dxa"/>
              <w:bottom w:w="100" w:type="dxa"/>
              <w:right w:w="100" w:type="dxa"/>
            </w:tcMar>
            <w:vAlign w:val="center"/>
          </w:tcPr>
          <w:p w14:paraId="19F1929F" w14:textId="77777777" w:rsidR="00EE287F" w:rsidRDefault="00EE287F">
            <w:pPr>
              <w:widowControl w:val="0"/>
              <w:spacing w:after="0" w:line="240" w:lineRule="auto"/>
              <w:jc w:val="center"/>
            </w:pPr>
            <w:r>
              <w:t>0.72</w:t>
            </w:r>
          </w:p>
        </w:tc>
        <w:tc>
          <w:tcPr>
            <w:tcW w:w="2596" w:type="dxa"/>
            <w:vAlign w:val="center"/>
          </w:tcPr>
          <w:p w14:paraId="6392A2FE" w14:textId="663A0265" w:rsidR="00EE287F" w:rsidRDefault="00467E25">
            <w:pPr>
              <w:widowControl w:val="0"/>
              <w:spacing w:after="0" w:line="240" w:lineRule="auto"/>
              <w:jc w:val="center"/>
            </w:pPr>
            <w:r>
              <w:t>-0.7</w:t>
            </w:r>
          </w:p>
        </w:tc>
        <w:tc>
          <w:tcPr>
            <w:tcW w:w="1997" w:type="dxa"/>
            <w:vAlign w:val="center"/>
          </w:tcPr>
          <w:p w14:paraId="0B83E42F" w14:textId="3153BB5F" w:rsidR="00EE287F" w:rsidRDefault="00EE287F">
            <w:pPr>
              <w:widowControl w:val="0"/>
              <w:spacing w:after="0" w:line="240" w:lineRule="auto"/>
              <w:jc w:val="center"/>
            </w:pPr>
            <w:r>
              <w:t>0.4</w:t>
            </w:r>
            <w:r w:rsidR="00F91DF5">
              <w:t>9</w:t>
            </w:r>
          </w:p>
        </w:tc>
      </w:tr>
      <w:tr w:rsidR="00EE287F" w14:paraId="20CB0130" w14:textId="77777777">
        <w:trPr>
          <w:trHeight w:val="265"/>
        </w:trPr>
        <w:tc>
          <w:tcPr>
            <w:tcW w:w="2596" w:type="dxa"/>
            <w:tcMar>
              <w:top w:w="100" w:type="dxa"/>
              <w:left w:w="100" w:type="dxa"/>
              <w:bottom w:w="100" w:type="dxa"/>
              <w:right w:w="100" w:type="dxa"/>
            </w:tcMar>
            <w:vAlign w:val="center"/>
          </w:tcPr>
          <w:p w14:paraId="686EF9D8" w14:textId="77777777" w:rsidR="00EE287F" w:rsidRDefault="00EE287F">
            <w:pPr>
              <w:widowControl w:val="0"/>
              <w:spacing w:after="0" w:line="240" w:lineRule="auto"/>
              <w:jc w:val="center"/>
            </w:pPr>
            <w:r>
              <w:t>DOC x Clay</w:t>
            </w:r>
          </w:p>
        </w:tc>
        <w:tc>
          <w:tcPr>
            <w:tcW w:w="1797" w:type="dxa"/>
            <w:tcMar>
              <w:top w:w="100" w:type="dxa"/>
              <w:left w:w="100" w:type="dxa"/>
              <w:bottom w:w="100" w:type="dxa"/>
              <w:right w:w="100" w:type="dxa"/>
            </w:tcMar>
            <w:vAlign w:val="center"/>
          </w:tcPr>
          <w:p w14:paraId="0473CEF4" w14:textId="77777777" w:rsidR="00EE287F" w:rsidRDefault="00EE287F">
            <w:pPr>
              <w:widowControl w:val="0"/>
              <w:spacing w:after="0" w:line="240" w:lineRule="auto"/>
              <w:jc w:val="center"/>
            </w:pPr>
            <w:r>
              <w:t>-35.2</w:t>
            </w:r>
          </w:p>
        </w:tc>
        <w:tc>
          <w:tcPr>
            <w:tcW w:w="2596" w:type="dxa"/>
            <w:vAlign w:val="center"/>
          </w:tcPr>
          <w:p w14:paraId="69D7274D" w14:textId="7C275115" w:rsidR="00EE287F" w:rsidRDefault="004819C4">
            <w:pPr>
              <w:widowControl w:val="0"/>
              <w:spacing w:after="0" w:line="240" w:lineRule="auto"/>
              <w:jc w:val="center"/>
            </w:pPr>
            <w:r>
              <w:t>-1.</w:t>
            </w:r>
            <w:r w:rsidR="006D60EC">
              <w:t>5</w:t>
            </w:r>
          </w:p>
        </w:tc>
        <w:tc>
          <w:tcPr>
            <w:tcW w:w="1997" w:type="dxa"/>
            <w:vAlign w:val="center"/>
          </w:tcPr>
          <w:p w14:paraId="7E0BABCE" w14:textId="72DAED3C" w:rsidR="00EE287F" w:rsidRDefault="00EE287F">
            <w:pPr>
              <w:widowControl w:val="0"/>
              <w:spacing w:after="0" w:line="240" w:lineRule="auto"/>
              <w:jc w:val="center"/>
            </w:pPr>
            <w:r>
              <w:t>0.</w:t>
            </w:r>
            <w:r w:rsidR="006D60EC">
              <w:t>14</w:t>
            </w:r>
          </w:p>
        </w:tc>
      </w:tr>
      <w:tr w:rsidR="00EE287F" w14:paraId="680C4DB3" w14:textId="77777777">
        <w:trPr>
          <w:trHeight w:val="265"/>
        </w:trPr>
        <w:tc>
          <w:tcPr>
            <w:tcW w:w="2596" w:type="dxa"/>
            <w:tcMar>
              <w:top w:w="100" w:type="dxa"/>
              <w:left w:w="100" w:type="dxa"/>
              <w:bottom w:w="100" w:type="dxa"/>
              <w:right w:w="100" w:type="dxa"/>
            </w:tcMar>
            <w:vAlign w:val="center"/>
          </w:tcPr>
          <w:p w14:paraId="26F951F3" w14:textId="77777777" w:rsidR="00EE287F" w:rsidRDefault="00EE287F">
            <w:pPr>
              <w:widowControl w:val="0"/>
              <w:spacing w:after="0" w:line="240" w:lineRule="auto"/>
              <w:jc w:val="center"/>
            </w:pPr>
            <w:r>
              <w:t>Flood Days x Clay</w:t>
            </w:r>
          </w:p>
        </w:tc>
        <w:tc>
          <w:tcPr>
            <w:tcW w:w="1797" w:type="dxa"/>
            <w:tcMar>
              <w:top w:w="100" w:type="dxa"/>
              <w:left w:w="100" w:type="dxa"/>
              <w:bottom w:w="100" w:type="dxa"/>
              <w:right w:w="100" w:type="dxa"/>
            </w:tcMar>
            <w:vAlign w:val="center"/>
          </w:tcPr>
          <w:p w14:paraId="45C9A401" w14:textId="77777777" w:rsidR="00EE287F" w:rsidRDefault="00EE287F">
            <w:pPr>
              <w:widowControl w:val="0"/>
              <w:spacing w:after="0" w:line="240" w:lineRule="auto"/>
              <w:jc w:val="center"/>
            </w:pPr>
            <w:r>
              <w:t>22.1</w:t>
            </w:r>
          </w:p>
        </w:tc>
        <w:tc>
          <w:tcPr>
            <w:tcW w:w="2596" w:type="dxa"/>
            <w:vAlign w:val="center"/>
          </w:tcPr>
          <w:p w14:paraId="63A59433" w14:textId="4D15D838" w:rsidR="00EE287F" w:rsidRDefault="00EE287F">
            <w:pPr>
              <w:widowControl w:val="0"/>
              <w:spacing w:after="0" w:line="240" w:lineRule="auto"/>
              <w:jc w:val="center"/>
            </w:pPr>
            <w:r>
              <w:t>2.</w:t>
            </w:r>
            <w:r w:rsidR="00690BEC">
              <w:t>1</w:t>
            </w:r>
          </w:p>
        </w:tc>
        <w:tc>
          <w:tcPr>
            <w:tcW w:w="1997" w:type="dxa"/>
            <w:vAlign w:val="center"/>
          </w:tcPr>
          <w:p w14:paraId="62336090" w14:textId="00974810" w:rsidR="00EE287F" w:rsidRDefault="00EE287F">
            <w:pPr>
              <w:widowControl w:val="0"/>
              <w:spacing w:after="0" w:line="240" w:lineRule="auto"/>
              <w:jc w:val="center"/>
            </w:pPr>
            <w:r>
              <w:t>0.0</w:t>
            </w:r>
            <w:r w:rsidR="00DA3589">
              <w:t>4</w:t>
            </w:r>
          </w:p>
        </w:tc>
      </w:tr>
      <w:tr w:rsidR="00EE287F" w14:paraId="0D4161AD" w14:textId="77777777">
        <w:trPr>
          <w:trHeight w:val="265"/>
        </w:trPr>
        <w:tc>
          <w:tcPr>
            <w:tcW w:w="2596" w:type="dxa"/>
            <w:tcMar>
              <w:top w:w="100" w:type="dxa"/>
              <w:left w:w="100" w:type="dxa"/>
              <w:bottom w:w="100" w:type="dxa"/>
              <w:right w:w="100" w:type="dxa"/>
            </w:tcMar>
            <w:vAlign w:val="center"/>
          </w:tcPr>
          <w:p w14:paraId="3B0DC09E" w14:textId="77777777" w:rsidR="00EE287F" w:rsidRPr="00903654" w:rsidRDefault="00EE287F">
            <w:pPr>
              <w:widowControl w:val="0"/>
              <w:spacing w:after="0" w:line="240" w:lineRule="auto"/>
              <w:jc w:val="center"/>
              <w:rPr>
                <w:vertAlign w:val="superscript"/>
              </w:rPr>
            </w:pPr>
            <w:r>
              <w:t>(DOC)</w:t>
            </w:r>
            <w:r>
              <w:rPr>
                <w:vertAlign w:val="superscript"/>
              </w:rPr>
              <w:t>2</w:t>
            </w:r>
          </w:p>
        </w:tc>
        <w:tc>
          <w:tcPr>
            <w:tcW w:w="1797" w:type="dxa"/>
            <w:tcMar>
              <w:top w:w="100" w:type="dxa"/>
              <w:left w:w="100" w:type="dxa"/>
              <w:bottom w:w="100" w:type="dxa"/>
              <w:right w:w="100" w:type="dxa"/>
            </w:tcMar>
            <w:vAlign w:val="center"/>
          </w:tcPr>
          <w:p w14:paraId="19A33927" w14:textId="77777777" w:rsidR="00EE287F" w:rsidRDefault="00EE287F">
            <w:pPr>
              <w:widowControl w:val="0"/>
              <w:spacing w:after="0" w:line="240" w:lineRule="auto"/>
              <w:jc w:val="center"/>
            </w:pPr>
            <w:r>
              <w:t>40.6</w:t>
            </w:r>
          </w:p>
        </w:tc>
        <w:tc>
          <w:tcPr>
            <w:tcW w:w="2596" w:type="dxa"/>
            <w:vAlign w:val="center"/>
          </w:tcPr>
          <w:p w14:paraId="25D45926" w14:textId="77777777" w:rsidR="00EE287F" w:rsidRDefault="00EE287F">
            <w:pPr>
              <w:widowControl w:val="0"/>
              <w:spacing w:after="0" w:line="240" w:lineRule="auto"/>
              <w:jc w:val="center"/>
            </w:pPr>
            <w:r>
              <w:t>4.6</w:t>
            </w:r>
          </w:p>
        </w:tc>
        <w:tc>
          <w:tcPr>
            <w:tcW w:w="1997" w:type="dxa"/>
            <w:vAlign w:val="center"/>
          </w:tcPr>
          <w:p w14:paraId="5E6CC152" w14:textId="77777777" w:rsidR="00EE287F" w:rsidRDefault="00EE287F">
            <w:pPr>
              <w:widowControl w:val="0"/>
              <w:spacing w:after="0" w:line="240" w:lineRule="auto"/>
              <w:jc w:val="center"/>
            </w:pPr>
            <w:r>
              <w:t>&lt;0.0001</w:t>
            </w:r>
          </w:p>
        </w:tc>
      </w:tr>
      <w:tr w:rsidR="00EE287F" w14:paraId="14D247CC" w14:textId="77777777">
        <w:trPr>
          <w:trHeight w:val="265"/>
        </w:trPr>
        <w:tc>
          <w:tcPr>
            <w:tcW w:w="2596" w:type="dxa"/>
            <w:tcMar>
              <w:top w:w="100" w:type="dxa"/>
              <w:left w:w="100" w:type="dxa"/>
              <w:bottom w:w="100" w:type="dxa"/>
              <w:right w:w="100" w:type="dxa"/>
            </w:tcMar>
            <w:vAlign w:val="center"/>
          </w:tcPr>
          <w:p w14:paraId="204CD921" w14:textId="77777777" w:rsidR="00EE287F" w:rsidRPr="00903654" w:rsidRDefault="00EE287F">
            <w:pPr>
              <w:widowControl w:val="0"/>
              <w:spacing w:after="0" w:line="240" w:lineRule="auto"/>
              <w:jc w:val="center"/>
              <w:rPr>
                <w:vertAlign w:val="superscript"/>
              </w:rPr>
            </w:pPr>
            <w:r>
              <w:t>(Flood Days)</w:t>
            </w:r>
            <w:r>
              <w:rPr>
                <w:vertAlign w:val="superscript"/>
              </w:rPr>
              <w:t>2</w:t>
            </w:r>
          </w:p>
        </w:tc>
        <w:tc>
          <w:tcPr>
            <w:tcW w:w="1797" w:type="dxa"/>
            <w:tcMar>
              <w:top w:w="100" w:type="dxa"/>
              <w:left w:w="100" w:type="dxa"/>
              <w:bottom w:w="100" w:type="dxa"/>
              <w:right w:w="100" w:type="dxa"/>
            </w:tcMar>
            <w:vAlign w:val="center"/>
          </w:tcPr>
          <w:p w14:paraId="3F329211" w14:textId="77777777" w:rsidR="00EE287F" w:rsidRDefault="00EE287F">
            <w:pPr>
              <w:widowControl w:val="0"/>
              <w:spacing w:after="0" w:line="240" w:lineRule="auto"/>
              <w:jc w:val="center"/>
            </w:pPr>
            <w:r>
              <w:t>-21.5</w:t>
            </w:r>
          </w:p>
        </w:tc>
        <w:tc>
          <w:tcPr>
            <w:tcW w:w="2596" w:type="dxa"/>
            <w:vAlign w:val="center"/>
          </w:tcPr>
          <w:p w14:paraId="121A702B" w14:textId="65CF2F91" w:rsidR="00EE287F" w:rsidRDefault="00EE287F">
            <w:pPr>
              <w:widowControl w:val="0"/>
              <w:spacing w:after="0" w:line="240" w:lineRule="auto"/>
              <w:jc w:val="center"/>
            </w:pPr>
            <w:r>
              <w:t>-2.</w:t>
            </w:r>
            <w:r w:rsidR="00690BEC">
              <w:t>0</w:t>
            </w:r>
          </w:p>
        </w:tc>
        <w:tc>
          <w:tcPr>
            <w:tcW w:w="1997" w:type="dxa"/>
            <w:vAlign w:val="center"/>
          </w:tcPr>
          <w:p w14:paraId="1B4DDADE" w14:textId="3FAF39B7" w:rsidR="00EE287F" w:rsidRDefault="00EE287F">
            <w:pPr>
              <w:widowControl w:val="0"/>
              <w:spacing w:after="0" w:line="240" w:lineRule="auto"/>
              <w:jc w:val="center"/>
            </w:pPr>
            <w:r>
              <w:t>0.0</w:t>
            </w:r>
            <w:r w:rsidR="00DA3589">
              <w:t>5</w:t>
            </w:r>
          </w:p>
        </w:tc>
      </w:tr>
      <w:tr w:rsidR="00EE287F" w14:paraId="3ACBF395" w14:textId="77777777">
        <w:trPr>
          <w:trHeight w:val="265"/>
        </w:trPr>
        <w:tc>
          <w:tcPr>
            <w:tcW w:w="2596" w:type="dxa"/>
            <w:tcBorders>
              <w:bottom w:val="single" w:sz="4" w:space="0" w:color="auto"/>
            </w:tcBorders>
            <w:tcMar>
              <w:top w:w="100" w:type="dxa"/>
              <w:left w:w="100" w:type="dxa"/>
              <w:bottom w:w="100" w:type="dxa"/>
              <w:right w:w="100" w:type="dxa"/>
            </w:tcMar>
            <w:vAlign w:val="center"/>
          </w:tcPr>
          <w:p w14:paraId="62192C15" w14:textId="77777777" w:rsidR="00EE287F" w:rsidRPr="00903654" w:rsidRDefault="00EE287F">
            <w:pPr>
              <w:widowControl w:val="0"/>
              <w:spacing w:after="0" w:line="240" w:lineRule="auto"/>
              <w:jc w:val="center"/>
              <w:rPr>
                <w:vertAlign w:val="superscript"/>
              </w:rPr>
            </w:pPr>
            <w:r>
              <w:t>(Clay)</w:t>
            </w:r>
            <w:r>
              <w:rPr>
                <w:vertAlign w:val="superscript"/>
              </w:rPr>
              <w:t>2</w:t>
            </w:r>
          </w:p>
        </w:tc>
        <w:tc>
          <w:tcPr>
            <w:tcW w:w="1797" w:type="dxa"/>
            <w:tcBorders>
              <w:bottom w:val="single" w:sz="4" w:space="0" w:color="auto"/>
            </w:tcBorders>
            <w:tcMar>
              <w:top w:w="100" w:type="dxa"/>
              <w:left w:w="100" w:type="dxa"/>
              <w:bottom w:w="100" w:type="dxa"/>
              <w:right w:w="100" w:type="dxa"/>
            </w:tcMar>
            <w:vAlign w:val="center"/>
          </w:tcPr>
          <w:p w14:paraId="7ABD0CB3" w14:textId="77777777" w:rsidR="00EE287F" w:rsidRDefault="00EE287F">
            <w:pPr>
              <w:widowControl w:val="0"/>
              <w:spacing w:after="0" w:line="240" w:lineRule="auto"/>
              <w:jc w:val="center"/>
            </w:pPr>
            <w:r>
              <w:t>7.0</w:t>
            </w:r>
          </w:p>
        </w:tc>
        <w:tc>
          <w:tcPr>
            <w:tcW w:w="2596" w:type="dxa"/>
            <w:tcBorders>
              <w:bottom w:val="single" w:sz="4" w:space="0" w:color="auto"/>
            </w:tcBorders>
            <w:vAlign w:val="center"/>
          </w:tcPr>
          <w:p w14:paraId="419D1E85" w14:textId="0BC3D95E" w:rsidR="00EE287F" w:rsidRDefault="00F91DF5">
            <w:pPr>
              <w:widowControl w:val="0"/>
              <w:spacing w:after="0" w:line="240" w:lineRule="auto"/>
              <w:jc w:val="center"/>
            </w:pPr>
            <w:r>
              <w:t>0.04</w:t>
            </w:r>
          </w:p>
        </w:tc>
        <w:tc>
          <w:tcPr>
            <w:tcW w:w="1997" w:type="dxa"/>
            <w:tcBorders>
              <w:bottom w:val="single" w:sz="4" w:space="0" w:color="auto"/>
            </w:tcBorders>
            <w:vAlign w:val="center"/>
          </w:tcPr>
          <w:p w14:paraId="43A8B8F2" w14:textId="4A0B3197" w:rsidR="00EE287F" w:rsidRDefault="00EE287F">
            <w:pPr>
              <w:widowControl w:val="0"/>
              <w:spacing w:after="0" w:line="240" w:lineRule="auto"/>
              <w:jc w:val="center"/>
            </w:pPr>
            <w:r>
              <w:t>0.</w:t>
            </w:r>
            <w:r w:rsidR="00F91DF5">
              <w:t>97</w:t>
            </w:r>
          </w:p>
        </w:tc>
      </w:tr>
    </w:tbl>
    <w:p w14:paraId="3D4C6289" w14:textId="77777777" w:rsidR="00EE287F" w:rsidRDefault="00EE287F" w:rsidP="00EE287F"/>
    <w:p w14:paraId="0E95BA7E" w14:textId="0D956C46" w:rsidR="00EE287F" w:rsidRDefault="006122A9" w:rsidP="00EE287F">
      <w:r>
        <w:br w:type="page"/>
      </w:r>
    </w:p>
    <w:p w14:paraId="0250BC67" w14:textId="67977845" w:rsidR="009620B9" w:rsidRDefault="00EE287F" w:rsidP="00D24801">
      <w:pPr>
        <w:keepNext/>
        <w:jc w:val="center"/>
      </w:pPr>
      <w:r w:rsidRPr="005E7421">
        <w:rPr>
          <w:noProof/>
        </w:rPr>
        <w:lastRenderedPageBreak/>
        <w:drawing>
          <wp:inline distT="0" distB="0" distL="0" distR="0" wp14:anchorId="07F9729D" wp14:editId="07AEA783">
            <wp:extent cx="3105509" cy="3105509"/>
            <wp:effectExtent l="0" t="0" r="0" b="0"/>
            <wp:docPr id="12789626"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89626" name=""/>
                    <pic:cNvPicPr/>
                  </pic:nvPicPr>
                  <pic:blipFill>
                    <a:blip r:embed="rId49">
                      <a:extLst>
                        <a:ext uri="{96DAC541-7B7A-43D3-8B79-37D633B846F1}">
                          <asvg:svgBlip xmlns:asvg="http://schemas.microsoft.com/office/drawing/2016/SVG/main" r:embed="rId50"/>
                        </a:ext>
                      </a:extLst>
                    </a:blip>
                    <a:stretch>
                      <a:fillRect/>
                    </a:stretch>
                  </pic:blipFill>
                  <pic:spPr>
                    <a:xfrm>
                      <a:off x="0" y="0"/>
                      <a:ext cx="3119684" cy="3119684"/>
                    </a:xfrm>
                    <a:prstGeom prst="rect">
                      <a:avLst/>
                    </a:prstGeom>
                  </pic:spPr>
                </pic:pic>
              </a:graphicData>
            </a:graphic>
          </wp:inline>
        </w:drawing>
      </w:r>
    </w:p>
    <w:p w14:paraId="4DA2725E" w14:textId="33E039B6" w:rsidR="00D55DF4" w:rsidRPr="00285053" w:rsidRDefault="00D24801" w:rsidP="00285053">
      <w:pPr>
        <w:pStyle w:val="Caption"/>
        <w:rPr>
          <w:i w:val="0"/>
          <w:color w:val="auto"/>
          <w:sz w:val="24"/>
          <w:szCs w:val="24"/>
        </w:rPr>
      </w:pPr>
      <w:bookmarkStart w:id="120" w:name="_Toc204263369"/>
      <w:r w:rsidRPr="00285053">
        <w:rPr>
          <w:b/>
          <w:bCs/>
          <w:i w:val="0"/>
          <w:iCs w:val="0"/>
          <w:color w:val="auto"/>
          <w:sz w:val="24"/>
          <w:szCs w:val="24"/>
        </w:rPr>
        <w:t xml:space="preserve">Figure </w:t>
      </w:r>
      <w:r w:rsidR="00285053" w:rsidRPr="00285053">
        <w:rPr>
          <w:b/>
          <w:bCs/>
          <w:i w:val="0"/>
          <w:iCs w:val="0"/>
          <w:color w:val="auto"/>
          <w:sz w:val="24"/>
          <w:szCs w:val="24"/>
        </w:rPr>
        <w:t>4</w:t>
      </w:r>
      <w:r w:rsidRPr="00285053">
        <w:rPr>
          <w:b/>
          <w:bCs/>
          <w:i w:val="0"/>
          <w:iCs w:val="0"/>
          <w:color w:val="auto"/>
          <w:sz w:val="24"/>
          <w:szCs w:val="24"/>
        </w:rPr>
        <w:t>.</w:t>
      </w:r>
      <w:r w:rsidRPr="00285053">
        <w:rPr>
          <w:b/>
          <w:bCs/>
          <w:i w:val="0"/>
          <w:iCs w:val="0"/>
          <w:color w:val="auto"/>
          <w:sz w:val="24"/>
          <w:szCs w:val="24"/>
        </w:rPr>
        <w:fldChar w:fldCharType="begin"/>
      </w:r>
      <w:r w:rsidRPr="00285053">
        <w:rPr>
          <w:b/>
          <w:bCs/>
          <w:i w:val="0"/>
          <w:iCs w:val="0"/>
          <w:color w:val="auto"/>
          <w:sz w:val="24"/>
          <w:szCs w:val="24"/>
        </w:rPr>
        <w:instrText xml:space="preserve"> SEQ Figure \* ARABIC \s 1 </w:instrText>
      </w:r>
      <w:r w:rsidRPr="00285053">
        <w:rPr>
          <w:b/>
          <w:bCs/>
          <w:i w:val="0"/>
          <w:iCs w:val="0"/>
          <w:color w:val="auto"/>
          <w:sz w:val="24"/>
          <w:szCs w:val="24"/>
        </w:rPr>
        <w:fldChar w:fldCharType="separate"/>
      </w:r>
      <w:r w:rsidRPr="00285053">
        <w:rPr>
          <w:b/>
          <w:bCs/>
          <w:i w:val="0"/>
          <w:iCs w:val="0"/>
          <w:noProof/>
          <w:color w:val="auto"/>
          <w:sz w:val="24"/>
          <w:szCs w:val="24"/>
        </w:rPr>
        <w:t>4</w:t>
      </w:r>
      <w:r w:rsidRPr="00285053">
        <w:rPr>
          <w:b/>
          <w:bCs/>
          <w:i w:val="0"/>
          <w:iCs w:val="0"/>
          <w:color w:val="auto"/>
          <w:sz w:val="24"/>
          <w:szCs w:val="24"/>
        </w:rPr>
        <w:fldChar w:fldCharType="end"/>
      </w:r>
      <w:r w:rsidR="00EE287F" w:rsidRPr="00285053">
        <w:rPr>
          <w:b/>
          <w:bCs/>
          <w:i w:val="0"/>
          <w:iCs w:val="0"/>
          <w:color w:val="auto"/>
          <w:sz w:val="24"/>
          <w:szCs w:val="24"/>
        </w:rPr>
        <w:t>:</w:t>
      </w:r>
      <w:r w:rsidR="00E12019" w:rsidRPr="00285053">
        <w:rPr>
          <w:b/>
          <w:i w:val="0"/>
          <w:color w:val="auto"/>
          <w:sz w:val="24"/>
          <w:szCs w:val="24"/>
        </w:rPr>
        <w:t xml:space="preserve"> </w:t>
      </w:r>
      <w:r w:rsidR="00A0579E" w:rsidRPr="00285053">
        <w:rPr>
          <w:i w:val="0"/>
          <w:color w:val="auto"/>
          <w:sz w:val="24"/>
          <w:szCs w:val="24"/>
        </w:rPr>
        <w:t>Predicted impact of the interaction between flooding duration</w:t>
      </w:r>
      <w:r w:rsidR="007F0CA9" w:rsidRPr="00285053">
        <w:rPr>
          <w:i w:val="0"/>
          <w:color w:val="auto"/>
          <w:sz w:val="24"/>
          <w:szCs w:val="24"/>
        </w:rPr>
        <w:t xml:space="preserve"> (x-axis)</w:t>
      </w:r>
      <w:r w:rsidR="00A0579E" w:rsidRPr="00285053">
        <w:rPr>
          <w:i w:val="0"/>
          <w:color w:val="auto"/>
          <w:sz w:val="24"/>
          <w:szCs w:val="24"/>
        </w:rPr>
        <w:t xml:space="preserve"> and clay content</w:t>
      </w:r>
      <w:r w:rsidR="007F0CA9" w:rsidRPr="00285053">
        <w:rPr>
          <w:i w:val="0"/>
          <w:color w:val="auto"/>
          <w:sz w:val="24"/>
          <w:szCs w:val="24"/>
        </w:rPr>
        <w:t xml:space="preserve"> (y-axis)</w:t>
      </w:r>
      <w:r w:rsidR="00A0579E" w:rsidRPr="00285053">
        <w:rPr>
          <w:i w:val="0"/>
          <w:color w:val="auto"/>
          <w:sz w:val="24"/>
          <w:szCs w:val="24"/>
        </w:rPr>
        <w:t xml:space="preserve"> on cumulative N</w:t>
      </w:r>
      <w:r w:rsidR="00A0579E" w:rsidRPr="00285053">
        <w:rPr>
          <w:i w:val="0"/>
          <w:color w:val="auto"/>
          <w:sz w:val="24"/>
          <w:szCs w:val="24"/>
          <w:vertAlign w:val="subscript"/>
        </w:rPr>
        <w:t>2</w:t>
      </w:r>
      <w:r w:rsidR="00A0579E" w:rsidRPr="00285053">
        <w:rPr>
          <w:i w:val="0"/>
          <w:color w:val="auto"/>
          <w:sz w:val="24"/>
          <w:szCs w:val="24"/>
        </w:rPr>
        <w:t>O emissions</w:t>
      </w:r>
      <w:r w:rsidR="007F0CA9" w:rsidRPr="00285053">
        <w:rPr>
          <w:i w:val="0"/>
          <w:color w:val="auto"/>
          <w:sz w:val="24"/>
          <w:szCs w:val="24"/>
        </w:rPr>
        <w:t xml:space="preserve"> (color)</w:t>
      </w:r>
      <w:r w:rsidR="00A0579E" w:rsidRPr="00285053">
        <w:rPr>
          <w:i w:val="0"/>
          <w:color w:val="auto"/>
          <w:sz w:val="24"/>
          <w:szCs w:val="24"/>
        </w:rPr>
        <w:t>.</w:t>
      </w:r>
      <w:bookmarkEnd w:id="120"/>
      <w:r w:rsidR="00A0579E" w:rsidRPr="00285053">
        <w:rPr>
          <w:i w:val="0"/>
          <w:color w:val="auto"/>
          <w:sz w:val="24"/>
          <w:szCs w:val="24"/>
        </w:rPr>
        <w:t xml:space="preserve"> </w:t>
      </w:r>
    </w:p>
    <w:p w14:paraId="53AAE4AC" w14:textId="77777777" w:rsidR="003F3D6D" w:rsidRDefault="003F3D6D" w:rsidP="007F1591"/>
    <w:p w14:paraId="71B3B568" w14:textId="38EDCD54" w:rsidR="007F1591" w:rsidRDefault="00EE287F" w:rsidP="00D24801">
      <w:pPr>
        <w:keepNext/>
        <w:jc w:val="center"/>
      </w:pPr>
      <w:r w:rsidRPr="00E65A07">
        <w:rPr>
          <w:noProof/>
        </w:rPr>
        <w:drawing>
          <wp:inline distT="0" distB="0" distL="0" distR="0" wp14:anchorId="525D0216" wp14:editId="5525FA5B">
            <wp:extent cx="4515623" cy="3440475"/>
            <wp:effectExtent l="0" t="0" r="0" b="7620"/>
            <wp:docPr id="335118246" name="Graphic 1">
              <a:extLst xmlns:a="http://schemas.openxmlformats.org/drawingml/2006/main">
                <a:ext uri="{FF2B5EF4-FFF2-40B4-BE49-F238E27FC236}">
                  <a16:creationId xmlns:a16="http://schemas.microsoft.com/office/drawing/2014/main" id="{3DBC4228-67B5-4249-8EA0-E96489F0364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5118246" name="Graphic 1"/>
                    <pic:cNvPicPr/>
                  </pic:nvPicPr>
                  <pic:blipFill>
                    <a:blip r:embed="rId51">
                      <a:extLst>
                        <a:ext uri="{96DAC541-7B7A-43D3-8B79-37D633B846F1}">
                          <asvg:svgBlip xmlns:asvg="http://schemas.microsoft.com/office/drawing/2016/SVG/main" r:embed="rId52"/>
                        </a:ext>
                      </a:extLst>
                    </a:blip>
                    <a:stretch>
                      <a:fillRect/>
                    </a:stretch>
                  </pic:blipFill>
                  <pic:spPr>
                    <a:xfrm>
                      <a:off x="0" y="0"/>
                      <a:ext cx="4515623" cy="3440475"/>
                    </a:xfrm>
                    <a:prstGeom prst="rect">
                      <a:avLst/>
                    </a:prstGeom>
                  </pic:spPr>
                </pic:pic>
              </a:graphicData>
            </a:graphic>
          </wp:inline>
        </w:drawing>
      </w:r>
    </w:p>
    <w:p w14:paraId="45E16651" w14:textId="5B7D0D4E" w:rsidR="004B3BC2" w:rsidRPr="00D24801" w:rsidRDefault="007F1591" w:rsidP="00D24801">
      <w:pPr>
        <w:pStyle w:val="Caption"/>
        <w:rPr>
          <w:i w:val="0"/>
          <w:color w:val="auto"/>
          <w:sz w:val="24"/>
          <w:szCs w:val="24"/>
        </w:rPr>
      </w:pPr>
      <w:bookmarkStart w:id="121" w:name="_Toc204263370"/>
      <w:r w:rsidRPr="00D24801">
        <w:rPr>
          <w:b/>
          <w:i w:val="0"/>
          <w:color w:val="auto"/>
          <w:sz w:val="24"/>
          <w:szCs w:val="24"/>
        </w:rPr>
        <w:t xml:space="preserve">Figure </w:t>
      </w:r>
      <w:r w:rsidR="00FD2AF4" w:rsidRPr="00D24801">
        <w:rPr>
          <w:b/>
          <w:i w:val="0"/>
          <w:color w:val="auto"/>
          <w:sz w:val="24"/>
          <w:szCs w:val="24"/>
        </w:rPr>
        <w:t>4</w:t>
      </w:r>
      <w:r w:rsidR="00D24801" w:rsidRPr="00D24801">
        <w:rPr>
          <w:b/>
          <w:bCs/>
          <w:i w:val="0"/>
          <w:iCs w:val="0"/>
          <w:color w:val="auto"/>
          <w:sz w:val="24"/>
          <w:szCs w:val="24"/>
        </w:rPr>
        <w:t>.</w:t>
      </w:r>
      <w:r w:rsidR="00D24801" w:rsidRPr="00D24801">
        <w:rPr>
          <w:b/>
          <w:bCs/>
          <w:i w:val="0"/>
          <w:iCs w:val="0"/>
          <w:color w:val="auto"/>
          <w:sz w:val="24"/>
          <w:szCs w:val="24"/>
        </w:rPr>
        <w:fldChar w:fldCharType="begin"/>
      </w:r>
      <w:r w:rsidR="00D24801" w:rsidRPr="00D24801">
        <w:rPr>
          <w:b/>
          <w:bCs/>
          <w:i w:val="0"/>
          <w:iCs w:val="0"/>
          <w:color w:val="auto"/>
          <w:sz w:val="24"/>
          <w:szCs w:val="24"/>
        </w:rPr>
        <w:instrText xml:space="preserve"> SEQ Figure \* ARABIC \s 1 </w:instrText>
      </w:r>
      <w:r w:rsidR="00D24801" w:rsidRPr="00D24801">
        <w:rPr>
          <w:b/>
          <w:bCs/>
          <w:i w:val="0"/>
          <w:iCs w:val="0"/>
          <w:color w:val="auto"/>
          <w:sz w:val="24"/>
          <w:szCs w:val="24"/>
        </w:rPr>
        <w:fldChar w:fldCharType="separate"/>
      </w:r>
      <w:r w:rsidR="00D24801" w:rsidRPr="00D24801">
        <w:rPr>
          <w:b/>
          <w:bCs/>
          <w:i w:val="0"/>
          <w:iCs w:val="0"/>
          <w:noProof/>
          <w:color w:val="auto"/>
          <w:sz w:val="24"/>
          <w:szCs w:val="24"/>
        </w:rPr>
        <w:t>5</w:t>
      </w:r>
      <w:r w:rsidR="00D24801" w:rsidRPr="00D24801">
        <w:rPr>
          <w:b/>
          <w:bCs/>
          <w:i w:val="0"/>
          <w:iCs w:val="0"/>
          <w:color w:val="auto"/>
          <w:sz w:val="24"/>
          <w:szCs w:val="24"/>
        </w:rPr>
        <w:fldChar w:fldCharType="end"/>
      </w:r>
      <w:r w:rsidR="00D24801" w:rsidRPr="00D24801">
        <w:rPr>
          <w:i w:val="0"/>
          <w:iCs w:val="0"/>
          <w:color w:val="auto"/>
          <w:sz w:val="24"/>
          <w:szCs w:val="24"/>
        </w:rPr>
        <w:t>:</w:t>
      </w:r>
      <w:r w:rsidRPr="00D24801">
        <w:rPr>
          <w:i w:val="0"/>
          <w:color w:val="auto"/>
          <w:sz w:val="24"/>
          <w:szCs w:val="24"/>
        </w:rPr>
        <w:t xml:space="preserve"> Actual and predicted cumulative N</w:t>
      </w:r>
      <w:r w:rsidRPr="00D24801">
        <w:rPr>
          <w:i w:val="0"/>
          <w:color w:val="auto"/>
          <w:sz w:val="24"/>
          <w:szCs w:val="24"/>
          <w:vertAlign w:val="subscript"/>
        </w:rPr>
        <w:t>2</w:t>
      </w:r>
      <w:r w:rsidRPr="00D24801">
        <w:rPr>
          <w:i w:val="0"/>
          <w:color w:val="auto"/>
          <w:sz w:val="24"/>
          <w:szCs w:val="24"/>
        </w:rPr>
        <w:t>O emissions by the reduced regression model. Soil texture is indicated by color, while flooding duration is indicated by shape.</w:t>
      </w:r>
      <w:bookmarkEnd w:id="121"/>
    </w:p>
    <w:p w14:paraId="46C4C221" w14:textId="73815286" w:rsidR="00EE287F" w:rsidRDefault="00EE287F" w:rsidP="001B567A">
      <w:pPr>
        <w:pStyle w:val="Heading2"/>
      </w:pPr>
      <w:bookmarkStart w:id="122" w:name="_Toc202173001"/>
      <w:bookmarkStart w:id="123" w:name="_Toc204282792"/>
      <w:r w:rsidRPr="0069494F">
        <w:lastRenderedPageBreak/>
        <w:t>Discussion</w:t>
      </w:r>
      <w:bookmarkEnd w:id="122"/>
      <w:bookmarkEnd w:id="123"/>
    </w:p>
    <w:p w14:paraId="055834D3" w14:textId="6794E1C0" w:rsidR="00EE287F" w:rsidRPr="00BB3C0C" w:rsidRDefault="00EE287F" w:rsidP="001B567A">
      <w:pPr>
        <w:spacing w:after="0" w:line="480" w:lineRule="auto"/>
      </w:pPr>
      <w:r>
        <w:t xml:space="preserve">Increased frequency of extreme weather events has the potential to </w:t>
      </w:r>
      <w:r w:rsidR="00F76D64">
        <w:t>create</w:t>
      </w:r>
      <w:r>
        <w:t xml:space="preserve"> prolonged soil saturation events, the impact of which on N</w:t>
      </w:r>
      <w:r>
        <w:rPr>
          <w:vertAlign w:val="subscript"/>
        </w:rPr>
        <w:t>2</w:t>
      </w:r>
      <w:r>
        <w:t>O emissions is not well understood. Soil moisture dynamics and gas diffusivity are profoundly influenced by soil texture, potentially creating varying outcomes in emissions across different soil types. We subjected four soils ranging from sand to clay loam to three durations of high moisture content: a transient period, three days, and seven days at a maintained 90% WFPS. Soils also varied in DOC content, and a small amount of ammonium nitrate fertilizer representative of late-season inorganic nitrogen content was added. We found that cumulative emissions were primarily driven by DOC availability, though increased flooding duration also contributed to significantly greater cumulative emissions.</w:t>
      </w:r>
    </w:p>
    <w:p w14:paraId="23EF250C" w14:textId="7089A80C" w:rsidR="00EE287F" w:rsidRDefault="00EE287F" w:rsidP="001B567A">
      <w:pPr>
        <w:pStyle w:val="Heading3"/>
      </w:pPr>
      <w:bookmarkStart w:id="124" w:name="_Toc204282793"/>
      <w:bookmarkStart w:id="125" w:name="_Toc202173002"/>
      <w:r>
        <w:t>Expansion of clay promoted gas diffusivity during flooding period</w:t>
      </w:r>
      <w:bookmarkEnd w:id="124"/>
    </w:p>
    <w:p w14:paraId="286CFF26" w14:textId="26341C00" w:rsidR="00EE287F" w:rsidRDefault="00EE287F" w:rsidP="001B567A">
      <w:pPr>
        <w:pStyle w:val="Bibliography"/>
        <w:ind w:left="0" w:firstLine="0"/>
      </w:pPr>
      <w:r>
        <w:t>At very high soil moisture, higher gas diffusivity has typically been observed in coarse textured soils compared to fine textured soils due to the greater proportion of macropores and lower tortuosity, leading to lesser entrapment of gases and higher N</w:t>
      </w:r>
      <w:r>
        <w:rPr>
          <w:vertAlign w:val="subscript"/>
        </w:rPr>
        <w:t>2</w:t>
      </w:r>
      <w:r>
        <w:t>O:(N</w:t>
      </w:r>
      <w:r>
        <w:rPr>
          <w:vertAlign w:val="subscript"/>
        </w:rPr>
        <w:t>2</w:t>
      </w:r>
      <w:r>
        <w:t>O + N</w:t>
      </w:r>
      <w:r>
        <w:rPr>
          <w:vertAlign w:val="subscript"/>
        </w:rPr>
        <w:t>2</w:t>
      </w:r>
      <w:r>
        <w:t xml:space="preserve">) of emitted gases </w:t>
      </w:r>
      <w:r>
        <w:fldChar w:fldCharType="begin"/>
      </w:r>
      <w:r>
        <w:instrText xml:space="preserve"> ADDIN ZOTERO_ITEM CSL_CITATION {"citationID":"3CBLRBu7","properties":{"formattedCitation":"(Fujikawa &amp; Miyazaki, 2005; Gu et al., 2013; Klefoth et al., 2014)","plainCitation":"(Fujikawa &amp; Miyazaki, 2005; Gu et al., 2013; Klefoth et al., 2014)","noteIndex":0},"citationItems":[{"id":2489,"uris":["http://zotero.org/groups/4573874/items/5YW5LEEU"],"itemData":{"id":2489,"type":"article-journal","abstract":"The gas diffusion coefficient in soil is affected by several soil physical parameters, including (1) air-filled porosity, (2) bulk density, (3) soil disturbance, (4) the kind of diffusion gases, and (5) soil texture. From the measurement of the relative gas diffusion coefficient (D/D0) of alluvial and volcanic soils, the effects of (2), (3), and (4) on D/D0 were evaluated. Gas diffusion coefficients of sieved, repacked and of undisturbed soil samples were measured in the laboratory. The gas diffusion coefficient of soil increased with bulk density at the same air-filled porosity in both soil types because the proportion of the effective pore space for gas diffusion relatively increased during the compaction procedure. In alluvial soil, the gas diffusion coefficients of undisturbed samples were higher than those of disturbed samples because of the presence of macropores and cracks in the undisturbed samples. The apparent D/D0 of CO2 gas was larger than for O2 and N2 because of differences in the solubilities of the gases.","container-title":"Soil Science","DOI":"10.1097/01.ss.0000196771.53574.79","ISSN":"0038-075X","issue":"11","language":"en-US","page":"892","source":"journals.lww.com","title":"Effects of Bulk Density and Soil Type on the Gas Diffusion Coefficient in Repacked and Undisturbed Soils","volume":"170","author":[{"family":"Fujikawa","given":"Tomonori"},{"family":"Miyazaki","given":"Tsuyoshi"}],"issued":{"date-parts":[["2005",11]]}}},{"id":3567,"uris":["http://zotero.org/groups/6023057/items/9K8M49V8"],"itemData":{"id":3567,"type":"article-journal","abstract":"Lack of regional measurements on nitrous oxide (N2O) flux under tile-drained conditions may cause a misunderstanding of key factors controlling N2O emissions at landscape scale. The aims of this study were to assess the spatial variations in N2O emissions and identify the regulatory effects of soil physico-chemical properties across a tile-drained agricultural landscape. N2O fluxes from winter wheat fields were measured at seventeen sites across a 30-km2 region using manual chambers during the fertilization periods (between February and May) in 2009 and 2010. All sites received nitrogen (N) fertilizer at 170–195 kg N ha−1 and the N regimes were mostly independent. Soil properties were determined in air-dried samples. The potential denitrification rates and the maximum fraction of N2O emitted through denitrification were measured in a laboratory incubation experiment in May 2009 using soils at nine sites with acetylene blockage technique. Results showed a non-significant difference in the potential denitrification between soils (p = 0.078) but a significant difference in the fraction of N2O production through denitrification (p = 0.024). Neither of these biological parameters that represented the activity of denitrifying enzymes related to soil properties and N2O emissions. Cumulative N2O emissions had significant spatial variations in 2009 (p = 0.001) but not in 2010 (p = 0.222). Topography did not affect N2O emissions mostly due to the topographic effects on soil hydrology being partly offset by tile drainage. Soil texture (clay or silt content), pH and exchangeable magnesium (Mg) related significantly (p &lt; 0.05) to N2O emission factors (uncorrected for background emissions). We suggest that (1) soil clay content decreased gas diffusivity and promoted N2O reduction thereby controlling N2O emissions across the region, and (2) the effects of soil pH and Mg on N2O emissions indirectly reflected the effect of soil texture due to the interactions of soil properties.","container-title":"Soil Biology and Biochemistry","DOI":"10.1016/j.soilbio.2013.01.029","ISSN":"0038-0717","journalAbbreviation":"Soil Biology and Biochemistry","page":"134-141","source":"ScienceDirect","title":"A regional experiment suggests that soil texture is a major control of N2O emissions from tile-drained winter wheat fields during the fertilization period","volume":"60","author":[{"family":"Gu","given":"Jiangxin"},{"family":"Nicoullaud","given":"Bernard"},{"family":"Rochette","given":"Philippe"},{"family":"Grossel","given":"Agnes"},{"family":"Hénault","given":"Catherine"},{"family":"Cellier","given":"Pierre"},{"family":"Richard","given":"Guy"}],"issued":{"date-parts":[["2013",5,1]]}}},{"id":3606,"uris":["http://zotero.org/groups/6023057/items/6HD28ZZ4"],"itemData":{"id":3606,"type":"article-journal","abstract":"Nitrous oxide is a greenhouse gas and contributes to stratospheric ozone depletion. Soil physical conditions may influence N2O reduction and subsequent N2O emissions. We studied how soil water-filled pore space (WFPS) and soil bulk density (ρb) affect N2O reduction and surface fluxes. Columns were repacked with soil and arranged in a factorial design at three levels of WFPS (60, 75, and 90%) and three levels of soil ρb (0.94, 1.00, 1.07 Mg m−3). Over 19 d, 15N-enriched N2O was introduced at the base of the soil columns and N2O fluxes were measured. Relative gas diffusivities (Dp/Do) were also calculated. Soil ρb and WFPS interacted to affect the recovery of N2O-15N and the antecedent inorganic-N contribution to surface fluxes. Reduction rates of N2O-15N ranged from 0.15 to 0.47 mg N2O-N g−1 soil d−1. Calculated Dp/Do values correlated (P &amp;lt; 0.01) with soil NH4+–N (r = −0.73), NO3−–N (r = 0.93), cumulative N2O-N flux (r = 0.76), and N2O-N 15N enrichment (r = 0.80) and were affected by a soil WFPS × soil ρb interaction. Soil N transformations and the net surface N2O flux is dependent on the soil’s Dp/Do, and WFPS alone does not suffice to discriminate between N2O emission sources. Consequently, the soil surface N2O flux may be comprised of N2O originating from deeper soil layers transported upward and/or from production in the topsoil.","container-title":"Vadose Zone Journal","DOI":"10.2136/vzj2014.07.0089","ISSN":"1539-1663","issue":"11","journalAbbreviation":"Vadose Zone Journal","page":"vzj2014.07.0089","source":"Silverchair","title":"Soil Bulk Density and Moisture Content Influence Relative Gas Diffusivity and the Reduction of Nitrogen-15 Nitrous Oxide","volume":"13","author":[{"family":"Klefoth","given":"Roland R."},{"family":"Clough","given":"Tim J."},{"family":"Oenema","given":"Oene"},{"family":"Van Groenigen","given":"Jan-Willem"}],"issued":{"date-parts":[["2014",11,1]]}}}],"schema":"https://github.com/citation-style-language/schema/raw/master/csl-citation.json"} </w:instrText>
      </w:r>
      <w:r>
        <w:fldChar w:fldCharType="separate"/>
      </w:r>
      <w:r w:rsidRPr="006354BC">
        <w:t>(Fujikawa &amp; Miyazaki, 2005; Gu et al., 2013; Klefoth et al., 2014)</w:t>
      </w:r>
      <w:r>
        <w:fldChar w:fldCharType="end"/>
      </w:r>
      <w:r>
        <w:t>. However, we observed the opposite relationship. First, analysis of soil water characteristic curves revealed that the two finer textured soils had AEV at higher moisture contents than did the sand and loamy sand (</w:t>
      </w:r>
      <w:r w:rsidRPr="006122A9">
        <w:rPr>
          <w:b/>
        </w:rPr>
        <w:t>Table 4.1</w:t>
      </w:r>
      <w:r>
        <w:t>), indicating relatively greater gas diffusivity at 90% WFPS. In agreement, we measured high rates of N</w:t>
      </w:r>
      <w:r>
        <w:rPr>
          <w:vertAlign w:val="subscript"/>
        </w:rPr>
        <w:t>2</w:t>
      </w:r>
      <w:r>
        <w:t>O and CO</w:t>
      </w:r>
      <w:r>
        <w:rPr>
          <w:vertAlign w:val="subscript"/>
        </w:rPr>
        <w:t>2</w:t>
      </w:r>
      <w:r>
        <w:t xml:space="preserve"> emissions throughout the flooding period more commonly in fine textured soils, while gas emissions were depressed or delayed during this period in the coarse textured soils. </w:t>
      </w:r>
    </w:p>
    <w:p w14:paraId="78851AB6" w14:textId="3000EA6C" w:rsidR="00EE287F" w:rsidRDefault="00EE287F" w:rsidP="001B567A">
      <w:pPr>
        <w:pStyle w:val="Bibliography"/>
        <w:ind w:left="0" w:firstLine="0"/>
      </w:pPr>
      <w:r>
        <w:t>We theorize these seemingly counterintuitive results can be explained by the expansive and</w:t>
      </w:r>
      <w:r w:rsidR="00F76D64">
        <w:t xml:space="preserve"> </w:t>
      </w:r>
      <w:r>
        <w:t>aggregation properties also associated with the higher clay content of the two fine textured soils. Upon wetting, both the</w:t>
      </w:r>
      <w:r w:rsidRPr="00753AEA">
        <w:t xml:space="preserve"> </w:t>
      </w:r>
      <w:r>
        <w:t xml:space="preserve">sandy clay loam and clay loam soils expanded, lowering their bulk </w:t>
      </w:r>
      <w:r>
        <w:lastRenderedPageBreak/>
        <w:t>densities from the initial 1.4 g cm</w:t>
      </w:r>
      <w:r>
        <w:rPr>
          <w:vertAlign w:val="superscript"/>
        </w:rPr>
        <w:t>-3</w:t>
      </w:r>
      <w:r>
        <w:t xml:space="preserve"> to 1.31 g cm</w:t>
      </w:r>
      <w:r>
        <w:rPr>
          <w:vertAlign w:val="superscript"/>
        </w:rPr>
        <w:t>-3</w:t>
      </w:r>
      <w:r>
        <w:t xml:space="preserve"> and 1.22</w:t>
      </w:r>
      <w:r w:rsidRPr="00753AEA">
        <w:t xml:space="preserve"> </w:t>
      </w:r>
      <w:r>
        <w:t>g cm</w:t>
      </w:r>
      <w:r>
        <w:rPr>
          <w:vertAlign w:val="superscript"/>
        </w:rPr>
        <w:t>-3</w:t>
      </w:r>
      <w:r>
        <w:t>, respectively. While soil moisture was managed in response to maintain 90% WFPS, bulk density and the associated structural effects of swelling have profound impacts on gas diffusivity and N</w:t>
      </w:r>
      <w:r>
        <w:rPr>
          <w:vertAlign w:val="subscript"/>
        </w:rPr>
        <w:t>2</w:t>
      </w:r>
      <w:r>
        <w:t xml:space="preserve">O emissions. The expansion of clays disrupts aggregates and may release a sudden flush of mineralized carbon and nitrogen into the soil solution, leading to a subsequent burst of microbial activity </w:t>
      </w:r>
      <w:r>
        <w:fldChar w:fldCharType="begin"/>
      </w:r>
      <w:r w:rsidR="00D74AD1">
        <w:instrText xml:space="preserve"> ADDIN ZOTERO_ITEM CSL_CITATION {"citationID":"ONAxHDUV","properties":{"formattedCitation":"(Barrat et al., 2021; X. Guo et al., 2014; Navarro-Garc\\uc0\\u237{}a et al., 2012)","plainCitation":"(Barrat et al., 2021; X. Guo et al., 2014; Navarro-García et al., 2012)","noteIndex":0},"citationItems":[{"id":1277,"uris":["http://zotero.org/groups/4573874/items/RE9NEBZF"],"itemData":{"id":1277,"type":"article-journal","abstract":"The potential for soils to produce nitrous oxide (N2O) is impacted by past moisture conditions; however, the extent of this impact is not fully understood. We conducted the first review of this, using two literature searches and a meta-analysis. We found 36 studies out of a possible 735 that described experiments where soil moisture conditions had been controlled, such that the impact of antecedent moisture levels could be separated from contemporary moisture levels and attributed to N2O emissions. Of those studies, 14 (130 data points) used the appropriate experimental design and presented suitable data that could be standardized for the meta-analysis. We found that the degree to which the soil was rewetted and the water filled pore space (WFPS) the soil was brought to were significant explanatory variables (p = &lt; 0.0001). The larger the difference between the dry and wet states of the soil and the higher the WFPS of the soil after rewetting, the larger the hot moment, with an exponential increase once the soil is anaerobic. Substrate availability and fertiliser quantity and type were also important controls on the amount of N2O emitted during the hot moment (p = &lt; 0.0001). However, controls with a constant WFPS can have the same anaerobicity and substrate concentrations, yet much lower emissions, so we suggest that it is the bioavailability of and how the substrates are utilized by the microbial community, and thus how they are primed by the drought, that is the main causal mechanism. Unfortunately, there is still a large uncertainty regarding how microbial population structure, relative gene abundances and gene expression profiles change according to antecedent dry/wet cycles. We suggest several areas of improvement for future studies and the development of drought-impact curves. These would show the relationship between N2O emissions and the length of drought (we found no studies that have investigated this) and N2O emissions and the severity of drought (e.g. the difference between 20% and 40% WFPS). Highlights We investigated the main causal mechanisms of N2O hot moments after soil is rewetted. This is the first meta-analysis and synthesis of the literature regarding N2O hot moments. The more anaerobic the soil and the more C and N substrates, the larger the hot moment. We provide recommendations for future studies and outline key gaps in the research.","container-title":"European Journal of Soil Science","DOI":"10.1111/ejss.13015","ISSN":"1365-2389","issue":"6","language":"en","license":"© 2020 British Society of Soil Science","note":"_eprint: https://onlinelibrary.wiley.com/doi/pdf/10.1111/ejss.13015","page":"2504-2516","source":"Wiley Online Library","title":"The impact of drought and rewetting on N2O emissions from soil in temperate and Mediterranean climates","volume":"72","author":[{"family":"Barrat","given":"Harry A."},{"family":"Evans","given":"Jess"},{"family":"Chadwick","given":"David R."},{"family":"Clark","given":"Ian M."},{"family":"Le Cocq","given":"Kate"},{"family":"M. Cardenas","given":"Laura"}],"issued":{"date-parts":[["2021"]]}}},{"id":287,"uris":["http://zotero.org/users/6054951/items/5S54GVNQ"],"itemData":{"id":287,"type":"article-journal","abstract":"Soil drying and subsequent rewetting induces N mineralization and denitrification, but the effects of the “extent” or “degree” of drying and rewetting remains poorly understood. The impacts of different degrees of soil drying (drying to 45, 30, 20, or 10% water-filled pore space, WFPS) and subsequent rewetting (rewetting to 75 or 90% WFPS) on N2O emissions, denitrification, and net N mineralization were investigated. The highest N2O emissions (201 µg N2O-N kg-1) occurred when the soils were dried to 10% WFPS followed by rewetting to 90% WFPS, whereas the lowest emissions (4.72 µg N2O-N kg-1) occurred when the soil was dried to 45% WFPS followed by rewetting to 75% WFPS. When soil was rewetted from 10 to 90% WFPS, cumulative N2O emissions over 120 h were 7.4 times greater than when the soil was rewetted from 10 to 75% WFPS. The proportion of N2O evolved [N2O/(N2O+N2)] generally increased as the soil dried. Soil rewetting to 75% WFPS generally produced greater N2O/(N2O+N2) ratios than rewetting to 90% WFPS. Net N mineralization rates in soils rewetted to 75% WFPS significantly increased from 0.78 mg N kg-1 d-1 for the soils dried to 45% WFPS to 1.69 mg N kg-1 d-1 for the soils dried to 10% WFPS. More extensive soil drying and more extensive rewetting stimulated N2O emissions and total denitrification losses, whereas net N mineralization rates were stimulated only by more extensive drying. Management practices which reduce extreme fluctuations in soil water content may consequently reduce N2O and total denitrification losses.","container-title":"Soil Science Society of America Journal","DOI":"10.2136/sssaj2013.06.0219","ISSN":"1435-0661","issue":"1","language":"en","license":"Copyright © by the Soil Science Society of America, Inc.","note":"_eprint: https://acsess.onlinelibrary.wiley.com/doi/pdf/10.2136/sssaj2013.06.0219","page":"194-204","source":"Wiley Online Library","title":"The Extent of Soil Drying and Rewetting Affects Nitrous Oxide Emissions, Denitrification, and Nitrogen Mineralization","volume":"78","author":[{"family":"Guo","given":"Xiaobin"},{"family":"Drury","given":"Craig F."},{"family":"Yang","given":"Xueming"},{"family":"Reynolds","given":"W. Daniel"},{"family":"Fan","given":"Ruqin"}],"issued":{"date-parts":[["2014"]]}}},{"id":3632,"uris":["http://zotero.org/groups/6023057/items/S6ZJEERY"],"itemData":{"id":3632,"type":"article-journal","abstract":"Rewetting events after a drought produce a pulse of soil respiration (the “Birch Effect”) that leads to a loss of carbon from soil, especially in Mediterranean ecosystems. Two main hypotheses have developed to explain the Birch effect: the “metabolic explanation”, based on the rapid consumption of intracellular osmolytes previously accumulated to survive to dry conditions, and the “physical explanation”, based on the consumption of carbon made accessible by physical destruction of internal structures of the soil. Here, we compared the respiration response of intact and crushed 9–4 mm aggregates from a California grassland soil under two different rewetting schemes: (1) successive short dry/wet events and (2) increased drought periods followed by a single rewetting. In intact aggregates, both microbial biomass and respiration rates were relatively stable through both experimental treatments. In crushed aggregates, through multiple short dry/wet cycles, both respiration rate and microbial biomass increased, while as drought length increased, biomass was unaffected but the magnitude of the following rewetting pulse increased. A mechanism that explains both these results is that crushing aggregates exposes occluded particular material that must be degraded into an immediately bioavailable form for microbes to take it up and metabolize it. Nitrification was generally higher in intact than crushed aggregates, suggesting the importance of physical association between nitrifiers and resources in regulating overall soil nitrification. This work suggests that physical processes are most important in driving respiration pulses through multiple rewetting cycles and that the physical association of organisms, substrates, and mineral particles are critical in controlling the functioning of the “microbial landscape”.","container-title":"Soil Biology and Biochemistry","DOI":"10.1016/j.soilbio.2011.09.019","ISSN":"0038-0717","issue":"1","journalAbbreviation":"Soil Biology and Biochemistry","page":"1-8","source":"ScienceDirect","title":"When structure means conservation: Effect of aggregate structure in controlling microbial responses to rewetting events","title-short":"When structure means conservation","volume":"44","author":[{"family":"Navarro-García","given":"Federico"},{"family":"Casermeiro","given":"Miguel Ángel"},{"family":"Schimel","given":"Joshua P."}],"issued":{"date-parts":[["2012",1,1]]}}}],"schema":"https://github.com/citation-style-language/schema/raw/master/csl-citation.json"} </w:instrText>
      </w:r>
      <w:r>
        <w:fldChar w:fldCharType="separate"/>
      </w:r>
      <w:r w:rsidR="00D74AD1" w:rsidRPr="00D74AD1">
        <w:rPr>
          <w:rFonts w:cs="Times New Roman"/>
          <w:kern w:val="0"/>
        </w:rPr>
        <w:t>(Barrat et al., 2021; X. Guo et al., 2014; Navarro-García et al., 2012)</w:t>
      </w:r>
      <w:r>
        <w:fldChar w:fldCharType="end"/>
      </w:r>
      <w:r>
        <w:t xml:space="preserve">. This may lead to such rapid gas production that emissions become significant despite the effect of moisture slowing diffusion </w:t>
      </w:r>
      <w:r>
        <w:fldChar w:fldCharType="begin"/>
      </w:r>
      <w:r>
        <w:instrText xml:space="preserve"> ADDIN ZOTERO_ITEM CSL_CITATION {"citationID":"a2pojs0h7ar","properties":{"formattedCitation":"(Barrat et al., 2021)","plainCitation":"(Barrat et al., 2021)","noteIndex":0},"citationItems":[{"id":1277,"uris":["http://zotero.org/groups/4573874/items/RE9NEBZF"],"itemData":{"id":1277,"type":"article-journal","abstract":"The potential for soils to produce nitrous oxide (N2O) is impacted by past moisture conditions; however, the extent of this impact is not fully understood. We conducted the first review of this, using two literature searches and a meta-analysis. We found 36 studies out of a possible 735 that described experiments where soil moisture conditions had been controlled, such that the impact of antecedent moisture levels could be separated from contemporary moisture levels and attributed to N2O emissions. Of those studies, 14 (130 data points) used the appropriate experimental design and presented suitable data that could be standardized for the meta-analysis. We found that the degree to which the soil was rewetted and the water filled pore space (WFPS) the soil was brought to were significant explanatory variables (p = &lt; 0.0001). The larger the difference between the dry and wet states of the soil and the higher the WFPS of the soil after rewetting, the larger the hot moment, with an exponential increase once the soil is anaerobic. Substrate availability and fertiliser quantity and type were also important controls on the amount of N2O emitted during the hot moment (p = &lt; 0.0001). However, controls with a constant WFPS can have the same anaerobicity and substrate concentrations, yet much lower emissions, so we suggest that it is the bioavailability of and how the substrates are utilized by the microbial community, and thus how they are primed by the drought, that is the main causal mechanism. Unfortunately, there is still a large uncertainty regarding how microbial population structure, relative gene abundances and gene expression profiles change according to antecedent dry/wet cycles. We suggest several areas of improvement for future studies and the development of drought-impact curves. These would show the relationship between N2O emissions and the length of drought (we found no studies that have investigated this) and N2O emissions and the severity of drought (e.g. the difference between 20% and 40% WFPS). Highlights We investigated the main causal mechanisms of N2O hot moments after soil is rewetted. This is the first meta-analysis and synthesis of the literature regarding N2O hot moments. The more anaerobic the soil and the more C and N substrates, the larger the hot moment. We provide recommendations for future studies and outline key gaps in the research.","container-title":"European Journal of Soil Science","DOI":"10.1111/ejss.13015","ISSN":"1365-2389","issue":"6","language":"en","license":"© 2020 British Society of Soil Science","note":"_eprint: https://onlinelibrary.wiley.com/doi/pdf/10.1111/ejss.13015","page":"2504-2516","source":"Wiley Online Library","title":"The impact of drought and rewetting on N2O emissions from soil in temperate and Mediterranean climates","volume":"72","author":[{"family":"Barrat","given":"Harry A."},{"family":"Evans","given":"Jess"},{"family":"Chadwick","given":"David R."},{"family":"Clark","given":"Ian M."},{"family":"Le Cocq","given":"Kate"},{"family":"M. Cardenas","given":"Laura"}],"issued":{"date-parts":[["2021"]]}}}],"schema":"https://github.com/citation-style-language/schema/raw/master/csl-citation.json"} </w:instrText>
      </w:r>
      <w:r>
        <w:fldChar w:fldCharType="separate"/>
      </w:r>
      <w:r w:rsidRPr="00995B79">
        <w:rPr>
          <w:kern w:val="0"/>
        </w:rPr>
        <w:t>(Barrat et al., 2021)</w:t>
      </w:r>
      <w:r>
        <w:fldChar w:fldCharType="end"/>
      </w:r>
      <w:r>
        <w:t xml:space="preserve">. </w:t>
      </w:r>
    </w:p>
    <w:p w14:paraId="255EA404" w14:textId="5494CAE1" w:rsidR="00EE287F" w:rsidRPr="00BB3C0C" w:rsidRDefault="00EE287F" w:rsidP="001B567A">
      <w:pPr>
        <w:pStyle w:val="Bibliography"/>
        <w:ind w:left="0" w:firstLine="0"/>
      </w:pPr>
      <w:r>
        <w:t xml:space="preserve">Additionally, swelling tends to both increase overall porosity and macroporosity, increasing gas diffusivity and reducing the potential for gas entrapment </w:t>
      </w:r>
      <w:r>
        <w:fldChar w:fldCharType="begin"/>
      </w:r>
      <w:r w:rsidR="00D74AD1">
        <w:instrText xml:space="preserve"> ADDIN ZOTERO_ITEM CSL_CITATION {"citationID":"a26aql1lh41","properties":{"formattedCitation":"(T. Ma et al., 2020)","plainCitation":"(T. Ma et al., 2020)","noteIndex":0},"citationItems":[{"id":3633,"uris":["http://zotero.org/groups/6023057/items/I2CKD8X4"],"itemData":{"id":3633,"type":"article-journal","abstract":"This paper presents a comprehensive investigation on the microstructural evolutions of expansive clay during a drying–wetting cycle, including pore size distribution (PSD) via mercury intrusion porosimetry and water distribution via nuclear magnetic resonance (NMR). The soil water characteristic curves at different soil densities and soil shrinkage curve are also obtained, and a threshold suction can be identified to distinguish the adsorptive and capillary regimes of pore water. Combined with the water distribution obtained by the NMR technique, the evolutions of the adsorptive water and capillary water during drying–wetting cycle were addressed. The measured PSD curves of the expansive soils at different suctions showed two distinct peaks, corresponding to micropores and macropores, respectively. Both variations of macropores and micropores are irreversible during the wetting–drying cycle, which partly explain the adsorptive water content decreasing when the suction is small.","container-title":"Acta Geotechnica","DOI":"10.1007/s11440-020-00938-4","ISSN":"1861-1133","issue":"8","journalAbbreviation":"Acta Geotech.","language":"en","page":"2355-2366","source":"Springer Link","title":"Microstructural evolution of expansive clay during drying–wetting cycle","volume":"15","author":[{"family":"Ma","given":"Tiantian"},{"family":"Wei","given":"Changfu"},{"family":"Yao","given":"Chuanqin"},{"family":"Yi","given":"Panpan"}],"issued":{"date-parts":[["2020",8,1]]}}}],"schema":"https://github.com/citation-style-language/schema/raw/master/csl-citation.json"} </w:instrText>
      </w:r>
      <w:r>
        <w:fldChar w:fldCharType="separate"/>
      </w:r>
      <w:r w:rsidR="00D74AD1" w:rsidRPr="00D74AD1">
        <w:rPr>
          <w:rFonts w:cs="Times New Roman"/>
        </w:rPr>
        <w:t>(T. Ma et al., 2020)</w:t>
      </w:r>
      <w:r>
        <w:fldChar w:fldCharType="end"/>
      </w:r>
      <w:r>
        <w:t>. Lower bulk density has been associated with increased N</w:t>
      </w:r>
      <w:r>
        <w:rPr>
          <w:vertAlign w:val="subscript"/>
        </w:rPr>
        <w:t>2</w:t>
      </w:r>
      <w:r>
        <w:t>O emissions at high moisture content due to higher gas diffusivity and lower residence time of N</w:t>
      </w:r>
      <w:r>
        <w:rPr>
          <w:vertAlign w:val="subscript"/>
        </w:rPr>
        <w:t>2</w:t>
      </w:r>
      <w:r>
        <w:t xml:space="preserve">O </w:t>
      </w:r>
      <w:r>
        <w:fldChar w:fldCharType="begin"/>
      </w:r>
      <w:r>
        <w:instrText xml:space="preserve"> ADDIN ZOTERO_ITEM CSL_CITATION {"citationID":"a2d98ga0ugd","properties":{"formattedCitation":"(Harrison-Kirk et al., 2015; Klefoth et al., 2014; Rabot et al., 2016)","plainCitation":"(Harrison-Kirk et al., 2015; Klefoth et al., 2014; Rabot et al., 2016)","noteIndex":0},"citationItems":[{"id":3607,"uris":["http://zotero.org/groups/6023057/items/LYA5DYN2"],"itemData":{"id":3607,"type":"article-journal","abstract":"Nitrous oxide emitted from urine patches is a key source of agricultural greenhouse gas emissions. A better understanding of the complex soil environmental and biochemical regulation of urine-N transformations in wet soils is needed to predict N2O emissions from grazing and also to develop targeted mitigation technologies. Soil aeration, gas diffusion and drainage are key factors regulating N transformations and are affected by compaction during grazing. To understand how soil compaction from animal treading influences N transformations of urine in wet soils, we applied pressures of 0, 220 and 400 kPa to repacked soil cores, followed by 15N-labeled synthetic urine, and then subjected the cores to three successive saturation–drainage cycles on tension tables from 0 to 10 kPa. Compaction had a relatively small effect on soil bulk density (increasing from 0.81 to 0.88 Mg m−3), but strongly affected the pore size distribution. Compaction reduced both total soil porosity and macroporosity. It also affected the pore size distribution, principally by decreasing the proportion of 30–60 μm and 60–100 μm pores and increasing the proportion of micropores (&lt;30 μm). Rates of urine-N transformations, emissions of N2 and N2O, and the N2O to N2 ratio were affected by the saturation/drainage cycles and degree of compaction. During the first saturation–drainage cycle, production of both N2O and N2 was low (&lt;0.4 mg N m−2 h−1), probably because of anaerobic conditions inhibiting nitrification. In the second saturation/drainage cycle, the predominant product was N2 at all compaction rates. By the third cycle, with increasing availability of mineral-N substrates, N2O was the dominant product in the uncompacted (max = 4.70 mg N m−2 h−1) and 220 kPa compacted soils (max = 7.65 mg N m−2 h−1) with lower amounts of N2 produced, while N2 was produced in similar quantities to N2O (max = 3.11 mg N m−2 h−1) in the 400 kPa compacted soil. Reduced macroporosity in the most compacted soil contributed to more sustained N2 and N2O production as the soils drained. In addition, compaction affected the rate of change of soil pH and DOC, both of which affected the N2O to N2 ratio. Denitrification during drainage and re-saturation may make a large contribution to soil N2O emissions. Improving soil drainage and adopting grazing management practices that avoid soil compaction while increasing macroporosity will reduce total N2O and N2 emissions.","container-title":"Soil Biology and Biochemistry","DOI":"10.1016/j.soilbio.2015.05.022","ISSN":"0038-0717","journalAbbreviation":"Soil Biology and Biochemistry","page":"178-188","source":"ScienceDirect","title":"Compaction influences N2O and N2 emissions from 15N-labeled synthetic urine in wet soils during successive saturation/drainage cycles","volume":"88","author":[{"family":"Harrison-Kirk","given":"Tina"},{"family":"Thomas","given":"Steve M."},{"family":"Clough","given":"Tim J."},{"family":"Beare","given":"Mike H."},{"family":"Weerden","given":"Tony J.","non-dropping-particle":"van der"},{"family":"Meenken","given":"Esther D."}],"issued":{"date-parts":[["2015",9,1]]}}},{"id":3606,"uris":["http://zotero.org/groups/6023057/items/6HD28ZZ4"],"itemData":{"id":3606,"type":"article-journal","abstract":"Nitrous oxide is a greenhouse gas and contributes to stratospheric ozone depletion. Soil physical conditions may influence N2O reduction and subsequent N2O emissions. We studied how soil water-filled pore space (WFPS) and soil bulk density (ρb) affect N2O reduction and surface fluxes. Columns were repacked with soil and arranged in a factorial design at three levels of WFPS (60, 75, and 90%) and three levels of soil ρb (0.94, 1.00, 1.07 Mg m−3). Over 19 d, 15N-enriched N2O was introduced at the base of the soil columns and N2O fluxes were measured. Relative gas diffusivities (Dp/Do) were also calculated. Soil ρb and WFPS interacted to affect the recovery of N2O-15N and the antecedent inorganic-N contribution to surface fluxes. Reduction rates of N2O-15N ranged from 0.15 to 0.47 mg N2O-N g−1 soil d−1. Calculated Dp/Do values correlated (P &amp;lt; 0.01) with soil NH4+–N (r = −0.73), NO3−–N (r = 0.93), cumulative N2O-N flux (r = 0.76), and N2O-N 15N enrichment (r = 0.80) and were affected by a soil WFPS × soil ρb interaction. Soil N transformations and the net surface N2O flux is dependent on the soil’s Dp/Do, and WFPS alone does not suffice to discriminate between N2O emission sources. Consequently, the soil surface N2O flux may be comprised of N2O originating from deeper soil layers transported upward and/or from production in the topsoil.","container-title":"Vadose Zone Journal","DOI":"10.2136/vzj2014.07.0089","ISSN":"1539-1663","issue":"11","journalAbbreviation":"Vadose Zone Journal","page":"vzj2014.07.0089","source":"Silverchair","title":"Soil Bulk Density and Moisture Content Influence Relative Gas Diffusivity and the Reduction of Nitrogen-15 Nitrous Oxide","volume":"13","author":[{"family":"Klefoth","given":"Roland R."},{"family":"Clough","given":"Tim J."},{"family":"Oenema","given":"Oene"},{"family":"Van Groenigen","given":"Jan-Willem"}],"issued":{"date-parts":[["2014",11,1]]}}},{"id":1309,"uris":["http://zotero.org/groups/4573874/items/M3PIH88R"],"itemData":{"id":1309,"type":"article-journal","abstract":"Microbial N2O production may occur via denitrification, a reaction which is influenced by the soil's water content. This study aimed to test the effect of soil water dynamics on N2O production and transport. The treatments consisted of two levels of soil bulk density (BD), negative pressure head applied on the soil cylinder (H), and saturated hydraulic conductivity of the ceramic plate placed at the bottom of the soil sample (K). We controlled the water status of repacked soil samples during two wetting-drying cycles, by using a multistep outflow system. The matric potential, outflow, N2O, and CO2 fluxes were recorded over time. A brief N2O peak occurred at the beginning of soil drying: N2O produced and entrapped in the soil during the wetting phase was released during soil drying with the increase in soil gas diffusion. Similar peaks dynamics were observed for CO2, implying that a physical process was involved. A relationship was observed to occur with maximum N2O fluxes increasing exponentially with cumulative drainage. Indeed, during drying, high N2O fluxes were measured when the air-entry potential was reached, i.e., when gas pathways were available for fast N2O transport in the gas phase. Then, maximum and cumulative N2O fluxes were highest for low BD and fast water flow during drying. Samples with the highest BD had smaller pore sizes, leading to low outflows at a given negative pressure head, and giving more time for further reduction of N2O to N2. We ranked the importance of the parameters controlling cumulative N2O fluxes: H&gt;BD&gt;K.","container-title":"Geoderma","DOI":"10.1016/j.geoderma.2016.06.012","ISSN":"0016-7061","journalAbbreviation":"Geoderma","page":"38-46","source":"ScienceDirect","title":"Effect of the soil water dynamics on nitrous oxide emissions","volume":"280","author":[{"family":"Rabot","given":"E."},{"family":"Hénault","given":"C."},{"family":"Cousin","given":"I."}],"issued":{"date-parts":[["2016",10,15]]}}}],"schema":"https://github.com/citation-style-language/schema/raw/master/csl-citation.json"} </w:instrText>
      </w:r>
      <w:r>
        <w:fldChar w:fldCharType="separate"/>
      </w:r>
      <w:r w:rsidRPr="00995B79">
        <w:rPr>
          <w:kern w:val="0"/>
        </w:rPr>
        <w:t>(Harrison-Kirk et al., 2015; Klefoth et al., 2014; Rabot et al., 2016)</w:t>
      </w:r>
      <w:r>
        <w:fldChar w:fldCharType="end"/>
      </w:r>
      <w:r>
        <w:t>. Correspondingly, the higher expansive clay content of the clay loam compared to the sandy clay loam resulted in a greater degree of expansion, which was matched by higher CO</w:t>
      </w:r>
      <w:r>
        <w:rPr>
          <w:vertAlign w:val="subscript"/>
        </w:rPr>
        <w:t>2</w:t>
      </w:r>
      <w:r>
        <w:t xml:space="preserve"> and N</w:t>
      </w:r>
      <w:r>
        <w:rPr>
          <w:vertAlign w:val="subscript"/>
        </w:rPr>
        <w:t>2</w:t>
      </w:r>
      <w:r>
        <w:t>O emissions during the flooding period for the clay loam (</w:t>
      </w:r>
      <w:r w:rsidRPr="006122A9">
        <w:rPr>
          <w:b/>
        </w:rPr>
        <w:t>Figure 4.1</w:t>
      </w:r>
      <w:r>
        <w:t>). Though not completely inhibited, CO</w:t>
      </w:r>
      <w:r>
        <w:rPr>
          <w:vertAlign w:val="subscript"/>
        </w:rPr>
        <w:t xml:space="preserve">2 </w:t>
      </w:r>
      <w:r>
        <w:t xml:space="preserve">emissions from the sandy clay loam remained comparatively flatter during the flooding period than those of the clay loam, and subsequently rose sharply upon drying. These findings suggest that the greater degree of expansion of the clay loam led to consequently greater gas diffusion during the flooding period than other soil textures. </w:t>
      </w:r>
    </w:p>
    <w:p w14:paraId="3AC6F682" w14:textId="5329396C" w:rsidR="00EE287F" w:rsidRPr="0069494F" w:rsidRDefault="00EE287F" w:rsidP="001B567A">
      <w:pPr>
        <w:pStyle w:val="Heading3"/>
      </w:pPr>
      <w:bookmarkStart w:id="126" w:name="_Toc202173003"/>
      <w:bookmarkStart w:id="127" w:name="_Toc204282794"/>
      <w:bookmarkEnd w:id="125"/>
      <w:r>
        <w:t>Texture</w:t>
      </w:r>
      <w:r w:rsidRPr="0069494F">
        <w:t xml:space="preserve"> impact</w:t>
      </w:r>
      <w:r>
        <w:t>ed</w:t>
      </w:r>
      <w:r w:rsidRPr="0069494F">
        <w:t xml:space="preserve"> the timing of hot moments and underlying biological drivers</w:t>
      </w:r>
      <w:bookmarkEnd w:id="126"/>
      <w:bookmarkEnd w:id="127"/>
    </w:p>
    <w:p w14:paraId="7DEBB6E2" w14:textId="77777777" w:rsidR="00EE287F" w:rsidRPr="00010045" w:rsidRDefault="00EE287F" w:rsidP="001B567A">
      <w:pPr>
        <w:pStyle w:val="Bibliography"/>
        <w:ind w:left="0" w:firstLine="0"/>
      </w:pPr>
      <w:r>
        <w:t>N</w:t>
      </w:r>
      <w:r>
        <w:rPr>
          <w:vertAlign w:val="subscript"/>
        </w:rPr>
        <w:t>2</w:t>
      </w:r>
      <w:r>
        <w:t>O and CO</w:t>
      </w:r>
      <w:r>
        <w:rPr>
          <w:vertAlign w:val="subscript"/>
        </w:rPr>
        <w:t>2</w:t>
      </w:r>
      <w:r>
        <w:t xml:space="preserve"> emissions from sandy soils were depressed immediately after wetting to 90% WFPS, and nearly always reached their peak days after the wetting event. These results were in line with our expectations, as these soils were wetted to moisture levels beyond their AEV, which </w:t>
      </w:r>
      <w:r>
        <w:lastRenderedPageBreak/>
        <w:t xml:space="preserve">has been shown to lead to gas entrapment </w:t>
      </w:r>
      <w:r>
        <w:fldChar w:fldCharType="begin"/>
      </w:r>
      <w:r>
        <w:instrText xml:space="preserve"> ADDIN ZOTERO_ITEM CSL_CITATION {"citationID":"RtbmgCrd","properties":{"formattedCitation":"(Balaine et al., 2013; Harter et al., 2016; Weier et al., 1993)","plainCitation":"(Balaine et al., 2013; Harter et al., 2016; Weier et al., 1993)","noteIndex":0},"citationItems":[{"id":1324,"uris":["http://zotero.org/groups/4573874/items/8RSJKU2S"],"itemData":{"id":1324,"type":"article-journal","abstract":"Nitrous oxide (N2O) is a greenhouse gas and the main anthropogenic emission contributing to stratospheric ozone depletion. Agricultural soils dominate anthropogenic N2O emissions but there is very limited information specifically relating relative soil gas diffusivity (Dp/Do) to N2O emissions. This study was conducted to determine the effects of soil bulk density (ρb) and matric potential (ψ) on Dp/Do and the associated N2O fluxes in the presence of denitrification substrates. The interaction between soil ρb and ψ on Dp/Do and N2O fluxes was investigated using 880 repacked soil cores that were saturated with a nitrate (NO3–) solution and placed on tension tables at 11 levels of ψ and 5 levels of soil ρb. After equilibration (4 d) N2O fluxes, Dp/Do, inorganic-N concentrations, and soil physical characteristics were determined. Emissions of N2O peaked at increasingly lower levels of ψ(–1.5 to –6.0 kPa) as soil ρb increased (1.1 to 1.5 Mg m–3) due to increasing microporosity. Peak N2O emissions occurred across a relatively wide range of water-filled pore space (WFPS) and volumetric water content. A Gaussian fit of N2O-N fluxes against ψ showed maximum fluxes were related to the soil's air-entry potential (r2 = 0.96). Maximum N2O emissions occurred at a Dp/Do value of 0.006 that was independent of soil ρb. Log N2O-N flux was a function of log Dp/Do (r2 = 0.82) when Dp/Do was &gt;0.006. Soil Dp/Do is a key indicator of N2O emission potential and needs to be further explored as a predictor of N2O emissions in a range of soil textures and denitrification substrates.","container-title":"Soil Science Society of America Journal","DOI":"10.2136/sssaj2013.04.0141","ISSN":"1435-0661","issue":"5","language":"en","license":"Copyright © by the Soil Science Society of America, Inc.","note":"_eprint: https://onlinelibrary.wiley.com/doi/pdf/10.2136/sssaj2013.04.0141","page":"1496-1505","source":"Wiley Online Library","title":"Changes in Relative Gas Diffusivity Explain Soil Nitrous Oxide Flux Dynamics","volume":"77","author":[{"family":"Balaine","given":"Nimlesh"},{"family":"Clough","given":"Tim J."},{"family":"Beare","given":"Mike H."},{"family":"Thomas","given":"Steve M."},{"family":"Meenken","given":"Esther D."},{"family":"Ross","given":"James G."}],"issued":{"date-parts":[["2013"]]}}},{"id":1333,"uris":["http://zotero.org/groups/4573874/items/CCL4ZDXR"],"itemData":{"id":1333,"type":"article-journal","abstract":"Nitrous oxide (N2O) is a potent greenhouse gas that is produced during microbial nitrogen transformation processes such as nitrification and denitrification. Soils represent the largest sources of N2O emissions with nitrogen fertilizer application being the main driver of rising atmospheric N2O concentrations. Soil biochar amendment has been proposed as a promising tool to mitigate N2O emissions from soils. However, the underlying processes that cause N2O emission suppression in biochar-amended soils are still poorly understood. We set up microcosm experiments with fertilized, wet soil in which we used 15N tracing techniques and quantitative polymerase chain reaction (qPCR) to investigate the impact of biochar on mineral and gaseous nitrogen dynamics and denitrification-specific functional marker gene abundance and expression. In accordance with previous studies our results showed that biochar addition can lead to a significant decrease in N2O emissions. Furthermore, we determined significantly higher quantities of soil-entrapped N2O and N2 in biochar microcosms and a biochar-induced increase in typical and atypical nosZ transcript copy numbers. Our findings suggest that biochar-induced N2O emission mitigation is based on the entrapment of N2O in water-saturated pores of the soil matrix and concurrent stimulation of microbial N2O reduction resulting in an overall decrease of the N2O/(N2O + N2) ratio.","container-title":"Scientific Reports","DOI":"10.1038/srep39574","ISSN":"2045-2322","issue":"1","journalAbbreviation":"Sci Rep","language":"en","license":"2016 The Author(s)","note":"number: 1\npublisher: Nature Publishing Group","page":"39574","source":"www.nature.com","title":"Gas entrapment and microbial N2O reduction reduce N2O emissions from a biochar-amended sandy clay loam soil","volume":"6","author":[{"family":"Harter","given":"Johannes"},{"family":"Guzman-Bustamante","given":"Ivan"},{"family":"Kuehfuss","given":"Stefanie"},{"family":"Ruser","given":"Reiner"},{"family":"Well","given":"Reinhard"},{"family":"Spott","given":"Oliver"},{"family":"Kappler","given":"Andreas"},{"family":"Behrens","given":"Sebastian"}],"issued":{"date-parts":[["2016",12,23]]}}},{"id":3555,"uris":["http://zotero.org/groups/6023057/items/NYFDFYT9"],"itemData":{"id":3555,"type":"article-journal","abstract":"Biological denitrification is affected by many environmental factors that control the amount of N2 and N2O entering the atmosphere. This study was conducted to measure the effect of water-filled pore space (WFPS), available C, and soil NO3 concentration on total denitrification (N2 + N2O), using acetylene (C2H2) inhibition, and to ascertain if denitrification could be estimated from N2O measurements in the field using an average N2/N2O ratio. Repacked cores of four benchmark soils were brought to 60, 75, and 90% WFPS by applying treatments of glucose-C (0, 180, and 360 kg ha−1) and NO3-N (0, 50, and 100 kg ha−1). The cores were incubated at 25°C, with and without 100 mL C2H2 L−1, for 5 d during which daily gas samples of the headspace were analyzed for N2O and CO2. Total N loss due to denitrification generally increased as soil texture became finer and WFPS increased. The only exception to this was the C-amended sand, where N losses up to 26 and 66% were recorded at 60 and 75% WFPS, respectively. Denitrification rates at high N concentrations were quite small in the absence of an available C source but increased with increasing available C (glucose). The N2/N2O ratio generally increased with time of incubation after the initial treatment application. The largest ratios (up to 549) were found at the highest available C rate and generally at the highest soil water content. The presence of high NO3 concentrations apparently inhibited the conversion of N2O to N2, resulting in lower N2/N2O ratios. Using an average N2/N2O ratio for estimation of denitrification from N2O field measurements cannot be recommended because of the variation in this ratio due to the many environmental factors altered by field management that influence denitrification and the relative production of N2 and N2O.","container-title":"Soil Science Society of America Journal","DOI":"10.2136/sssaj1993.03615995005700010013x","ISSN":"1435-0661","issue":"1","language":"en","note":"_eprint: https://acsess.onlinelibrary.wiley.com/doi/pdf/10.2136/sssaj1993.03615995005700010013x","page":"66-72","source":"Wiley Online Library","title":"Denitrification and the Dinitrogen/Nitrous Oxide Ratio as Affected by Soil Water, Available Carbon, and Nitrate","volume":"57","author":[{"family":"Weier","given":"K. L."},{"family":"Doran","given":"J. W."},{"family":"Power","given":"J. F."},{"family":"Walters","given":"D. T."}],"issued":{"date-parts":[["1993"]]}}}],"schema":"https://github.com/citation-style-language/schema/raw/master/csl-citation.json"} </w:instrText>
      </w:r>
      <w:r>
        <w:fldChar w:fldCharType="separate"/>
      </w:r>
      <w:r w:rsidRPr="009C6C7A">
        <w:rPr>
          <w:rFonts w:cs="Times New Roman"/>
        </w:rPr>
        <w:t>(Balaine et al., 2013; Harter et al., 2016; Weier et al., 1993)</w:t>
      </w:r>
      <w:r>
        <w:fldChar w:fldCharType="end"/>
      </w:r>
      <w:r>
        <w:t>. In the 3F and 7F treatments, hot moments of N</w:t>
      </w:r>
      <w:r>
        <w:rPr>
          <w:vertAlign w:val="subscript"/>
        </w:rPr>
        <w:t>2</w:t>
      </w:r>
      <w:r>
        <w:t>O emissions from the sand and loamy sand commenced three days after wetting, while soils were still being held at 90% WFPS. This suggests that gases were not permanently entrapped, but their diffusion and escape to the atmosphere was slowed. Consistent with high degree of anoxia during this period, isotopomer analysis indicated that denitrification was overwhelmingly responsible for N</w:t>
      </w:r>
      <w:r>
        <w:rPr>
          <w:vertAlign w:val="subscript"/>
        </w:rPr>
        <w:t>2</w:t>
      </w:r>
      <w:r>
        <w:t>O production in the loamy sand during and immediately after the flooding period (~92%). On the other hand, nitrification played a much larger role in hot moment emissions in the sand (~33%), which would seem to contradict this explanation. However, the high contribution of nitrification to emissions from sand can be explained not by an increased rate of nitrification driven by aerobia, but rather the relatively low rate of denitrification. N</w:t>
      </w:r>
      <w:r>
        <w:rPr>
          <w:vertAlign w:val="subscript"/>
        </w:rPr>
        <w:t>2</w:t>
      </w:r>
      <w:r>
        <w:t xml:space="preserve">O emissions from sand were substantially lower than those from other soil textures, with peak hot moment emissions an order of magnitude less than the loamy sand. The occurrence of hot moments depends upon both anoxia and substrate availability </w:t>
      </w:r>
      <w:r>
        <w:fldChar w:fldCharType="begin"/>
      </w:r>
      <w:r>
        <w:instrText xml:space="preserve"> ADDIN ZOTERO_ITEM CSL_CITATION {"citationID":"VhlLInjt","properties":{"formattedCitation":"(McClain et al., 2003)","plainCitation":"(McClain et al., 2003)","noteIndex":0},"citationItems":[{"id":1273,"uris":["http://zotero.org/groups/4573874/items/XVDDXTU7"],"itemData":{"id":1273,"type":"article-journal","container-title":"Ecosystems","DOI":"10.1007/s10021-003-0161-9","ISSN":"1432-9840","issue":"4","journalAbbreviation":"Ecosystems","language":"en","page":"301-312","source":"Springer Link","title":"Biogeochemical Hot Spots and Hot Moments at the Interface of Terrestrial and Aquatic Ecosystems","volume":"6","author":[{"family":"McClain","given":"Michael E."},{"family":"Boyer","given":"Elizabeth W."},{"family":"Dent","given":"C. Lisa"},{"family":"Gergel","given":"Sarah E."},{"family":"Grimm","given":"Nancy B."},{"family":"Groffman","given":"Peter M."},{"family":"Hart","given":"Stephen C."},{"family":"Harvey","given":"Judson W."},{"family":"Johnston","given":"Carol A."},{"family":"Mayorga","given":"Emilio"},{"family":"McDowell","given":"William H."},{"family":"Pinay","given":"Gilles"}],"issued":{"date-parts":[["2003",6,1]]}}}],"schema":"https://github.com/citation-style-language/schema/raw/master/csl-citation.json"} </w:instrText>
      </w:r>
      <w:r>
        <w:fldChar w:fldCharType="separate"/>
      </w:r>
      <w:r w:rsidRPr="00121FCD">
        <w:t>(McClain et al., 2003)</w:t>
      </w:r>
      <w:r>
        <w:fldChar w:fldCharType="end"/>
      </w:r>
      <w:r>
        <w:t xml:space="preserve">. We hypothesize that the low carbon content of the sand inhibited the rate of heterotrophic denitrification, leading to the relatively, but not necessarily absolutely, higher importance of nitrification. </w:t>
      </w:r>
    </w:p>
    <w:p w14:paraId="56D3FE40" w14:textId="116507AC" w:rsidR="00EE287F" w:rsidRDefault="00EE287F" w:rsidP="001B567A">
      <w:pPr>
        <w:pStyle w:val="Bibliography"/>
        <w:ind w:left="0" w:firstLine="0"/>
      </w:pPr>
      <w:r>
        <w:t>In contrast to the coarse textured soils, both loamy soils produced peak hot moments within 24 hours of wetting. We observed that water absorbance</w:t>
      </w:r>
      <w:r w:rsidRPr="004D679E">
        <w:t xml:space="preserve"> </w:t>
      </w:r>
      <w:r>
        <w:t xml:space="preserve">in the loamy soils via capillary action and moisture diffusion was much slower than the sandy soils, related to their much higher clay content and consequently lower hydraulic conductivity </w:t>
      </w:r>
      <w:r>
        <w:fldChar w:fldCharType="begin"/>
      </w:r>
      <w:r>
        <w:instrText xml:space="preserve"> ADDIN ZOTERO_ITEM CSL_CITATION {"citationID":"a23kan8ip18","properties":{"formattedCitation":"(Sarki et al., 2014)","plainCitation":"(Sarki et al., 2014)","noteIndex":0},"citationItems":[{"id":3631,"uris":["http://zotero.org/groups/6023057/items/YBJIGIWD"],"itemData":{"id":3631,"type":"article-journal","container-title":"Journal of Agriculture and Veterinary Science","issue":"12","journalAbbreviation":"Journal of Agriculture and Veterinary Science","page":"56-62","title":"Determination of saturated hydraulic conductivity of different soil texture materials","volume":"7","author":[{"family":"Sarki","given":"Asadullah"},{"family":"Mirjat","given":"Muhammad Saffar"},{"family":"Mahessar","given":"Ali Asghar"},{"family":"Kori","given":"Shafi Muhammad"},{"family":"Qureshi","given":"Abdul Latif"}],"issued":{"date-parts":[["2014"]]}}}],"schema":"https://github.com/citation-style-language/schema/raw/master/csl-citation.json"} </w:instrText>
      </w:r>
      <w:r>
        <w:fldChar w:fldCharType="separate"/>
      </w:r>
      <w:r w:rsidRPr="00995B79">
        <w:rPr>
          <w:kern w:val="0"/>
        </w:rPr>
        <w:t>(Sarki et al., 2014)</w:t>
      </w:r>
      <w:r>
        <w:fldChar w:fldCharType="end"/>
      </w:r>
      <w:r>
        <w:t>, and had likely not reached a uniform water potential by the time of the first subsequent gas sampling. This, combined with the swelling properties of the finer textured soils increasing porosity in response to wetting, likely allowed for a prolonged period of both oxic and anoxic microsites. Thus, N</w:t>
      </w:r>
      <w:r>
        <w:rPr>
          <w:vertAlign w:val="subscript"/>
        </w:rPr>
        <w:t>2</w:t>
      </w:r>
      <w:r>
        <w:t xml:space="preserve">O </w:t>
      </w:r>
      <w:r>
        <w:lastRenderedPageBreak/>
        <w:t>produced via nitrification within aerobic microsites and denitrification within anaerobic microsites simultaneously was permitted to move through remaining air-filled pore spaces and exit the soil easily during this early period, producing immediate hot moments. Corroborating this hypothesis, isotopomer analysis demonstrated that nitrification played a disproportionately large role in driving N</w:t>
      </w:r>
      <w:r>
        <w:rPr>
          <w:vertAlign w:val="subscript"/>
        </w:rPr>
        <w:t>2</w:t>
      </w:r>
      <w:r>
        <w:t>O emissions from the sandy clay loam (25.3%) and clay loam (15.4%) soils 24 hours after wetting to 90% WFPS (</w:t>
      </w:r>
      <w:r w:rsidRPr="00F76D64">
        <w:rPr>
          <w:b/>
        </w:rPr>
        <w:t>Table 4.2</w:t>
      </w:r>
      <w:r>
        <w:t>). Soil ammonium content also fell in both the clay loam and sandy clay loam soils during this 24</w:t>
      </w:r>
      <w:r w:rsidR="00F76D64">
        <w:t>-</w:t>
      </w:r>
      <w:r>
        <w:t>hour period despite the addition of ammonium nitrate fertilizer (</w:t>
      </w:r>
      <w:r w:rsidRPr="00F76D64">
        <w:rPr>
          <w:b/>
        </w:rPr>
        <w:t>Figure 4.2</w:t>
      </w:r>
      <w:r>
        <w:t xml:space="preserve">), indicating considerable remaining areas of air-filled pores permitting aerobic nitrification. </w:t>
      </w:r>
    </w:p>
    <w:p w14:paraId="1DCDCAB9" w14:textId="77777777" w:rsidR="00EE287F" w:rsidRPr="00DA6667" w:rsidRDefault="00EE287F" w:rsidP="001B567A">
      <w:pPr>
        <w:pStyle w:val="Bibliography"/>
        <w:ind w:left="0" w:firstLine="0"/>
      </w:pPr>
      <w:r>
        <w:t>Soon after N</w:t>
      </w:r>
      <w:r>
        <w:rPr>
          <w:vertAlign w:val="subscript"/>
        </w:rPr>
        <w:t>2</w:t>
      </w:r>
      <w:r>
        <w:t>O emissions from the clay loam and sandy clay loam soils peaked upon wetting, they dropped precipitously across all flooding treatments. Two possible mechanistic explanations for these sharp declines include (1) an expenditure of available substrate for denitrification, and (2) an increase in gas entrapment upon finally reaching saturation, promoting complete denitrification and a shift to N</w:t>
      </w:r>
      <w:r>
        <w:rPr>
          <w:vertAlign w:val="subscript"/>
        </w:rPr>
        <w:t>2</w:t>
      </w:r>
      <w:r>
        <w:t xml:space="preserve"> as the major product emitted. Evidence indicates gas entrapment may have played a role in reducing N</w:t>
      </w:r>
      <w:r>
        <w:rPr>
          <w:vertAlign w:val="subscript"/>
        </w:rPr>
        <w:t>2</w:t>
      </w:r>
      <w:r>
        <w:t>O emissions in the sandy clay loam. This soil experienced only slight expansion upon wetting, limiting the impact of lowered bulk density to gas diffusion. Correspondingly, the sandy clay loam exhibited relatively low emissions of all gases measured during the flooding period beyond the first 24 hours, which is consistent with impeded gas diffusion and entrapment (</w:t>
      </w:r>
      <w:r w:rsidRPr="00F76D64">
        <w:rPr>
          <w:b/>
        </w:rPr>
        <w:t>Figure 4.6</w:t>
      </w:r>
      <w:r>
        <w:t>). However, our hypothesis that expansion of soils upon wetting led to an increase in gas diffusivity would suggest that gas entrapment is unlikely to have led to the decline in N</w:t>
      </w:r>
      <w:r>
        <w:rPr>
          <w:vertAlign w:val="subscript"/>
        </w:rPr>
        <w:t>2</w:t>
      </w:r>
      <w:r>
        <w:t>O emissions in the clay loam. The clay loam expanded greatly due to its high clay content, thus it should follow that gas diffusion and emissions were promoted to the greatest extent. Corroborating this explanation, significant emissions of N</w:t>
      </w:r>
      <w:r>
        <w:rPr>
          <w:vertAlign w:val="subscript"/>
        </w:rPr>
        <w:t>2</w:t>
      </w:r>
      <w:r>
        <w:t>O, CO</w:t>
      </w:r>
      <w:r>
        <w:rPr>
          <w:vertAlign w:val="subscript"/>
        </w:rPr>
        <w:t>2</w:t>
      </w:r>
      <w:r>
        <w:t xml:space="preserve">, and, to a </w:t>
      </w:r>
      <w:r>
        <w:lastRenderedPageBreak/>
        <w:t>lesser extent, CH</w:t>
      </w:r>
      <w:r>
        <w:rPr>
          <w:vertAlign w:val="subscript"/>
        </w:rPr>
        <w:t>4</w:t>
      </w:r>
      <w:r>
        <w:t xml:space="preserve"> indeed persisted throughout the flooding periods in the clay loam. Rather, a likely mechanism for the decline in N</w:t>
      </w:r>
      <w:r>
        <w:rPr>
          <w:vertAlign w:val="subscript"/>
        </w:rPr>
        <w:t>2</w:t>
      </w:r>
      <w:r>
        <w:t xml:space="preserve">O emissions in the clay loam, and playing a contributing role in the sandy clay loam, was the expenditure of available nitrogen and carbon substrates </w:t>
      </w:r>
      <w:r>
        <w:fldChar w:fldCharType="begin"/>
      </w:r>
      <w:r>
        <w:instrText xml:space="preserve"> ADDIN ZOTERO_ITEM CSL_CITATION {"citationID":"ifzBg2so","properties":{"formattedCitation":"(X. Guo et al., 2014)","plainCitation":"(X. Guo et al., 2014)","dontUpdate":true,"noteIndex":0},"citationItems":[{"id":287,"uris":["http://zotero.org/users/6054951/items/5S54GVNQ"],"itemData":{"id":287,"type":"article-journal","abstract":"Soil drying and subsequent rewetting induces N mineralization and denitrification, but the effects of the “extent” or “degree” of drying and rewetting remains poorly understood. The impacts of different degrees of soil drying (drying to 45, 30, 20, or 10% water-filled pore space, WFPS) and subsequent rewetting (rewetting to 75 or 90% WFPS) on N2O emissions, denitrification, and net N mineralization were investigated. The highest N2O emissions (201 µg N2O-N kg-1) occurred when the soils were dried to 10% WFPS followed by rewetting to 90% WFPS, whereas the lowest emissions (4.72 µg N2O-N kg-1) occurred when the soil was dried to 45% WFPS followed by rewetting to 75% WFPS. When soil was rewetted from 10 to 90% WFPS, cumulative N2O emissions over 120 h were 7.4 times greater than when the soil was rewetted from 10 to 75% WFPS. The proportion of N2O evolved [N2O/(N2O+N2)] generally increased as the soil dried. Soil rewetting to 75% WFPS generally produced greater N2O/(N2O+N2) ratios than rewetting to 90% WFPS. Net N mineralization rates in soils rewetted to 75% WFPS significantly increased from 0.78 mg N kg-1 d-1 for the soils dried to 45% WFPS to 1.69 mg N kg-1 d-1 for the soils dried to 10% WFPS. More extensive soil drying and more extensive rewetting stimulated N2O emissions and total denitrification losses, whereas net N mineralization rates were stimulated only by more extensive drying. Management practices which reduce extreme fluctuations in soil water content may consequently reduce N2O and total denitrification losses.","container-title":"Soil Science Society of America Journal","DOI":"10.2136/sssaj2013.06.0219","ISSN":"1435-0661","issue":"1","language":"en","license":"Copyright © by the Soil Science Society of America, Inc.","note":"_eprint: https://acsess.onlinelibrary.wiley.com/doi/pdf/10.2136/sssaj2013.06.0219","page":"194-204","source":"Wiley Online Library","title":"The Extent of Soil Drying and Rewetting Affects Nitrous Oxide Emissions, Denitrification, and Nitrogen Mineralization","volume":"78","author":[{"family":"Guo","given":"Xiaobin"},{"family":"Drury","given":"Craig F."},{"family":"Yang","given":"Xueming"},{"family":"Reynolds","given":"W. Daniel"},{"family":"Fan","given":"Ruqin"}],"issued":{"date-parts":[["2014"]]}}}],"schema":"https://github.com/citation-style-language/schema/raw/master/csl-citation.json"} </w:instrText>
      </w:r>
      <w:r>
        <w:fldChar w:fldCharType="separate"/>
      </w:r>
      <w:r w:rsidRPr="005F68B9">
        <w:t>(Guo et al., 2014)</w:t>
      </w:r>
      <w:r>
        <w:fldChar w:fldCharType="end"/>
      </w:r>
      <w:r>
        <w:t>. Soils were supplied with a small amount of inorganic nitrogen, intended to replicate late-season quantities. As a result, available substrate was likely expended after only a short period due to the rapid microbial activity.</w:t>
      </w:r>
    </w:p>
    <w:p w14:paraId="7AE6DD24" w14:textId="6CDE1955" w:rsidR="00EE287F" w:rsidRPr="0069494F" w:rsidRDefault="00EE287F" w:rsidP="001B567A">
      <w:pPr>
        <w:pStyle w:val="Heading3"/>
      </w:pPr>
      <w:bookmarkStart w:id="128" w:name="_Toc204282795"/>
      <w:r>
        <w:t>Dissolved organic carbon availability primarily drove cumulative emissions</w:t>
      </w:r>
      <w:bookmarkEnd w:id="128"/>
    </w:p>
    <w:p w14:paraId="05BEA84A" w14:textId="77777777" w:rsidR="00EE287F" w:rsidRPr="00E82E78" w:rsidRDefault="00EE287F" w:rsidP="001B567A">
      <w:pPr>
        <w:spacing w:after="0" w:line="480" w:lineRule="auto"/>
      </w:pPr>
      <w:r>
        <w:t>The most impactful effect on cumulative N</w:t>
      </w:r>
      <w:r>
        <w:rPr>
          <w:vertAlign w:val="subscript"/>
        </w:rPr>
        <w:t>2</w:t>
      </w:r>
      <w:r>
        <w:t xml:space="preserve">O emissions identified by OLS regression was the availability of dissolved organic carbon upon commencement of the experiment. This pool of carbon represents the most readily available pool to denitrifiers, in contrast to the total organic carbon which is often dominated by more physically protected mineral-associated organic matter </w:t>
      </w:r>
      <w:r>
        <w:fldChar w:fldCharType="begin"/>
      </w:r>
      <w:r>
        <w:instrText xml:space="preserve"> ADDIN ZOTERO_ITEM CSL_CITATION {"citationID":"a2hhith5r8t","properties":{"formattedCitation":"(Stuchiner et al., 2024)","plainCitation":"(Stuchiner et al., 2024)","noteIndex":0},"citationItems":[{"id":3592,"uris":["http://zotero.org/groups/6023057/items/2B2DZRHP"],"itemData":{"id":3592,"type":"article-journal","abstract":"High spatiotemporal variability in soil nitrous oxide (N2O) fluxes challenges quantification and prediction of emissions to evaluate the climate change mitigation outcomes of sustainable agricultural practices. Triggers for large, short-lived N2O emission pulses, such as rainfall and fertilization, alter soil oxygen (O2) and nitrate (NO3–) availability to favor N2O production via denitrification. However, the organic C (OC) needed to fuel denitrification may exhibit subfield variation that constrains the potential for high denitrification rates to occur, leading to spatial variation in N2O hot moments. We tested the hypothesis that the particulate organic matter (POM) fraction of soil organic matter (SOM) controls subfield variation in denitrification potential by regulating availability of dissolved organic C (DOC), the form of OC used by denitrifiers. Among 38 soil samples collected across a maize field in central Illinois, USA, we found that potential denitrification rate was best predicted by POM C concentration (R2 = 0.35). Using multiple linear regression analysis that included other soil properties as explanatory variables, we found that POM C fraction of bulk soil (mg POM C/g SOC) was the most important predictor based on regression coefficient size (P &lt; 0.01). Our results, which provide support for our hypothesis, suggest that consideration of the link between C and N cycling may be a key to predicting spatiotemporal variation in soil N2O emissions when denitrification is the dominant N2O source process.","container-title":"Geoderma","DOI":"10.1016/j.geoderma.2024.116943","ISSN":"0016-7061","journalAbbreviation":"Geoderma","page":"116943","source":"ScienceDirect","title":"Particulate organic matter predicts spatial variation in denitrification potential at the field scale","volume":"448","author":[{"family":"Stuchiner","given":"Emily R."},{"family":"Jernigan","given":"Wyatt A."},{"family":"Zhang","given":"Ziliang"},{"family":"Eddy","given":"William C."},{"family":"DeLucia","given":"Evan H."},{"family":"Yang","given":"Wendy H."}],"issued":{"date-parts":[["2024",8,1]]}}}],"schema":"https://github.com/citation-style-language/schema/raw/master/csl-citation.json"} </w:instrText>
      </w:r>
      <w:r>
        <w:fldChar w:fldCharType="separate"/>
      </w:r>
      <w:r w:rsidRPr="00995B79">
        <w:rPr>
          <w:kern w:val="0"/>
        </w:rPr>
        <w:t>(Stuchiner et al., 2024)</w:t>
      </w:r>
      <w:r>
        <w:fldChar w:fldCharType="end"/>
      </w:r>
      <w:r>
        <w:t>. As such, over the course of a brief incubation experiment with limited time allowing for depolymerization, mineralization, and respiration, it is logical that this most immediately accessible portion of organic carbon was most strongly related to the denitrification rate and total N</w:t>
      </w:r>
      <w:r>
        <w:rPr>
          <w:vertAlign w:val="subscript"/>
        </w:rPr>
        <w:t>2</w:t>
      </w:r>
      <w:r>
        <w:t>O emissions. We also observed an exponential increase in N</w:t>
      </w:r>
      <w:r>
        <w:rPr>
          <w:vertAlign w:val="subscript"/>
        </w:rPr>
        <w:t>2</w:t>
      </w:r>
      <w:r>
        <w:t>O emissions with increasing DOC content (</w:t>
      </w:r>
      <w:r w:rsidRPr="00F76D64">
        <w:rPr>
          <w:b/>
        </w:rPr>
        <w:t>Table 4.3</w:t>
      </w:r>
      <w:r>
        <w:t xml:space="preserve">), which has also been reported in prior work </w:t>
      </w:r>
      <w:r>
        <w:fldChar w:fldCharType="begin"/>
      </w:r>
      <w:r>
        <w:instrText xml:space="preserve"> ADDIN ZOTERO_ITEM CSL_CITATION {"citationID":"am5v2qbij2","properties":{"formattedCitation":"(Harrison-Kirk et al., 2013)","plainCitation":"(Harrison-Kirk et al., 2013)","noteIndex":0},"citationItems":[{"id":1306,"uris":["http://zotero.org/groups/4573874/items/EC2JM25D"],"itemData":{"id":1306,"type":"article-journal","abstract":"Soil organic matter (SOM) content and texture are important factors affecting carbon (C) and nitrogen (N) mineralisation under constant soil moisture but their effects on organic matter mineralisation and associated biogenic gas (carbon dioxide (CO2) and nitrous oxide (N2O)) production during dry/wet cycles is poorly understood. A laboratory incubation study was conducted to quantify CO2 and N2O production during sequential dry/wet cycles and under constant soil moisture conditions along a gradient of SOM contents in two soil types representing different texture classes (silt loam vs. clay loam). Three soil moisture treatments were established: wet (WW; field capacity), moderately dry (MD; 120% of soil moisture content (SMC) at wilting point (WP)) and very dry (VD; 80% of SMC at WP). To each of the two ‘dry’ treatments two different dry/wet treatments were applied where the soils were either maintained continuously dry (MD &amp; VD) or subjected to three sequential 20-day long dry/wet cycles (MDW &amp; VDW) during the treatment phase of the experiment. At field capacity soil moisture content, the rate of C mineralisation increased with increases in SOC content and the increase per unit of C was twice as high in silt loam (0.30mgCO2-Cg−1SOCd−1) as in clay loam (0.13mgCO2-Cg−1SOCd−1) soils. N2O-N emissions also increased with increasing in SOC content. However, in contrast to C mineralisation, the effect was four-fold greater for clay loam (1.38μgN2O-Ng−1SOCd−1) than silt loam (0.32μgN2O-Ng−1SOCd−1) soils. Following rewetting, the VDW and MDW soils produced a short-term C mineralisation flush that was, on average, 30% and 15% greater, respectively, than in WW soils. However, the flush of C mineralisation was not sufficient to compensate for the reduction in mineralisation during the drying phase of each cycle, resulting in a lower total C mineralisation from MDW and VDW soils, on average, compared with WW soils over the three sequential dry/wet cycles. The C mineralisation flush also remained a relatively constant proportion of the total C mineralised from both silt loam (23%) and clay loam soils (22%), irrespective of their SOC content. In contrast, the short-term flush of N2O that followed rewetting of dry soil accounted for 62% and 68% of the total N2O emissions from silt loam and clay loam soils, respectively. On average, the total N2O emissions from dry/wet treatments imposed on silt loam and clay loam soils were 33% and 270% greater, respectively, than from the WW treatments, though the effect varied greatly and depended on SOC content. Overall, N2O emissions were highest where we had a combination of fine texture, an adequate supply of available C (i.e. high SOM content), and a water-filled pore space (WFPS) &gt; 0.60 cm cm−3 at field capacity. Prediction of C mineralisation over dry/wet cycles using mineralisation data from soils at constant moisture content is possible, but knowledge of the stress history for the soil would be required to improve accuracy. The prediction of N2O-N emissions during dry/wet cycles using emission data from soils at constant moisture was very inaccurate, due to the inherent spatial variability of N2O emissions.","container-title":"Soil Biology and Biochemistry","DOI":"10.1016/j.soilbio.2012.10.008","ISSN":"0038-0717","journalAbbreviation":"Soil Biology and Biochemistry","page":"43-55","source":"ScienceDirect","title":"Soil organic matter and texture affect responses to dry/wet cycles: Effects on carbon dioxide and nitrous oxide emissions","title-short":"Soil organic matter and texture affect responses to dry/wet cycles","volume":"57","author":[{"family":"Harrison-Kirk","given":"T."},{"family":"Beare","given":"M. H."},{"family":"Meenken","given":"E. D."},{"family":"Condron","given":"L. M."}],"issued":{"date-parts":[["2013",2,1]]}}}],"schema":"https://github.com/citation-style-language/schema/raw/master/csl-citation.json"} </w:instrText>
      </w:r>
      <w:r>
        <w:fldChar w:fldCharType="separate"/>
      </w:r>
      <w:r w:rsidRPr="00995B79">
        <w:rPr>
          <w:kern w:val="0"/>
        </w:rPr>
        <w:t>(Harrison-Kirk et al., 2013)</w:t>
      </w:r>
      <w:r>
        <w:fldChar w:fldCharType="end"/>
      </w:r>
      <w:r>
        <w:t>. However, it should be considered that DOC availability was tightly associated with soil texture, considering that soil cores were prepared from bulk samples from each texture.</w:t>
      </w:r>
    </w:p>
    <w:p w14:paraId="7E4ADC3F" w14:textId="262B4A75" w:rsidR="00EE287F" w:rsidRPr="0069494F" w:rsidRDefault="00EE287F" w:rsidP="001B567A">
      <w:pPr>
        <w:pStyle w:val="Heading3"/>
      </w:pPr>
      <w:bookmarkStart w:id="129" w:name="_Toc204282796"/>
      <w:r w:rsidRPr="0069494F">
        <w:t>Flooding duration increased cumulative emissions</w:t>
      </w:r>
      <w:r>
        <w:t xml:space="preserve"> to a limited extent</w:t>
      </w:r>
      <w:bookmarkEnd w:id="129"/>
    </w:p>
    <w:p w14:paraId="18F05407" w14:textId="77777777" w:rsidR="00EE287F" w:rsidRPr="00EF427E" w:rsidRDefault="00EE287F" w:rsidP="001B567A">
      <w:pPr>
        <w:spacing w:after="0" w:line="480" w:lineRule="auto"/>
      </w:pPr>
      <w:r>
        <w:t xml:space="preserve">Four soils encompassing a broad range of textures were wetted to 90% WFPS and held at this high moisture level for varying periods of time. We hypothesized that entrapment of gas by high soil moisture would lead to more complete denitrification and a reduction in emissions in hot moments delayed by low gas diffusion, with a more pronounced effect in finer textured soils </w:t>
      </w:r>
      <w:r>
        <w:lastRenderedPageBreak/>
        <w:fldChar w:fldCharType="begin"/>
      </w:r>
      <w:r>
        <w:instrText xml:space="preserve"> ADDIN ZOTERO_ITEM CSL_CITATION {"citationID":"a1qo61q0tjf","properties":{"formattedCitation":"(Harter et al., 2016)","plainCitation":"(Harter et al., 2016)","noteIndex":0},"citationItems":[{"id":1333,"uris":["http://zotero.org/groups/4573874/items/CCL4ZDXR"],"itemData":{"id":1333,"type":"article-journal","abstract":"Nitrous oxide (N2O) is a potent greenhouse gas that is produced during microbial nitrogen transformation processes such as nitrification and denitrification. Soils represent the largest sources of N2O emissions with nitrogen fertilizer application being the main driver of rising atmospheric N2O concentrations. Soil biochar amendment has been proposed as a promising tool to mitigate N2O emissions from soils. However, the underlying processes that cause N2O emission suppression in biochar-amended soils are still poorly understood. We set up microcosm experiments with fertilized, wet soil in which we used 15N tracing techniques and quantitative polymerase chain reaction (qPCR) to investigate the impact of biochar on mineral and gaseous nitrogen dynamics and denitrification-specific functional marker gene abundance and expression. In accordance with previous studies our results showed that biochar addition can lead to a significant decrease in N2O emissions. Furthermore, we determined significantly higher quantities of soil-entrapped N2O and N2 in biochar microcosms and a biochar-induced increase in typical and atypical nosZ transcript copy numbers. Our findings suggest that biochar-induced N2O emission mitigation is based on the entrapment of N2O in water-saturated pores of the soil matrix and concurrent stimulation of microbial N2O reduction resulting in an overall decrease of the N2O/(N2O + N2) ratio.","container-title":"Scientific Reports","DOI":"10.1038/srep39574","ISSN":"2045-2322","issue":"1","journalAbbreviation":"Sci Rep","language":"en","license":"2016 The Author(s)","note":"number: 1\npublisher: Nature Publishing Group","page":"39574","source":"www.nature.com","title":"Gas entrapment and microbial N2O reduction reduce N2O emissions from a biochar-amended sandy clay loam soil","volume":"6","author":[{"family":"Harter","given":"Johannes"},{"family":"Guzman-Bustamante","given":"Ivan"},{"family":"Kuehfuss","given":"Stefanie"},{"family":"Ruser","given":"Reiner"},{"family":"Well","given":"Reinhard"},{"family":"Spott","given":"Oliver"},{"family":"Kappler","given":"Andreas"},{"family":"Behrens","given":"Sebastian"}],"issued":{"date-parts":[["2016",12,23]]}}}],"schema":"https://github.com/citation-style-language/schema/raw/master/csl-citation.json"} </w:instrText>
      </w:r>
      <w:r>
        <w:fldChar w:fldCharType="separate"/>
      </w:r>
      <w:r w:rsidRPr="00995B79">
        <w:rPr>
          <w:kern w:val="0"/>
        </w:rPr>
        <w:t>(Harter et al., 2016)</w:t>
      </w:r>
      <w:r>
        <w:fldChar w:fldCharType="end"/>
      </w:r>
      <w:r>
        <w:t>. In contrast to our expectations, increased flooding duration led to equal or greater magnitudes of hot moments and cumulative emissions in all soils, whether or not there was evidence that high soil moisture led to temporary gas entrapment. In three out of four soil textures, cumulative flux was significantly greater after seven days of flooding compared to emissions from the transient flooding event (</w:t>
      </w:r>
      <w:r w:rsidRPr="002F2AAB">
        <w:rPr>
          <w:b/>
        </w:rPr>
        <w:t>Figure 4.3</w:t>
      </w:r>
      <w:r>
        <w:t>). In the fourth soil, the sandy clay loam, emissions were 14% higher in the 3F and 7F treatments than the 0F treatment, though the impact of flooding duration may have been diluted by the strong influence of high DOC availability driving much higher emissions than observed in other soils (</w:t>
      </w:r>
      <w:r w:rsidRPr="002F2AAB">
        <w:rPr>
          <w:b/>
        </w:rPr>
        <w:t>Figure 4.3</w:t>
      </w:r>
      <w:r>
        <w:t xml:space="preserve">). However, evidence from temporal flux measurements, Tukey’s HSD, and regression analysis all indicated that the effect of flooding duration on increased emissions greatly diminished between the 3F and 7F treatments, which were never significantly different in cumulative emissions for a given soil. </w:t>
      </w:r>
    </w:p>
    <w:p w14:paraId="56D43CD3" w14:textId="77777777" w:rsidR="00EE287F" w:rsidRPr="009F018E" w:rsidRDefault="00EE287F" w:rsidP="001B567A">
      <w:pPr>
        <w:spacing w:after="0" w:line="480" w:lineRule="auto"/>
      </w:pPr>
      <w:r>
        <w:t>OLS regression analysis also indicated that the impact of flooding duration on increasing cumulative emissions also depended on clay content (</w:t>
      </w:r>
      <w:r w:rsidRPr="002F2AAB">
        <w:rPr>
          <w:b/>
        </w:rPr>
        <w:t>Table 4.3</w:t>
      </w:r>
      <w:r>
        <w:t>). Our model predicted that as the flooding period was extended, clay content had an increasingly positive impact on cumulative emissions (</w:t>
      </w:r>
      <w:r w:rsidRPr="002F2AAB">
        <w:rPr>
          <w:b/>
        </w:rPr>
        <w:t>Figure 4.4</w:t>
      </w:r>
      <w:r>
        <w:t>). This again follows from our hypothesis that texture and clay content played a key role in dictating cumulative N</w:t>
      </w:r>
      <w:r>
        <w:rPr>
          <w:vertAlign w:val="subscript"/>
        </w:rPr>
        <w:t>2</w:t>
      </w:r>
      <w:r>
        <w:t>O emissions through its expansive properties. Considering that the clays found in our soils were expansive, greater clay content led to greater expansion and a magnified impact on bulk density, porosity, and gas diffusivity at high soil moisture, and therefore greater N</w:t>
      </w:r>
      <w:r>
        <w:rPr>
          <w:vertAlign w:val="subscript"/>
        </w:rPr>
        <w:t>2</w:t>
      </w:r>
      <w:r>
        <w:t>O emissions while flooded. Therefore, longer flooding period magnified the impact of texture on cumulative N</w:t>
      </w:r>
      <w:r>
        <w:rPr>
          <w:vertAlign w:val="subscript"/>
        </w:rPr>
        <w:t>2</w:t>
      </w:r>
      <w:r>
        <w:t>O emissions.</w:t>
      </w:r>
    </w:p>
    <w:p w14:paraId="272E51E8" w14:textId="7EE4DEE5" w:rsidR="00EE287F" w:rsidRPr="0069494F" w:rsidRDefault="00EE287F" w:rsidP="001B567A">
      <w:pPr>
        <w:pStyle w:val="Heading2"/>
      </w:pPr>
      <w:bookmarkStart w:id="130" w:name="_Toc202173004"/>
      <w:bookmarkStart w:id="131" w:name="_Toc204282797"/>
      <w:r w:rsidRPr="0069494F">
        <w:t>Conclusion</w:t>
      </w:r>
      <w:bookmarkEnd w:id="130"/>
      <w:bookmarkEnd w:id="131"/>
    </w:p>
    <w:p w14:paraId="34BB29DE" w14:textId="4FE42BA8" w:rsidR="00B10960" w:rsidRPr="00994531" w:rsidRDefault="00EE287F" w:rsidP="001B567A">
      <w:pPr>
        <w:spacing w:after="0" w:line="480" w:lineRule="auto"/>
      </w:pPr>
      <w:r>
        <w:t>Our findings suggest that an increased frequency of extreme precipitation events leading to extended saturation conditions may result in a positive feedback loop of increased soil N</w:t>
      </w:r>
      <w:r>
        <w:rPr>
          <w:vertAlign w:val="subscript"/>
        </w:rPr>
        <w:t>2</w:t>
      </w:r>
      <w:r>
        <w:t xml:space="preserve">O </w:t>
      </w:r>
      <w:r>
        <w:lastRenderedPageBreak/>
        <w:t>emissions in response. Across a wide range of soil textures, we found greater hot moment magnitudes and cumulative emissions from soils which were held at 90% WFPS for at least three days compared to those which were permitted to immediately dry by evaporation after wetting. However, our findings also contextualize the impact of this mechanism. The difference in cumulative emissions between soil textures was much greater than those observed between different flooding durations within the same texture. We explain these differences as resulting from variations in the availability of organic matter and the effect of expansive clay material on soil physical characteristics, water dynamics, and gas diffusivity. We also showed that substantial hot moments can occur even with relatively low mineral nitrogen and organic matter content, reaffirming that hot moments driven by soil water dynamics may contribute substantially to agricultural N</w:t>
      </w:r>
      <w:r>
        <w:rPr>
          <w:vertAlign w:val="subscript"/>
        </w:rPr>
        <w:t>2</w:t>
      </w:r>
      <w:r>
        <w:t>O emissions even late in the growing season or offseason.</w:t>
      </w:r>
    </w:p>
    <w:p w14:paraId="7DA98E4C" w14:textId="77777777" w:rsidR="00B10960" w:rsidRPr="00994531" w:rsidRDefault="00B10960" w:rsidP="0069494F">
      <w:pPr>
        <w:spacing w:line="480" w:lineRule="auto"/>
      </w:pPr>
    </w:p>
    <w:p w14:paraId="58AB352C" w14:textId="77777777" w:rsidR="00B10960" w:rsidRPr="00994531" w:rsidRDefault="00B10960" w:rsidP="0069494F">
      <w:pPr>
        <w:spacing w:line="480" w:lineRule="auto"/>
      </w:pPr>
    </w:p>
    <w:p w14:paraId="650009C5" w14:textId="77777777" w:rsidR="00B10960" w:rsidRPr="00994531" w:rsidRDefault="00B10960" w:rsidP="0069494F">
      <w:pPr>
        <w:spacing w:line="480" w:lineRule="auto"/>
      </w:pPr>
    </w:p>
    <w:p w14:paraId="4FA5ABAD" w14:textId="77777777" w:rsidR="00B10960" w:rsidRPr="00994531" w:rsidRDefault="00B10960" w:rsidP="0069494F">
      <w:pPr>
        <w:spacing w:line="480" w:lineRule="auto"/>
      </w:pPr>
    </w:p>
    <w:p w14:paraId="6C16E69C" w14:textId="77777777" w:rsidR="00B10960" w:rsidRPr="00994531" w:rsidRDefault="00B10960" w:rsidP="00B10960">
      <w:pPr>
        <w:sectPr w:rsidR="00B10960" w:rsidRPr="00994531" w:rsidSect="00F15019">
          <w:pgSz w:w="12240" w:h="15840"/>
          <w:pgMar w:top="1440" w:right="1440" w:bottom="1440" w:left="1440" w:header="720" w:footer="720" w:gutter="0"/>
          <w:cols w:space="720"/>
          <w:docGrid w:linePitch="360"/>
        </w:sectPr>
      </w:pPr>
    </w:p>
    <w:p w14:paraId="2963934E" w14:textId="26E0071A" w:rsidR="00B10960" w:rsidRPr="00994531" w:rsidRDefault="004D266F" w:rsidP="00BA6169">
      <w:pPr>
        <w:pStyle w:val="Heading1"/>
      </w:pPr>
      <w:bookmarkStart w:id="132" w:name="_Toc204282798"/>
      <w:r>
        <w:lastRenderedPageBreak/>
        <w:t>CHAPTER</w:t>
      </w:r>
      <w:r w:rsidR="00CD68EF">
        <w:t xml:space="preserve"> </w:t>
      </w:r>
      <w:r w:rsidR="00FA72C5">
        <w:t>5:</w:t>
      </w:r>
      <w:r w:rsidR="000C6ECF" w:rsidRPr="00994531">
        <w:t xml:space="preserve"> </w:t>
      </w:r>
      <w:r w:rsidR="00B10960" w:rsidRPr="00994531">
        <w:t>CONCLUSION</w:t>
      </w:r>
      <w:bookmarkEnd w:id="132"/>
    </w:p>
    <w:p w14:paraId="64243DC3" w14:textId="779155B1" w:rsidR="00CD68EF" w:rsidRDefault="00CD68EF">
      <w:r>
        <w:br w:type="page"/>
      </w:r>
    </w:p>
    <w:p w14:paraId="58104435" w14:textId="77777777" w:rsidR="00E508D7" w:rsidRPr="000F4F21" w:rsidRDefault="00E508D7" w:rsidP="001B567A">
      <w:pPr>
        <w:spacing w:after="0" w:line="480" w:lineRule="auto"/>
      </w:pPr>
      <w:r w:rsidRPr="000F4F21">
        <w:lastRenderedPageBreak/>
        <w:t>This study has delved into the important concept of hot moments in the context of soil N</w:t>
      </w:r>
      <w:r w:rsidRPr="000F4F21">
        <w:rPr>
          <w:vertAlign w:val="subscript"/>
        </w:rPr>
        <w:t>2</w:t>
      </w:r>
      <w:r w:rsidRPr="000F4F21">
        <w:t>O emissions. I have shown that these transient events are responsible for the majority of all agricultural N</w:t>
      </w:r>
      <w:r w:rsidRPr="000F4F21">
        <w:rPr>
          <w:vertAlign w:val="subscript"/>
        </w:rPr>
        <w:t>2</w:t>
      </w:r>
      <w:r w:rsidRPr="000F4F21">
        <w:t>O emissions, and have focused my research on methods to identify, predict, and better understand these phenomena. This began with the evaluation of quantitative methods for the identification of hot moments within N</w:t>
      </w:r>
      <w:r w:rsidRPr="000F4F21">
        <w:rPr>
          <w:vertAlign w:val="subscript"/>
        </w:rPr>
        <w:t>2</w:t>
      </w:r>
      <w:r w:rsidRPr="000F4F21">
        <w:t xml:space="preserve">O flux measurement datasets. This was the first ever investigation which tested the performance of statistical methods across many experimental datasets encompassing a broad range of environmental, geographical, management, and statistical characteristics. I showed that the methods most often used to identify hot moments in prior research are significantly flawed, and that other methods, namely median absolute deviation and minimum covariance determinant, are broadly more suitable to identifying hot moments within </w:t>
      </w:r>
      <w:r>
        <w:t>temporal N</w:t>
      </w:r>
      <w:r w:rsidRPr="007C102B">
        <w:rPr>
          <w:vertAlign w:val="subscript"/>
        </w:rPr>
        <w:t>2</w:t>
      </w:r>
      <w:r>
        <w:t xml:space="preserve">O </w:t>
      </w:r>
      <w:r w:rsidRPr="000F4F21">
        <w:t>flux datasets</w:t>
      </w:r>
      <w:r>
        <w:t xml:space="preserve"> from global agricultural soils</w:t>
      </w:r>
      <w:r w:rsidRPr="000F4F21">
        <w:t xml:space="preserve">. By conducting this comprehensive evaluation of methods at a global scale, I directly addressed the uncertainty within the scientific community born from the large variability of these data which has been an impediment to progress in the field of hot moments. The methods I identified as </w:t>
      </w:r>
      <w:r>
        <w:t xml:space="preserve">robust and </w:t>
      </w:r>
      <w:r w:rsidRPr="000F4F21">
        <w:t>successful in identifying hot moments, as well as the discussion I provide in their specific strengths and weaknesses, will allow future researchers to apply the hot moment concept to novel quantitative work investigating the role and drivers of these events.</w:t>
      </w:r>
    </w:p>
    <w:p w14:paraId="03157AC0" w14:textId="77777777" w:rsidR="00E508D7" w:rsidRPr="000F4F21" w:rsidRDefault="00E508D7" w:rsidP="001B567A">
      <w:pPr>
        <w:spacing w:after="0" w:line="480" w:lineRule="auto"/>
      </w:pPr>
      <w:r w:rsidRPr="000F4F21">
        <w:t>Building on this work, I leveraged methods of identifying hot moments to classify experimental datasets to train machine learning models to predict their occurrences from simple environmental data. For the first time, I approached the prediction of soil N</w:t>
      </w:r>
      <w:r w:rsidRPr="000F4F21">
        <w:rPr>
          <w:vertAlign w:val="subscript"/>
        </w:rPr>
        <w:t>2</w:t>
      </w:r>
      <w:r w:rsidRPr="000F4F21">
        <w:t xml:space="preserve">O emissions from the perspective of a classification problem. By simplifying the prediction task in terms of quantitative specificity, I showed that the relative rate of emissions can be accurately predicted (90%) across a broad range of conditions at high temporal resolution. I found that random forest and gradient boosting </w:t>
      </w:r>
      <w:r w:rsidRPr="000F4F21">
        <w:lastRenderedPageBreak/>
        <w:t>models performed well, and that expert-led hand classification produced the highest quality training data but that statistical methods I recommended in the previous chapter also produce accurate models. These findings are valuable on multiple fronts. First, this work has the potential to inform farm management and intervention strategies to avert or mitigate predicted future hot moments. Certain practices, such as the type and timing of fertilizer and the use of irrigation, were shown to significantly impact the likelihood of hot moments. By incorporating this information into predictive models and modeling future scenarios, land managers may be able to implement strategies to reduce agriculture’s climate impact. Additionally, this work has the potential to improve quantitative modeling of N</w:t>
      </w:r>
      <w:r w:rsidRPr="000F4F21">
        <w:rPr>
          <w:vertAlign w:val="subscript"/>
        </w:rPr>
        <w:t>2</w:t>
      </w:r>
      <w:r w:rsidRPr="000F4F21">
        <w:t xml:space="preserve">O emissions. Hot moments are driven by distinct biogeochemical conditions with are not accurately represented in process-based models due to their relative infrequence. Yet, with the ability to predict when such shifts conducive to hot moments are likely to occur, models may in the future adjust their mathematical representations of biogeochemical dynamics accordingly. </w:t>
      </w:r>
    </w:p>
    <w:p w14:paraId="6A12D4E4" w14:textId="77777777" w:rsidR="00E508D7" w:rsidRPr="000F4F21" w:rsidRDefault="00E508D7" w:rsidP="001B567A">
      <w:pPr>
        <w:spacing w:after="0" w:line="480" w:lineRule="auto"/>
      </w:pPr>
      <w:r w:rsidRPr="000F4F21">
        <w:t>Finally, the relationship between N</w:t>
      </w:r>
      <w:r w:rsidRPr="000F4F21">
        <w:rPr>
          <w:vertAlign w:val="subscript"/>
        </w:rPr>
        <w:t>2</w:t>
      </w:r>
      <w:r w:rsidRPr="000F4F21">
        <w:t>O hot moments and climate change led me to investigate how a specific environmental scenario likely to grow increasingly common, that of flooding, may impact emissions. Accurate models rely upon large numbers of individual studies researching the impacts of many factors, often one at a time, which come together to form a body of evidence that can be quantified and generalized. Contributing to this important task, I subjected four different soil textures to different durations of flooding events and measured the response of soil N</w:t>
      </w:r>
      <w:r w:rsidRPr="000F4F21">
        <w:rPr>
          <w:vertAlign w:val="subscript"/>
        </w:rPr>
        <w:t>2</w:t>
      </w:r>
      <w:r w:rsidRPr="000F4F21">
        <w:t>O emissions and inorganic nitrogen dynamics. This experiment put to the test conflicting theories of either increased N</w:t>
      </w:r>
      <w:r w:rsidRPr="000F4F21">
        <w:rPr>
          <w:vertAlign w:val="subscript"/>
        </w:rPr>
        <w:t>2</w:t>
      </w:r>
      <w:r w:rsidRPr="000F4F21">
        <w:t>O production under extended anoxia or increased N</w:t>
      </w:r>
      <w:r w:rsidRPr="000F4F21">
        <w:rPr>
          <w:vertAlign w:val="subscript"/>
        </w:rPr>
        <w:t>2</w:t>
      </w:r>
      <w:r w:rsidRPr="000F4F21">
        <w:t xml:space="preserve">O consumption under extended entrapment within the soil system in a real-world scenario under relatively low soil nitrogen and carbon levels. I found that longer periods of flooding contribute </w:t>
      </w:r>
      <w:r w:rsidRPr="000F4F21">
        <w:lastRenderedPageBreak/>
        <w:t>to greater magnitudes of hot moments and overall cumulative emissions, at least up to a point. In some soils, high soil moisture temporarily impeded gas diffusion and delayed the occurrence of hot moments, but even these delayed hot moments were greater in magnitude than in soils which experienced only brief flooding. I also found that while the impact of flooding duration was significant, it was much less impactful that the availability of dissolved organic carbon in increasing emissions. The evidence presented in this study suggests that there is a potential for a positive feedback loop between climate change and N</w:t>
      </w:r>
      <w:r w:rsidRPr="000F4F21">
        <w:rPr>
          <w:vertAlign w:val="subscript"/>
        </w:rPr>
        <w:t>2</w:t>
      </w:r>
      <w:r w:rsidRPr="000F4F21">
        <w:t>O emissions, as greater warming emissions contribute to more extreme precipitation events and in turn further increasing warming emissions. This knowledge is important to incorporate in modeling emissions at both the local and global scale to prepare for and work to mitigate global climate change.</w:t>
      </w:r>
    </w:p>
    <w:p w14:paraId="1B2F3792" w14:textId="77777777" w:rsidR="009B6981" w:rsidRDefault="00E508D7" w:rsidP="001B567A">
      <w:pPr>
        <w:spacing w:after="0" w:line="480" w:lineRule="auto"/>
      </w:pPr>
      <w:r w:rsidRPr="000F4F21">
        <w:t>There can be no silver bullets or magic solutions to a problem as grand in scale and severity as global climate change. Rather, rising appropriately to the challenge will require a great collective effort of thousands, millions of solutions enacted in every industry, region, and workplace. Each tiny moving of the needle is achieved through the significant effort of individual groups seizing opportunities endemic to their own context, and together they will change the world. Within my own context as an agriculturalist, passionate about cultivating the Earth and feeding people, I have identified hot moments of N</w:t>
      </w:r>
      <w:r w:rsidRPr="000F4F21">
        <w:rPr>
          <w:vertAlign w:val="subscript"/>
        </w:rPr>
        <w:t>2</w:t>
      </w:r>
      <w:r w:rsidRPr="000F4F21">
        <w:t>O emissions as just such an opportunity for change. It is my hope that the work enclosed in this dissertation will contribute to efforts to better understand, quantify, predict, and ultimately mitigate N</w:t>
      </w:r>
      <w:r w:rsidRPr="000F4F21">
        <w:rPr>
          <w:vertAlign w:val="subscript"/>
        </w:rPr>
        <w:t>2</w:t>
      </w:r>
      <w:r w:rsidRPr="000F4F21">
        <w:t xml:space="preserve">O hot moments from our farms, ensuring that we achieve the ability to feed the world without cooking the planet. </w:t>
      </w:r>
      <w:r w:rsidR="009B6981">
        <w:t xml:space="preserve">  </w:t>
      </w:r>
    </w:p>
    <w:p w14:paraId="577A93EC" w14:textId="77777777" w:rsidR="00760B02" w:rsidRDefault="00760B02" w:rsidP="00E508D7">
      <w:pPr>
        <w:spacing w:line="480" w:lineRule="auto"/>
      </w:pPr>
    </w:p>
    <w:p w14:paraId="2088F21A" w14:textId="77777777" w:rsidR="00FA72C5" w:rsidRDefault="00FA72C5" w:rsidP="00E508D7">
      <w:pPr>
        <w:spacing w:line="480" w:lineRule="auto"/>
      </w:pPr>
    </w:p>
    <w:p w14:paraId="19186B86" w14:textId="77777777" w:rsidR="001B567A" w:rsidRDefault="001B567A" w:rsidP="00E508D7">
      <w:pPr>
        <w:spacing w:line="480" w:lineRule="auto"/>
      </w:pPr>
    </w:p>
    <w:p w14:paraId="5C8EDFE0" w14:textId="029F6C76" w:rsidR="000728BC" w:rsidRDefault="00C91E53" w:rsidP="00C91E53">
      <w:pPr>
        <w:pStyle w:val="Heading1"/>
      </w:pPr>
      <w:bookmarkStart w:id="133" w:name="_Toc204282799"/>
      <w:r>
        <w:lastRenderedPageBreak/>
        <w:t>REFERENCES</w:t>
      </w:r>
      <w:bookmarkEnd w:id="133"/>
    </w:p>
    <w:p w14:paraId="28C9A730" w14:textId="77777777" w:rsidR="00B8377E" w:rsidRPr="00B8377E" w:rsidRDefault="00B8377E" w:rsidP="00B8377E">
      <w:pPr>
        <w:pStyle w:val="Bibliography"/>
        <w:rPr>
          <w:rFonts w:cs="Times New Roman"/>
        </w:rPr>
      </w:pPr>
      <w:r>
        <w:fldChar w:fldCharType="begin"/>
      </w:r>
      <w:r>
        <w:instrText xml:space="preserve"> ADDIN ZOTERO_BIBL {"uncited":[],"omitted":[],"custom":[]} CSL_BIBLIOGRAPHY </w:instrText>
      </w:r>
      <w:r>
        <w:fldChar w:fldCharType="separate"/>
      </w:r>
      <w:r w:rsidRPr="00B8377E">
        <w:rPr>
          <w:rFonts w:cs="Times New Roman"/>
        </w:rPr>
        <w:t xml:space="preserve">Achakulwisut, P., Erickson, P., Guivarch, C., Schaeffer, R., Brutschin, E., &amp; Pye, S. (2023). Global fossil fuel reduction pathways under different climate mitigation strategies and ambitions. </w:t>
      </w:r>
      <w:r w:rsidRPr="00B8377E">
        <w:rPr>
          <w:rFonts w:cs="Times New Roman"/>
          <w:i/>
          <w:iCs/>
        </w:rPr>
        <w:t>Nature Communications</w:t>
      </w:r>
      <w:r w:rsidRPr="00B8377E">
        <w:rPr>
          <w:rFonts w:cs="Times New Roman"/>
        </w:rPr>
        <w:t xml:space="preserve">, </w:t>
      </w:r>
      <w:r w:rsidRPr="00B8377E">
        <w:rPr>
          <w:rFonts w:cs="Times New Roman"/>
          <w:i/>
          <w:iCs/>
        </w:rPr>
        <w:t>14</w:t>
      </w:r>
      <w:r w:rsidRPr="00B8377E">
        <w:rPr>
          <w:rFonts w:cs="Times New Roman"/>
        </w:rPr>
        <w:t>(1), 5425. https://doi.org/10.1038/s41467-023-41105-z</w:t>
      </w:r>
    </w:p>
    <w:p w14:paraId="5B1F93E2" w14:textId="77777777" w:rsidR="00B8377E" w:rsidRPr="00B8377E" w:rsidRDefault="00B8377E" w:rsidP="00B8377E">
      <w:pPr>
        <w:pStyle w:val="Bibliography"/>
        <w:rPr>
          <w:rFonts w:cs="Times New Roman"/>
        </w:rPr>
      </w:pPr>
      <w:r w:rsidRPr="00B8377E">
        <w:rPr>
          <w:rFonts w:cs="Times New Roman"/>
        </w:rPr>
        <w:t xml:space="preserve">Adler, P. R., Nguyen, H., Rau, B. M., &amp; Dell, C. J. (2024). Modeling N2O emissions with remotely sensed variables using machine learning. </w:t>
      </w:r>
      <w:r w:rsidRPr="00B8377E">
        <w:rPr>
          <w:rFonts w:cs="Times New Roman"/>
          <w:i/>
          <w:iCs/>
        </w:rPr>
        <w:t>Environmental Research Communications</w:t>
      </w:r>
      <w:r w:rsidRPr="00B8377E">
        <w:rPr>
          <w:rFonts w:cs="Times New Roman"/>
        </w:rPr>
        <w:t xml:space="preserve">, </w:t>
      </w:r>
      <w:r w:rsidRPr="00B8377E">
        <w:rPr>
          <w:rFonts w:cs="Times New Roman"/>
          <w:i/>
          <w:iCs/>
        </w:rPr>
        <w:t>6</w:t>
      </w:r>
      <w:r w:rsidRPr="00B8377E">
        <w:rPr>
          <w:rFonts w:cs="Times New Roman"/>
        </w:rPr>
        <w:t>(9), 091004. https://doi.org/10.1088/2515-7620/ad707c</w:t>
      </w:r>
    </w:p>
    <w:p w14:paraId="65792ED3" w14:textId="77777777" w:rsidR="00B8377E" w:rsidRPr="00B8377E" w:rsidRDefault="00B8377E" w:rsidP="00B8377E">
      <w:pPr>
        <w:pStyle w:val="Bibliography"/>
        <w:rPr>
          <w:rFonts w:cs="Times New Roman"/>
        </w:rPr>
      </w:pPr>
      <w:r w:rsidRPr="00B8377E">
        <w:rPr>
          <w:rFonts w:cs="Times New Roman"/>
        </w:rPr>
        <w:t xml:space="preserve">Aggarwal, C. C. (2017). </w:t>
      </w:r>
      <w:r w:rsidRPr="00B8377E">
        <w:rPr>
          <w:rFonts w:cs="Times New Roman"/>
          <w:i/>
          <w:iCs/>
        </w:rPr>
        <w:t>An introduction to outlier analysis</w:t>
      </w:r>
      <w:r w:rsidRPr="00B8377E">
        <w:rPr>
          <w:rFonts w:cs="Times New Roman"/>
        </w:rPr>
        <w:t>. Springer.</w:t>
      </w:r>
    </w:p>
    <w:p w14:paraId="750639CD" w14:textId="77777777" w:rsidR="00B8377E" w:rsidRPr="00B8377E" w:rsidRDefault="00B8377E" w:rsidP="00B8377E">
      <w:pPr>
        <w:pStyle w:val="Bibliography"/>
        <w:rPr>
          <w:rFonts w:cs="Times New Roman"/>
        </w:rPr>
      </w:pPr>
      <w:r w:rsidRPr="00B8377E">
        <w:rPr>
          <w:rFonts w:cs="Times New Roman"/>
        </w:rPr>
        <w:t xml:space="preserve">Andreou, C., &amp; Karathanassi, V. (2014). Estimation of the Number of Endmembers Using Robust Outlier Detection Method. </w:t>
      </w:r>
      <w:r w:rsidRPr="00B8377E">
        <w:rPr>
          <w:rFonts w:cs="Times New Roman"/>
          <w:i/>
          <w:iCs/>
        </w:rPr>
        <w:t>IEEE Journal of Selected Topics in Applied Earth Observations and Remote Sensing</w:t>
      </w:r>
      <w:r w:rsidRPr="00B8377E">
        <w:rPr>
          <w:rFonts w:cs="Times New Roman"/>
        </w:rPr>
        <w:t xml:space="preserve">, </w:t>
      </w:r>
      <w:r w:rsidRPr="00B8377E">
        <w:rPr>
          <w:rFonts w:cs="Times New Roman"/>
          <w:i/>
          <w:iCs/>
        </w:rPr>
        <w:t>7</w:t>
      </w:r>
      <w:r w:rsidRPr="00B8377E">
        <w:rPr>
          <w:rFonts w:cs="Times New Roman"/>
        </w:rPr>
        <w:t>(1), 247–256. IEEE Journal of Selected Topics in Applied Earth Observations and Remote Sensing. https://doi.org/10.1109/JSTARS.2013.2260135</w:t>
      </w:r>
    </w:p>
    <w:p w14:paraId="0AE475EC" w14:textId="77777777" w:rsidR="00B8377E" w:rsidRPr="00B8377E" w:rsidRDefault="00B8377E" w:rsidP="00B8377E">
      <w:pPr>
        <w:pStyle w:val="Bibliography"/>
        <w:rPr>
          <w:rFonts w:cs="Times New Roman"/>
        </w:rPr>
      </w:pPr>
      <w:r w:rsidRPr="00B8377E">
        <w:rPr>
          <w:rFonts w:cs="Times New Roman"/>
        </w:rPr>
        <w:t xml:space="preserve">Anthony, T. L., &amp; Silver, W. L. (2021). Hot moments drive extreme nitrous oxide and methane emissions from agricultural peatlands. </w:t>
      </w:r>
      <w:r w:rsidRPr="00B8377E">
        <w:rPr>
          <w:rFonts w:cs="Times New Roman"/>
          <w:i/>
          <w:iCs/>
        </w:rPr>
        <w:t>Global Change Biology</w:t>
      </w:r>
      <w:r w:rsidRPr="00B8377E">
        <w:rPr>
          <w:rFonts w:cs="Times New Roman"/>
        </w:rPr>
        <w:t xml:space="preserve">, </w:t>
      </w:r>
      <w:r w:rsidRPr="00B8377E">
        <w:rPr>
          <w:rFonts w:cs="Times New Roman"/>
          <w:i/>
          <w:iCs/>
        </w:rPr>
        <w:t>27</w:t>
      </w:r>
      <w:r w:rsidRPr="00B8377E">
        <w:rPr>
          <w:rFonts w:cs="Times New Roman"/>
        </w:rPr>
        <w:t>(20), 5141–5153. https://doi.org/10.1111/gcb.15802</w:t>
      </w:r>
    </w:p>
    <w:p w14:paraId="798C895E" w14:textId="77777777" w:rsidR="00B8377E" w:rsidRPr="00B8377E" w:rsidRDefault="00B8377E" w:rsidP="00B8377E">
      <w:pPr>
        <w:pStyle w:val="Bibliography"/>
        <w:rPr>
          <w:rFonts w:cs="Times New Roman"/>
        </w:rPr>
      </w:pPr>
      <w:r w:rsidRPr="00B8377E">
        <w:rPr>
          <w:rFonts w:cs="Times New Roman"/>
        </w:rPr>
        <w:t xml:space="preserve">Anthony, T. L., &amp; Silver, W. L. (2024). Hot spots and hot moments of greenhouse gas emissions in agricultural peatlands. </w:t>
      </w:r>
      <w:r w:rsidRPr="00B8377E">
        <w:rPr>
          <w:rFonts w:cs="Times New Roman"/>
          <w:i/>
          <w:iCs/>
        </w:rPr>
        <w:t>Biogeochemistry</w:t>
      </w:r>
      <w:r w:rsidRPr="00B8377E">
        <w:rPr>
          <w:rFonts w:cs="Times New Roman"/>
        </w:rPr>
        <w:t xml:space="preserve">, </w:t>
      </w:r>
      <w:r w:rsidRPr="00B8377E">
        <w:rPr>
          <w:rFonts w:cs="Times New Roman"/>
          <w:i/>
          <w:iCs/>
        </w:rPr>
        <w:t>167</w:t>
      </w:r>
      <w:r w:rsidRPr="00B8377E">
        <w:rPr>
          <w:rFonts w:cs="Times New Roman"/>
        </w:rPr>
        <w:t>(4), 461–477. https://doi.org/10.1007/s10533-023-01095-y</w:t>
      </w:r>
    </w:p>
    <w:p w14:paraId="1F7EC28D" w14:textId="77777777" w:rsidR="00B8377E" w:rsidRPr="00B8377E" w:rsidRDefault="00B8377E" w:rsidP="00B8377E">
      <w:pPr>
        <w:pStyle w:val="Bibliography"/>
        <w:rPr>
          <w:rFonts w:cs="Times New Roman"/>
        </w:rPr>
      </w:pPr>
      <w:r w:rsidRPr="00B8377E">
        <w:rPr>
          <w:rFonts w:cs="Times New Roman"/>
        </w:rPr>
        <w:t xml:space="preserve">Anthony, T. L., Szutu, D. J., Verfaillie, J. G., Baldocchi, D. D., &amp; Silver, W. L. (2023). Carbon-sink potential of continuous alfalfa agriculture lowered by short-term nitrous oxide </w:t>
      </w:r>
      <w:r w:rsidRPr="00B8377E">
        <w:rPr>
          <w:rFonts w:cs="Times New Roman"/>
        </w:rPr>
        <w:lastRenderedPageBreak/>
        <w:t xml:space="preserve">emission events. </w:t>
      </w:r>
      <w:r w:rsidRPr="00B8377E">
        <w:rPr>
          <w:rFonts w:cs="Times New Roman"/>
          <w:i/>
          <w:iCs/>
        </w:rPr>
        <w:t>Nature Communications</w:t>
      </w:r>
      <w:r w:rsidRPr="00B8377E">
        <w:rPr>
          <w:rFonts w:cs="Times New Roman"/>
        </w:rPr>
        <w:t xml:space="preserve">, </w:t>
      </w:r>
      <w:r w:rsidRPr="00B8377E">
        <w:rPr>
          <w:rFonts w:cs="Times New Roman"/>
          <w:i/>
          <w:iCs/>
        </w:rPr>
        <w:t>14</w:t>
      </w:r>
      <w:r w:rsidRPr="00B8377E">
        <w:rPr>
          <w:rFonts w:cs="Times New Roman"/>
        </w:rPr>
        <w:t>(1), Article 1. https://doi.org/10.1038/s41467-023-37391-2</w:t>
      </w:r>
    </w:p>
    <w:p w14:paraId="5CFA682C" w14:textId="77777777" w:rsidR="00B8377E" w:rsidRPr="00B8377E" w:rsidRDefault="00B8377E" w:rsidP="00B8377E">
      <w:pPr>
        <w:pStyle w:val="Bibliography"/>
        <w:rPr>
          <w:rFonts w:cs="Times New Roman"/>
        </w:rPr>
      </w:pPr>
      <w:r w:rsidRPr="00B8377E">
        <w:rPr>
          <w:rFonts w:cs="Times New Roman"/>
        </w:rPr>
        <w:t xml:space="preserve">Audet, J., Jéglot, A., Elsgaard, L., Maagaard, A. L., Sørensen, S. R., Zak, D., &amp; Hoffmann, C. C. (2021). Nitrogen removal and nitrous oxide emissions from woodchip bioreactors treating agricultural drainage waters. </w:t>
      </w:r>
      <w:r w:rsidRPr="00B8377E">
        <w:rPr>
          <w:rFonts w:cs="Times New Roman"/>
          <w:i/>
          <w:iCs/>
        </w:rPr>
        <w:t>Ecological Engineering</w:t>
      </w:r>
      <w:r w:rsidRPr="00B8377E">
        <w:rPr>
          <w:rFonts w:cs="Times New Roman"/>
        </w:rPr>
        <w:t xml:space="preserve">, </w:t>
      </w:r>
      <w:r w:rsidRPr="00B8377E">
        <w:rPr>
          <w:rFonts w:cs="Times New Roman"/>
          <w:i/>
          <w:iCs/>
        </w:rPr>
        <w:t>169</w:t>
      </w:r>
      <w:r w:rsidRPr="00B8377E">
        <w:rPr>
          <w:rFonts w:cs="Times New Roman"/>
        </w:rPr>
        <w:t>, 106328. https://doi.org/10.1016/j.ecoleng.2021.106328</w:t>
      </w:r>
    </w:p>
    <w:p w14:paraId="0D7B4EBB" w14:textId="77777777" w:rsidR="00B8377E" w:rsidRPr="00B8377E" w:rsidRDefault="00B8377E" w:rsidP="00B8377E">
      <w:pPr>
        <w:pStyle w:val="Bibliography"/>
        <w:rPr>
          <w:rFonts w:cs="Times New Roman"/>
        </w:rPr>
      </w:pPr>
      <w:r w:rsidRPr="00B8377E">
        <w:rPr>
          <w:rFonts w:cs="Times New Roman"/>
        </w:rPr>
        <w:t xml:space="preserve">Ayadi, A., Ghorbel, O., Obeid, A. M., &amp; Abid, M. (2017). Outlier detection approaches for wireless sensor networks: A survey. </w:t>
      </w:r>
      <w:r w:rsidRPr="00B8377E">
        <w:rPr>
          <w:rFonts w:cs="Times New Roman"/>
          <w:i/>
          <w:iCs/>
        </w:rPr>
        <w:t>Computer Networks</w:t>
      </w:r>
      <w:r w:rsidRPr="00B8377E">
        <w:rPr>
          <w:rFonts w:cs="Times New Roman"/>
        </w:rPr>
        <w:t xml:space="preserve">, </w:t>
      </w:r>
      <w:r w:rsidRPr="00B8377E">
        <w:rPr>
          <w:rFonts w:cs="Times New Roman"/>
          <w:i/>
          <w:iCs/>
        </w:rPr>
        <w:t>129</w:t>
      </w:r>
      <w:r w:rsidRPr="00B8377E">
        <w:rPr>
          <w:rFonts w:cs="Times New Roman"/>
        </w:rPr>
        <w:t>, 319–333. https://doi.org/10.1016/j.comnet.2017.10.007</w:t>
      </w:r>
    </w:p>
    <w:p w14:paraId="4E88213E" w14:textId="77777777" w:rsidR="00B8377E" w:rsidRPr="00B8377E" w:rsidRDefault="00B8377E" w:rsidP="00B8377E">
      <w:pPr>
        <w:pStyle w:val="Bibliography"/>
        <w:rPr>
          <w:rFonts w:cs="Times New Roman"/>
        </w:rPr>
      </w:pPr>
      <w:r w:rsidRPr="00B8377E">
        <w:rPr>
          <w:rFonts w:cs="Times New Roman"/>
        </w:rPr>
        <w:t xml:space="preserve">Bachmann, G., Anagnostidis, S., &amp; Hofmann, T. (2023). Scaling MLPs: A Tale of Inductive Bias. </w:t>
      </w:r>
      <w:r w:rsidRPr="00B8377E">
        <w:rPr>
          <w:rFonts w:cs="Times New Roman"/>
          <w:i/>
          <w:iCs/>
        </w:rPr>
        <w:t>Advances in Neural Information Processing Systems</w:t>
      </w:r>
      <w:r w:rsidRPr="00B8377E">
        <w:rPr>
          <w:rFonts w:cs="Times New Roman"/>
        </w:rPr>
        <w:t xml:space="preserve">, </w:t>
      </w:r>
      <w:r w:rsidRPr="00B8377E">
        <w:rPr>
          <w:rFonts w:cs="Times New Roman"/>
          <w:i/>
          <w:iCs/>
        </w:rPr>
        <w:t>36</w:t>
      </w:r>
      <w:r w:rsidRPr="00B8377E">
        <w:rPr>
          <w:rFonts w:cs="Times New Roman"/>
        </w:rPr>
        <w:t>, 60821–60840.</w:t>
      </w:r>
    </w:p>
    <w:p w14:paraId="57702209" w14:textId="77777777" w:rsidR="00B8377E" w:rsidRPr="00B8377E" w:rsidRDefault="00B8377E" w:rsidP="00B8377E">
      <w:pPr>
        <w:pStyle w:val="Bibliography"/>
        <w:rPr>
          <w:rFonts w:cs="Times New Roman"/>
        </w:rPr>
      </w:pPr>
      <w:r w:rsidRPr="00B8377E">
        <w:rPr>
          <w:rFonts w:cs="Times New Roman"/>
        </w:rPr>
        <w:t xml:space="preserve">Baggs, E. M. (2011). Soil microbial sources of nitrous oxide: Recent advances in knowledge, emerging challenges and future direction. </w:t>
      </w:r>
      <w:r w:rsidRPr="00B8377E">
        <w:rPr>
          <w:rFonts w:cs="Times New Roman"/>
          <w:i/>
          <w:iCs/>
        </w:rPr>
        <w:t>Current Opinion in Environmental Sustainability</w:t>
      </w:r>
      <w:r w:rsidRPr="00B8377E">
        <w:rPr>
          <w:rFonts w:cs="Times New Roman"/>
        </w:rPr>
        <w:t xml:space="preserve">, </w:t>
      </w:r>
      <w:r w:rsidRPr="00B8377E">
        <w:rPr>
          <w:rFonts w:cs="Times New Roman"/>
          <w:i/>
          <w:iCs/>
        </w:rPr>
        <w:t>3</w:t>
      </w:r>
      <w:r w:rsidRPr="00B8377E">
        <w:rPr>
          <w:rFonts w:cs="Times New Roman"/>
        </w:rPr>
        <w:t>(5), 321–327. https://doi.org/10.1016/j.cosust.2011.08.011</w:t>
      </w:r>
    </w:p>
    <w:p w14:paraId="03D69D4C" w14:textId="77777777" w:rsidR="00B8377E" w:rsidRPr="00B8377E" w:rsidRDefault="00B8377E" w:rsidP="00B8377E">
      <w:pPr>
        <w:pStyle w:val="Bibliography"/>
        <w:rPr>
          <w:rFonts w:cs="Times New Roman"/>
        </w:rPr>
      </w:pPr>
      <w:r w:rsidRPr="00B8377E">
        <w:rPr>
          <w:rFonts w:cs="Times New Roman"/>
        </w:rPr>
        <w:t xml:space="preserve">Baggs, E., &amp; Philippot, L. (2010). Microbial Terrestrial Pathways to Nitrous Oxide. In </w:t>
      </w:r>
      <w:r w:rsidRPr="00B8377E">
        <w:rPr>
          <w:rFonts w:cs="Times New Roman"/>
          <w:i/>
          <w:iCs/>
        </w:rPr>
        <w:t>Nitrous Oxide and Climate Change</w:t>
      </w:r>
      <w:r w:rsidRPr="00B8377E">
        <w:rPr>
          <w:rFonts w:cs="Times New Roman"/>
        </w:rPr>
        <w:t>. Routledge.</w:t>
      </w:r>
    </w:p>
    <w:p w14:paraId="5B5D20E8" w14:textId="77777777" w:rsidR="00B8377E" w:rsidRPr="00B8377E" w:rsidRDefault="00B8377E" w:rsidP="00B8377E">
      <w:pPr>
        <w:pStyle w:val="Bibliography"/>
        <w:rPr>
          <w:rFonts w:cs="Times New Roman"/>
        </w:rPr>
      </w:pPr>
      <w:r w:rsidRPr="00B8377E">
        <w:rPr>
          <w:rFonts w:cs="Times New Roman"/>
        </w:rPr>
        <w:t xml:space="preserve">Balaine, N., Clough, T. J., Beare, M. H., Thomas, S. M., Meenken, E. D., &amp; Ross, J. G. (2013). Changes in Relative Gas Diffusivity Explain Soil Nitrous Oxide Flux Dynamics. </w:t>
      </w:r>
      <w:r w:rsidRPr="00B8377E">
        <w:rPr>
          <w:rFonts w:cs="Times New Roman"/>
          <w:i/>
          <w:iCs/>
        </w:rPr>
        <w:t>Soil Science Society of America Journal</w:t>
      </w:r>
      <w:r w:rsidRPr="00B8377E">
        <w:rPr>
          <w:rFonts w:cs="Times New Roman"/>
        </w:rPr>
        <w:t xml:space="preserve">, </w:t>
      </w:r>
      <w:r w:rsidRPr="00B8377E">
        <w:rPr>
          <w:rFonts w:cs="Times New Roman"/>
          <w:i/>
          <w:iCs/>
        </w:rPr>
        <w:t>77</w:t>
      </w:r>
      <w:r w:rsidRPr="00B8377E">
        <w:rPr>
          <w:rFonts w:cs="Times New Roman"/>
        </w:rPr>
        <w:t>(5), 1496–1505. https://doi.org/10.2136/sssaj2013.04.0141</w:t>
      </w:r>
    </w:p>
    <w:p w14:paraId="1EC45C3E" w14:textId="77777777" w:rsidR="00B8377E" w:rsidRPr="00B8377E" w:rsidRDefault="00B8377E" w:rsidP="00B8377E">
      <w:pPr>
        <w:pStyle w:val="Bibliography"/>
        <w:rPr>
          <w:rFonts w:cs="Times New Roman"/>
        </w:rPr>
      </w:pPr>
      <w:r w:rsidRPr="00B8377E">
        <w:rPr>
          <w:rFonts w:cs="Times New Roman"/>
        </w:rPr>
        <w:t xml:space="preserve">Barrat, H. A., Charteris, A. F., Le Cocq, K., Abadie, M., Clark, I. M., Chadwick, D. R., &amp; Cardenas, L. (2022). N2O hot moments were not driven by changes in nitrogen and </w:t>
      </w:r>
      <w:r w:rsidRPr="00B8377E">
        <w:rPr>
          <w:rFonts w:cs="Times New Roman"/>
        </w:rPr>
        <w:lastRenderedPageBreak/>
        <w:t xml:space="preserve">carbon substrates or changes in N cycling functional genes. </w:t>
      </w:r>
      <w:r w:rsidRPr="00B8377E">
        <w:rPr>
          <w:rFonts w:cs="Times New Roman"/>
          <w:i/>
          <w:iCs/>
        </w:rPr>
        <w:t>European Journal of Soil Science</w:t>
      </w:r>
      <w:r w:rsidRPr="00B8377E">
        <w:rPr>
          <w:rFonts w:cs="Times New Roman"/>
        </w:rPr>
        <w:t xml:space="preserve">, </w:t>
      </w:r>
      <w:r w:rsidRPr="00B8377E">
        <w:rPr>
          <w:rFonts w:cs="Times New Roman"/>
          <w:i/>
          <w:iCs/>
        </w:rPr>
        <w:t>73</w:t>
      </w:r>
      <w:r w:rsidRPr="00B8377E">
        <w:rPr>
          <w:rFonts w:cs="Times New Roman"/>
        </w:rPr>
        <w:t>(1), e13190. https://doi.org/10.1111/ejss.13190</w:t>
      </w:r>
    </w:p>
    <w:p w14:paraId="6E1388F1" w14:textId="77777777" w:rsidR="00B8377E" w:rsidRPr="00B8377E" w:rsidRDefault="00B8377E" w:rsidP="00B8377E">
      <w:pPr>
        <w:pStyle w:val="Bibliography"/>
        <w:rPr>
          <w:rFonts w:cs="Times New Roman"/>
        </w:rPr>
      </w:pPr>
      <w:r w:rsidRPr="00B8377E">
        <w:rPr>
          <w:rFonts w:cs="Times New Roman"/>
        </w:rPr>
        <w:t xml:space="preserve">Barrat, H. A., Evans, J., Chadwick, D. R., Clark, I. M., Le Cocq, K., &amp; M. Cardenas, L. (2021). The impact of drought and rewetting on N2O emissions from soil in temperate and Mediterranean climates. </w:t>
      </w:r>
      <w:r w:rsidRPr="00B8377E">
        <w:rPr>
          <w:rFonts w:cs="Times New Roman"/>
          <w:i/>
          <w:iCs/>
        </w:rPr>
        <w:t>European Journal of Soil Science</w:t>
      </w:r>
      <w:r w:rsidRPr="00B8377E">
        <w:rPr>
          <w:rFonts w:cs="Times New Roman"/>
        </w:rPr>
        <w:t xml:space="preserve">, </w:t>
      </w:r>
      <w:r w:rsidRPr="00B8377E">
        <w:rPr>
          <w:rFonts w:cs="Times New Roman"/>
          <w:i/>
          <w:iCs/>
        </w:rPr>
        <w:t>72</w:t>
      </w:r>
      <w:r w:rsidRPr="00B8377E">
        <w:rPr>
          <w:rFonts w:cs="Times New Roman"/>
        </w:rPr>
        <w:t>(6), 2504–2516. https://doi.org/10.1111/ejss.13015</w:t>
      </w:r>
    </w:p>
    <w:p w14:paraId="7E797E42" w14:textId="77777777" w:rsidR="00B8377E" w:rsidRPr="00B8377E" w:rsidRDefault="00B8377E" w:rsidP="00B8377E">
      <w:pPr>
        <w:pStyle w:val="Bibliography"/>
        <w:rPr>
          <w:rFonts w:cs="Times New Roman"/>
        </w:rPr>
      </w:pPr>
      <w:r w:rsidRPr="00B8377E">
        <w:rPr>
          <w:rFonts w:cs="Times New Roman"/>
        </w:rPr>
        <w:t xml:space="preserve">Bastos, L. M., Rice, C. W., Tomlinson, P. J., &amp; Mengel, D. (2021). Untangling soil-weather drivers of daily N2O emissions and fertilizer management mitigation strategies in no-till corn. </w:t>
      </w:r>
      <w:r w:rsidRPr="00B8377E">
        <w:rPr>
          <w:rFonts w:cs="Times New Roman"/>
          <w:i/>
          <w:iCs/>
        </w:rPr>
        <w:t>Soil Science Society of America Journal</w:t>
      </w:r>
      <w:r w:rsidRPr="00B8377E">
        <w:rPr>
          <w:rFonts w:cs="Times New Roman"/>
        </w:rPr>
        <w:t xml:space="preserve">, </w:t>
      </w:r>
      <w:r w:rsidRPr="00B8377E">
        <w:rPr>
          <w:rFonts w:cs="Times New Roman"/>
          <w:i/>
          <w:iCs/>
        </w:rPr>
        <w:t>85</w:t>
      </w:r>
      <w:r w:rsidRPr="00B8377E">
        <w:rPr>
          <w:rFonts w:cs="Times New Roman"/>
        </w:rPr>
        <w:t>(5), 1437–1447. https://doi.org/10.1002/saj2.20292</w:t>
      </w:r>
    </w:p>
    <w:p w14:paraId="15ED9BCC" w14:textId="77777777" w:rsidR="00B8377E" w:rsidRPr="00B8377E" w:rsidRDefault="00B8377E" w:rsidP="00B8377E">
      <w:pPr>
        <w:pStyle w:val="Bibliography"/>
        <w:rPr>
          <w:rFonts w:cs="Times New Roman"/>
        </w:rPr>
      </w:pPr>
      <w:r w:rsidRPr="00B8377E">
        <w:rPr>
          <w:rFonts w:cs="Times New Roman"/>
        </w:rPr>
        <w:t xml:space="preserve">Bendre, S. M., &amp; Kale, B. K. (1987). Masking effect on tests for outliers in normal samples. </w:t>
      </w:r>
      <w:r w:rsidRPr="00B8377E">
        <w:rPr>
          <w:rFonts w:cs="Times New Roman"/>
          <w:i/>
          <w:iCs/>
        </w:rPr>
        <w:t>Biometrika</w:t>
      </w:r>
      <w:r w:rsidRPr="00B8377E">
        <w:rPr>
          <w:rFonts w:cs="Times New Roman"/>
        </w:rPr>
        <w:t xml:space="preserve">, </w:t>
      </w:r>
      <w:r w:rsidRPr="00B8377E">
        <w:rPr>
          <w:rFonts w:cs="Times New Roman"/>
          <w:i/>
          <w:iCs/>
        </w:rPr>
        <w:t>74</w:t>
      </w:r>
      <w:r w:rsidRPr="00B8377E">
        <w:rPr>
          <w:rFonts w:cs="Times New Roman"/>
        </w:rPr>
        <w:t>(4), 891–896. https://doi.org/10.1093/biomet/74.4.891</w:t>
      </w:r>
    </w:p>
    <w:p w14:paraId="577E914A" w14:textId="77777777" w:rsidR="00B8377E" w:rsidRPr="00B8377E" w:rsidRDefault="00B8377E" w:rsidP="00B8377E">
      <w:pPr>
        <w:pStyle w:val="Bibliography"/>
        <w:rPr>
          <w:rFonts w:cs="Times New Roman"/>
        </w:rPr>
      </w:pPr>
      <w:r w:rsidRPr="00B8377E">
        <w:rPr>
          <w:rFonts w:cs="Times New Roman"/>
        </w:rPr>
        <w:t xml:space="preserve">Ben-Gal, I. (2005). Outlier Detection. In O. Maimon &amp; L. Rokach (Eds.), </w:t>
      </w:r>
      <w:r w:rsidRPr="00B8377E">
        <w:rPr>
          <w:rFonts w:cs="Times New Roman"/>
          <w:i/>
          <w:iCs/>
        </w:rPr>
        <w:t>Data Mining and Knowledge Discovery Handbook</w:t>
      </w:r>
      <w:r w:rsidRPr="00B8377E">
        <w:rPr>
          <w:rFonts w:cs="Times New Roman"/>
        </w:rPr>
        <w:t xml:space="preserve"> (pp. 131–146). Springer US. https://doi.org/10.1007/0-387-25465-X_7</w:t>
      </w:r>
    </w:p>
    <w:p w14:paraId="2D9895DB" w14:textId="77777777" w:rsidR="00B8377E" w:rsidRPr="00B8377E" w:rsidRDefault="00B8377E" w:rsidP="00B8377E">
      <w:pPr>
        <w:pStyle w:val="Bibliography"/>
        <w:rPr>
          <w:rFonts w:cs="Times New Roman"/>
        </w:rPr>
      </w:pPr>
      <w:r w:rsidRPr="00B8377E">
        <w:rPr>
          <w:rFonts w:cs="Times New Roman"/>
        </w:rPr>
        <w:t xml:space="preserve">Benoit, M., Garnier, J., &amp; Billen, G. (2015). Temperature dependence of nitrous oxide production of a luvisolic soil in batch experiments. </w:t>
      </w:r>
      <w:r w:rsidRPr="00B8377E">
        <w:rPr>
          <w:rFonts w:cs="Times New Roman"/>
          <w:i/>
          <w:iCs/>
        </w:rPr>
        <w:t>Process Biochemistry</w:t>
      </w:r>
      <w:r w:rsidRPr="00B8377E">
        <w:rPr>
          <w:rFonts w:cs="Times New Roman"/>
        </w:rPr>
        <w:t xml:space="preserve">, </w:t>
      </w:r>
      <w:r w:rsidRPr="00B8377E">
        <w:rPr>
          <w:rFonts w:cs="Times New Roman"/>
          <w:i/>
          <w:iCs/>
        </w:rPr>
        <w:t>50</w:t>
      </w:r>
      <w:r w:rsidRPr="00B8377E">
        <w:rPr>
          <w:rFonts w:cs="Times New Roman"/>
        </w:rPr>
        <w:t>(1), 79–85. https://doi.org/10.1016/j.procbio.2014.10.013</w:t>
      </w:r>
    </w:p>
    <w:p w14:paraId="51B9C175" w14:textId="77777777" w:rsidR="00B8377E" w:rsidRPr="00B8377E" w:rsidRDefault="00B8377E" w:rsidP="00B8377E">
      <w:pPr>
        <w:pStyle w:val="Bibliography"/>
        <w:rPr>
          <w:rFonts w:cs="Times New Roman"/>
        </w:rPr>
      </w:pPr>
      <w:r w:rsidRPr="00B8377E">
        <w:rPr>
          <w:rFonts w:cs="Times New Roman"/>
        </w:rPr>
        <w:t xml:space="preserve">Bernhardt, E. S., Blaszczak, J. R., Ficken, C. D., Fork, M. L., Kaiser, K. E., &amp; Seybold, E. C. (2017). Control Points in Ecosystems: Moving Beyond the Hot Spot Hot Moment Concept. </w:t>
      </w:r>
      <w:r w:rsidRPr="00B8377E">
        <w:rPr>
          <w:rFonts w:cs="Times New Roman"/>
          <w:i/>
          <w:iCs/>
        </w:rPr>
        <w:t>Ecosystems</w:t>
      </w:r>
      <w:r w:rsidRPr="00B8377E">
        <w:rPr>
          <w:rFonts w:cs="Times New Roman"/>
        </w:rPr>
        <w:t xml:space="preserve">, </w:t>
      </w:r>
      <w:r w:rsidRPr="00B8377E">
        <w:rPr>
          <w:rFonts w:cs="Times New Roman"/>
          <w:i/>
          <w:iCs/>
        </w:rPr>
        <w:t>20</w:t>
      </w:r>
      <w:r w:rsidRPr="00B8377E">
        <w:rPr>
          <w:rFonts w:cs="Times New Roman"/>
        </w:rPr>
        <w:t>(4), 665–682. https://doi.org/10.1007/s10021-016-0103-y</w:t>
      </w:r>
    </w:p>
    <w:p w14:paraId="5E3F899B" w14:textId="77777777" w:rsidR="00B8377E" w:rsidRPr="00B8377E" w:rsidRDefault="00B8377E" w:rsidP="00B8377E">
      <w:pPr>
        <w:pStyle w:val="Bibliography"/>
        <w:rPr>
          <w:rFonts w:cs="Times New Roman"/>
        </w:rPr>
      </w:pPr>
      <w:r w:rsidRPr="00B8377E">
        <w:rPr>
          <w:rFonts w:cs="Times New Roman"/>
        </w:rPr>
        <w:lastRenderedPageBreak/>
        <w:t xml:space="preserve">Betlach, M. R., &amp; Tiedje, J. M. (1981). Kinetic Explanation for Accumulation of Nitrite, Nitric Oxide, and Nitrous Oxide During Bacterial Denitrification. </w:t>
      </w:r>
      <w:r w:rsidRPr="00B8377E">
        <w:rPr>
          <w:rFonts w:cs="Times New Roman"/>
          <w:i/>
          <w:iCs/>
        </w:rPr>
        <w:t>Applied and Environmental Microbiology</w:t>
      </w:r>
      <w:r w:rsidRPr="00B8377E">
        <w:rPr>
          <w:rFonts w:cs="Times New Roman"/>
        </w:rPr>
        <w:t xml:space="preserve">, </w:t>
      </w:r>
      <w:r w:rsidRPr="00B8377E">
        <w:rPr>
          <w:rFonts w:cs="Times New Roman"/>
          <w:i/>
          <w:iCs/>
        </w:rPr>
        <w:t>42</w:t>
      </w:r>
      <w:r w:rsidRPr="00B8377E">
        <w:rPr>
          <w:rFonts w:cs="Times New Roman"/>
        </w:rPr>
        <w:t>(6), 1074–1084. https://doi.org/10.1128/aem.42.6.1074-1084.1981</w:t>
      </w:r>
    </w:p>
    <w:p w14:paraId="468EF2EC" w14:textId="77777777" w:rsidR="00B8377E" w:rsidRPr="00B8377E" w:rsidRDefault="00B8377E" w:rsidP="00B8377E">
      <w:pPr>
        <w:pStyle w:val="Bibliography"/>
        <w:rPr>
          <w:rFonts w:cs="Times New Roman"/>
        </w:rPr>
      </w:pPr>
      <w:r w:rsidRPr="00B8377E">
        <w:rPr>
          <w:rFonts w:cs="Times New Roman"/>
        </w:rPr>
        <w:t xml:space="preserve">Boughorbel, S., Jarray, F., &amp; El-Anbari, M. (2017). Optimal classifier for imbalanced data using Matthews Correlation Coefficient metric. </w:t>
      </w:r>
      <w:r w:rsidRPr="00B8377E">
        <w:rPr>
          <w:rFonts w:cs="Times New Roman"/>
          <w:i/>
          <w:iCs/>
        </w:rPr>
        <w:t>PLOS ONE</w:t>
      </w:r>
      <w:r w:rsidRPr="00B8377E">
        <w:rPr>
          <w:rFonts w:cs="Times New Roman"/>
        </w:rPr>
        <w:t xml:space="preserve">, </w:t>
      </w:r>
      <w:r w:rsidRPr="00B8377E">
        <w:rPr>
          <w:rFonts w:cs="Times New Roman"/>
          <w:i/>
          <w:iCs/>
        </w:rPr>
        <w:t>12</w:t>
      </w:r>
      <w:r w:rsidRPr="00B8377E">
        <w:rPr>
          <w:rFonts w:cs="Times New Roman"/>
        </w:rPr>
        <w:t>(6), e0177678. https://doi.org/10.1371/journal.pone.0177678</w:t>
      </w:r>
    </w:p>
    <w:p w14:paraId="750A2BFC" w14:textId="77777777" w:rsidR="00B8377E" w:rsidRPr="00B8377E" w:rsidRDefault="00B8377E" w:rsidP="00B8377E">
      <w:pPr>
        <w:pStyle w:val="Bibliography"/>
        <w:rPr>
          <w:rFonts w:cs="Times New Roman"/>
        </w:rPr>
      </w:pPr>
      <w:r w:rsidRPr="00B8377E">
        <w:rPr>
          <w:rFonts w:cs="Times New Roman"/>
        </w:rPr>
        <w:t xml:space="preserve">Bouwman, A. F. (1994). </w:t>
      </w:r>
      <w:r w:rsidRPr="00B8377E">
        <w:rPr>
          <w:rFonts w:cs="Times New Roman"/>
          <w:i/>
          <w:iCs/>
        </w:rPr>
        <w:t>Method to estimate direct nitrous oxide emissions from agricultural soils</w:t>
      </w:r>
      <w:r w:rsidRPr="00B8377E">
        <w:rPr>
          <w:rFonts w:cs="Times New Roman"/>
        </w:rPr>
        <w:t xml:space="preserve"> (773004004). Nat. Inst. Public Health and Environ. Protection (RIVM).</w:t>
      </w:r>
    </w:p>
    <w:p w14:paraId="2246641A" w14:textId="77777777" w:rsidR="00B8377E" w:rsidRPr="00B8377E" w:rsidRDefault="00B8377E" w:rsidP="00B8377E">
      <w:pPr>
        <w:pStyle w:val="Bibliography"/>
        <w:rPr>
          <w:rFonts w:cs="Times New Roman"/>
        </w:rPr>
      </w:pPr>
      <w:r w:rsidRPr="00B8377E">
        <w:rPr>
          <w:rFonts w:cs="Times New Roman"/>
        </w:rPr>
        <w:t xml:space="preserve">Bowles, D. C., Butler, C. D., &amp; Morisetti, N. (2015). Climate change, conflict and health. </w:t>
      </w:r>
      <w:r w:rsidRPr="00B8377E">
        <w:rPr>
          <w:rFonts w:cs="Times New Roman"/>
          <w:i/>
          <w:iCs/>
        </w:rPr>
        <w:t>Journal of the Royal Society of Medicine</w:t>
      </w:r>
      <w:r w:rsidRPr="00B8377E">
        <w:rPr>
          <w:rFonts w:cs="Times New Roman"/>
        </w:rPr>
        <w:t xml:space="preserve">, </w:t>
      </w:r>
      <w:r w:rsidRPr="00B8377E">
        <w:rPr>
          <w:rFonts w:cs="Times New Roman"/>
          <w:i/>
          <w:iCs/>
        </w:rPr>
        <w:t>108</w:t>
      </w:r>
      <w:r w:rsidRPr="00B8377E">
        <w:rPr>
          <w:rFonts w:cs="Times New Roman"/>
        </w:rPr>
        <w:t>(10), 390–395. https://doi.org/10.1177/0141076815603234</w:t>
      </w:r>
    </w:p>
    <w:p w14:paraId="017AEF2C" w14:textId="77777777" w:rsidR="00B8377E" w:rsidRPr="00B8377E" w:rsidRDefault="00B8377E" w:rsidP="00B8377E">
      <w:pPr>
        <w:pStyle w:val="Bibliography"/>
        <w:rPr>
          <w:rFonts w:cs="Times New Roman"/>
        </w:rPr>
      </w:pPr>
      <w:r w:rsidRPr="00B8377E">
        <w:rPr>
          <w:rFonts w:cs="Times New Roman"/>
        </w:rPr>
        <w:t xml:space="preserve">Bremner, J. M., Blackmer, A. M., &amp; Waring, S. A. (1980). Formation of nitrous oxide and dinitrogen by chemical decomposition of hydroxylamine in soils. </w:t>
      </w:r>
      <w:r w:rsidRPr="00B8377E">
        <w:rPr>
          <w:rFonts w:cs="Times New Roman"/>
          <w:i/>
          <w:iCs/>
        </w:rPr>
        <w:t>Soil Biology and Biochemistry</w:t>
      </w:r>
      <w:r w:rsidRPr="00B8377E">
        <w:rPr>
          <w:rFonts w:cs="Times New Roman"/>
        </w:rPr>
        <w:t xml:space="preserve">, </w:t>
      </w:r>
      <w:r w:rsidRPr="00B8377E">
        <w:rPr>
          <w:rFonts w:cs="Times New Roman"/>
          <w:i/>
          <w:iCs/>
        </w:rPr>
        <w:t>12</w:t>
      </w:r>
      <w:r w:rsidRPr="00B8377E">
        <w:rPr>
          <w:rFonts w:cs="Times New Roman"/>
        </w:rPr>
        <w:t>(3), 263–269. https://doi.org/10.1016/0038-0717(80)90072-3</w:t>
      </w:r>
    </w:p>
    <w:p w14:paraId="64362786" w14:textId="77777777" w:rsidR="00B8377E" w:rsidRPr="00B8377E" w:rsidRDefault="00B8377E" w:rsidP="00B8377E">
      <w:pPr>
        <w:pStyle w:val="Bibliography"/>
        <w:rPr>
          <w:rFonts w:cs="Times New Roman"/>
        </w:rPr>
      </w:pPr>
      <w:r w:rsidRPr="00B8377E">
        <w:rPr>
          <w:rFonts w:cs="Times New Roman"/>
        </w:rPr>
        <w:t xml:space="preserve">Brilli, L., Bechini, L., Bindi, M., Carozzi, M., Cavalli, D., Conant, R., Dorich, C. D., Doro, L., Ehrhardt, F., Farina, R., Ferrise, R., Fitton, N., Francaviglia, R., Grace, P., Iocola, I., Klumpp, K., Léonard, J., Martin, R., Massad, R. S., … Bellocchi, G. (2017). Review and analysis of strengths and weaknesses of agro-ecosystem models for simulating C and N fluxes. </w:t>
      </w:r>
      <w:r w:rsidRPr="00B8377E">
        <w:rPr>
          <w:rFonts w:cs="Times New Roman"/>
          <w:i/>
          <w:iCs/>
        </w:rPr>
        <w:t>Science of The Total Environment</w:t>
      </w:r>
      <w:r w:rsidRPr="00B8377E">
        <w:rPr>
          <w:rFonts w:cs="Times New Roman"/>
        </w:rPr>
        <w:t xml:space="preserve">, </w:t>
      </w:r>
      <w:r w:rsidRPr="00B8377E">
        <w:rPr>
          <w:rFonts w:cs="Times New Roman"/>
          <w:i/>
          <w:iCs/>
        </w:rPr>
        <w:t>598</w:t>
      </w:r>
      <w:r w:rsidRPr="00B8377E">
        <w:rPr>
          <w:rFonts w:cs="Times New Roman"/>
        </w:rPr>
        <w:t>, 445–470. https://doi.org/10.1016/j.scitotenv.2017.03.208</w:t>
      </w:r>
    </w:p>
    <w:p w14:paraId="0C9736E5" w14:textId="77777777" w:rsidR="00B8377E" w:rsidRPr="00B8377E" w:rsidRDefault="00B8377E" w:rsidP="00B8377E">
      <w:pPr>
        <w:pStyle w:val="Bibliography"/>
        <w:rPr>
          <w:rFonts w:cs="Times New Roman"/>
        </w:rPr>
      </w:pPr>
      <w:r w:rsidRPr="00B8377E">
        <w:rPr>
          <w:rFonts w:cs="Times New Roman"/>
        </w:rPr>
        <w:t xml:space="preserve">Butterbach-Bahl, K., Baggs, E. M., Dannenmann, M., Kiese, R., &amp; Zechmeister-Boltenstern, S. (2013). Nitrous oxide emissions from soils: How well do we understand the processes </w:t>
      </w:r>
      <w:r w:rsidRPr="00B8377E">
        <w:rPr>
          <w:rFonts w:cs="Times New Roman"/>
        </w:rPr>
        <w:lastRenderedPageBreak/>
        <w:t xml:space="preserve">and their controls? </w:t>
      </w:r>
      <w:r w:rsidRPr="00B8377E">
        <w:rPr>
          <w:rFonts w:cs="Times New Roman"/>
          <w:i/>
          <w:iCs/>
        </w:rPr>
        <w:t>Philosophical Transactions of the Royal Society B: Biological Sciences</w:t>
      </w:r>
      <w:r w:rsidRPr="00B8377E">
        <w:rPr>
          <w:rFonts w:cs="Times New Roman"/>
        </w:rPr>
        <w:t xml:space="preserve">, </w:t>
      </w:r>
      <w:r w:rsidRPr="00B8377E">
        <w:rPr>
          <w:rFonts w:cs="Times New Roman"/>
          <w:i/>
          <w:iCs/>
        </w:rPr>
        <w:t>368</w:t>
      </w:r>
      <w:r w:rsidRPr="00B8377E">
        <w:rPr>
          <w:rFonts w:cs="Times New Roman"/>
        </w:rPr>
        <w:t>(1621), 20130122. https://doi.org/10.1098/rstb.2013.0122</w:t>
      </w:r>
    </w:p>
    <w:p w14:paraId="2021ADC2" w14:textId="77777777" w:rsidR="00B8377E" w:rsidRPr="00B8377E" w:rsidRDefault="00B8377E" w:rsidP="00B8377E">
      <w:pPr>
        <w:pStyle w:val="Bibliography"/>
        <w:rPr>
          <w:rFonts w:cs="Times New Roman"/>
        </w:rPr>
      </w:pPr>
      <w:r w:rsidRPr="00B8377E">
        <w:rPr>
          <w:rFonts w:cs="Times New Roman"/>
        </w:rPr>
        <w:t xml:space="preserve">Caranto, J. D., &amp; Lancaster, K. M. (2017). Nitric oxide is an obligate bacterial nitrification intermediate produced by hydroxylamine oxidoreductase. </w:t>
      </w:r>
      <w:r w:rsidRPr="00B8377E">
        <w:rPr>
          <w:rFonts w:cs="Times New Roman"/>
          <w:i/>
          <w:iCs/>
        </w:rPr>
        <w:t>Proceedings of the National Academy of Sciences</w:t>
      </w:r>
      <w:r w:rsidRPr="00B8377E">
        <w:rPr>
          <w:rFonts w:cs="Times New Roman"/>
        </w:rPr>
        <w:t xml:space="preserve">, </w:t>
      </w:r>
      <w:r w:rsidRPr="00B8377E">
        <w:rPr>
          <w:rFonts w:cs="Times New Roman"/>
          <w:i/>
          <w:iCs/>
        </w:rPr>
        <w:t>114</w:t>
      </w:r>
      <w:r w:rsidRPr="00B8377E">
        <w:rPr>
          <w:rFonts w:cs="Times New Roman"/>
        </w:rPr>
        <w:t>(31), 8217–8222. https://doi.org/10.1073/pnas.1704504114</w:t>
      </w:r>
    </w:p>
    <w:p w14:paraId="4713B8A7" w14:textId="77777777" w:rsidR="00B8377E" w:rsidRPr="00B8377E" w:rsidRDefault="00B8377E" w:rsidP="00B8377E">
      <w:pPr>
        <w:pStyle w:val="Bibliography"/>
        <w:rPr>
          <w:rFonts w:cs="Times New Roman"/>
        </w:rPr>
      </w:pPr>
      <w:r w:rsidRPr="00B8377E">
        <w:rPr>
          <w:rFonts w:cs="Times New Roman"/>
        </w:rPr>
        <w:t xml:space="preserve">Cassidy, E. S., West, P. C., Gerber, J. S., &amp; Foley, J. A. (2013). Redefining agricultural yields: From tonnes to people nourished per hectare. </w:t>
      </w:r>
      <w:r w:rsidRPr="00B8377E">
        <w:rPr>
          <w:rFonts w:cs="Times New Roman"/>
          <w:i/>
          <w:iCs/>
        </w:rPr>
        <w:t>Environmental Research Letters</w:t>
      </w:r>
      <w:r w:rsidRPr="00B8377E">
        <w:rPr>
          <w:rFonts w:cs="Times New Roman"/>
        </w:rPr>
        <w:t xml:space="preserve">, </w:t>
      </w:r>
      <w:r w:rsidRPr="00B8377E">
        <w:rPr>
          <w:rFonts w:cs="Times New Roman"/>
          <w:i/>
          <w:iCs/>
        </w:rPr>
        <w:t>8</w:t>
      </w:r>
      <w:r w:rsidRPr="00B8377E">
        <w:rPr>
          <w:rFonts w:cs="Times New Roman"/>
        </w:rPr>
        <w:t>(3), 034015. https://doi.org/10.1088/1748-9326/8/3/034015</w:t>
      </w:r>
    </w:p>
    <w:p w14:paraId="5A9FBBF4" w14:textId="77777777" w:rsidR="00B8377E" w:rsidRPr="00B8377E" w:rsidRDefault="00B8377E" w:rsidP="00B8377E">
      <w:pPr>
        <w:pStyle w:val="Bibliography"/>
        <w:rPr>
          <w:rFonts w:cs="Times New Roman"/>
        </w:rPr>
      </w:pPr>
      <w:r w:rsidRPr="00B8377E">
        <w:rPr>
          <w:rFonts w:cs="Times New Roman"/>
        </w:rPr>
        <w:t xml:space="preserve">Cerdà, A. (1998). Effect of climate on surface flow along a climatological gradient in Israel: A field rainfall simulation approach. </w:t>
      </w:r>
      <w:r w:rsidRPr="00B8377E">
        <w:rPr>
          <w:rFonts w:cs="Times New Roman"/>
          <w:i/>
          <w:iCs/>
        </w:rPr>
        <w:t>Journal of Arid Environments</w:t>
      </w:r>
      <w:r w:rsidRPr="00B8377E">
        <w:rPr>
          <w:rFonts w:cs="Times New Roman"/>
        </w:rPr>
        <w:t xml:space="preserve">, </w:t>
      </w:r>
      <w:r w:rsidRPr="00B8377E">
        <w:rPr>
          <w:rFonts w:cs="Times New Roman"/>
          <w:i/>
          <w:iCs/>
        </w:rPr>
        <w:t>38</w:t>
      </w:r>
      <w:r w:rsidRPr="00B8377E">
        <w:rPr>
          <w:rFonts w:cs="Times New Roman"/>
        </w:rPr>
        <w:t>(2), 145–159. https://doi.org/10.1006/jare.1997.0342</w:t>
      </w:r>
    </w:p>
    <w:p w14:paraId="3CFA5EF3" w14:textId="77777777" w:rsidR="00B8377E" w:rsidRPr="00B8377E" w:rsidRDefault="00B8377E" w:rsidP="00B8377E">
      <w:pPr>
        <w:pStyle w:val="Bibliography"/>
        <w:rPr>
          <w:rFonts w:cs="Times New Roman"/>
        </w:rPr>
      </w:pPr>
      <w:r w:rsidRPr="00B8377E">
        <w:rPr>
          <w:rFonts w:cs="Times New Roman"/>
        </w:rPr>
        <w:t xml:space="preserve">Chandola, V., Banerjee, A., &amp; Kumar, V. (2009). Anomaly detection: A survey. </w:t>
      </w:r>
      <w:r w:rsidRPr="00B8377E">
        <w:rPr>
          <w:rFonts w:cs="Times New Roman"/>
          <w:i/>
          <w:iCs/>
        </w:rPr>
        <w:t>ACM Computing Surveys</w:t>
      </w:r>
      <w:r w:rsidRPr="00B8377E">
        <w:rPr>
          <w:rFonts w:cs="Times New Roman"/>
        </w:rPr>
        <w:t xml:space="preserve">, </w:t>
      </w:r>
      <w:r w:rsidRPr="00B8377E">
        <w:rPr>
          <w:rFonts w:cs="Times New Roman"/>
          <w:i/>
          <w:iCs/>
        </w:rPr>
        <w:t>41</w:t>
      </w:r>
      <w:r w:rsidRPr="00B8377E">
        <w:rPr>
          <w:rFonts w:cs="Times New Roman"/>
        </w:rPr>
        <w:t>(3), 15:1-15:58. https://doi.org/10.1145/1541880.1541882</w:t>
      </w:r>
    </w:p>
    <w:p w14:paraId="6C196BEA" w14:textId="77777777" w:rsidR="00B8377E" w:rsidRPr="00B8377E" w:rsidRDefault="00B8377E" w:rsidP="00B8377E">
      <w:pPr>
        <w:pStyle w:val="Bibliography"/>
        <w:rPr>
          <w:rFonts w:cs="Times New Roman"/>
        </w:rPr>
      </w:pPr>
      <w:r w:rsidRPr="00B8377E">
        <w:rPr>
          <w:rFonts w:cs="Times New Roman"/>
        </w:rPr>
        <w:t xml:space="preserve">Chaplin-Kramer, R., Chappell, M. J., &amp; Bennett, E. M. (2023). Un-yielding: Evidence for the agriculture transformation we need. </w:t>
      </w:r>
      <w:r w:rsidRPr="00B8377E">
        <w:rPr>
          <w:rFonts w:cs="Times New Roman"/>
          <w:i/>
          <w:iCs/>
        </w:rPr>
        <w:t>Annals of the New York Academy of Sciences</w:t>
      </w:r>
      <w:r w:rsidRPr="00B8377E">
        <w:rPr>
          <w:rFonts w:cs="Times New Roman"/>
        </w:rPr>
        <w:t xml:space="preserve">, </w:t>
      </w:r>
      <w:r w:rsidRPr="00B8377E">
        <w:rPr>
          <w:rFonts w:cs="Times New Roman"/>
          <w:i/>
          <w:iCs/>
        </w:rPr>
        <w:t>1520</w:t>
      </w:r>
      <w:r w:rsidRPr="00B8377E">
        <w:rPr>
          <w:rFonts w:cs="Times New Roman"/>
        </w:rPr>
        <w:t>(1), 89–104. https://doi.org/10.1111/nyas.14950</w:t>
      </w:r>
    </w:p>
    <w:p w14:paraId="264DCF78" w14:textId="77777777" w:rsidR="00B8377E" w:rsidRPr="00B8377E" w:rsidRDefault="00B8377E" w:rsidP="00B8377E">
      <w:pPr>
        <w:pStyle w:val="Bibliography"/>
        <w:rPr>
          <w:rFonts w:cs="Times New Roman"/>
        </w:rPr>
      </w:pPr>
      <w:r w:rsidRPr="00B8377E">
        <w:rPr>
          <w:rFonts w:cs="Times New Roman"/>
        </w:rPr>
        <w:t xml:space="preserve">Chiaravalloti, I., Theunissen, N., Zhang, S., Wang, J., Sun, F., Ahmed, A. A., Pihlap, E., Reinhard, C. T., &amp; Planavsky, N. J. (2023). Mitigation of soil nitrous oxide emissions during maize production with basalt amendments. </w:t>
      </w:r>
      <w:r w:rsidRPr="00B8377E">
        <w:rPr>
          <w:rFonts w:cs="Times New Roman"/>
          <w:i/>
          <w:iCs/>
        </w:rPr>
        <w:t>Frontiers in Climate</w:t>
      </w:r>
      <w:r w:rsidRPr="00B8377E">
        <w:rPr>
          <w:rFonts w:cs="Times New Roman"/>
        </w:rPr>
        <w:t xml:space="preserve">, </w:t>
      </w:r>
      <w:r w:rsidRPr="00B8377E">
        <w:rPr>
          <w:rFonts w:cs="Times New Roman"/>
          <w:i/>
          <w:iCs/>
        </w:rPr>
        <w:t>5</w:t>
      </w:r>
      <w:r w:rsidRPr="00B8377E">
        <w:rPr>
          <w:rFonts w:cs="Times New Roman"/>
        </w:rPr>
        <w:t>. https://doi.org/10.3389/fclim.2023.1203043</w:t>
      </w:r>
    </w:p>
    <w:p w14:paraId="121CF1F5" w14:textId="77777777" w:rsidR="00B8377E" w:rsidRPr="00B8377E" w:rsidRDefault="00B8377E" w:rsidP="00B8377E">
      <w:pPr>
        <w:pStyle w:val="Bibliography"/>
        <w:rPr>
          <w:rFonts w:cs="Times New Roman"/>
        </w:rPr>
      </w:pPr>
      <w:r w:rsidRPr="00B8377E">
        <w:rPr>
          <w:rFonts w:cs="Times New Roman"/>
        </w:rPr>
        <w:t xml:space="preserve">Chicco, D., &amp; Jurman, G. (2020). The advantages of the Matthews correlation coefficient (MCC) over F1 score and accuracy in binary classification evaluation. </w:t>
      </w:r>
      <w:r w:rsidRPr="00B8377E">
        <w:rPr>
          <w:rFonts w:cs="Times New Roman"/>
          <w:i/>
          <w:iCs/>
        </w:rPr>
        <w:t>BMC Genomics</w:t>
      </w:r>
      <w:r w:rsidRPr="00B8377E">
        <w:rPr>
          <w:rFonts w:cs="Times New Roman"/>
        </w:rPr>
        <w:t xml:space="preserve">, </w:t>
      </w:r>
      <w:r w:rsidRPr="00B8377E">
        <w:rPr>
          <w:rFonts w:cs="Times New Roman"/>
          <w:i/>
          <w:iCs/>
        </w:rPr>
        <w:t>21</w:t>
      </w:r>
      <w:r w:rsidRPr="00B8377E">
        <w:rPr>
          <w:rFonts w:cs="Times New Roman"/>
        </w:rPr>
        <w:t>(1), 6. https://doi.org/10.1186/s12864-019-6413-7</w:t>
      </w:r>
    </w:p>
    <w:p w14:paraId="7B7B02CA" w14:textId="77777777" w:rsidR="00B8377E" w:rsidRPr="00B8377E" w:rsidRDefault="00B8377E" w:rsidP="00B8377E">
      <w:pPr>
        <w:pStyle w:val="Bibliography"/>
        <w:rPr>
          <w:rFonts w:cs="Times New Roman"/>
        </w:rPr>
      </w:pPr>
      <w:r w:rsidRPr="00B8377E">
        <w:rPr>
          <w:rFonts w:cs="Times New Roman"/>
        </w:rPr>
        <w:lastRenderedPageBreak/>
        <w:t xml:space="preserve">Chicco, D., &amp; Jurman, G. (2023). The Matthews correlation coefficient (MCC) should replace the ROC AUC as the standard metric for assessing binary classification. </w:t>
      </w:r>
      <w:r w:rsidRPr="00B8377E">
        <w:rPr>
          <w:rFonts w:cs="Times New Roman"/>
          <w:i/>
          <w:iCs/>
        </w:rPr>
        <w:t>BioData Mining</w:t>
      </w:r>
      <w:r w:rsidRPr="00B8377E">
        <w:rPr>
          <w:rFonts w:cs="Times New Roman"/>
        </w:rPr>
        <w:t xml:space="preserve">, </w:t>
      </w:r>
      <w:r w:rsidRPr="00B8377E">
        <w:rPr>
          <w:rFonts w:cs="Times New Roman"/>
          <w:i/>
          <w:iCs/>
        </w:rPr>
        <w:t>16</w:t>
      </w:r>
      <w:r w:rsidRPr="00B8377E">
        <w:rPr>
          <w:rFonts w:cs="Times New Roman"/>
        </w:rPr>
        <w:t>(1), 4. https://doi.org/10.1186/s13040-023-00322-4</w:t>
      </w:r>
    </w:p>
    <w:p w14:paraId="392707D4" w14:textId="77777777" w:rsidR="00B8377E" w:rsidRPr="00B8377E" w:rsidRDefault="00B8377E" w:rsidP="00B8377E">
      <w:pPr>
        <w:pStyle w:val="Bibliography"/>
        <w:rPr>
          <w:rFonts w:cs="Times New Roman"/>
        </w:rPr>
      </w:pPr>
      <w:r w:rsidRPr="00B8377E">
        <w:rPr>
          <w:rFonts w:cs="Times New Roman"/>
        </w:rPr>
        <w:t xml:space="preserve">Clark, M. A., Domingo, N. G. G., Colgan, K., Thakrar, S. K., Tilman, D., Lynch, J., Azevedo, I. L., &amp; Hill, J. D. (2020). Global food system emissions could preclude achieving the 1.5° and 2°C climate change targets. </w:t>
      </w:r>
      <w:r w:rsidRPr="00B8377E">
        <w:rPr>
          <w:rFonts w:cs="Times New Roman"/>
          <w:i/>
          <w:iCs/>
        </w:rPr>
        <w:t>Science</w:t>
      </w:r>
      <w:r w:rsidRPr="00B8377E">
        <w:rPr>
          <w:rFonts w:cs="Times New Roman"/>
        </w:rPr>
        <w:t xml:space="preserve">, </w:t>
      </w:r>
      <w:r w:rsidRPr="00B8377E">
        <w:rPr>
          <w:rFonts w:cs="Times New Roman"/>
          <w:i/>
          <w:iCs/>
        </w:rPr>
        <w:t>370</w:t>
      </w:r>
      <w:r w:rsidRPr="00B8377E">
        <w:rPr>
          <w:rFonts w:cs="Times New Roman"/>
        </w:rPr>
        <w:t>(6517), 705–708. https://doi.org/10.1126/science.aba7357</w:t>
      </w:r>
    </w:p>
    <w:p w14:paraId="29642104" w14:textId="77777777" w:rsidR="00B8377E" w:rsidRPr="00B8377E" w:rsidRDefault="00B8377E" w:rsidP="00B8377E">
      <w:pPr>
        <w:pStyle w:val="Bibliography"/>
        <w:rPr>
          <w:rFonts w:cs="Times New Roman"/>
        </w:rPr>
      </w:pPr>
      <w:r w:rsidRPr="00B8377E">
        <w:rPr>
          <w:rFonts w:cs="Times New Roman"/>
        </w:rPr>
        <w:t xml:space="preserve">Clayton, H., McTaggart, I. P., Parker, J., Swan, L., &amp; Smith, K. A. (1997). Nitrous oxide emissions from fertilised grassland: A 2-year study of the effects of N fertiliser form and environmental conditions. </w:t>
      </w:r>
      <w:r w:rsidRPr="00B8377E">
        <w:rPr>
          <w:rFonts w:cs="Times New Roman"/>
          <w:i/>
          <w:iCs/>
        </w:rPr>
        <w:t>Biology and Fertility of Soils</w:t>
      </w:r>
      <w:r w:rsidRPr="00B8377E">
        <w:rPr>
          <w:rFonts w:cs="Times New Roman"/>
        </w:rPr>
        <w:t xml:space="preserve">, </w:t>
      </w:r>
      <w:r w:rsidRPr="00B8377E">
        <w:rPr>
          <w:rFonts w:cs="Times New Roman"/>
          <w:i/>
          <w:iCs/>
        </w:rPr>
        <w:t>25</w:t>
      </w:r>
      <w:r w:rsidRPr="00B8377E">
        <w:rPr>
          <w:rFonts w:cs="Times New Roman"/>
        </w:rPr>
        <w:t>(3), 252–260. https://doi.org/10.1007/s003740050311</w:t>
      </w:r>
    </w:p>
    <w:p w14:paraId="0153577F" w14:textId="77777777" w:rsidR="00B8377E" w:rsidRPr="00B8377E" w:rsidRDefault="00B8377E" w:rsidP="00B8377E">
      <w:pPr>
        <w:pStyle w:val="Bibliography"/>
        <w:rPr>
          <w:rFonts w:cs="Times New Roman"/>
        </w:rPr>
      </w:pPr>
      <w:r w:rsidRPr="00B8377E">
        <w:rPr>
          <w:rFonts w:cs="Times New Roman"/>
        </w:rPr>
        <w:t xml:space="preserve">Climate Action Reserve. (2021). </w:t>
      </w:r>
      <w:r w:rsidRPr="00B8377E">
        <w:rPr>
          <w:rFonts w:cs="Times New Roman"/>
          <w:i/>
          <w:iCs/>
        </w:rPr>
        <w:t>U.S. Nitrogen Management Protocol</w:t>
      </w:r>
      <w:r w:rsidRPr="00B8377E">
        <w:rPr>
          <w:rFonts w:cs="Times New Roman"/>
        </w:rPr>
        <w:t>. U.S. Nitrogen Management Protocol. https://www.climateactionreserve.org/how/protocols/ncs/nitrogen-management/</w:t>
      </w:r>
    </w:p>
    <w:p w14:paraId="755049B9" w14:textId="77777777" w:rsidR="00B8377E" w:rsidRPr="00B8377E" w:rsidRDefault="00B8377E" w:rsidP="00B8377E">
      <w:pPr>
        <w:pStyle w:val="Bibliography"/>
        <w:rPr>
          <w:rFonts w:cs="Times New Roman"/>
        </w:rPr>
      </w:pPr>
      <w:r w:rsidRPr="00B8377E">
        <w:rPr>
          <w:rFonts w:cs="Times New Roman"/>
        </w:rPr>
        <w:t xml:space="preserve">Corre, M. D., van Kessel, C., &amp; Pennock, D. J. (1996). Landscape and Seasonal Patterns of Nitrous Oxide Emissions in a Semiarid Region. </w:t>
      </w:r>
      <w:r w:rsidRPr="00B8377E">
        <w:rPr>
          <w:rFonts w:cs="Times New Roman"/>
          <w:i/>
          <w:iCs/>
        </w:rPr>
        <w:t>Soil Science Society of America Journal</w:t>
      </w:r>
      <w:r w:rsidRPr="00B8377E">
        <w:rPr>
          <w:rFonts w:cs="Times New Roman"/>
        </w:rPr>
        <w:t xml:space="preserve">, </w:t>
      </w:r>
      <w:r w:rsidRPr="00B8377E">
        <w:rPr>
          <w:rFonts w:cs="Times New Roman"/>
          <w:i/>
          <w:iCs/>
        </w:rPr>
        <w:t>60</w:t>
      </w:r>
      <w:r w:rsidRPr="00B8377E">
        <w:rPr>
          <w:rFonts w:cs="Times New Roman"/>
        </w:rPr>
        <w:t>(6), 1806–1815. https://doi.org/10.2136/sssaj1996.03615995006000060028x</w:t>
      </w:r>
    </w:p>
    <w:p w14:paraId="24292CF4" w14:textId="77777777" w:rsidR="00B8377E" w:rsidRPr="00B8377E" w:rsidRDefault="00B8377E" w:rsidP="00B8377E">
      <w:pPr>
        <w:pStyle w:val="Bibliography"/>
        <w:rPr>
          <w:rFonts w:cs="Times New Roman"/>
        </w:rPr>
      </w:pPr>
      <w:r w:rsidRPr="00B8377E">
        <w:rPr>
          <w:rFonts w:cs="Times New Roman"/>
        </w:rPr>
        <w:t xml:space="preserve">Cover, T., &amp; Hart, P. (1967). Nearest neighbor pattern classification. </w:t>
      </w:r>
      <w:r w:rsidRPr="00B8377E">
        <w:rPr>
          <w:rFonts w:cs="Times New Roman"/>
          <w:i/>
          <w:iCs/>
        </w:rPr>
        <w:t>IEEE Transactions on Information Theory</w:t>
      </w:r>
      <w:r w:rsidRPr="00B8377E">
        <w:rPr>
          <w:rFonts w:cs="Times New Roman"/>
        </w:rPr>
        <w:t xml:space="preserve">, </w:t>
      </w:r>
      <w:r w:rsidRPr="00B8377E">
        <w:rPr>
          <w:rFonts w:cs="Times New Roman"/>
          <w:i/>
          <w:iCs/>
        </w:rPr>
        <w:t>13</w:t>
      </w:r>
      <w:r w:rsidRPr="00B8377E">
        <w:rPr>
          <w:rFonts w:cs="Times New Roman"/>
        </w:rPr>
        <w:t>(1), 21–27. https://doi.org/10.1109/TIT.1967.1053964</w:t>
      </w:r>
    </w:p>
    <w:p w14:paraId="5AAE5D7D" w14:textId="77777777" w:rsidR="00B8377E" w:rsidRPr="00B8377E" w:rsidRDefault="00B8377E" w:rsidP="00B8377E">
      <w:pPr>
        <w:pStyle w:val="Bibliography"/>
        <w:rPr>
          <w:rFonts w:cs="Times New Roman"/>
        </w:rPr>
      </w:pPr>
      <w:r w:rsidRPr="00B8377E">
        <w:rPr>
          <w:rFonts w:cs="Times New Roman"/>
        </w:rPr>
        <w:t xml:space="preserve">Crippa, M., Solazzo, E., Guizzardi, D., Monforti-Ferrario, F., Tubiello, F. N., &amp; Leip, A. (2021). Food systems are responsible for a third of global anthropogenic GHG emissions. </w:t>
      </w:r>
      <w:r w:rsidRPr="00B8377E">
        <w:rPr>
          <w:rFonts w:cs="Times New Roman"/>
          <w:i/>
          <w:iCs/>
        </w:rPr>
        <w:t>Nature Food</w:t>
      </w:r>
      <w:r w:rsidRPr="00B8377E">
        <w:rPr>
          <w:rFonts w:cs="Times New Roman"/>
        </w:rPr>
        <w:t xml:space="preserve">, </w:t>
      </w:r>
      <w:r w:rsidRPr="00B8377E">
        <w:rPr>
          <w:rFonts w:cs="Times New Roman"/>
          <w:i/>
          <w:iCs/>
        </w:rPr>
        <w:t>2</w:t>
      </w:r>
      <w:r w:rsidRPr="00B8377E">
        <w:rPr>
          <w:rFonts w:cs="Times New Roman"/>
        </w:rPr>
        <w:t>(3), Article 3. https://doi.org/10.1038/s43016-021-00225-9</w:t>
      </w:r>
    </w:p>
    <w:p w14:paraId="6E455DDF" w14:textId="040D5D8C" w:rsidR="00B8377E" w:rsidRPr="00B8377E" w:rsidRDefault="00B8377E" w:rsidP="00B8377E">
      <w:pPr>
        <w:pStyle w:val="Bibliography"/>
        <w:rPr>
          <w:rFonts w:cs="Times New Roman"/>
        </w:rPr>
      </w:pPr>
      <w:r w:rsidRPr="00B8377E">
        <w:rPr>
          <w:rFonts w:cs="Times New Roman"/>
        </w:rPr>
        <w:lastRenderedPageBreak/>
        <w:t xml:space="preserve">D, </w:t>
      </w:r>
      <w:r w:rsidR="001C53E4">
        <w:rPr>
          <w:rFonts w:cs="Times New Roman"/>
        </w:rPr>
        <w:t>D.</w:t>
      </w:r>
      <w:r w:rsidRPr="00B8377E">
        <w:rPr>
          <w:rFonts w:cs="Times New Roman"/>
        </w:rPr>
        <w:t xml:space="preserve"> &amp; Babu, S. S. (2016). Methods to detect different types of outliers. </w:t>
      </w:r>
      <w:r w:rsidRPr="00B8377E">
        <w:rPr>
          <w:rFonts w:cs="Times New Roman"/>
          <w:i/>
          <w:iCs/>
        </w:rPr>
        <w:t>2016 International Conference on Data Mining and Advanced Computing (SAPIENCE)</w:t>
      </w:r>
      <w:r w:rsidRPr="00B8377E">
        <w:rPr>
          <w:rFonts w:cs="Times New Roman"/>
        </w:rPr>
        <w:t>, 23–28. https://doi.org/10.1109/SAPIENCE.2016.7684114</w:t>
      </w:r>
    </w:p>
    <w:p w14:paraId="762F2F91" w14:textId="77777777" w:rsidR="00B8377E" w:rsidRPr="00B8377E" w:rsidRDefault="00B8377E" w:rsidP="00B8377E">
      <w:pPr>
        <w:pStyle w:val="Bibliography"/>
        <w:rPr>
          <w:rFonts w:cs="Times New Roman"/>
        </w:rPr>
      </w:pPr>
      <w:r w:rsidRPr="00B8377E">
        <w:rPr>
          <w:rFonts w:cs="Times New Roman"/>
        </w:rPr>
        <w:t xml:space="preserve">Dastjerdy, B., Saeidi, A., &amp; Heidarzadeh, S. (2023). Review of Applicable Outlier Detection Methods to Treat Geomechanical Data. </w:t>
      </w:r>
      <w:r w:rsidRPr="00B8377E">
        <w:rPr>
          <w:rFonts w:cs="Times New Roman"/>
          <w:i/>
          <w:iCs/>
        </w:rPr>
        <w:t>Geotechnics</w:t>
      </w:r>
      <w:r w:rsidRPr="00B8377E">
        <w:rPr>
          <w:rFonts w:cs="Times New Roman"/>
        </w:rPr>
        <w:t xml:space="preserve">, </w:t>
      </w:r>
      <w:r w:rsidRPr="00B8377E">
        <w:rPr>
          <w:rFonts w:cs="Times New Roman"/>
          <w:i/>
          <w:iCs/>
        </w:rPr>
        <w:t>3</w:t>
      </w:r>
      <w:r w:rsidRPr="00B8377E">
        <w:rPr>
          <w:rFonts w:cs="Times New Roman"/>
        </w:rPr>
        <w:t>(2), Article 2. https://doi.org/10.3390/geotechnics3020022</w:t>
      </w:r>
    </w:p>
    <w:p w14:paraId="0B40BBC0" w14:textId="77777777" w:rsidR="00B8377E" w:rsidRPr="00B8377E" w:rsidRDefault="00B8377E" w:rsidP="00B8377E">
      <w:pPr>
        <w:pStyle w:val="Bibliography"/>
        <w:rPr>
          <w:rFonts w:cs="Times New Roman"/>
        </w:rPr>
      </w:pPr>
      <w:r w:rsidRPr="00B8377E">
        <w:rPr>
          <w:rFonts w:cs="Times New Roman"/>
        </w:rPr>
        <w:t xml:space="preserve">Davies, K., &amp; Riddell, T. (2017). The Warming War: How Climate Change Is Creating Threats to International Peace and Security. </w:t>
      </w:r>
      <w:r w:rsidRPr="00B8377E">
        <w:rPr>
          <w:rFonts w:cs="Times New Roman"/>
          <w:i/>
          <w:iCs/>
        </w:rPr>
        <w:t>Georgetown Environmental Law Review</w:t>
      </w:r>
      <w:r w:rsidRPr="00B8377E">
        <w:rPr>
          <w:rFonts w:cs="Times New Roman"/>
        </w:rPr>
        <w:t xml:space="preserve">, </w:t>
      </w:r>
      <w:r w:rsidRPr="00B8377E">
        <w:rPr>
          <w:rFonts w:cs="Times New Roman"/>
          <w:i/>
          <w:iCs/>
        </w:rPr>
        <w:t>30</w:t>
      </w:r>
      <w:r w:rsidRPr="00B8377E">
        <w:rPr>
          <w:rFonts w:cs="Times New Roman"/>
        </w:rPr>
        <w:t>, 47.</w:t>
      </w:r>
    </w:p>
    <w:p w14:paraId="4D6F61C8" w14:textId="77777777" w:rsidR="00B8377E" w:rsidRPr="00B8377E" w:rsidRDefault="00B8377E" w:rsidP="00B8377E">
      <w:pPr>
        <w:pStyle w:val="Bibliography"/>
        <w:rPr>
          <w:rFonts w:cs="Times New Roman"/>
        </w:rPr>
      </w:pPr>
      <w:r w:rsidRPr="00B8377E">
        <w:rPr>
          <w:rFonts w:cs="Times New Roman"/>
        </w:rPr>
        <w:t xml:space="preserve">Del Grosso, S. J., White, J. W., Wilson, G., Vandenberg, B., Karlen, D. L., Follett, R. F., Johnson, J. M. F., Franzluebbers, A. J., Archer, D. W., Gollany, H. T., Liebig, M. A., Ascough, J., Reyes-Fox, M., Pellack, L., Starr, J., Barbour, N., Polumsky, R. W., Gutwein, M., &amp; James, D. (2013). Introducing the GRACEnet/REAP Data Contribution, Discovery, and Retrieval System. </w:t>
      </w:r>
      <w:r w:rsidRPr="00B8377E">
        <w:rPr>
          <w:rFonts w:cs="Times New Roman"/>
          <w:i/>
          <w:iCs/>
        </w:rPr>
        <w:t>Journal of Environmental Quality</w:t>
      </w:r>
      <w:r w:rsidRPr="00B8377E">
        <w:rPr>
          <w:rFonts w:cs="Times New Roman"/>
        </w:rPr>
        <w:t xml:space="preserve">, </w:t>
      </w:r>
      <w:r w:rsidRPr="00B8377E">
        <w:rPr>
          <w:rFonts w:cs="Times New Roman"/>
          <w:i/>
          <w:iCs/>
        </w:rPr>
        <w:t>42</w:t>
      </w:r>
      <w:r w:rsidRPr="00B8377E">
        <w:rPr>
          <w:rFonts w:cs="Times New Roman"/>
        </w:rPr>
        <w:t>(4), 1274–1280. https://doi.org/10.2134/jeq2013.03.0097</w:t>
      </w:r>
    </w:p>
    <w:p w14:paraId="450715DD" w14:textId="77777777" w:rsidR="00B8377E" w:rsidRPr="00B8377E" w:rsidRDefault="00B8377E" w:rsidP="00B8377E">
      <w:pPr>
        <w:pStyle w:val="Bibliography"/>
        <w:rPr>
          <w:rFonts w:cs="Times New Roman"/>
        </w:rPr>
      </w:pPr>
      <w:r w:rsidRPr="00B8377E">
        <w:rPr>
          <w:rFonts w:cs="Times New Roman"/>
        </w:rPr>
        <w:t xml:space="preserve">Del Grosso, S. J., Wirth, T., Ogle, S. M., &amp; Parton, W. J. (2008). Estimating Agricultural Nitrous Oxide Emissions. </w:t>
      </w:r>
      <w:r w:rsidRPr="00B8377E">
        <w:rPr>
          <w:rFonts w:cs="Times New Roman"/>
          <w:i/>
          <w:iCs/>
        </w:rPr>
        <w:t>Eos, Transactions American Geophysical Union</w:t>
      </w:r>
      <w:r w:rsidRPr="00B8377E">
        <w:rPr>
          <w:rFonts w:cs="Times New Roman"/>
        </w:rPr>
        <w:t xml:space="preserve">, </w:t>
      </w:r>
      <w:r w:rsidRPr="00B8377E">
        <w:rPr>
          <w:rFonts w:cs="Times New Roman"/>
          <w:i/>
          <w:iCs/>
        </w:rPr>
        <w:t>89</w:t>
      </w:r>
      <w:r w:rsidRPr="00B8377E">
        <w:rPr>
          <w:rFonts w:cs="Times New Roman"/>
        </w:rPr>
        <w:t>(51), 529–529. https://doi.org/10.1029/2008EO510001</w:t>
      </w:r>
    </w:p>
    <w:p w14:paraId="3BDEA1D1" w14:textId="77777777" w:rsidR="00B8377E" w:rsidRPr="00B8377E" w:rsidRDefault="00B8377E" w:rsidP="00B8377E">
      <w:pPr>
        <w:pStyle w:val="Bibliography"/>
        <w:rPr>
          <w:rFonts w:cs="Times New Roman"/>
        </w:rPr>
      </w:pPr>
      <w:r w:rsidRPr="00B8377E">
        <w:rPr>
          <w:rFonts w:cs="Times New Roman"/>
        </w:rPr>
        <w:t xml:space="preserve">Deng, L., Zhu, G., Tang, Z., &amp; Shangguan, Z. (2016). Global patterns of the effects of land-use changes on soil carbon stocks. </w:t>
      </w:r>
      <w:r w:rsidRPr="00B8377E">
        <w:rPr>
          <w:rFonts w:cs="Times New Roman"/>
          <w:i/>
          <w:iCs/>
        </w:rPr>
        <w:t>Global Ecology and Conservation</w:t>
      </w:r>
      <w:r w:rsidRPr="00B8377E">
        <w:rPr>
          <w:rFonts w:cs="Times New Roman"/>
        </w:rPr>
        <w:t xml:space="preserve">, </w:t>
      </w:r>
      <w:r w:rsidRPr="00B8377E">
        <w:rPr>
          <w:rFonts w:cs="Times New Roman"/>
          <w:i/>
          <w:iCs/>
        </w:rPr>
        <w:t>5</w:t>
      </w:r>
      <w:r w:rsidRPr="00B8377E">
        <w:rPr>
          <w:rFonts w:cs="Times New Roman"/>
        </w:rPr>
        <w:t>, 127–138. https://doi.org/10.1016/j.gecco.2015.12.004</w:t>
      </w:r>
    </w:p>
    <w:p w14:paraId="66F2A34B" w14:textId="77777777" w:rsidR="00B8377E" w:rsidRPr="00B8377E" w:rsidRDefault="00B8377E" w:rsidP="00B8377E">
      <w:pPr>
        <w:pStyle w:val="Bibliography"/>
        <w:rPr>
          <w:rFonts w:cs="Times New Roman"/>
        </w:rPr>
      </w:pPr>
      <w:r w:rsidRPr="00B8377E">
        <w:rPr>
          <w:rFonts w:cs="Times New Roman"/>
        </w:rPr>
        <w:t xml:space="preserve">Dhaliwal, J. K., Panday, D., Robertson, G. P., &amp; Saha, D. (2025). Machine learning reveals dynamic controls of soil nitrous oxide emissions from diverse long-term cropping </w:t>
      </w:r>
      <w:r w:rsidRPr="00B8377E">
        <w:rPr>
          <w:rFonts w:cs="Times New Roman"/>
        </w:rPr>
        <w:lastRenderedPageBreak/>
        <w:t xml:space="preserve">systems. </w:t>
      </w:r>
      <w:r w:rsidRPr="00B8377E">
        <w:rPr>
          <w:rFonts w:cs="Times New Roman"/>
          <w:i/>
          <w:iCs/>
        </w:rPr>
        <w:t>Journal of Environmental Quality</w:t>
      </w:r>
      <w:r w:rsidRPr="00B8377E">
        <w:rPr>
          <w:rFonts w:cs="Times New Roman"/>
        </w:rPr>
        <w:t xml:space="preserve">, </w:t>
      </w:r>
      <w:r w:rsidRPr="00B8377E">
        <w:rPr>
          <w:rFonts w:cs="Times New Roman"/>
          <w:i/>
          <w:iCs/>
        </w:rPr>
        <w:t>54</w:t>
      </w:r>
      <w:r w:rsidRPr="00B8377E">
        <w:rPr>
          <w:rFonts w:cs="Times New Roman"/>
        </w:rPr>
        <w:t>(1), 132–146. https://doi.org/10.1002/jeq2.20637</w:t>
      </w:r>
    </w:p>
    <w:p w14:paraId="056F6252" w14:textId="77777777" w:rsidR="00B8377E" w:rsidRPr="00B8377E" w:rsidRDefault="00B8377E" w:rsidP="00B8377E">
      <w:pPr>
        <w:pStyle w:val="Bibliography"/>
        <w:rPr>
          <w:rFonts w:cs="Times New Roman"/>
        </w:rPr>
      </w:pPr>
      <w:r w:rsidRPr="00B8377E">
        <w:rPr>
          <w:rFonts w:cs="Times New Roman"/>
        </w:rPr>
        <w:t xml:space="preserve">Doane, T. A., &amp; and Horwáth, W. R. (2003). Spectrophotometric Determination of Nitrate with a Single Reagent. </w:t>
      </w:r>
      <w:r w:rsidRPr="00B8377E">
        <w:rPr>
          <w:rFonts w:cs="Times New Roman"/>
          <w:i/>
          <w:iCs/>
        </w:rPr>
        <w:t>Analytical Letters</w:t>
      </w:r>
      <w:r w:rsidRPr="00B8377E">
        <w:rPr>
          <w:rFonts w:cs="Times New Roman"/>
        </w:rPr>
        <w:t xml:space="preserve">, </w:t>
      </w:r>
      <w:r w:rsidRPr="00B8377E">
        <w:rPr>
          <w:rFonts w:cs="Times New Roman"/>
          <w:i/>
          <w:iCs/>
        </w:rPr>
        <w:t>36</w:t>
      </w:r>
      <w:r w:rsidRPr="00B8377E">
        <w:rPr>
          <w:rFonts w:cs="Times New Roman"/>
        </w:rPr>
        <w:t>(12), 2713–2722. https://doi.org/10.1081/AL-120024647</w:t>
      </w:r>
    </w:p>
    <w:p w14:paraId="1D1B90C0" w14:textId="77777777" w:rsidR="00B8377E" w:rsidRPr="00B8377E" w:rsidRDefault="00B8377E" w:rsidP="00B8377E">
      <w:pPr>
        <w:pStyle w:val="Bibliography"/>
        <w:rPr>
          <w:rFonts w:cs="Times New Roman"/>
        </w:rPr>
      </w:pPr>
      <w:r w:rsidRPr="00B8377E">
        <w:rPr>
          <w:rFonts w:cs="Times New Roman"/>
        </w:rPr>
        <w:t xml:space="preserve">Domingues, R., Filippone, M., Michiardi, P., &amp; Zouaoui, J. (2018). A comparative evaluation of outlier detection algorithms: Experiments and analyses. </w:t>
      </w:r>
      <w:r w:rsidRPr="00B8377E">
        <w:rPr>
          <w:rFonts w:cs="Times New Roman"/>
          <w:i/>
          <w:iCs/>
        </w:rPr>
        <w:t>Pattern Recognition</w:t>
      </w:r>
      <w:r w:rsidRPr="00B8377E">
        <w:rPr>
          <w:rFonts w:cs="Times New Roman"/>
        </w:rPr>
        <w:t xml:space="preserve">, </w:t>
      </w:r>
      <w:r w:rsidRPr="00B8377E">
        <w:rPr>
          <w:rFonts w:cs="Times New Roman"/>
          <w:i/>
          <w:iCs/>
        </w:rPr>
        <w:t>74</w:t>
      </w:r>
      <w:r w:rsidRPr="00B8377E">
        <w:rPr>
          <w:rFonts w:cs="Times New Roman"/>
        </w:rPr>
        <w:t>, 406–421. https://doi.org/10.1016/j.patcog.2017.09.037</w:t>
      </w:r>
    </w:p>
    <w:p w14:paraId="458CC8A0" w14:textId="77777777" w:rsidR="00B8377E" w:rsidRPr="00B8377E" w:rsidRDefault="00B8377E" w:rsidP="00B8377E">
      <w:pPr>
        <w:pStyle w:val="Bibliography"/>
        <w:rPr>
          <w:rFonts w:cs="Times New Roman"/>
        </w:rPr>
      </w:pPr>
      <w:r w:rsidRPr="00B8377E">
        <w:rPr>
          <w:rFonts w:cs="Times New Roman"/>
        </w:rPr>
        <w:t xml:space="preserve">Dorich, C. D., Conant, R. T., Albanito, F., Butterbach-Bahl, K., Grace, P., Scheer, C., Snow, V. O., Vogeler, I., &amp; van der Weerden, T. J. (2020). Improving N2O emission estimates with the global N2O database. </w:t>
      </w:r>
      <w:r w:rsidRPr="00B8377E">
        <w:rPr>
          <w:rFonts w:cs="Times New Roman"/>
          <w:i/>
          <w:iCs/>
        </w:rPr>
        <w:t>Current Opinion in Environmental Sustainability</w:t>
      </w:r>
      <w:r w:rsidRPr="00B8377E">
        <w:rPr>
          <w:rFonts w:cs="Times New Roman"/>
        </w:rPr>
        <w:t xml:space="preserve">, </w:t>
      </w:r>
      <w:r w:rsidRPr="00B8377E">
        <w:rPr>
          <w:rFonts w:cs="Times New Roman"/>
          <w:i/>
          <w:iCs/>
        </w:rPr>
        <w:t>47</w:t>
      </w:r>
      <w:r w:rsidRPr="00B8377E">
        <w:rPr>
          <w:rFonts w:cs="Times New Roman"/>
        </w:rPr>
        <w:t>, 13–20. https://doi.org/10.1016/j.cosust.2020.04.006</w:t>
      </w:r>
    </w:p>
    <w:p w14:paraId="44F988C7" w14:textId="77777777" w:rsidR="00B8377E" w:rsidRPr="00B8377E" w:rsidRDefault="00B8377E" w:rsidP="00B8377E">
      <w:pPr>
        <w:pStyle w:val="Bibliography"/>
        <w:rPr>
          <w:rFonts w:cs="Times New Roman"/>
        </w:rPr>
      </w:pPr>
      <w:r w:rsidRPr="00B8377E">
        <w:rPr>
          <w:rFonts w:cs="Times New Roman"/>
        </w:rPr>
        <w:t xml:space="preserve">EPA. (2023). </w:t>
      </w:r>
      <w:r w:rsidRPr="00B8377E">
        <w:rPr>
          <w:rFonts w:cs="Times New Roman"/>
          <w:i/>
          <w:iCs/>
        </w:rPr>
        <w:t>Inventory of U.S. Greenhouse Gas Emissions and Sinks: 1990-2021</w:t>
      </w:r>
      <w:r w:rsidRPr="00B8377E">
        <w:rPr>
          <w:rFonts w:cs="Times New Roman"/>
        </w:rPr>
        <w:t>. U.S. Environmental Protection Agency, EPA 430-R-23-002. https://www.epa.gov/ghgemissions/inventory-us-greenhouse-gas-emissions-and-sinks-1990-2021.</w:t>
      </w:r>
    </w:p>
    <w:p w14:paraId="34010E4A" w14:textId="77777777" w:rsidR="00B8377E" w:rsidRPr="00B8377E" w:rsidRDefault="00B8377E" w:rsidP="00B8377E">
      <w:pPr>
        <w:pStyle w:val="Bibliography"/>
        <w:rPr>
          <w:rFonts w:cs="Times New Roman"/>
        </w:rPr>
      </w:pPr>
      <w:r w:rsidRPr="00B8377E">
        <w:rPr>
          <w:rFonts w:cs="Times New Roman"/>
        </w:rPr>
        <w:t xml:space="preserve">Erisman, J. W., Sutton, M. A., Galloway, J., Klimont, Z., &amp; Winiwarter, W. (2008). How a century of ammonia synthesis changed the world. </w:t>
      </w:r>
      <w:r w:rsidRPr="00B8377E">
        <w:rPr>
          <w:rFonts w:cs="Times New Roman"/>
          <w:i/>
          <w:iCs/>
        </w:rPr>
        <w:t>Nature Geoscience</w:t>
      </w:r>
      <w:r w:rsidRPr="00B8377E">
        <w:rPr>
          <w:rFonts w:cs="Times New Roman"/>
        </w:rPr>
        <w:t xml:space="preserve">, </w:t>
      </w:r>
      <w:r w:rsidRPr="00B8377E">
        <w:rPr>
          <w:rFonts w:cs="Times New Roman"/>
          <w:i/>
          <w:iCs/>
        </w:rPr>
        <w:t>1</w:t>
      </w:r>
      <w:r w:rsidRPr="00B8377E">
        <w:rPr>
          <w:rFonts w:cs="Times New Roman"/>
        </w:rPr>
        <w:t>(10), Article 10. https://doi.org/10.1038/ngeo325</w:t>
      </w:r>
    </w:p>
    <w:p w14:paraId="278DF81D" w14:textId="77777777" w:rsidR="00B8377E" w:rsidRPr="00B8377E" w:rsidRDefault="00B8377E" w:rsidP="00B8377E">
      <w:pPr>
        <w:pStyle w:val="Bibliography"/>
        <w:rPr>
          <w:rFonts w:cs="Times New Roman"/>
        </w:rPr>
      </w:pPr>
      <w:r w:rsidRPr="00B8377E">
        <w:rPr>
          <w:rFonts w:cs="Times New Roman"/>
        </w:rPr>
        <w:t xml:space="preserve">Es-haghi, M. S., Rezania, M., &amp; Bagheri, M. (2022). Machine learning-based estimation of soil’s true air-entry value from GSD curves. </w:t>
      </w:r>
      <w:r w:rsidRPr="00B8377E">
        <w:rPr>
          <w:rFonts w:cs="Times New Roman"/>
          <w:i/>
          <w:iCs/>
        </w:rPr>
        <w:t>Gondwana Research</w:t>
      </w:r>
      <w:r w:rsidRPr="00B8377E">
        <w:rPr>
          <w:rFonts w:cs="Times New Roman"/>
        </w:rPr>
        <w:t>. https://doi.org/10.1016/j.gr.2022.06.012</w:t>
      </w:r>
    </w:p>
    <w:p w14:paraId="0C74321A" w14:textId="77777777" w:rsidR="00B8377E" w:rsidRPr="00B8377E" w:rsidRDefault="00B8377E" w:rsidP="00B8377E">
      <w:pPr>
        <w:pStyle w:val="Bibliography"/>
        <w:rPr>
          <w:rFonts w:cs="Times New Roman"/>
        </w:rPr>
      </w:pPr>
      <w:r w:rsidRPr="00B8377E">
        <w:rPr>
          <w:rFonts w:cs="Times New Roman"/>
        </w:rPr>
        <w:lastRenderedPageBreak/>
        <w:t xml:space="preserve">Eshel, G., Shepon, A., Makov, T., &amp; Milo, R. (2014). Land, irrigation water, greenhouse gas, and reactive nitrogen burdens of meat, eggs, and dairy production in the United States. </w:t>
      </w:r>
      <w:r w:rsidRPr="00B8377E">
        <w:rPr>
          <w:rFonts w:cs="Times New Roman"/>
          <w:i/>
          <w:iCs/>
        </w:rPr>
        <w:t>Proceedings of the National Academy of Sciences</w:t>
      </w:r>
      <w:r w:rsidRPr="00B8377E">
        <w:rPr>
          <w:rFonts w:cs="Times New Roman"/>
        </w:rPr>
        <w:t xml:space="preserve">, </w:t>
      </w:r>
      <w:r w:rsidRPr="00B8377E">
        <w:rPr>
          <w:rFonts w:cs="Times New Roman"/>
          <w:i/>
          <w:iCs/>
        </w:rPr>
        <w:t>111</w:t>
      </w:r>
      <w:r w:rsidRPr="00B8377E">
        <w:rPr>
          <w:rFonts w:cs="Times New Roman"/>
        </w:rPr>
        <w:t>(33), 11996–12001. https://doi.org/10.1073/pnas.1402183111</w:t>
      </w:r>
    </w:p>
    <w:p w14:paraId="60B2C072" w14:textId="77777777" w:rsidR="00B8377E" w:rsidRPr="00B8377E" w:rsidRDefault="00B8377E" w:rsidP="00B8377E">
      <w:pPr>
        <w:pStyle w:val="Bibliography"/>
        <w:rPr>
          <w:rFonts w:cs="Times New Roman"/>
        </w:rPr>
      </w:pPr>
      <w:r w:rsidRPr="00B8377E">
        <w:rPr>
          <w:rFonts w:cs="Times New Roman"/>
        </w:rPr>
        <w:t xml:space="preserve">Fernández, Á., Bella, J., &amp; Dorronsoro, J. R. (2022). Supervised outlier detection for classification and regression. </w:t>
      </w:r>
      <w:r w:rsidRPr="00B8377E">
        <w:rPr>
          <w:rFonts w:cs="Times New Roman"/>
          <w:i/>
          <w:iCs/>
        </w:rPr>
        <w:t>Neurocomputing</w:t>
      </w:r>
      <w:r w:rsidRPr="00B8377E">
        <w:rPr>
          <w:rFonts w:cs="Times New Roman"/>
        </w:rPr>
        <w:t xml:space="preserve">, </w:t>
      </w:r>
      <w:r w:rsidRPr="00B8377E">
        <w:rPr>
          <w:rFonts w:cs="Times New Roman"/>
          <w:i/>
          <w:iCs/>
        </w:rPr>
        <w:t>486</w:t>
      </w:r>
      <w:r w:rsidRPr="00B8377E">
        <w:rPr>
          <w:rFonts w:cs="Times New Roman"/>
        </w:rPr>
        <w:t>, 77–92. https://doi.org/10.1016/j.neucom.2022.02.047</w:t>
      </w:r>
    </w:p>
    <w:p w14:paraId="448DCDAD" w14:textId="77777777" w:rsidR="00B8377E" w:rsidRPr="00B8377E" w:rsidRDefault="00B8377E" w:rsidP="00B8377E">
      <w:pPr>
        <w:pStyle w:val="Bibliography"/>
        <w:rPr>
          <w:rFonts w:cs="Times New Roman"/>
        </w:rPr>
      </w:pPr>
      <w:r w:rsidRPr="00B8377E">
        <w:rPr>
          <w:rFonts w:cs="Times New Roman"/>
        </w:rPr>
        <w:t xml:space="preserve">Firestone, M. K. (1982). Biological denitrification. </w:t>
      </w:r>
      <w:r w:rsidRPr="00B8377E">
        <w:rPr>
          <w:rFonts w:cs="Times New Roman"/>
          <w:i/>
          <w:iCs/>
        </w:rPr>
        <w:t>Nitrogen in Agricultural Soils</w:t>
      </w:r>
      <w:r w:rsidRPr="00B8377E">
        <w:rPr>
          <w:rFonts w:cs="Times New Roman"/>
        </w:rPr>
        <w:t xml:space="preserve">, </w:t>
      </w:r>
      <w:r w:rsidRPr="00B8377E">
        <w:rPr>
          <w:rFonts w:cs="Times New Roman"/>
          <w:i/>
          <w:iCs/>
        </w:rPr>
        <w:t>22</w:t>
      </w:r>
      <w:r w:rsidRPr="00B8377E">
        <w:rPr>
          <w:rFonts w:cs="Times New Roman"/>
        </w:rPr>
        <w:t>, 289–326.</w:t>
      </w:r>
    </w:p>
    <w:p w14:paraId="0F182DC8" w14:textId="77777777" w:rsidR="00B8377E" w:rsidRPr="00B8377E" w:rsidRDefault="00B8377E" w:rsidP="00B8377E">
      <w:pPr>
        <w:pStyle w:val="Bibliography"/>
        <w:rPr>
          <w:rFonts w:cs="Times New Roman"/>
        </w:rPr>
      </w:pPr>
      <w:r w:rsidRPr="00B8377E">
        <w:rPr>
          <w:rFonts w:cs="Times New Roman"/>
        </w:rPr>
        <w:t xml:space="preserve">Firestone, M. K., &amp; Davidson, E. A. (1989). Microbiological basis of NO and N2O production and consumption in soil. </w:t>
      </w:r>
      <w:r w:rsidRPr="00B8377E">
        <w:rPr>
          <w:rFonts w:cs="Times New Roman"/>
          <w:i/>
          <w:iCs/>
        </w:rPr>
        <w:t>Exchange of Trace Gases between Terrestrial Ecosystems and the Atmosphere</w:t>
      </w:r>
      <w:r w:rsidRPr="00B8377E">
        <w:rPr>
          <w:rFonts w:cs="Times New Roman"/>
        </w:rPr>
        <w:t xml:space="preserve">, </w:t>
      </w:r>
      <w:r w:rsidRPr="00B8377E">
        <w:rPr>
          <w:rFonts w:cs="Times New Roman"/>
          <w:i/>
          <w:iCs/>
        </w:rPr>
        <w:t>47</w:t>
      </w:r>
      <w:r w:rsidRPr="00B8377E">
        <w:rPr>
          <w:rFonts w:cs="Times New Roman"/>
        </w:rPr>
        <w:t>, 7–21.</w:t>
      </w:r>
    </w:p>
    <w:p w14:paraId="2DA11385" w14:textId="77777777" w:rsidR="00B8377E" w:rsidRPr="00B8377E" w:rsidRDefault="00B8377E" w:rsidP="00B8377E">
      <w:pPr>
        <w:pStyle w:val="Bibliography"/>
        <w:rPr>
          <w:rFonts w:cs="Times New Roman"/>
        </w:rPr>
      </w:pPr>
      <w:r w:rsidRPr="00B8377E">
        <w:rPr>
          <w:rFonts w:cs="Times New Roman"/>
        </w:rPr>
        <w:t xml:space="preserve">Forster, J. C. (1995). 3—Soil sampling, handling, storage and analysis. In K. Alef &amp; P. Nannipieri (Eds.), </w:t>
      </w:r>
      <w:r w:rsidRPr="00B8377E">
        <w:rPr>
          <w:rFonts w:cs="Times New Roman"/>
          <w:i/>
          <w:iCs/>
        </w:rPr>
        <w:t>Methods in Applied Soil Microbiology and Biochemistry</w:t>
      </w:r>
      <w:r w:rsidRPr="00B8377E">
        <w:rPr>
          <w:rFonts w:cs="Times New Roman"/>
        </w:rPr>
        <w:t xml:space="preserve"> (pp. 49–121). Academic Press. https://doi.org/10.1016/B978-012513840-6/50018-5</w:t>
      </w:r>
    </w:p>
    <w:p w14:paraId="1776A232" w14:textId="77777777" w:rsidR="00B8377E" w:rsidRPr="00B8377E" w:rsidRDefault="00B8377E" w:rsidP="00B8377E">
      <w:pPr>
        <w:pStyle w:val="Bibliography"/>
        <w:rPr>
          <w:rFonts w:cs="Times New Roman"/>
        </w:rPr>
      </w:pPr>
      <w:r w:rsidRPr="00B8377E">
        <w:rPr>
          <w:rFonts w:cs="Times New Roman"/>
        </w:rPr>
        <w:t xml:space="preserve">Fredlund, D. G., &amp; Xing, A. (1994). Equations for the soil-water characteristic curve. </w:t>
      </w:r>
      <w:r w:rsidRPr="00B8377E">
        <w:rPr>
          <w:rFonts w:cs="Times New Roman"/>
          <w:i/>
          <w:iCs/>
        </w:rPr>
        <w:t>Canadian Geotechnical Journal</w:t>
      </w:r>
      <w:r w:rsidRPr="00B8377E">
        <w:rPr>
          <w:rFonts w:cs="Times New Roman"/>
        </w:rPr>
        <w:t xml:space="preserve">, </w:t>
      </w:r>
      <w:r w:rsidRPr="00B8377E">
        <w:rPr>
          <w:rFonts w:cs="Times New Roman"/>
          <w:i/>
          <w:iCs/>
        </w:rPr>
        <w:t>31</w:t>
      </w:r>
      <w:r w:rsidRPr="00B8377E">
        <w:rPr>
          <w:rFonts w:cs="Times New Roman"/>
        </w:rPr>
        <w:t>(4), 521–532. https://doi.org/10.1139/t94-061</w:t>
      </w:r>
    </w:p>
    <w:p w14:paraId="3D391994" w14:textId="77777777" w:rsidR="00B8377E" w:rsidRPr="00B8377E" w:rsidRDefault="00B8377E" w:rsidP="00B8377E">
      <w:pPr>
        <w:pStyle w:val="Bibliography"/>
        <w:rPr>
          <w:rFonts w:cs="Times New Roman"/>
        </w:rPr>
      </w:pPr>
      <w:r w:rsidRPr="00B8377E">
        <w:rPr>
          <w:rFonts w:cs="Times New Roman"/>
        </w:rPr>
        <w:t xml:space="preserve">Fuchs, K., Merbold, L., Buchmann, N., Bretscher, D., Brilli, L., Fitton, N., Topp, C. F. E., Klumpp, K., Lieffering, M., Martin, R., Newton, P. C. D., Rees, R. M., Rolinski, S., Smith, P., &amp; Snow, V. (2020). Multimodel Evaluation of Nitrous Oxide Emissions From an Intensively Managed Grassland. </w:t>
      </w:r>
      <w:r w:rsidRPr="00B8377E">
        <w:rPr>
          <w:rFonts w:cs="Times New Roman"/>
          <w:i/>
          <w:iCs/>
        </w:rPr>
        <w:t>Journal of Geophysical Research: Biogeosciences</w:t>
      </w:r>
      <w:r w:rsidRPr="00B8377E">
        <w:rPr>
          <w:rFonts w:cs="Times New Roman"/>
        </w:rPr>
        <w:t xml:space="preserve">, </w:t>
      </w:r>
      <w:r w:rsidRPr="00B8377E">
        <w:rPr>
          <w:rFonts w:cs="Times New Roman"/>
          <w:i/>
          <w:iCs/>
        </w:rPr>
        <w:t>125</w:t>
      </w:r>
      <w:r w:rsidRPr="00B8377E">
        <w:rPr>
          <w:rFonts w:cs="Times New Roman"/>
        </w:rPr>
        <w:t>(1), e2019JG005261. https://doi.org/10.1029/2019JG005261</w:t>
      </w:r>
    </w:p>
    <w:p w14:paraId="52970C32" w14:textId="77777777" w:rsidR="00B8377E" w:rsidRPr="00B8377E" w:rsidRDefault="00B8377E" w:rsidP="00B8377E">
      <w:pPr>
        <w:pStyle w:val="Bibliography"/>
        <w:rPr>
          <w:rFonts w:cs="Times New Roman"/>
        </w:rPr>
      </w:pPr>
      <w:r w:rsidRPr="00B8377E">
        <w:rPr>
          <w:rFonts w:cs="Times New Roman"/>
        </w:rPr>
        <w:lastRenderedPageBreak/>
        <w:t xml:space="preserve">Fujikawa, T., &amp; Miyazaki, T. (2005). Effects of Bulk Density and Soil Type on the Gas Diffusion Coefficient in Repacked and Undisturbed Soils. </w:t>
      </w:r>
      <w:r w:rsidRPr="00B8377E">
        <w:rPr>
          <w:rFonts w:cs="Times New Roman"/>
          <w:i/>
          <w:iCs/>
        </w:rPr>
        <w:t>Soil Science</w:t>
      </w:r>
      <w:r w:rsidRPr="00B8377E">
        <w:rPr>
          <w:rFonts w:cs="Times New Roman"/>
        </w:rPr>
        <w:t xml:space="preserve">, </w:t>
      </w:r>
      <w:r w:rsidRPr="00B8377E">
        <w:rPr>
          <w:rFonts w:cs="Times New Roman"/>
          <w:i/>
          <w:iCs/>
        </w:rPr>
        <w:t>170</w:t>
      </w:r>
      <w:r w:rsidRPr="00B8377E">
        <w:rPr>
          <w:rFonts w:cs="Times New Roman"/>
        </w:rPr>
        <w:t>(11), 892. https://doi.org/10.1097/01.ss.0000196771.53574.79</w:t>
      </w:r>
    </w:p>
    <w:p w14:paraId="07BBB44E" w14:textId="77777777" w:rsidR="00B8377E" w:rsidRPr="00B8377E" w:rsidRDefault="00B8377E" w:rsidP="00B8377E">
      <w:pPr>
        <w:pStyle w:val="Bibliography"/>
        <w:rPr>
          <w:rFonts w:cs="Times New Roman"/>
        </w:rPr>
      </w:pPr>
      <w:r w:rsidRPr="00B8377E">
        <w:rPr>
          <w:rFonts w:cs="Times New Roman"/>
        </w:rPr>
        <w:t xml:space="preserve">Gaillard, R. K., Jones, C. D., Ingraham, P., Collier, S., Izaurralde, R. C., Jokela, W., Osterholz, W., Salas, W., Vadas, P., &amp; Ruark, M. D. (2018). Underestimation of N2O emissions in a comparison of the DayCent, DNDC, and EPIC models. </w:t>
      </w:r>
      <w:r w:rsidRPr="00B8377E">
        <w:rPr>
          <w:rFonts w:cs="Times New Roman"/>
          <w:i/>
          <w:iCs/>
        </w:rPr>
        <w:t>Ecological Applications</w:t>
      </w:r>
      <w:r w:rsidRPr="00B8377E">
        <w:rPr>
          <w:rFonts w:cs="Times New Roman"/>
        </w:rPr>
        <w:t xml:space="preserve">, </w:t>
      </w:r>
      <w:r w:rsidRPr="00B8377E">
        <w:rPr>
          <w:rFonts w:cs="Times New Roman"/>
          <w:i/>
          <w:iCs/>
        </w:rPr>
        <w:t>28</w:t>
      </w:r>
      <w:r w:rsidRPr="00B8377E">
        <w:rPr>
          <w:rFonts w:cs="Times New Roman"/>
        </w:rPr>
        <w:t>(3), 694–708. https://doi.org/10.1002/eap.1674</w:t>
      </w:r>
    </w:p>
    <w:p w14:paraId="4700DB85" w14:textId="77777777" w:rsidR="00B8377E" w:rsidRPr="00B8377E" w:rsidRDefault="00B8377E" w:rsidP="00B8377E">
      <w:pPr>
        <w:pStyle w:val="Bibliography"/>
        <w:rPr>
          <w:rFonts w:cs="Times New Roman"/>
        </w:rPr>
      </w:pPr>
      <w:r w:rsidRPr="00B8377E">
        <w:rPr>
          <w:rFonts w:cs="Times New Roman"/>
        </w:rPr>
        <w:t xml:space="preserve">Garnett, T. (2011). Where are the best opportunities for reducing greenhouse gas emissions in the food system (including the food chain)? </w:t>
      </w:r>
      <w:r w:rsidRPr="00B8377E">
        <w:rPr>
          <w:rFonts w:cs="Times New Roman"/>
          <w:i/>
          <w:iCs/>
        </w:rPr>
        <w:t>Food Policy</w:t>
      </w:r>
      <w:r w:rsidRPr="00B8377E">
        <w:rPr>
          <w:rFonts w:cs="Times New Roman"/>
        </w:rPr>
        <w:t xml:space="preserve">, </w:t>
      </w:r>
      <w:r w:rsidRPr="00B8377E">
        <w:rPr>
          <w:rFonts w:cs="Times New Roman"/>
          <w:i/>
          <w:iCs/>
        </w:rPr>
        <w:t>36</w:t>
      </w:r>
      <w:r w:rsidRPr="00B8377E">
        <w:rPr>
          <w:rFonts w:cs="Times New Roman"/>
        </w:rPr>
        <w:t>, S23–S32. https://doi.org/10.1016/j.foodpol.2010.10.010</w:t>
      </w:r>
    </w:p>
    <w:p w14:paraId="06F2463A" w14:textId="77777777" w:rsidR="00B8377E" w:rsidRPr="00B8377E" w:rsidRDefault="00B8377E" w:rsidP="00B8377E">
      <w:pPr>
        <w:pStyle w:val="Bibliography"/>
        <w:rPr>
          <w:rFonts w:cs="Times New Roman"/>
        </w:rPr>
      </w:pPr>
      <w:r w:rsidRPr="00B8377E">
        <w:rPr>
          <w:rFonts w:cs="Times New Roman"/>
        </w:rPr>
        <w:t xml:space="preserve">Gee, G. W., &amp; Or, D. (2002). 2.4 Particle-Size Analysis. In </w:t>
      </w:r>
      <w:r w:rsidRPr="00B8377E">
        <w:rPr>
          <w:rFonts w:cs="Times New Roman"/>
          <w:i/>
          <w:iCs/>
        </w:rPr>
        <w:t>Methods of Soil Analysis</w:t>
      </w:r>
      <w:r w:rsidRPr="00B8377E">
        <w:rPr>
          <w:rFonts w:cs="Times New Roman"/>
        </w:rPr>
        <w:t xml:space="preserve"> (pp. 255–293). John Wiley &amp; Sons, Ltd. https://doi.org/10.2136/sssabookser5.4.c12</w:t>
      </w:r>
    </w:p>
    <w:p w14:paraId="177CC86F" w14:textId="77777777" w:rsidR="00B8377E" w:rsidRPr="00B8377E" w:rsidRDefault="00B8377E" w:rsidP="00B8377E">
      <w:pPr>
        <w:pStyle w:val="Bibliography"/>
        <w:rPr>
          <w:rFonts w:cs="Times New Roman"/>
        </w:rPr>
      </w:pPr>
      <w:r w:rsidRPr="00B8377E">
        <w:rPr>
          <w:rFonts w:cs="Times New Roman"/>
        </w:rPr>
        <w:t xml:space="preserve">Glauber, J. (2011, February 18). </w:t>
      </w:r>
      <w:r w:rsidRPr="00B8377E">
        <w:rPr>
          <w:rFonts w:cs="Times New Roman"/>
          <w:i/>
          <w:iCs/>
        </w:rPr>
        <w:t>Development of Technical Guidelines and Scientific Methods for Quantifying GHG Emissions and Carbon Sequestration for Agricultural and Forestry Activities</w:t>
      </w:r>
      <w:r w:rsidRPr="00B8377E">
        <w:rPr>
          <w:rFonts w:cs="Times New Roman"/>
        </w:rPr>
        <w:t>. Federal Register. https://www.federalregister.gov/documents/2011/02/18/2011-3731/development-of-technical-guidelines-and-scientific-methods-for-quantifying-ghg-emissions-and-carbon</w:t>
      </w:r>
    </w:p>
    <w:p w14:paraId="292207FE" w14:textId="77777777" w:rsidR="00B8377E" w:rsidRPr="00B8377E" w:rsidRDefault="00B8377E" w:rsidP="00B8377E">
      <w:pPr>
        <w:pStyle w:val="Bibliography"/>
        <w:rPr>
          <w:rFonts w:cs="Times New Roman"/>
        </w:rPr>
      </w:pPr>
      <w:r w:rsidRPr="00B8377E">
        <w:rPr>
          <w:rFonts w:cs="Times New Roman"/>
        </w:rPr>
        <w:t xml:space="preserve">Glenn, A. J., Moulin, A. P., Roy, A. K., &amp; Wilson, H. F. (2021). Soil nitrous oxide emissions from no-till canola production under variable rate nitrogen fertilizer management. </w:t>
      </w:r>
      <w:r w:rsidRPr="00B8377E">
        <w:rPr>
          <w:rFonts w:cs="Times New Roman"/>
          <w:i/>
          <w:iCs/>
        </w:rPr>
        <w:t>Geoderma</w:t>
      </w:r>
      <w:r w:rsidRPr="00B8377E">
        <w:rPr>
          <w:rFonts w:cs="Times New Roman"/>
        </w:rPr>
        <w:t xml:space="preserve">, </w:t>
      </w:r>
      <w:r w:rsidRPr="00B8377E">
        <w:rPr>
          <w:rFonts w:cs="Times New Roman"/>
          <w:i/>
          <w:iCs/>
        </w:rPr>
        <w:t>385</w:t>
      </w:r>
      <w:r w:rsidRPr="00B8377E">
        <w:rPr>
          <w:rFonts w:cs="Times New Roman"/>
        </w:rPr>
        <w:t>, 114857. https://doi.org/10.1016/j.geoderma.2020.114857</w:t>
      </w:r>
    </w:p>
    <w:p w14:paraId="1999618F" w14:textId="77777777" w:rsidR="00B8377E" w:rsidRPr="00B8377E" w:rsidRDefault="00B8377E" w:rsidP="00B8377E">
      <w:pPr>
        <w:pStyle w:val="Bibliography"/>
        <w:rPr>
          <w:rFonts w:cs="Times New Roman"/>
        </w:rPr>
      </w:pPr>
      <w:r w:rsidRPr="00B8377E">
        <w:rPr>
          <w:rFonts w:cs="Times New Roman"/>
        </w:rPr>
        <w:t xml:space="preserve">Greenbaum, N., Schwartz, U., &amp; Bergman, N. (2010). Extreme floods and short-term hydroclimatological fluctuations in the hyper-arid Dead Sea region, Israel. </w:t>
      </w:r>
      <w:r w:rsidRPr="00B8377E">
        <w:rPr>
          <w:rFonts w:cs="Times New Roman"/>
          <w:i/>
          <w:iCs/>
        </w:rPr>
        <w:t>Global and Planetary Change</w:t>
      </w:r>
      <w:r w:rsidRPr="00B8377E">
        <w:rPr>
          <w:rFonts w:cs="Times New Roman"/>
        </w:rPr>
        <w:t xml:space="preserve">, </w:t>
      </w:r>
      <w:r w:rsidRPr="00B8377E">
        <w:rPr>
          <w:rFonts w:cs="Times New Roman"/>
          <w:i/>
          <w:iCs/>
        </w:rPr>
        <w:t>70</w:t>
      </w:r>
      <w:r w:rsidRPr="00B8377E">
        <w:rPr>
          <w:rFonts w:cs="Times New Roman"/>
        </w:rPr>
        <w:t>(1), 125–137. https://doi.org/10.1016/j.gloplacha.2009.11.013</w:t>
      </w:r>
    </w:p>
    <w:p w14:paraId="2C406CF6" w14:textId="77777777" w:rsidR="00B8377E" w:rsidRPr="00B8377E" w:rsidRDefault="00B8377E" w:rsidP="00B8377E">
      <w:pPr>
        <w:pStyle w:val="Bibliography"/>
        <w:rPr>
          <w:rFonts w:cs="Times New Roman"/>
        </w:rPr>
      </w:pPr>
      <w:r w:rsidRPr="00B8377E">
        <w:rPr>
          <w:rFonts w:cs="Times New Roman"/>
        </w:rPr>
        <w:lastRenderedPageBreak/>
        <w:t xml:space="preserve">Groffman, P., Butterbach-Bahl, K., Fulweiler, R. W., Gold, A. J., Morse, J. L., Stander, E. K., Tague, C., Tonitto, C., &amp; Vidon, P. (2009). Challenges to incorporating spatially and temporally explicit phenomena (hotspots and hot moments) in denitrification models. </w:t>
      </w:r>
      <w:r w:rsidRPr="00B8377E">
        <w:rPr>
          <w:rFonts w:cs="Times New Roman"/>
          <w:i/>
          <w:iCs/>
        </w:rPr>
        <w:t>Biogeochemistry</w:t>
      </w:r>
      <w:r w:rsidRPr="00B8377E">
        <w:rPr>
          <w:rFonts w:cs="Times New Roman"/>
        </w:rPr>
        <w:t xml:space="preserve">, </w:t>
      </w:r>
      <w:r w:rsidRPr="00B8377E">
        <w:rPr>
          <w:rFonts w:cs="Times New Roman"/>
          <w:i/>
          <w:iCs/>
        </w:rPr>
        <w:t>93</w:t>
      </w:r>
      <w:r w:rsidRPr="00B8377E">
        <w:rPr>
          <w:rFonts w:cs="Times New Roman"/>
        </w:rPr>
        <w:t>(1), 49–77. https://doi.org/10.1007/s10533-008-9277-5</w:t>
      </w:r>
    </w:p>
    <w:p w14:paraId="3FC4683F" w14:textId="77777777" w:rsidR="00B8377E" w:rsidRPr="00B8377E" w:rsidRDefault="00B8377E" w:rsidP="00B8377E">
      <w:pPr>
        <w:pStyle w:val="Bibliography"/>
        <w:rPr>
          <w:rFonts w:cs="Times New Roman"/>
        </w:rPr>
      </w:pPr>
      <w:r w:rsidRPr="00B8377E">
        <w:rPr>
          <w:rFonts w:cs="Times New Roman"/>
        </w:rPr>
        <w:t xml:space="preserve">Groffman, P., Tiedje, J., Robertson, G., &amp; Christensen, S. (1988). Denitrification at different temporal and geographical scales: Proximal and distal controls. </w:t>
      </w:r>
      <w:r w:rsidRPr="00B8377E">
        <w:rPr>
          <w:rFonts w:cs="Times New Roman"/>
          <w:i/>
          <w:iCs/>
        </w:rPr>
        <w:t>Advances in Nitrogen Cycling in Agricultural Ecosystems</w:t>
      </w:r>
      <w:r w:rsidRPr="00B8377E">
        <w:rPr>
          <w:rFonts w:cs="Times New Roman"/>
        </w:rPr>
        <w:t>, 174–192.</w:t>
      </w:r>
    </w:p>
    <w:p w14:paraId="6CE00310" w14:textId="77777777" w:rsidR="00B8377E" w:rsidRPr="00B8377E" w:rsidRDefault="00B8377E" w:rsidP="00B8377E">
      <w:pPr>
        <w:pStyle w:val="Bibliography"/>
        <w:rPr>
          <w:rFonts w:cs="Times New Roman"/>
        </w:rPr>
      </w:pPr>
      <w:r w:rsidRPr="00B8377E">
        <w:rPr>
          <w:rFonts w:cs="Times New Roman"/>
        </w:rPr>
        <w:t xml:space="preserve">Grunditz, C., &amp; Dalhammar, G. (2001). Development of nitrification inhibition assays using pure cultures of </w:t>
      </w:r>
      <w:r w:rsidRPr="00B8377E">
        <w:rPr>
          <w:rFonts w:cs="Times New Roman"/>
          <w:i/>
          <w:iCs/>
        </w:rPr>
        <w:t>nitrosomonas</w:t>
      </w:r>
      <w:r w:rsidRPr="00B8377E">
        <w:rPr>
          <w:rFonts w:cs="Times New Roman"/>
        </w:rPr>
        <w:t xml:space="preserve"> and </w:t>
      </w:r>
      <w:r w:rsidRPr="00B8377E">
        <w:rPr>
          <w:rFonts w:cs="Times New Roman"/>
          <w:i/>
          <w:iCs/>
        </w:rPr>
        <w:t>nitrobacter</w:t>
      </w:r>
      <w:r w:rsidRPr="00B8377E">
        <w:rPr>
          <w:rFonts w:cs="Times New Roman"/>
        </w:rPr>
        <w:t xml:space="preserve">. </w:t>
      </w:r>
      <w:r w:rsidRPr="00B8377E">
        <w:rPr>
          <w:rFonts w:cs="Times New Roman"/>
          <w:i/>
          <w:iCs/>
        </w:rPr>
        <w:t>Water Research</w:t>
      </w:r>
      <w:r w:rsidRPr="00B8377E">
        <w:rPr>
          <w:rFonts w:cs="Times New Roman"/>
        </w:rPr>
        <w:t xml:space="preserve">, </w:t>
      </w:r>
      <w:r w:rsidRPr="00B8377E">
        <w:rPr>
          <w:rFonts w:cs="Times New Roman"/>
          <w:i/>
          <w:iCs/>
        </w:rPr>
        <w:t>35</w:t>
      </w:r>
      <w:r w:rsidRPr="00B8377E">
        <w:rPr>
          <w:rFonts w:cs="Times New Roman"/>
        </w:rPr>
        <w:t>(2), 433–440. https://doi.org/10.1016/S0043-1354(00)00312-2</w:t>
      </w:r>
    </w:p>
    <w:p w14:paraId="68E27645" w14:textId="77777777" w:rsidR="00B8377E" w:rsidRPr="00B8377E" w:rsidRDefault="00B8377E" w:rsidP="00B8377E">
      <w:pPr>
        <w:pStyle w:val="Bibliography"/>
        <w:rPr>
          <w:rFonts w:cs="Times New Roman"/>
        </w:rPr>
      </w:pPr>
      <w:r w:rsidRPr="00B8377E">
        <w:rPr>
          <w:rFonts w:cs="Times New Roman"/>
        </w:rPr>
        <w:t xml:space="preserve">Gu, J., Nicoullaud, B., Rochette, P., Grossel, A., Hénault, C., Cellier, P., &amp; Richard, G. (2013). A regional experiment suggests that soil texture is a major control of N2O emissions from tile-drained winter wheat fields during the fertilization period. </w:t>
      </w:r>
      <w:r w:rsidRPr="00B8377E">
        <w:rPr>
          <w:rFonts w:cs="Times New Roman"/>
          <w:i/>
          <w:iCs/>
        </w:rPr>
        <w:t>Soil Biology and Biochemistry</w:t>
      </w:r>
      <w:r w:rsidRPr="00B8377E">
        <w:rPr>
          <w:rFonts w:cs="Times New Roman"/>
        </w:rPr>
        <w:t xml:space="preserve">, </w:t>
      </w:r>
      <w:r w:rsidRPr="00B8377E">
        <w:rPr>
          <w:rFonts w:cs="Times New Roman"/>
          <w:i/>
          <w:iCs/>
        </w:rPr>
        <w:t>60</w:t>
      </w:r>
      <w:r w:rsidRPr="00B8377E">
        <w:rPr>
          <w:rFonts w:cs="Times New Roman"/>
        </w:rPr>
        <w:t>, 134–141. https://doi.org/10.1016/j.soilbio.2013.01.029</w:t>
      </w:r>
    </w:p>
    <w:p w14:paraId="52E01FD7" w14:textId="77777777" w:rsidR="00B8377E" w:rsidRPr="00B8377E" w:rsidRDefault="00B8377E" w:rsidP="00B8377E">
      <w:pPr>
        <w:pStyle w:val="Bibliography"/>
        <w:rPr>
          <w:rFonts w:cs="Times New Roman"/>
        </w:rPr>
      </w:pPr>
      <w:r w:rsidRPr="00B8377E">
        <w:rPr>
          <w:rFonts w:cs="Times New Roman"/>
        </w:rPr>
        <w:t xml:space="preserve">Guo, L. B., &amp; Gifford, R. M. (2002). Soil carbon stocks and land use change: A meta analysis. </w:t>
      </w:r>
      <w:r w:rsidRPr="00B8377E">
        <w:rPr>
          <w:rFonts w:cs="Times New Roman"/>
          <w:i/>
          <w:iCs/>
        </w:rPr>
        <w:t>Global Change Biology</w:t>
      </w:r>
      <w:r w:rsidRPr="00B8377E">
        <w:rPr>
          <w:rFonts w:cs="Times New Roman"/>
        </w:rPr>
        <w:t xml:space="preserve">, </w:t>
      </w:r>
      <w:r w:rsidRPr="00B8377E">
        <w:rPr>
          <w:rFonts w:cs="Times New Roman"/>
          <w:i/>
          <w:iCs/>
        </w:rPr>
        <w:t>8</w:t>
      </w:r>
      <w:r w:rsidRPr="00B8377E">
        <w:rPr>
          <w:rFonts w:cs="Times New Roman"/>
        </w:rPr>
        <w:t>(4), 345–360. https://doi.org/10.1046/j.1354-1013.2002.00486.x</w:t>
      </w:r>
    </w:p>
    <w:p w14:paraId="7B324EB9" w14:textId="77777777" w:rsidR="00B8377E" w:rsidRPr="00B8377E" w:rsidRDefault="00B8377E" w:rsidP="00B8377E">
      <w:pPr>
        <w:pStyle w:val="Bibliography"/>
        <w:rPr>
          <w:rFonts w:cs="Times New Roman"/>
        </w:rPr>
      </w:pPr>
      <w:r w:rsidRPr="00B8377E">
        <w:rPr>
          <w:rFonts w:cs="Times New Roman"/>
        </w:rPr>
        <w:t xml:space="preserve">Guo, X., Drury, C. F., Yang, X., Reynolds, W. D., &amp; Fan, R. (2014). The Extent of Soil Drying and Rewetting Affects Nitrous Oxide Emissions, Denitrification, and Nitrogen Mineralization. </w:t>
      </w:r>
      <w:r w:rsidRPr="00B8377E">
        <w:rPr>
          <w:rFonts w:cs="Times New Roman"/>
          <w:i/>
          <w:iCs/>
        </w:rPr>
        <w:t>Soil Science Society of America Journal</w:t>
      </w:r>
      <w:r w:rsidRPr="00B8377E">
        <w:rPr>
          <w:rFonts w:cs="Times New Roman"/>
        </w:rPr>
        <w:t xml:space="preserve">, </w:t>
      </w:r>
      <w:r w:rsidRPr="00B8377E">
        <w:rPr>
          <w:rFonts w:cs="Times New Roman"/>
          <w:i/>
          <w:iCs/>
        </w:rPr>
        <w:t>78</w:t>
      </w:r>
      <w:r w:rsidRPr="00B8377E">
        <w:rPr>
          <w:rFonts w:cs="Times New Roman"/>
        </w:rPr>
        <w:t>(1), 194–204. https://doi.org/10.2136/sssaj2013.06.0219</w:t>
      </w:r>
    </w:p>
    <w:p w14:paraId="54030452" w14:textId="77777777" w:rsidR="00B8377E" w:rsidRPr="00B8377E" w:rsidRDefault="00B8377E" w:rsidP="00B8377E">
      <w:pPr>
        <w:pStyle w:val="Bibliography"/>
        <w:rPr>
          <w:rFonts w:cs="Times New Roman"/>
        </w:rPr>
      </w:pPr>
      <w:r w:rsidRPr="00B8377E">
        <w:rPr>
          <w:rFonts w:cs="Times New Roman"/>
        </w:rPr>
        <w:t xml:space="preserve">Hampel, F. R. (1971). A General Qualitative Definition of Robustness. </w:t>
      </w:r>
      <w:r w:rsidRPr="00B8377E">
        <w:rPr>
          <w:rFonts w:cs="Times New Roman"/>
          <w:i/>
          <w:iCs/>
        </w:rPr>
        <w:t>The Annals of Mathematical Statistics</w:t>
      </w:r>
      <w:r w:rsidRPr="00B8377E">
        <w:rPr>
          <w:rFonts w:cs="Times New Roman"/>
        </w:rPr>
        <w:t xml:space="preserve">, </w:t>
      </w:r>
      <w:r w:rsidRPr="00B8377E">
        <w:rPr>
          <w:rFonts w:cs="Times New Roman"/>
          <w:i/>
          <w:iCs/>
        </w:rPr>
        <w:t>42</w:t>
      </w:r>
      <w:r w:rsidRPr="00B8377E">
        <w:rPr>
          <w:rFonts w:cs="Times New Roman"/>
        </w:rPr>
        <w:t>(6), 1887–1896. https://doi.org/10.1214/aoms/1177693054</w:t>
      </w:r>
    </w:p>
    <w:p w14:paraId="12C99409" w14:textId="77777777" w:rsidR="00B8377E" w:rsidRPr="00B8377E" w:rsidRDefault="00B8377E" w:rsidP="00B8377E">
      <w:pPr>
        <w:pStyle w:val="Bibliography"/>
        <w:rPr>
          <w:rFonts w:cs="Times New Roman"/>
        </w:rPr>
      </w:pPr>
      <w:r w:rsidRPr="00B8377E">
        <w:rPr>
          <w:rFonts w:cs="Times New Roman"/>
        </w:rPr>
        <w:lastRenderedPageBreak/>
        <w:t xml:space="preserve">Hamrani, A., Akbarzadeh, A., &amp; Madramootoo, C. A. (2020). Machine learning for predicting greenhouse gas emissions from agricultural soils. </w:t>
      </w:r>
      <w:r w:rsidRPr="00B8377E">
        <w:rPr>
          <w:rFonts w:cs="Times New Roman"/>
          <w:i/>
          <w:iCs/>
        </w:rPr>
        <w:t>Science of The Total Environment</w:t>
      </w:r>
      <w:r w:rsidRPr="00B8377E">
        <w:rPr>
          <w:rFonts w:cs="Times New Roman"/>
        </w:rPr>
        <w:t xml:space="preserve">, </w:t>
      </w:r>
      <w:r w:rsidRPr="00B8377E">
        <w:rPr>
          <w:rFonts w:cs="Times New Roman"/>
          <w:i/>
          <w:iCs/>
        </w:rPr>
        <w:t>741</w:t>
      </w:r>
      <w:r w:rsidRPr="00B8377E">
        <w:rPr>
          <w:rFonts w:cs="Times New Roman"/>
        </w:rPr>
        <w:t>, 140338. https://doi.org/10.1016/j.scitotenv.2020.140338</w:t>
      </w:r>
    </w:p>
    <w:p w14:paraId="5A40D35E" w14:textId="77777777" w:rsidR="00B8377E" w:rsidRPr="00B8377E" w:rsidRDefault="00B8377E" w:rsidP="00B8377E">
      <w:pPr>
        <w:pStyle w:val="Bibliography"/>
        <w:rPr>
          <w:rFonts w:cs="Times New Roman"/>
        </w:rPr>
      </w:pPr>
      <w:r w:rsidRPr="00B8377E">
        <w:rPr>
          <w:rFonts w:cs="Times New Roman"/>
        </w:rPr>
        <w:t xml:space="preserve">Harris, C. R., Millman, K. J., Walt, S. J. van der, Gommers, R., Virtanen, P., Cournapeau, D., Wieser, E., Taylor, J., Berg, S., Smith, N. J., Kern, R., Picus, M., Hoyer, S., Kerkwijk, M. H. van, Brett, M., Haldane, A., Río, J. F. del, Wiebe, M., Peterson, P., … Oliphant, T. E. (2020). Array programming with NumPy. </w:t>
      </w:r>
      <w:r w:rsidRPr="00B8377E">
        <w:rPr>
          <w:rFonts w:cs="Times New Roman"/>
          <w:i/>
          <w:iCs/>
        </w:rPr>
        <w:t>Nature</w:t>
      </w:r>
      <w:r w:rsidRPr="00B8377E">
        <w:rPr>
          <w:rFonts w:cs="Times New Roman"/>
        </w:rPr>
        <w:t xml:space="preserve">, </w:t>
      </w:r>
      <w:r w:rsidRPr="00B8377E">
        <w:rPr>
          <w:rFonts w:cs="Times New Roman"/>
          <w:i/>
          <w:iCs/>
        </w:rPr>
        <w:t>585</w:t>
      </w:r>
      <w:r w:rsidRPr="00B8377E">
        <w:rPr>
          <w:rFonts w:cs="Times New Roman"/>
        </w:rPr>
        <w:t>(7825), 357–362. https://doi.org/10.1038/s41586-020-2649-2</w:t>
      </w:r>
    </w:p>
    <w:p w14:paraId="03F99C89" w14:textId="77777777" w:rsidR="00B8377E" w:rsidRPr="00B8377E" w:rsidRDefault="00B8377E" w:rsidP="00B8377E">
      <w:pPr>
        <w:pStyle w:val="Bibliography"/>
        <w:rPr>
          <w:rFonts w:cs="Times New Roman"/>
        </w:rPr>
      </w:pPr>
      <w:r w:rsidRPr="00B8377E">
        <w:rPr>
          <w:rFonts w:cs="Times New Roman"/>
        </w:rPr>
        <w:t xml:space="preserve">Harrison-Kirk, T., Beare, M. H., Meenken, E. D., &amp; Condron, L. M. (2013). Soil organic matter and texture affect responses to dry/wet cycles: Effects on carbon dioxide and nitrous oxide emissions. </w:t>
      </w:r>
      <w:r w:rsidRPr="00B8377E">
        <w:rPr>
          <w:rFonts w:cs="Times New Roman"/>
          <w:i/>
          <w:iCs/>
        </w:rPr>
        <w:t>Soil Biology and Biochemistry</w:t>
      </w:r>
      <w:r w:rsidRPr="00B8377E">
        <w:rPr>
          <w:rFonts w:cs="Times New Roman"/>
        </w:rPr>
        <w:t xml:space="preserve">, </w:t>
      </w:r>
      <w:r w:rsidRPr="00B8377E">
        <w:rPr>
          <w:rFonts w:cs="Times New Roman"/>
          <w:i/>
          <w:iCs/>
        </w:rPr>
        <w:t>57</w:t>
      </w:r>
      <w:r w:rsidRPr="00B8377E">
        <w:rPr>
          <w:rFonts w:cs="Times New Roman"/>
        </w:rPr>
        <w:t>, 43–55. https://doi.org/10.1016/j.soilbio.2012.10.008</w:t>
      </w:r>
    </w:p>
    <w:p w14:paraId="19F6F004" w14:textId="77777777" w:rsidR="00B8377E" w:rsidRPr="00B8377E" w:rsidRDefault="00B8377E" w:rsidP="00B8377E">
      <w:pPr>
        <w:pStyle w:val="Bibliography"/>
        <w:rPr>
          <w:rFonts w:cs="Times New Roman"/>
        </w:rPr>
      </w:pPr>
      <w:r w:rsidRPr="00B8377E">
        <w:rPr>
          <w:rFonts w:cs="Times New Roman"/>
        </w:rPr>
        <w:t xml:space="preserve">Harrison-Kirk, T., Thomas, S. M., Clough, T. J., Beare, M. H., van der Weerden, T. J., &amp; Meenken, E. D. (2015). Compaction influences N2O and N2 emissions from 15N-labeled synthetic urine in wet soils during successive saturation/drainage cycles. </w:t>
      </w:r>
      <w:r w:rsidRPr="00B8377E">
        <w:rPr>
          <w:rFonts w:cs="Times New Roman"/>
          <w:i/>
          <w:iCs/>
        </w:rPr>
        <w:t>Soil Biology and Biochemistry</w:t>
      </w:r>
      <w:r w:rsidRPr="00B8377E">
        <w:rPr>
          <w:rFonts w:cs="Times New Roman"/>
        </w:rPr>
        <w:t xml:space="preserve">, </w:t>
      </w:r>
      <w:r w:rsidRPr="00B8377E">
        <w:rPr>
          <w:rFonts w:cs="Times New Roman"/>
          <w:i/>
          <w:iCs/>
        </w:rPr>
        <w:t>88</w:t>
      </w:r>
      <w:r w:rsidRPr="00B8377E">
        <w:rPr>
          <w:rFonts w:cs="Times New Roman"/>
        </w:rPr>
        <w:t>, 178–188. https://doi.org/10.1016/j.soilbio.2015.05.022</w:t>
      </w:r>
    </w:p>
    <w:p w14:paraId="31627E6E" w14:textId="77777777" w:rsidR="00B8377E" w:rsidRPr="00B8377E" w:rsidRDefault="00B8377E" w:rsidP="00B8377E">
      <w:pPr>
        <w:pStyle w:val="Bibliography"/>
        <w:rPr>
          <w:rFonts w:cs="Times New Roman"/>
        </w:rPr>
      </w:pPr>
      <w:r w:rsidRPr="00B8377E">
        <w:rPr>
          <w:rFonts w:cs="Times New Roman"/>
        </w:rPr>
        <w:t xml:space="preserve">Harter, J., Guzman-Bustamante, I., Kuehfuss, S., Ruser, R., Well, R., Spott, O., Kappler, A., &amp; Behrens, S. (2016). Gas entrapment and microbial N2O reduction reduce N2O emissions from a biochar-amended sandy clay loam soil. </w:t>
      </w:r>
      <w:r w:rsidRPr="00B8377E">
        <w:rPr>
          <w:rFonts w:cs="Times New Roman"/>
          <w:i/>
          <w:iCs/>
        </w:rPr>
        <w:t>Scientific Reports</w:t>
      </w:r>
      <w:r w:rsidRPr="00B8377E">
        <w:rPr>
          <w:rFonts w:cs="Times New Roman"/>
        </w:rPr>
        <w:t xml:space="preserve">, </w:t>
      </w:r>
      <w:r w:rsidRPr="00B8377E">
        <w:rPr>
          <w:rFonts w:cs="Times New Roman"/>
          <w:i/>
          <w:iCs/>
        </w:rPr>
        <w:t>6</w:t>
      </w:r>
      <w:r w:rsidRPr="00B8377E">
        <w:rPr>
          <w:rFonts w:cs="Times New Roman"/>
        </w:rPr>
        <w:t>(1), Article 1. https://doi.org/10.1038/srep39574</w:t>
      </w:r>
    </w:p>
    <w:p w14:paraId="2A99058C" w14:textId="77777777" w:rsidR="00B8377E" w:rsidRPr="00B8377E" w:rsidRDefault="00B8377E" w:rsidP="00B8377E">
      <w:pPr>
        <w:pStyle w:val="Bibliography"/>
        <w:rPr>
          <w:rFonts w:cs="Times New Roman"/>
        </w:rPr>
      </w:pPr>
      <w:r w:rsidRPr="00B8377E">
        <w:rPr>
          <w:rFonts w:cs="Times New Roman"/>
        </w:rPr>
        <w:t xml:space="preserve">Heil, J., Liu, S., Vereecken, H., &amp; Brüggemann, N. (2015). Abiotic nitrous oxide production from hydroxylamine in soils and their dependence on soil properties. </w:t>
      </w:r>
      <w:r w:rsidRPr="00B8377E">
        <w:rPr>
          <w:rFonts w:cs="Times New Roman"/>
          <w:i/>
          <w:iCs/>
        </w:rPr>
        <w:t>Soil Biology and Biochemistry</w:t>
      </w:r>
      <w:r w:rsidRPr="00B8377E">
        <w:rPr>
          <w:rFonts w:cs="Times New Roman"/>
        </w:rPr>
        <w:t xml:space="preserve">, </w:t>
      </w:r>
      <w:r w:rsidRPr="00B8377E">
        <w:rPr>
          <w:rFonts w:cs="Times New Roman"/>
          <w:i/>
          <w:iCs/>
        </w:rPr>
        <w:t>84</w:t>
      </w:r>
      <w:r w:rsidRPr="00B8377E">
        <w:rPr>
          <w:rFonts w:cs="Times New Roman"/>
        </w:rPr>
        <w:t>, 107–115. https://doi.org/10.1016/j.soilbio.2015.02.022</w:t>
      </w:r>
    </w:p>
    <w:p w14:paraId="4B769F8E" w14:textId="77777777" w:rsidR="00B8377E" w:rsidRPr="00B8377E" w:rsidRDefault="00B8377E" w:rsidP="00B8377E">
      <w:pPr>
        <w:pStyle w:val="Bibliography"/>
        <w:rPr>
          <w:rFonts w:cs="Times New Roman"/>
        </w:rPr>
      </w:pPr>
      <w:r w:rsidRPr="00B8377E">
        <w:rPr>
          <w:rFonts w:cs="Times New Roman"/>
        </w:rPr>
        <w:lastRenderedPageBreak/>
        <w:t xml:space="preserve">Heincke, M., &amp; Kaupenjohann, M. (1999). Effects of soil solution on the dynamics of N2O emissions: A review. </w:t>
      </w:r>
      <w:r w:rsidRPr="00B8377E">
        <w:rPr>
          <w:rFonts w:cs="Times New Roman"/>
          <w:i/>
          <w:iCs/>
        </w:rPr>
        <w:t>Nutrient Cycling in Agroecosystems</w:t>
      </w:r>
      <w:r w:rsidRPr="00B8377E">
        <w:rPr>
          <w:rFonts w:cs="Times New Roman"/>
        </w:rPr>
        <w:t xml:space="preserve">, </w:t>
      </w:r>
      <w:r w:rsidRPr="00B8377E">
        <w:rPr>
          <w:rFonts w:cs="Times New Roman"/>
          <w:i/>
          <w:iCs/>
        </w:rPr>
        <w:t>55</w:t>
      </w:r>
      <w:r w:rsidRPr="00B8377E">
        <w:rPr>
          <w:rFonts w:cs="Times New Roman"/>
        </w:rPr>
        <w:t>(2), 133–157. https://doi.org/10.1023/A:1009842011599</w:t>
      </w:r>
    </w:p>
    <w:p w14:paraId="20D3E04E" w14:textId="77777777" w:rsidR="00B8377E" w:rsidRPr="00B8377E" w:rsidRDefault="00B8377E" w:rsidP="00B8377E">
      <w:pPr>
        <w:pStyle w:val="Bibliography"/>
        <w:rPr>
          <w:rFonts w:cs="Times New Roman"/>
        </w:rPr>
      </w:pPr>
      <w:r w:rsidRPr="00B8377E">
        <w:rPr>
          <w:rFonts w:cs="Times New Roman"/>
        </w:rPr>
        <w:t xml:space="preserve">Hénault, C., Grossel, A., Mary, B., Roussel, M., &amp; Léonard, J. (2012). Nitrous Oxide Emission by Agricultural Soils: A Review of Spatial and Temporal Variability for Mitigation. </w:t>
      </w:r>
      <w:r w:rsidRPr="00B8377E">
        <w:rPr>
          <w:rFonts w:cs="Times New Roman"/>
          <w:i/>
          <w:iCs/>
        </w:rPr>
        <w:t>Pedosphere</w:t>
      </w:r>
      <w:r w:rsidRPr="00B8377E">
        <w:rPr>
          <w:rFonts w:cs="Times New Roman"/>
        </w:rPr>
        <w:t xml:space="preserve">, </w:t>
      </w:r>
      <w:r w:rsidRPr="00B8377E">
        <w:rPr>
          <w:rFonts w:cs="Times New Roman"/>
          <w:i/>
          <w:iCs/>
        </w:rPr>
        <w:t>22</w:t>
      </w:r>
      <w:r w:rsidRPr="00B8377E">
        <w:rPr>
          <w:rFonts w:cs="Times New Roman"/>
        </w:rPr>
        <w:t>(4), 426–433. https://doi.org/10.1016/S1002-0160(12)60029-0</w:t>
      </w:r>
    </w:p>
    <w:p w14:paraId="7B50E261" w14:textId="77777777" w:rsidR="00B8377E" w:rsidRPr="00B8377E" w:rsidRDefault="00B8377E" w:rsidP="00B8377E">
      <w:pPr>
        <w:pStyle w:val="Bibliography"/>
        <w:rPr>
          <w:rFonts w:cs="Times New Roman"/>
        </w:rPr>
      </w:pPr>
      <w:r w:rsidRPr="00B8377E">
        <w:rPr>
          <w:rFonts w:cs="Times New Roman"/>
        </w:rPr>
        <w:t xml:space="preserve">Hu, H.-W., Chen, D., &amp; He, J.-Z. (2015). Microbial regulation of terrestrial nitrous oxide formation: Understanding the biological pathways for prediction of emission rates. </w:t>
      </w:r>
      <w:r w:rsidRPr="00B8377E">
        <w:rPr>
          <w:rFonts w:cs="Times New Roman"/>
          <w:i/>
          <w:iCs/>
        </w:rPr>
        <w:t>FEMS Microbiology Reviews</w:t>
      </w:r>
      <w:r w:rsidRPr="00B8377E">
        <w:rPr>
          <w:rFonts w:cs="Times New Roman"/>
        </w:rPr>
        <w:t xml:space="preserve">, </w:t>
      </w:r>
      <w:r w:rsidRPr="00B8377E">
        <w:rPr>
          <w:rFonts w:cs="Times New Roman"/>
          <w:i/>
          <w:iCs/>
        </w:rPr>
        <w:t>39</w:t>
      </w:r>
      <w:r w:rsidRPr="00B8377E">
        <w:rPr>
          <w:rFonts w:cs="Times New Roman"/>
        </w:rPr>
        <w:t>(5), 729–749. https://doi.org/10.1093/femsre/fuv021</w:t>
      </w:r>
    </w:p>
    <w:p w14:paraId="69099F78" w14:textId="77777777" w:rsidR="00B8377E" w:rsidRPr="00B8377E" w:rsidRDefault="00B8377E" w:rsidP="00B8377E">
      <w:pPr>
        <w:pStyle w:val="Bibliography"/>
        <w:rPr>
          <w:rFonts w:cs="Times New Roman"/>
        </w:rPr>
      </w:pPr>
      <w:r w:rsidRPr="00B8377E">
        <w:rPr>
          <w:rFonts w:cs="Times New Roman"/>
        </w:rPr>
        <w:t xml:space="preserve">Huang, C. (2020). </w:t>
      </w:r>
      <w:r w:rsidRPr="00B8377E">
        <w:rPr>
          <w:rFonts w:cs="Times New Roman"/>
          <w:i/>
          <w:iCs/>
        </w:rPr>
        <w:t>WQFS Study for Greenhouse gas Reduction through Agricultural Carbon Enhancement network in West Lafayette, Indiana</w:t>
      </w:r>
      <w:r w:rsidRPr="00B8377E">
        <w:rPr>
          <w:rFonts w:cs="Times New Roman"/>
        </w:rPr>
        <w:t xml:space="preserve"> (10579353-ec7d-4274-af95-c2e1e4857fcd) [Dataset]. Ag Data Commons. https://data.nal.usda.gov/dataset/wqfs-study-greenhouse-gas-reduction-through-agricultural-carbon-enhancement-network-west-lafayette-indiana</w:t>
      </w:r>
    </w:p>
    <w:p w14:paraId="31379EBA" w14:textId="77777777" w:rsidR="00B8377E" w:rsidRPr="00B8377E" w:rsidRDefault="00B8377E" w:rsidP="00B8377E">
      <w:pPr>
        <w:pStyle w:val="Bibliography"/>
        <w:rPr>
          <w:rFonts w:cs="Times New Roman"/>
        </w:rPr>
      </w:pPr>
      <w:r w:rsidRPr="00B8377E">
        <w:rPr>
          <w:rFonts w:cs="Times New Roman"/>
        </w:rPr>
        <w:t>Huang, H., Wang, J., Hui, D., Miller, D. R., Bhattarai, S., Dennis, S., Smart, D., Sammis, T., &amp; Reddy, K. C. (2014). Nitrous oxide emissions from a commercial cornfield (</w:t>
      </w:r>
      <w:r w:rsidRPr="00B8377E">
        <w:rPr>
          <w:rFonts w:cs="Times New Roman"/>
          <w:i/>
          <w:iCs/>
        </w:rPr>
        <w:t>Zea mays</w:t>
      </w:r>
      <w:r w:rsidRPr="00B8377E">
        <w:rPr>
          <w:rFonts w:cs="Times New Roman"/>
        </w:rPr>
        <w:t xml:space="preserve">) measured using the eddy covariance technique. </w:t>
      </w:r>
      <w:r w:rsidRPr="00B8377E">
        <w:rPr>
          <w:rFonts w:cs="Times New Roman"/>
          <w:i/>
          <w:iCs/>
        </w:rPr>
        <w:t>Atmospheric Chemistry and Physics</w:t>
      </w:r>
      <w:r w:rsidRPr="00B8377E">
        <w:rPr>
          <w:rFonts w:cs="Times New Roman"/>
        </w:rPr>
        <w:t xml:space="preserve">, </w:t>
      </w:r>
      <w:r w:rsidRPr="00B8377E">
        <w:rPr>
          <w:rFonts w:cs="Times New Roman"/>
          <w:i/>
          <w:iCs/>
        </w:rPr>
        <w:t>14</w:t>
      </w:r>
      <w:r w:rsidRPr="00B8377E">
        <w:rPr>
          <w:rFonts w:cs="Times New Roman"/>
        </w:rPr>
        <w:t>(23), 12839–12854. https://doi.org/10.5194/acp-14-12839-2014</w:t>
      </w:r>
    </w:p>
    <w:p w14:paraId="3DD12122" w14:textId="77777777" w:rsidR="00B8377E" w:rsidRPr="00B8377E" w:rsidRDefault="00B8377E" w:rsidP="00B8377E">
      <w:pPr>
        <w:pStyle w:val="Bibliography"/>
        <w:rPr>
          <w:rFonts w:cs="Times New Roman"/>
        </w:rPr>
      </w:pPr>
      <w:r w:rsidRPr="00B8377E">
        <w:rPr>
          <w:rFonts w:cs="Times New Roman"/>
        </w:rPr>
        <w:t xml:space="preserve">Hubert, M., Debruyne, M., &amp; Rousseeuw, P. J. (2018). Minimum covariance determinant and extensions. </w:t>
      </w:r>
      <w:r w:rsidRPr="00B8377E">
        <w:rPr>
          <w:rFonts w:cs="Times New Roman"/>
          <w:i/>
          <w:iCs/>
        </w:rPr>
        <w:t>WIREs Computational Statistics</w:t>
      </w:r>
      <w:r w:rsidRPr="00B8377E">
        <w:rPr>
          <w:rFonts w:cs="Times New Roman"/>
        </w:rPr>
        <w:t xml:space="preserve">, </w:t>
      </w:r>
      <w:r w:rsidRPr="00B8377E">
        <w:rPr>
          <w:rFonts w:cs="Times New Roman"/>
          <w:i/>
          <w:iCs/>
        </w:rPr>
        <w:t>10</w:t>
      </w:r>
      <w:r w:rsidRPr="00B8377E">
        <w:rPr>
          <w:rFonts w:cs="Times New Roman"/>
        </w:rPr>
        <w:t>(3), e1421. https://doi.org/10.1002/wics.1421</w:t>
      </w:r>
    </w:p>
    <w:p w14:paraId="1AF0EDD8" w14:textId="77777777" w:rsidR="00B8377E" w:rsidRPr="00B8377E" w:rsidRDefault="00B8377E" w:rsidP="00B8377E">
      <w:pPr>
        <w:pStyle w:val="Bibliography"/>
        <w:rPr>
          <w:rFonts w:cs="Times New Roman"/>
        </w:rPr>
      </w:pPr>
      <w:r w:rsidRPr="00B8377E">
        <w:rPr>
          <w:rFonts w:cs="Times New Roman"/>
        </w:rPr>
        <w:t xml:space="preserve">Intergovernmental Panel On Climate Change (IPCC) (Ed.). (2023). Agriculture, Forestry and Other Land Uses (AFOLU). In </w:t>
      </w:r>
      <w:r w:rsidRPr="00B8377E">
        <w:rPr>
          <w:rFonts w:cs="Times New Roman"/>
          <w:i/>
          <w:iCs/>
        </w:rPr>
        <w:t>Climate Change 2022—Mitigation of Climate Change</w:t>
      </w:r>
      <w:r w:rsidRPr="00B8377E">
        <w:rPr>
          <w:rFonts w:cs="Times New Roman"/>
        </w:rPr>
        <w:t xml:space="preserve"> </w:t>
      </w:r>
      <w:r w:rsidRPr="00B8377E">
        <w:rPr>
          <w:rFonts w:cs="Times New Roman"/>
        </w:rPr>
        <w:lastRenderedPageBreak/>
        <w:t>(1st ed., pp. 747–860). Cambridge University Press. https://doi.org/10.1017/9781009157926.009</w:t>
      </w:r>
    </w:p>
    <w:p w14:paraId="27E13ECD" w14:textId="77777777" w:rsidR="00B8377E" w:rsidRPr="00B8377E" w:rsidRDefault="00B8377E" w:rsidP="00B8377E">
      <w:pPr>
        <w:pStyle w:val="Bibliography"/>
        <w:rPr>
          <w:rFonts w:cs="Times New Roman"/>
        </w:rPr>
      </w:pPr>
      <w:r w:rsidRPr="00B8377E">
        <w:rPr>
          <w:rFonts w:cs="Times New Roman"/>
        </w:rPr>
        <w:t xml:space="preserve">Intergovernmental Panel on Climate Change (IPCC) (Ed.). (2023). Global Carbon and Other Biogeochemical Cycles and Feedbacks. In </w:t>
      </w:r>
      <w:r w:rsidRPr="00B8377E">
        <w:rPr>
          <w:rFonts w:cs="Times New Roman"/>
          <w:i/>
          <w:iCs/>
        </w:rPr>
        <w:t>Climate Change 2021: The Physical Science Basis: Working Group I Contribution to the Sixth Assessment Report of the Intergovernmental Panel on Climate Change</w:t>
      </w:r>
      <w:r w:rsidRPr="00B8377E">
        <w:rPr>
          <w:rFonts w:cs="Times New Roman"/>
        </w:rPr>
        <w:t xml:space="preserve"> (pp. 673–816). Cambridge University Press; Cambridge Core. https://doi.org/10.1017/9781009157896.007</w:t>
      </w:r>
    </w:p>
    <w:p w14:paraId="07331551" w14:textId="76A0E169" w:rsidR="00B8377E" w:rsidRPr="00B8377E" w:rsidRDefault="00B8377E" w:rsidP="00B8377E">
      <w:pPr>
        <w:pStyle w:val="Bibliography"/>
        <w:rPr>
          <w:rFonts w:cs="Times New Roman"/>
        </w:rPr>
      </w:pPr>
      <w:r w:rsidRPr="00B8377E">
        <w:rPr>
          <w:rFonts w:cs="Times New Roman"/>
        </w:rPr>
        <w:t>Intergovernmental Panel On Climate Change (I</w:t>
      </w:r>
      <w:r w:rsidR="006B463A">
        <w:rPr>
          <w:rFonts w:cs="Times New Roman"/>
        </w:rPr>
        <w:t>PCC</w:t>
      </w:r>
      <w:r w:rsidRPr="00B8377E">
        <w:rPr>
          <w:rFonts w:cs="Times New Roman"/>
        </w:rPr>
        <w:t xml:space="preserve">) (Ed.). (2023). Mitigation Pathways Compatible with Long-term Goals. In </w:t>
      </w:r>
      <w:r w:rsidRPr="00B8377E">
        <w:rPr>
          <w:rFonts w:cs="Times New Roman"/>
          <w:i/>
          <w:iCs/>
        </w:rPr>
        <w:t>Climate Change 2022—Mitigation of Climate Change</w:t>
      </w:r>
      <w:r w:rsidRPr="00B8377E">
        <w:rPr>
          <w:rFonts w:cs="Times New Roman"/>
        </w:rPr>
        <w:t xml:space="preserve"> (1st ed., pp. 295–408). Cambridge University Press. https://doi.org/10.1017/9781009157926.005</w:t>
      </w:r>
    </w:p>
    <w:p w14:paraId="4DC58BE8" w14:textId="3A26FA63" w:rsidR="00B8377E" w:rsidRPr="00B8377E" w:rsidRDefault="006B463A" w:rsidP="00B8377E">
      <w:pPr>
        <w:pStyle w:val="Bibliography"/>
        <w:rPr>
          <w:rFonts w:cs="Times New Roman"/>
        </w:rPr>
      </w:pPr>
      <w:r w:rsidRPr="00B8377E">
        <w:rPr>
          <w:rFonts w:cs="Times New Roman"/>
        </w:rPr>
        <w:t>Intergovernmental Panel On Climate Change (</w:t>
      </w:r>
      <w:r w:rsidR="00B8377E" w:rsidRPr="00B8377E">
        <w:rPr>
          <w:rFonts w:cs="Times New Roman"/>
        </w:rPr>
        <w:t>IPCC</w:t>
      </w:r>
      <w:r>
        <w:rPr>
          <w:rFonts w:cs="Times New Roman"/>
        </w:rPr>
        <w:t>)</w:t>
      </w:r>
      <w:r w:rsidR="00B8377E" w:rsidRPr="00B8377E">
        <w:rPr>
          <w:rFonts w:cs="Times New Roman"/>
        </w:rPr>
        <w:t xml:space="preserve">. (2022). </w:t>
      </w:r>
      <w:r w:rsidR="00B8377E" w:rsidRPr="00B8377E">
        <w:rPr>
          <w:rFonts w:cs="Times New Roman"/>
          <w:i/>
          <w:iCs/>
        </w:rPr>
        <w:t>Climate Change and Land: IPCC Special Report on Climate Change, Desertification, Land Degradation, Sustainable Land Management, Food Security, and Greenhouse Gas Fluxes in Terrestrial Ecosystems</w:t>
      </w:r>
      <w:r w:rsidR="00B8377E" w:rsidRPr="00B8377E">
        <w:rPr>
          <w:rFonts w:cs="Times New Roman"/>
        </w:rPr>
        <w:t xml:space="preserve"> (1st ed.). Cambridge University Press. https://doi.org/10.1017/9781009157988</w:t>
      </w:r>
    </w:p>
    <w:p w14:paraId="2E952810" w14:textId="77777777" w:rsidR="00B8377E" w:rsidRPr="00B8377E" w:rsidRDefault="00B8377E" w:rsidP="00B8377E">
      <w:pPr>
        <w:pStyle w:val="Bibliography"/>
        <w:rPr>
          <w:rFonts w:cs="Times New Roman"/>
        </w:rPr>
      </w:pPr>
      <w:r w:rsidRPr="00B8377E">
        <w:rPr>
          <w:rFonts w:cs="Times New Roman"/>
        </w:rPr>
        <w:t xml:space="preserve">J. A. Gualtieri &amp; S. Chettri. (2000). Support vector machines for classification of hyperspectral data. </w:t>
      </w:r>
      <w:r w:rsidRPr="00B8377E">
        <w:rPr>
          <w:rFonts w:cs="Times New Roman"/>
          <w:i/>
          <w:iCs/>
        </w:rPr>
        <w:t>IGARSS 2000. IEEE 2000 International Geoscience and Remote Sensing Symposium. Taking the Pulse of the Planet: The Role of Remote Sensing in Managing the Environment. Proceedings (Cat. No.00CH37120)</w:t>
      </w:r>
      <w:r w:rsidRPr="00B8377E">
        <w:rPr>
          <w:rFonts w:cs="Times New Roman"/>
        </w:rPr>
        <w:t xml:space="preserve">, </w:t>
      </w:r>
      <w:r w:rsidRPr="00B8377E">
        <w:rPr>
          <w:rFonts w:cs="Times New Roman"/>
          <w:i/>
          <w:iCs/>
        </w:rPr>
        <w:t>2</w:t>
      </w:r>
      <w:r w:rsidRPr="00B8377E">
        <w:rPr>
          <w:rFonts w:cs="Times New Roman"/>
        </w:rPr>
        <w:t>, 813–815 vol.2. https://doi.org/10.1109/IGARSS.2000.861712</w:t>
      </w:r>
    </w:p>
    <w:p w14:paraId="2B2EAD0E" w14:textId="77777777" w:rsidR="00B8377E" w:rsidRPr="00B8377E" w:rsidRDefault="00B8377E" w:rsidP="00B8377E">
      <w:pPr>
        <w:pStyle w:val="Bibliography"/>
        <w:rPr>
          <w:rFonts w:cs="Times New Roman"/>
        </w:rPr>
      </w:pPr>
      <w:r w:rsidRPr="00B8377E">
        <w:rPr>
          <w:rFonts w:cs="Times New Roman"/>
        </w:rPr>
        <w:t xml:space="preserve">Jarecki, M. K., Parkin, T. B., Chan, A. S. K., Hatfield, J. L., &amp; Jones, R. (2008). Comparison of DAYCENT-Simulated and Measured Nitrous Oxide Emissions from a Corn Field. </w:t>
      </w:r>
      <w:r w:rsidRPr="00B8377E">
        <w:rPr>
          <w:rFonts w:cs="Times New Roman"/>
          <w:i/>
          <w:iCs/>
        </w:rPr>
        <w:lastRenderedPageBreak/>
        <w:t>Journal of Environmental Quality</w:t>
      </w:r>
      <w:r w:rsidRPr="00B8377E">
        <w:rPr>
          <w:rFonts w:cs="Times New Roman"/>
        </w:rPr>
        <w:t xml:space="preserve">, </w:t>
      </w:r>
      <w:r w:rsidRPr="00B8377E">
        <w:rPr>
          <w:rFonts w:cs="Times New Roman"/>
          <w:i/>
          <w:iCs/>
        </w:rPr>
        <w:t>37</w:t>
      </w:r>
      <w:r w:rsidRPr="00B8377E">
        <w:rPr>
          <w:rFonts w:cs="Times New Roman"/>
        </w:rPr>
        <w:t>(5), 1685–1690. https://doi.org/10.2134/jeq2007.0614</w:t>
      </w:r>
    </w:p>
    <w:p w14:paraId="38B1B140" w14:textId="77777777" w:rsidR="00B8377E" w:rsidRPr="00B8377E" w:rsidRDefault="00B8377E" w:rsidP="00B8377E">
      <w:pPr>
        <w:pStyle w:val="Bibliography"/>
        <w:rPr>
          <w:rFonts w:cs="Times New Roman"/>
        </w:rPr>
      </w:pPr>
      <w:r w:rsidRPr="00B8377E">
        <w:rPr>
          <w:rFonts w:cs="Times New Roman"/>
        </w:rPr>
        <w:t xml:space="preserve">Johnson, J. (2021). </w:t>
      </w:r>
      <w:r w:rsidRPr="00B8377E">
        <w:rPr>
          <w:rFonts w:cs="Times New Roman"/>
          <w:i/>
          <w:iCs/>
        </w:rPr>
        <w:t>Carbon Crops Study for Greenhouse gas Reduction through Agricultural Carbon Enhancement network and Resilient Economic Agricultural Practices in Morris, Minnesota</w:t>
      </w:r>
      <w:r w:rsidRPr="00B8377E">
        <w:rPr>
          <w:rFonts w:cs="Times New Roman"/>
        </w:rPr>
        <w:t xml:space="preserve"> (21d6ff3b-de69-44ff-a2b6-980a9c972a35) [Dataset]. Ag Data Commons. https://data.nal.usda.gov/dataset/carbon-crops-study-greenhouse-gas-reduction-through-agricultural-carbon-enhancement-network-and-resilient-economic-agricultural-practices-morris-minnesota</w:t>
      </w:r>
    </w:p>
    <w:p w14:paraId="13E9C2D0" w14:textId="77777777" w:rsidR="00B8377E" w:rsidRPr="00B8377E" w:rsidRDefault="00B8377E" w:rsidP="00B8377E">
      <w:pPr>
        <w:pStyle w:val="Bibliography"/>
        <w:rPr>
          <w:rFonts w:cs="Times New Roman"/>
        </w:rPr>
      </w:pPr>
      <w:r w:rsidRPr="00B8377E">
        <w:rPr>
          <w:rFonts w:cs="Times New Roman"/>
        </w:rPr>
        <w:t xml:space="preserve">Jones, D. L., &amp; Willett, V. B. (2006). Experimental evaluation of methods to quantify dissolved organic nitrogen (DON) and dissolved organic carbon (DOC) in soil. </w:t>
      </w:r>
      <w:r w:rsidRPr="00B8377E">
        <w:rPr>
          <w:rFonts w:cs="Times New Roman"/>
          <w:i/>
          <w:iCs/>
        </w:rPr>
        <w:t>Soil Biology and Biochemistry</w:t>
      </w:r>
      <w:r w:rsidRPr="00B8377E">
        <w:rPr>
          <w:rFonts w:cs="Times New Roman"/>
        </w:rPr>
        <w:t xml:space="preserve">, </w:t>
      </w:r>
      <w:r w:rsidRPr="00B8377E">
        <w:rPr>
          <w:rFonts w:cs="Times New Roman"/>
          <w:i/>
          <w:iCs/>
        </w:rPr>
        <w:t>38</w:t>
      </w:r>
      <w:r w:rsidRPr="00B8377E">
        <w:rPr>
          <w:rFonts w:cs="Times New Roman"/>
        </w:rPr>
        <w:t>(5), 991–999. https://doi.org/10.1016/j.soilbio.2005.08.012</w:t>
      </w:r>
    </w:p>
    <w:p w14:paraId="09E361E2" w14:textId="77777777" w:rsidR="00B8377E" w:rsidRPr="00B8377E" w:rsidRDefault="00B8377E" w:rsidP="00B8377E">
      <w:pPr>
        <w:pStyle w:val="Bibliography"/>
        <w:rPr>
          <w:rFonts w:cs="Times New Roman"/>
        </w:rPr>
      </w:pPr>
      <w:r w:rsidRPr="00B8377E">
        <w:rPr>
          <w:rFonts w:cs="Times New Roman"/>
        </w:rPr>
        <w:t xml:space="preserve">Joshi, D. R., Clay, D. E., Clay, S. A., Moriles-Miller, J., Daigh, A. L. M., Reicks, G., &amp; Westhoff, S. (2024). Quantification and machine learning based N2O–N and CO2–C emissions predictions from a decomposing rye cover crop. </w:t>
      </w:r>
      <w:r w:rsidRPr="00B8377E">
        <w:rPr>
          <w:rFonts w:cs="Times New Roman"/>
          <w:i/>
          <w:iCs/>
        </w:rPr>
        <w:t>Agronomy Journal</w:t>
      </w:r>
      <w:r w:rsidRPr="00B8377E">
        <w:rPr>
          <w:rFonts w:cs="Times New Roman"/>
        </w:rPr>
        <w:t xml:space="preserve">, </w:t>
      </w:r>
      <w:r w:rsidRPr="00B8377E">
        <w:rPr>
          <w:rFonts w:cs="Times New Roman"/>
          <w:i/>
          <w:iCs/>
        </w:rPr>
        <w:t>116</w:t>
      </w:r>
      <w:r w:rsidRPr="00B8377E">
        <w:rPr>
          <w:rFonts w:cs="Times New Roman"/>
        </w:rPr>
        <w:t>(3), 795–809. https://doi.org/10.1002/agj2.21185</w:t>
      </w:r>
    </w:p>
    <w:p w14:paraId="732ED70B" w14:textId="77777777" w:rsidR="00B8377E" w:rsidRPr="00B8377E" w:rsidRDefault="00B8377E" w:rsidP="00B8377E">
      <w:pPr>
        <w:pStyle w:val="Bibliography"/>
        <w:rPr>
          <w:rFonts w:cs="Times New Roman"/>
        </w:rPr>
      </w:pPr>
      <w:r w:rsidRPr="00B8377E">
        <w:rPr>
          <w:rFonts w:cs="Times New Roman"/>
        </w:rPr>
        <w:t xml:space="preserve">Klefoth, R. R., Clough, T. J., Oenema, O., &amp; Van Groenigen, J.-W. (2014). Soil Bulk Density and Moisture Content Influence Relative Gas Diffusivity and the Reduction of Nitrogen-15 Nitrous Oxide. </w:t>
      </w:r>
      <w:r w:rsidRPr="00B8377E">
        <w:rPr>
          <w:rFonts w:cs="Times New Roman"/>
          <w:i/>
          <w:iCs/>
        </w:rPr>
        <w:t>Vadose Zone Journal</w:t>
      </w:r>
      <w:r w:rsidRPr="00B8377E">
        <w:rPr>
          <w:rFonts w:cs="Times New Roman"/>
        </w:rPr>
        <w:t xml:space="preserve">, </w:t>
      </w:r>
      <w:r w:rsidRPr="00B8377E">
        <w:rPr>
          <w:rFonts w:cs="Times New Roman"/>
          <w:i/>
          <w:iCs/>
        </w:rPr>
        <w:t>13</w:t>
      </w:r>
      <w:r w:rsidRPr="00B8377E">
        <w:rPr>
          <w:rFonts w:cs="Times New Roman"/>
        </w:rPr>
        <w:t>(11), vzj2014.07.0089. https://doi.org/10.2136/vzj2014.07.0089</w:t>
      </w:r>
    </w:p>
    <w:p w14:paraId="66FCA6D2" w14:textId="77777777" w:rsidR="00B8377E" w:rsidRPr="00B8377E" w:rsidRDefault="00B8377E" w:rsidP="00B8377E">
      <w:pPr>
        <w:pStyle w:val="Bibliography"/>
        <w:rPr>
          <w:rFonts w:cs="Times New Roman"/>
        </w:rPr>
      </w:pPr>
      <w:r w:rsidRPr="00B8377E">
        <w:rPr>
          <w:rFonts w:cs="Times New Roman"/>
        </w:rPr>
        <w:t xml:space="preserve">Kotlar, A. M., Singh, J., &amp; Kumar, S. (2022). Prediction of greenhouse gas emissions from agricultural fields with and without cover crops. </w:t>
      </w:r>
      <w:r w:rsidRPr="00B8377E">
        <w:rPr>
          <w:rFonts w:cs="Times New Roman"/>
          <w:i/>
          <w:iCs/>
        </w:rPr>
        <w:t>Soil Science Society of America Journal</w:t>
      </w:r>
      <w:r w:rsidRPr="00B8377E">
        <w:rPr>
          <w:rFonts w:cs="Times New Roman"/>
        </w:rPr>
        <w:t xml:space="preserve">, </w:t>
      </w:r>
      <w:r w:rsidRPr="00B8377E">
        <w:rPr>
          <w:rFonts w:cs="Times New Roman"/>
          <w:i/>
          <w:iCs/>
        </w:rPr>
        <w:t>86</w:t>
      </w:r>
      <w:r w:rsidRPr="00B8377E">
        <w:rPr>
          <w:rFonts w:cs="Times New Roman"/>
        </w:rPr>
        <w:t>(5), 1227–1240.</w:t>
      </w:r>
    </w:p>
    <w:p w14:paraId="0598C0CD" w14:textId="77777777" w:rsidR="00B8377E" w:rsidRPr="00B8377E" w:rsidRDefault="00B8377E" w:rsidP="00B8377E">
      <w:pPr>
        <w:pStyle w:val="Bibliography"/>
        <w:rPr>
          <w:rFonts w:cs="Times New Roman"/>
        </w:rPr>
      </w:pPr>
      <w:r w:rsidRPr="00B8377E">
        <w:rPr>
          <w:rFonts w:cs="Times New Roman"/>
        </w:rPr>
        <w:lastRenderedPageBreak/>
        <w:t xml:space="preserve">Kravchenko, A. N., Guber, A. K., Quigley, M. Y., Koestel, J., Gandhi, H., &amp; Ostrom, N. E. (2018). X-ray computed tomography to predict soil N2O production via bacterial denitrification and N2O emission in contrasting bioenergy cropping systems. </w:t>
      </w:r>
      <w:r w:rsidRPr="00B8377E">
        <w:rPr>
          <w:rFonts w:cs="Times New Roman"/>
          <w:i/>
          <w:iCs/>
        </w:rPr>
        <w:t>GCB Bioenergy</w:t>
      </w:r>
      <w:r w:rsidRPr="00B8377E">
        <w:rPr>
          <w:rFonts w:cs="Times New Roman"/>
        </w:rPr>
        <w:t xml:space="preserve">, </w:t>
      </w:r>
      <w:r w:rsidRPr="00B8377E">
        <w:rPr>
          <w:rFonts w:cs="Times New Roman"/>
          <w:i/>
          <w:iCs/>
        </w:rPr>
        <w:t>10</w:t>
      </w:r>
      <w:r w:rsidRPr="00B8377E">
        <w:rPr>
          <w:rFonts w:cs="Times New Roman"/>
        </w:rPr>
        <w:t>(11), 894–909. https://doi.org/10.1111/gcbb.12552</w:t>
      </w:r>
    </w:p>
    <w:p w14:paraId="50292B46" w14:textId="77777777" w:rsidR="00B8377E" w:rsidRPr="00B8377E" w:rsidRDefault="00B8377E" w:rsidP="00B8377E">
      <w:pPr>
        <w:pStyle w:val="Bibliography"/>
        <w:rPr>
          <w:rFonts w:cs="Times New Roman"/>
        </w:rPr>
      </w:pPr>
      <w:r w:rsidRPr="00B8377E">
        <w:rPr>
          <w:rFonts w:cs="Times New Roman"/>
        </w:rPr>
        <w:t xml:space="preserve">Krichels, A. H., &amp; Yang, W. H. (2019). Dynamic Controls on Field-Scale Soil Nitrous Oxide Hot Spots and Hot Moments Across a Microtopographic Gradient. </w:t>
      </w:r>
      <w:r w:rsidRPr="00B8377E">
        <w:rPr>
          <w:rFonts w:cs="Times New Roman"/>
          <w:i/>
          <w:iCs/>
        </w:rPr>
        <w:t>Journal of Geophysical Research: Biogeosciences</w:t>
      </w:r>
      <w:r w:rsidRPr="00B8377E">
        <w:rPr>
          <w:rFonts w:cs="Times New Roman"/>
        </w:rPr>
        <w:t xml:space="preserve">, </w:t>
      </w:r>
      <w:r w:rsidRPr="00B8377E">
        <w:rPr>
          <w:rFonts w:cs="Times New Roman"/>
          <w:i/>
          <w:iCs/>
        </w:rPr>
        <w:t>124</w:t>
      </w:r>
      <w:r w:rsidRPr="00B8377E">
        <w:rPr>
          <w:rFonts w:cs="Times New Roman"/>
        </w:rPr>
        <w:t>(11), 3618–3634. https://doi.org/10.1029/2019JG005224</w:t>
      </w:r>
    </w:p>
    <w:p w14:paraId="566DFC1D" w14:textId="77777777" w:rsidR="00B8377E" w:rsidRPr="00B8377E" w:rsidRDefault="00B8377E" w:rsidP="00B8377E">
      <w:pPr>
        <w:pStyle w:val="Bibliography"/>
        <w:rPr>
          <w:rFonts w:cs="Times New Roman"/>
        </w:rPr>
      </w:pPr>
      <w:r w:rsidRPr="00B8377E">
        <w:rPr>
          <w:rFonts w:cs="Times New Roman"/>
        </w:rPr>
        <w:t xml:space="preserve">Lamb, W. F., Grubb ,Michael, Diluiso ,Francesca, &amp; and Minx, J. C. (2022). Countries with sustained greenhouse gas emissions reductions: An analysis of trends and progress by sector. </w:t>
      </w:r>
      <w:r w:rsidRPr="00B8377E">
        <w:rPr>
          <w:rFonts w:cs="Times New Roman"/>
          <w:i/>
          <w:iCs/>
        </w:rPr>
        <w:t>Climate Policy</w:t>
      </w:r>
      <w:r w:rsidRPr="00B8377E">
        <w:rPr>
          <w:rFonts w:cs="Times New Roman"/>
        </w:rPr>
        <w:t xml:space="preserve">, </w:t>
      </w:r>
      <w:r w:rsidRPr="00B8377E">
        <w:rPr>
          <w:rFonts w:cs="Times New Roman"/>
          <w:i/>
          <w:iCs/>
        </w:rPr>
        <w:t>22</w:t>
      </w:r>
      <w:r w:rsidRPr="00B8377E">
        <w:rPr>
          <w:rFonts w:cs="Times New Roman"/>
        </w:rPr>
        <w:t>(1), 1–17. https://doi.org/10.1080/14693062.2021.1990831</w:t>
      </w:r>
    </w:p>
    <w:p w14:paraId="546DBCA6" w14:textId="77777777" w:rsidR="00B8377E" w:rsidRPr="00B8377E" w:rsidRDefault="00B8377E" w:rsidP="00B8377E">
      <w:pPr>
        <w:pStyle w:val="Bibliography"/>
        <w:rPr>
          <w:rFonts w:cs="Times New Roman"/>
        </w:rPr>
      </w:pPr>
      <w:r w:rsidRPr="00B8377E">
        <w:rPr>
          <w:rFonts w:cs="Times New Roman"/>
        </w:rPr>
        <w:t xml:space="preserve">Lazcano, C., Zhu-Barker, X., &amp; Decock, C. (2021). Effects of Organic Fertilizers on the Soil Microorganisms Responsible for N2O Emissions: A Review. </w:t>
      </w:r>
      <w:r w:rsidRPr="00B8377E">
        <w:rPr>
          <w:rFonts w:cs="Times New Roman"/>
          <w:i/>
          <w:iCs/>
        </w:rPr>
        <w:t>Microorganisms</w:t>
      </w:r>
      <w:r w:rsidRPr="00B8377E">
        <w:rPr>
          <w:rFonts w:cs="Times New Roman"/>
        </w:rPr>
        <w:t xml:space="preserve">, </w:t>
      </w:r>
      <w:r w:rsidRPr="00B8377E">
        <w:rPr>
          <w:rFonts w:cs="Times New Roman"/>
          <w:i/>
          <w:iCs/>
        </w:rPr>
        <w:t>9</w:t>
      </w:r>
      <w:r w:rsidRPr="00B8377E">
        <w:rPr>
          <w:rFonts w:cs="Times New Roman"/>
        </w:rPr>
        <w:t>(5), Article 5. https://doi.org/10.3390/microorganisms9050983</w:t>
      </w:r>
    </w:p>
    <w:p w14:paraId="10EB1D86" w14:textId="77777777" w:rsidR="00B8377E" w:rsidRPr="00B8377E" w:rsidRDefault="00B8377E" w:rsidP="00B8377E">
      <w:pPr>
        <w:pStyle w:val="Bibliography"/>
        <w:rPr>
          <w:rFonts w:cs="Times New Roman"/>
        </w:rPr>
      </w:pPr>
      <w:r w:rsidRPr="00B8377E">
        <w:rPr>
          <w:rFonts w:cs="Times New Roman"/>
        </w:rPr>
        <w:t xml:space="preserve">Leys, C., Ley, C., Klein, O., Bernard, P., &amp; Licata, L. (2013). Detecting outliers: Do not use standard deviation around the mean, use absolute deviation around the median. </w:t>
      </w:r>
      <w:r w:rsidRPr="00B8377E">
        <w:rPr>
          <w:rFonts w:cs="Times New Roman"/>
          <w:i/>
          <w:iCs/>
        </w:rPr>
        <w:t>Journal of Experimental Social Psychology</w:t>
      </w:r>
      <w:r w:rsidRPr="00B8377E">
        <w:rPr>
          <w:rFonts w:cs="Times New Roman"/>
        </w:rPr>
        <w:t xml:space="preserve">, </w:t>
      </w:r>
      <w:r w:rsidRPr="00B8377E">
        <w:rPr>
          <w:rFonts w:cs="Times New Roman"/>
          <w:i/>
          <w:iCs/>
        </w:rPr>
        <w:t>49</w:t>
      </w:r>
      <w:r w:rsidRPr="00B8377E">
        <w:rPr>
          <w:rFonts w:cs="Times New Roman"/>
        </w:rPr>
        <w:t>(4), 764–766. https://doi.org/10.1016/j.jesp.2013.03.013</w:t>
      </w:r>
    </w:p>
    <w:p w14:paraId="26D862C4" w14:textId="77777777" w:rsidR="00B8377E" w:rsidRPr="00B8377E" w:rsidRDefault="00B8377E" w:rsidP="00B8377E">
      <w:pPr>
        <w:pStyle w:val="Bibliography"/>
        <w:rPr>
          <w:rFonts w:cs="Times New Roman"/>
        </w:rPr>
      </w:pPr>
      <w:r w:rsidRPr="00B8377E">
        <w:rPr>
          <w:rFonts w:cs="Times New Roman"/>
        </w:rPr>
        <w:t xml:space="preserve">Li, J., &amp; Culver, T. B. (2022). Review of process-based nitrogen model for agricultural fields with implications for nitrogen simulations in stormwater BMPs. </w:t>
      </w:r>
      <w:r w:rsidRPr="00B8377E">
        <w:rPr>
          <w:rFonts w:cs="Times New Roman"/>
          <w:i/>
          <w:iCs/>
        </w:rPr>
        <w:t>Environmental Modelling &amp; Software</w:t>
      </w:r>
      <w:r w:rsidRPr="00B8377E">
        <w:rPr>
          <w:rFonts w:cs="Times New Roman"/>
        </w:rPr>
        <w:t xml:space="preserve">, </w:t>
      </w:r>
      <w:r w:rsidRPr="00B8377E">
        <w:rPr>
          <w:rFonts w:cs="Times New Roman"/>
          <w:i/>
          <w:iCs/>
        </w:rPr>
        <w:t>151</w:t>
      </w:r>
      <w:r w:rsidRPr="00B8377E">
        <w:rPr>
          <w:rFonts w:cs="Times New Roman"/>
        </w:rPr>
        <w:t>, 105363. https://doi.org/10.1016/j.envsoft.2022.105363</w:t>
      </w:r>
    </w:p>
    <w:p w14:paraId="5651BECF" w14:textId="77777777" w:rsidR="00B8377E" w:rsidRPr="00B8377E" w:rsidRDefault="00B8377E" w:rsidP="00B8377E">
      <w:pPr>
        <w:pStyle w:val="Bibliography"/>
        <w:rPr>
          <w:rFonts w:cs="Times New Roman"/>
        </w:rPr>
      </w:pPr>
      <w:r w:rsidRPr="00B8377E">
        <w:rPr>
          <w:rFonts w:cs="Times New Roman"/>
        </w:rPr>
        <w:t xml:space="preserve">Liu, L., Xu, S., Tang, J., Guan, K., Griffis, T. J., Erickson, M. D., Frie, A. L., Jia, X., Kim, T., Miller, L. T., Peng, B., Wu, S., Yang, Y., Zhou, W., Kumar, V., &amp; Jin, Z. (2022). KGML-ag: A modeling framework of knowledge-guided machine learning to simulate </w:t>
      </w:r>
      <w:r w:rsidRPr="00B8377E">
        <w:rPr>
          <w:rFonts w:cs="Times New Roman"/>
        </w:rPr>
        <w:lastRenderedPageBreak/>
        <w:t>agroecosystems: a case study of estimating N</w:t>
      </w:r>
      <w:r w:rsidRPr="00B8377E">
        <w:rPr>
          <w:rFonts w:cs="Times New Roman"/>
          <w:vertAlign w:val="subscript"/>
        </w:rPr>
        <w:t>2</w:t>
      </w:r>
      <w:r w:rsidRPr="00B8377E">
        <w:rPr>
          <w:rFonts w:cs="Times New Roman"/>
        </w:rPr>
        <w:t xml:space="preserve">O emission using data from mesocosm experiments. </w:t>
      </w:r>
      <w:r w:rsidRPr="00B8377E">
        <w:rPr>
          <w:rFonts w:cs="Times New Roman"/>
          <w:i/>
          <w:iCs/>
        </w:rPr>
        <w:t>Geoscientific Model Development</w:t>
      </w:r>
      <w:r w:rsidRPr="00B8377E">
        <w:rPr>
          <w:rFonts w:cs="Times New Roman"/>
        </w:rPr>
        <w:t xml:space="preserve">, </w:t>
      </w:r>
      <w:r w:rsidRPr="00B8377E">
        <w:rPr>
          <w:rFonts w:cs="Times New Roman"/>
          <w:i/>
          <w:iCs/>
        </w:rPr>
        <w:t>15</w:t>
      </w:r>
      <w:r w:rsidRPr="00B8377E">
        <w:rPr>
          <w:rFonts w:cs="Times New Roman"/>
        </w:rPr>
        <w:t>(7), 2839–2858. https://doi.org/10.5194/gmd-15-2839-2022</w:t>
      </w:r>
    </w:p>
    <w:p w14:paraId="19120197" w14:textId="77777777" w:rsidR="00B8377E" w:rsidRPr="00B8377E" w:rsidRDefault="00B8377E" w:rsidP="00B8377E">
      <w:pPr>
        <w:pStyle w:val="Bibliography"/>
        <w:rPr>
          <w:rFonts w:cs="Times New Roman"/>
        </w:rPr>
      </w:pPr>
      <w:r w:rsidRPr="00B8377E">
        <w:rPr>
          <w:rFonts w:cs="Times New Roman"/>
        </w:rPr>
        <w:t xml:space="preserve">Luo, J., Peng, Y., Jia, Z., Wu, Y., Gao, Y., Jalaid, N., Zhang, X., Ge, H., Qing, B., Chen, H., Zhan, Y., Li, P., &amp; Liu, L. (2025). Moisture–Microbial Interaction Amplifies N2O Emission Hot Moments Under Deepened Snow in Grasslands. </w:t>
      </w:r>
      <w:r w:rsidRPr="00B8377E">
        <w:rPr>
          <w:rFonts w:cs="Times New Roman"/>
          <w:i/>
          <w:iCs/>
        </w:rPr>
        <w:t>Global Change Biology</w:t>
      </w:r>
      <w:r w:rsidRPr="00B8377E">
        <w:rPr>
          <w:rFonts w:cs="Times New Roman"/>
        </w:rPr>
        <w:t xml:space="preserve">, </w:t>
      </w:r>
      <w:r w:rsidRPr="00B8377E">
        <w:rPr>
          <w:rFonts w:cs="Times New Roman"/>
          <w:i/>
          <w:iCs/>
        </w:rPr>
        <w:t>31</w:t>
      </w:r>
      <w:r w:rsidRPr="00B8377E">
        <w:rPr>
          <w:rFonts w:cs="Times New Roman"/>
        </w:rPr>
        <w:t>(5), e70254. https://doi.org/10.1111/gcb.70254</w:t>
      </w:r>
    </w:p>
    <w:p w14:paraId="62D3B108" w14:textId="77777777" w:rsidR="00B8377E" w:rsidRPr="00B8377E" w:rsidRDefault="00B8377E" w:rsidP="00B8377E">
      <w:pPr>
        <w:pStyle w:val="Bibliography"/>
        <w:rPr>
          <w:rFonts w:cs="Times New Roman"/>
        </w:rPr>
      </w:pPr>
      <w:r w:rsidRPr="00B8377E">
        <w:rPr>
          <w:rFonts w:cs="Times New Roman"/>
        </w:rPr>
        <w:t xml:space="preserve">Lussich, F., Dhaliwal, J. K., Faiia, A. M., Jagadamma, S., Schaeffer, S. M., &amp; Saha, D. (2024). Cover crop residue decomposition triggered soil oxygen depletion and promoted nitrous oxide emissions. </w:t>
      </w:r>
      <w:r w:rsidRPr="00B8377E">
        <w:rPr>
          <w:rFonts w:cs="Times New Roman"/>
          <w:i/>
          <w:iCs/>
        </w:rPr>
        <w:t>Scientific Reports</w:t>
      </w:r>
      <w:r w:rsidRPr="00B8377E">
        <w:rPr>
          <w:rFonts w:cs="Times New Roman"/>
        </w:rPr>
        <w:t xml:space="preserve">, </w:t>
      </w:r>
      <w:r w:rsidRPr="00B8377E">
        <w:rPr>
          <w:rFonts w:cs="Times New Roman"/>
          <w:i/>
          <w:iCs/>
        </w:rPr>
        <w:t>14</w:t>
      </w:r>
      <w:r w:rsidRPr="00B8377E">
        <w:rPr>
          <w:rFonts w:cs="Times New Roman"/>
        </w:rPr>
        <w:t>(1), 8437. https://doi.org/10.1038/s41598-024-58942-7</w:t>
      </w:r>
    </w:p>
    <w:p w14:paraId="6E3B5C11" w14:textId="77777777" w:rsidR="00B8377E" w:rsidRPr="00B8377E" w:rsidRDefault="00B8377E" w:rsidP="00B8377E">
      <w:pPr>
        <w:pStyle w:val="Bibliography"/>
        <w:rPr>
          <w:rFonts w:cs="Times New Roman"/>
        </w:rPr>
      </w:pPr>
      <w:r w:rsidRPr="00B8377E">
        <w:rPr>
          <w:rFonts w:cs="Times New Roman"/>
        </w:rPr>
        <w:t xml:space="preserve">Ma, T., Wei, C., Yao, C., &amp; Yi, P. (2020). Microstructural evolution of expansive clay during drying–wetting cycle. </w:t>
      </w:r>
      <w:r w:rsidRPr="00B8377E">
        <w:rPr>
          <w:rFonts w:cs="Times New Roman"/>
          <w:i/>
          <w:iCs/>
        </w:rPr>
        <w:t>Acta Geotechnica</w:t>
      </w:r>
      <w:r w:rsidRPr="00B8377E">
        <w:rPr>
          <w:rFonts w:cs="Times New Roman"/>
        </w:rPr>
        <w:t xml:space="preserve">, </w:t>
      </w:r>
      <w:r w:rsidRPr="00B8377E">
        <w:rPr>
          <w:rFonts w:cs="Times New Roman"/>
          <w:i/>
          <w:iCs/>
        </w:rPr>
        <w:t>15</w:t>
      </w:r>
      <w:r w:rsidRPr="00B8377E">
        <w:rPr>
          <w:rFonts w:cs="Times New Roman"/>
        </w:rPr>
        <w:t>(8), 2355–2366. https://doi.org/10.1007/s11440-020-00938-4</w:t>
      </w:r>
    </w:p>
    <w:p w14:paraId="7647E20C" w14:textId="77777777" w:rsidR="00B8377E" w:rsidRPr="00B8377E" w:rsidRDefault="00B8377E" w:rsidP="00B8377E">
      <w:pPr>
        <w:pStyle w:val="Bibliography"/>
        <w:rPr>
          <w:rFonts w:cs="Times New Roman"/>
        </w:rPr>
      </w:pPr>
      <w:r w:rsidRPr="00B8377E">
        <w:rPr>
          <w:rFonts w:cs="Times New Roman"/>
        </w:rPr>
        <w:t xml:space="preserve">Ma, W. K., Schautz, A., Fishback, L.-A. E., Bedard-Haughn, A., Farrell, R. E., &amp; Siciliano, S. D. (2007). Assessing the potential of ammonia oxidizing bacteria to produce nitrous oxide in soils of a high arctic lowland ecosystem on Devon Island, Canada. </w:t>
      </w:r>
      <w:r w:rsidRPr="00B8377E">
        <w:rPr>
          <w:rFonts w:cs="Times New Roman"/>
          <w:i/>
          <w:iCs/>
        </w:rPr>
        <w:t>Soil Biology and Biochemistry</w:t>
      </w:r>
      <w:r w:rsidRPr="00B8377E">
        <w:rPr>
          <w:rFonts w:cs="Times New Roman"/>
        </w:rPr>
        <w:t xml:space="preserve">, </w:t>
      </w:r>
      <w:r w:rsidRPr="00B8377E">
        <w:rPr>
          <w:rFonts w:cs="Times New Roman"/>
          <w:i/>
          <w:iCs/>
        </w:rPr>
        <w:t>39</w:t>
      </w:r>
      <w:r w:rsidRPr="00B8377E">
        <w:rPr>
          <w:rFonts w:cs="Times New Roman"/>
        </w:rPr>
        <w:t>(8), 2001–2013. https://doi.org/10.1016/j.soilbio.2007.03.001</w:t>
      </w:r>
    </w:p>
    <w:p w14:paraId="3EB7D986" w14:textId="77777777" w:rsidR="00B8377E" w:rsidRPr="00B8377E" w:rsidRDefault="00B8377E" w:rsidP="00B8377E">
      <w:pPr>
        <w:pStyle w:val="Bibliography"/>
        <w:rPr>
          <w:rFonts w:cs="Times New Roman"/>
        </w:rPr>
      </w:pPr>
      <w:r w:rsidRPr="00B8377E">
        <w:rPr>
          <w:rFonts w:cs="Times New Roman"/>
        </w:rPr>
        <w:t xml:space="preserve">Mason, C. W., Stoof, C. R., Richards, B. K., Rossiter, D. G., &amp; Steenhuis, T. S. (2016). Spring-Thaw Nitrous Oxide Emissions from Reed Canarygrass on Wetness-Prone Marginal Soil in New York State. </w:t>
      </w:r>
      <w:r w:rsidRPr="00B8377E">
        <w:rPr>
          <w:rFonts w:cs="Times New Roman"/>
          <w:i/>
          <w:iCs/>
        </w:rPr>
        <w:t>Soil Science Society of America Journal</w:t>
      </w:r>
      <w:r w:rsidRPr="00B8377E">
        <w:rPr>
          <w:rFonts w:cs="Times New Roman"/>
        </w:rPr>
        <w:t xml:space="preserve">, </w:t>
      </w:r>
      <w:r w:rsidRPr="00B8377E">
        <w:rPr>
          <w:rFonts w:cs="Times New Roman"/>
          <w:i/>
          <w:iCs/>
        </w:rPr>
        <w:t>80</w:t>
      </w:r>
      <w:r w:rsidRPr="00B8377E">
        <w:rPr>
          <w:rFonts w:cs="Times New Roman"/>
        </w:rPr>
        <w:t>(2), 428–437. https://doi.org/10.2136/sssaj2015.05.0182</w:t>
      </w:r>
    </w:p>
    <w:p w14:paraId="2E20CA90" w14:textId="77777777" w:rsidR="00B8377E" w:rsidRPr="00B8377E" w:rsidRDefault="00B8377E" w:rsidP="00B8377E">
      <w:pPr>
        <w:pStyle w:val="Bibliography"/>
        <w:rPr>
          <w:rFonts w:cs="Times New Roman"/>
        </w:rPr>
      </w:pPr>
      <w:r w:rsidRPr="00B8377E">
        <w:rPr>
          <w:rFonts w:cs="Times New Roman"/>
        </w:rPr>
        <w:lastRenderedPageBreak/>
        <w:t xml:space="preserve">McClain, M. E., Boyer, E. W., Dent, C. L., Gergel, S. E., Grimm, N. B., Groffman, P. M., Hart, S. C., Harvey, J. W., Johnston, C. A., Mayorga, E., McDowell, W. H., &amp; Pinay, G. (2003). Biogeochemical Hot Spots and Hot Moments at the Interface of Terrestrial and Aquatic Ecosystems. </w:t>
      </w:r>
      <w:r w:rsidRPr="00B8377E">
        <w:rPr>
          <w:rFonts w:cs="Times New Roman"/>
          <w:i/>
          <w:iCs/>
        </w:rPr>
        <w:t>Ecosystems</w:t>
      </w:r>
      <w:r w:rsidRPr="00B8377E">
        <w:rPr>
          <w:rFonts w:cs="Times New Roman"/>
        </w:rPr>
        <w:t xml:space="preserve">, </w:t>
      </w:r>
      <w:r w:rsidRPr="00B8377E">
        <w:rPr>
          <w:rFonts w:cs="Times New Roman"/>
          <w:i/>
          <w:iCs/>
        </w:rPr>
        <w:t>6</w:t>
      </w:r>
      <w:r w:rsidRPr="00B8377E">
        <w:rPr>
          <w:rFonts w:cs="Times New Roman"/>
        </w:rPr>
        <w:t>(4), 301–312. https://doi.org/10.1007/s10021-003-0161-9</w:t>
      </w:r>
    </w:p>
    <w:p w14:paraId="3B07CAD5" w14:textId="77777777" w:rsidR="00B8377E" w:rsidRPr="00B8377E" w:rsidRDefault="00B8377E" w:rsidP="00B8377E">
      <w:pPr>
        <w:pStyle w:val="Bibliography"/>
        <w:rPr>
          <w:rFonts w:cs="Times New Roman"/>
        </w:rPr>
      </w:pPr>
      <w:r w:rsidRPr="00B8377E">
        <w:rPr>
          <w:rFonts w:cs="Times New Roman"/>
        </w:rPr>
        <w:t xml:space="preserve">Mohn, J., Wolf, B., Toyoda, S., Lin, C.-T., Liang, M.-C., Brüggemann, N., Wissel, H., Steiker, A. E., Dyckmans, J., Szwec, L., Ostrom, N. E., Casciotti, K. L., Forbes, M., Giesemann, A., Well, R., Doucett, R. R., Yarnes, C. T., Ridley, A. R., Kaiser, J., &amp; Yoshida, N. (2014). Interlaboratory assessment of nitrous oxide isotopomer analysis by isotope ratio mass spectrometry and laser spectroscopy: Current status and perspectives. </w:t>
      </w:r>
      <w:r w:rsidRPr="00B8377E">
        <w:rPr>
          <w:rFonts w:cs="Times New Roman"/>
          <w:i/>
          <w:iCs/>
        </w:rPr>
        <w:t>Rapid Communications in Mass Spectrometry</w:t>
      </w:r>
      <w:r w:rsidRPr="00B8377E">
        <w:rPr>
          <w:rFonts w:cs="Times New Roman"/>
        </w:rPr>
        <w:t xml:space="preserve">, </w:t>
      </w:r>
      <w:r w:rsidRPr="00B8377E">
        <w:rPr>
          <w:rFonts w:cs="Times New Roman"/>
          <w:i/>
          <w:iCs/>
        </w:rPr>
        <w:t>28</w:t>
      </w:r>
      <w:r w:rsidRPr="00B8377E">
        <w:rPr>
          <w:rFonts w:cs="Times New Roman"/>
        </w:rPr>
        <w:t>(18), 1995–2007. https://doi.org/10.1002/rcm.6982</w:t>
      </w:r>
    </w:p>
    <w:p w14:paraId="34FD2306" w14:textId="77777777" w:rsidR="00B8377E" w:rsidRPr="00B8377E" w:rsidRDefault="00B8377E" w:rsidP="00B8377E">
      <w:pPr>
        <w:pStyle w:val="Bibliography"/>
        <w:rPr>
          <w:rFonts w:cs="Times New Roman"/>
        </w:rPr>
      </w:pPr>
      <w:r w:rsidRPr="00B8377E">
        <w:rPr>
          <w:rFonts w:cs="Times New Roman"/>
        </w:rPr>
        <w:t xml:space="preserve">Molodovskaya, M., Singurindy, O., Richards, B. K., Warland, J., Johnson, M. S., &amp; Steenhuis, T. S. (2012). Temporal Variability of Nitrous Oxide from Fertilized Croplands: Hot Moment Analysis. </w:t>
      </w:r>
      <w:r w:rsidRPr="00B8377E">
        <w:rPr>
          <w:rFonts w:cs="Times New Roman"/>
          <w:i/>
          <w:iCs/>
        </w:rPr>
        <w:t>Soil Science Society of America Journal</w:t>
      </w:r>
      <w:r w:rsidRPr="00B8377E">
        <w:rPr>
          <w:rFonts w:cs="Times New Roman"/>
        </w:rPr>
        <w:t xml:space="preserve">, </w:t>
      </w:r>
      <w:r w:rsidRPr="00B8377E">
        <w:rPr>
          <w:rFonts w:cs="Times New Roman"/>
          <w:i/>
          <w:iCs/>
        </w:rPr>
        <w:t>76</w:t>
      </w:r>
      <w:r w:rsidRPr="00B8377E">
        <w:rPr>
          <w:rFonts w:cs="Times New Roman"/>
        </w:rPr>
        <w:t>(5), 1728–1740. https://doi.org/10.2136/sssaj2012.0039</w:t>
      </w:r>
    </w:p>
    <w:p w14:paraId="6E356841" w14:textId="77777777" w:rsidR="00B8377E" w:rsidRPr="00B8377E" w:rsidRDefault="00B8377E" w:rsidP="00B8377E">
      <w:pPr>
        <w:pStyle w:val="Bibliography"/>
        <w:rPr>
          <w:rFonts w:cs="Times New Roman"/>
        </w:rPr>
      </w:pPr>
      <w:r w:rsidRPr="00B8377E">
        <w:rPr>
          <w:rFonts w:cs="Times New Roman"/>
        </w:rPr>
        <w:t xml:space="preserve">Mosier, A. R., Duxbury, J. M., Freney, J. R., Heinemeyer, O., &amp; Minami, K. (1998). Assessing and Mitigating N2O Emissions from Agricultural Soils. </w:t>
      </w:r>
      <w:r w:rsidRPr="00B8377E">
        <w:rPr>
          <w:rFonts w:cs="Times New Roman"/>
          <w:i/>
          <w:iCs/>
        </w:rPr>
        <w:t>Climatic Change</w:t>
      </w:r>
      <w:r w:rsidRPr="00B8377E">
        <w:rPr>
          <w:rFonts w:cs="Times New Roman"/>
        </w:rPr>
        <w:t xml:space="preserve">, </w:t>
      </w:r>
      <w:r w:rsidRPr="00B8377E">
        <w:rPr>
          <w:rFonts w:cs="Times New Roman"/>
          <w:i/>
          <w:iCs/>
        </w:rPr>
        <w:t>40</w:t>
      </w:r>
      <w:r w:rsidRPr="00B8377E">
        <w:rPr>
          <w:rFonts w:cs="Times New Roman"/>
        </w:rPr>
        <w:t>(1), 7–38. https://doi.org/10.1023/A:1005386614431</w:t>
      </w:r>
    </w:p>
    <w:p w14:paraId="11ED85F8" w14:textId="77777777" w:rsidR="00B8377E" w:rsidRPr="00B8377E" w:rsidRDefault="00B8377E" w:rsidP="00B8377E">
      <w:pPr>
        <w:pStyle w:val="Bibliography"/>
        <w:rPr>
          <w:rFonts w:cs="Times New Roman"/>
        </w:rPr>
      </w:pPr>
      <w:r w:rsidRPr="00B8377E">
        <w:rPr>
          <w:rFonts w:cs="Times New Roman"/>
        </w:rPr>
        <w:t xml:space="preserve">Mulvaney, R. L. (1996). Nitrogen—Inorganic Forms. In </w:t>
      </w:r>
      <w:r w:rsidRPr="00B8377E">
        <w:rPr>
          <w:rFonts w:cs="Times New Roman"/>
          <w:i/>
          <w:iCs/>
        </w:rPr>
        <w:t>Methods of Soil Analysis</w:t>
      </w:r>
      <w:r w:rsidRPr="00B8377E">
        <w:rPr>
          <w:rFonts w:cs="Times New Roman"/>
        </w:rPr>
        <w:t xml:space="preserve"> (pp. 1123–1184). John Wiley &amp; Sons, Ltd. https://doi.org/10.2136/sssabookser5.3.c38</w:t>
      </w:r>
    </w:p>
    <w:p w14:paraId="6039346A" w14:textId="77777777" w:rsidR="00B8377E" w:rsidRPr="00B8377E" w:rsidRDefault="00B8377E" w:rsidP="00B8377E">
      <w:pPr>
        <w:pStyle w:val="Bibliography"/>
        <w:rPr>
          <w:rFonts w:cs="Times New Roman"/>
        </w:rPr>
      </w:pPr>
      <w:r w:rsidRPr="00B8377E">
        <w:rPr>
          <w:rFonts w:cs="Times New Roman"/>
        </w:rPr>
        <w:t xml:space="preserve">Navarro-García, F., Casermeiro, M. Á., &amp; Schimel, J. P. (2012). When structure means conservation: Effect of aggregate structure in controlling microbial responses to rewetting </w:t>
      </w:r>
      <w:r w:rsidRPr="00B8377E">
        <w:rPr>
          <w:rFonts w:cs="Times New Roman"/>
        </w:rPr>
        <w:lastRenderedPageBreak/>
        <w:t xml:space="preserve">events. </w:t>
      </w:r>
      <w:r w:rsidRPr="00B8377E">
        <w:rPr>
          <w:rFonts w:cs="Times New Roman"/>
          <w:i/>
          <w:iCs/>
        </w:rPr>
        <w:t>Soil Biology and Biochemistry</w:t>
      </w:r>
      <w:r w:rsidRPr="00B8377E">
        <w:rPr>
          <w:rFonts w:cs="Times New Roman"/>
        </w:rPr>
        <w:t xml:space="preserve">, </w:t>
      </w:r>
      <w:r w:rsidRPr="00B8377E">
        <w:rPr>
          <w:rFonts w:cs="Times New Roman"/>
          <w:i/>
          <w:iCs/>
        </w:rPr>
        <w:t>44</w:t>
      </w:r>
      <w:r w:rsidRPr="00B8377E">
        <w:rPr>
          <w:rFonts w:cs="Times New Roman"/>
        </w:rPr>
        <w:t>(1), 1–8. https://doi.org/10.1016/j.soilbio.2011.09.019</w:t>
      </w:r>
    </w:p>
    <w:p w14:paraId="0D9C9EA0" w14:textId="77777777" w:rsidR="00B8377E" w:rsidRPr="00B8377E" w:rsidRDefault="00B8377E" w:rsidP="00B8377E">
      <w:pPr>
        <w:pStyle w:val="Bibliography"/>
        <w:rPr>
          <w:rFonts w:cs="Times New Roman"/>
        </w:rPr>
      </w:pPr>
      <w:r w:rsidRPr="00B8377E">
        <w:rPr>
          <w:rFonts w:cs="Times New Roman"/>
        </w:rPr>
        <w:t xml:space="preserve">Necpálová, M., Anex, R. P., Fienen, M. N., Del Grosso, S. J., Castellano, M. J., Sawyer, J. E., Iqbal, J., Pantoja, J. L., &amp; Barker, D. W. (2015). Understanding the DayCent model: Calibration, sensitivity, and identifiability through inverse modeling. </w:t>
      </w:r>
      <w:r w:rsidRPr="00B8377E">
        <w:rPr>
          <w:rFonts w:cs="Times New Roman"/>
          <w:i/>
          <w:iCs/>
        </w:rPr>
        <w:t>Environmental Modelling &amp; Software</w:t>
      </w:r>
      <w:r w:rsidRPr="00B8377E">
        <w:rPr>
          <w:rFonts w:cs="Times New Roman"/>
        </w:rPr>
        <w:t xml:space="preserve">, </w:t>
      </w:r>
      <w:r w:rsidRPr="00B8377E">
        <w:rPr>
          <w:rFonts w:cs="Times New Roman"/>
          <w:i/>
          <w:iCs/>
        </w:rPr>
        <w:t>66</w:t>
      </w:r>
      <w:r w:rsidRPr="00B8377E">
        <w:rPr>
          <w:rFonts w:cs="Times New Roman"/>
        </w:rPr>
        <w:t>, 110–130. https://doi.org/10.1016/j.envsoft.2014.12.011</w:t>
      </w:r>
    </w:p>
    <w:p w14:paraId="4C7E2AFA" w14:textId="77777777" w:rsidR="00B8377E" w:rsidRPr="00B8377E" w:rsidRDefault="00B8377E" w:rsidP="00B8377E">
      <w:pPr>
        <w:pStyle w:val="Bibliography"/>
        <w:rPr>
          <w:rFonts w:cs="Times New Roman"/>
        </w:rPr>
      </w:pPr>
      <w:r w:rsidRPr="00B8377E">
        <w:rPr>
          <w:rFonts w:cs="Times New Roman"/>
        </w:rPr>
        <w:t xml:space="preserve">Nevison, C., Lan, X., &amp; Ogle, S. M. (2023). Remote Sensing Soil Freeze-Thaw Status and North American N2O Emissions From a Regional Inversion. </w:t>
      </w:r>
      <w:r w:rsidRPr="00B8377E">
        <w:rPr>
          <w:rFonts w:cs="Times New Roman"/>
          <w:i/>
          <w:iCs/>
        </w:rPr>
        <w:t>Global Biogeochemical Cycles</w:t>
      </w:r>
      <w:r w:rsidRPr="00B8377E">
        <w:rPr>
          <w:rFonts w:cs="Times New Roman"/>
        </w:rPr>
        <w:t xml:space="preserve">, </w:t>
      </w:r>
      <w:r w:rsidRPr="00B8377E">
        <w:rPr>
          <w:rFonts w:cs="Times New Roman"/>
          <w:i/>
          <w:iCs/>
        </w:rPr>
        <w:t>37</w:t>
      </w:r>
      <w:r w:rsidRPr="00B8377E">
        <w:rPr>
          <w:rFonts w:cs="Times New Roman"/>
        </w:rPr>
        <w:t>(7), e2023GB007759. https://doi.org/10.1029/2023GB007759</w:t>
      </w:r>
    </w:p>
    <w:p w14:paraId="1F43A445" w14:textId="77777777" w:rsidR="00B8377E" w:rsidRPr="00B8377E" w:rsidRDefault="00B8377E" w:rsidP="00B8377E">
      <w:pPr>
        <w:pStyle w:val="Bibliography"/>
        <w:rPr>
          <w:rFonts w:cs="Times New Roman"/>
        </w:rPr>
      </w:pPr>
      <w:r w:rsidRPr="00B8377E">
        <w:rPr>
          <w:rFonts w:cs="Times New Roman"/>
        </w:rPr>
        <w:t xml:space="preserve">Norton, J., &amp; Ouyang, Y. (2019). Controls and Adaptive Management of Nitrification in Agricultural Soils. </w:t>
      </w:r>
      <w:r w:rsidRPr="00B8377E">
        <w:rPr>
          <w:rFonts w:cs="Times New Roman"/>
          <w:i/>
          <w:iCs/>
        </w:rPr>
        <w:t>Frontiers in Microbiology</w:t>
      </w:r>
      <w:r w:rsidRPr="00B8377E">
        <w:rPr>
          <w:rFonts w:cs="Times New Roman"/>
        </w:rPr>
        <w:t xml:space="preserve">, </w:t>
      </w:r>
      <w:r w:rsidRPr="00B8377E">
        <w:rPr>
          <w:rFonts w:cs="Times New Roman"/>
          <w:i/>
          <w:iCs/>
        </w:rPr>
        <w:t>10</w:t>
      </w:r>
      <w:r w:rsidRPr="00B8377E">
        <w:rPr>
          <w:rFonts w:cs="Times New Roman"/>
        </w:rPr>
        <w:t>. https://doi.org/10.3389/fmicb.2019.01931</w:t>
      </w:r>
    </w:p>
    <w:p w14:paraId="0101B0AE" w14:textId="77777777" w:rsidR="00B8377E" w:rsidRPr="00B8377E" w:rsidRDefault="00B8377E" w:rsidP="00B8377E">
      <w:pPr>
        <w:pStyle w:val="Bibliography"/>
        <w:rPr>
          <w:rFonts w:cs="Times New Roman"/>
        </w:rPr>
      </w:pPr>
      <w:r w:rsidRPr="00B8377E">
        <w:rPr>
          <w:rFonts w:cs="Times New Roman"/>
        </w:rPr>
        <w:t xml:space="preserve">Palta, M. M., Ehrenfeld, J. G., &amp; Groffman, P. M. (2014). “Hotspots” and “Hot Moments” of Denitrification in Urban Brownfield Wetlands. </w:t>
      </w:r>
      <w:r w:rsidRPr="00B8377E">
        <w:rPr>
          <w:rFonts w:cs="Times New Roman"/>
          <w:i/>
          <w:iCs/>
        </w:rPr>
        <w:t>Ecosystems</w:t>
      </w:r>
      <w:r w:rsidRPr="00B8377E">
        <w:rPr>
          <w:rFonts w:cs="Times New Roman"/>
        </w:rPr>
        <w:t xml:space="preserve">, </w:t>
      </w:r>
      <w:r w:rsidRPr="00B8377E">
        <w:rPr>
          <w:rFonts w:cs="Times New Roman"/>
          <w:i/>
          <w:iCs/>
        </w:rPr>
        <w:t>17</w:t>
      </w:r>
      <w:r w:rsidRPr="00B8377E">
        <w:rPr>
          <w:rFonts w:cs="Times New Roman"/>
        </w:rPr>
        <w:t>(7), 1121–1137. https://doi.org/10.1007/s10021-014-9778-0</w:t>
      </w:r>
    </w:p>
    <w:p w14:paraId="38E3ACDF" w14:textId="77777777" w:rsidR="00B8377E" w:rsidRPr="00B8377E" w:rsidRDefault="00B8377E" w:rsidP="00B8377E">
      <w:pPr>
        <w:pStyle w:val="Bibliography"/>
        <w:rPr>
          <w:rFonts w:cs="Times New Roman"/>
        </w:rPr>
      </w:pPr>
      <w:r w:rsidRPr="00B8377E">
        <w:rPr>
          <w:rFonts w:cs="Times New Roman"/>
        </w:rPr>
        <w:t xml:space="preserve">Panday, D., Saha, D., Lee, J., Jagadamma, S., Adotey, N., &amp; Mengistu, A. (2022). Cover crop residue influence on soil N2O and CO2 emissions under wetting-drying intensities: An incubation study. </w:t>
      </w:r>
      <w:r w:rsidRPr="00B8377E">
        <w:rPr>
          <w:rFonts w:cs="Times New Roman"/>
          <w:i/>
          <w:iCs/>
        </w:rPr>
        <w:t>European Journal of Soil Science</w:t>
      </w:r>
      <w:r w:rsidRPr="00B8377E">
        <w:rPr>
          <w:rFonts w:cs="Times New Roman"/>
        </w:rPr>
        <w:t xml:space="preserve">, </w:t>
      </w:r>
      <w:r w:rsidRPr="00B8377E">
        <w:rPr>
          <w:rFonts w:cs="Times New Roman"/>
          <w:i/>
          <w:iCs/>
        </w:rPr>
        <w:t>73</w:t>
      </w:r>
      <w:r w:rsidRPr="00B8377E">
        <w:rPr>
          <w:rFonts w:cs="Times New Roman"/>
        </w:rPr>
        <w:t>(5), e13309. https://doi.org/10.1111/ejss.13309</w:t>
      </w:r>
    </w:p>
    <w:p w14:paraId="116BC08E" w14:textId="77777777" w:rsidR="00B8377E" w:rsidRPr="00B8377E" w:rsidRDefault="00B8377E" w:rsidP="00B8377E">
      <w:pPr>
        <w:pStyle w:val="Bibliography"/>
        <w:rPr>
          <w:rFonts w:cs="Times New Roman"/>
        </w:rPr>
      </w:pPr>
      <w:r w:rsidRPr="00B8377E">
        <w:rPr>
          <w:rFonts w:cs="Times New Roman"/>
        </w:rPr>
        <w:t xml:space="preserve">Parton, W. J., Holland, E. A., Del Grosso, S. J., Hartman, M. D., Martin, R. E., Mosier, A. R., Ojima, D. S., &amp; Schimel, D. S. (2001). Generalized model for NO x and N2O emissions from soils. </w:t>
      </w:r>
      <w:r w:rsidRPr="00B8377E">
        <w:rPr>
          <w:rFonts w:cs="Times New Roman"/>
          <w:i/>
          <w:iCs/>
        </w:rPr>
        <w:t>Journal of Geophysical Research: Atmospheres</w:t>
      </w:r>
      <w:r w:rsidRPr="00B8377E">
        <w:rPr>
          <w:rFonts w:cs="Times New Roman"/>
        </w:rPr>
        <w:t xml:space="preserve">, </w:t>
      </w:r>
      <w:r w:rsidRPr="00B8377E">
        <w:rPr>
          <w:rFonts w:cs="Times New Roman"/>
          <w:i/>
          <w:iCs/>
        </w:rPr>
        <w:t>106</w:t>
      </w:r>
      <w:r w:rsidRPr="00B8377E">
        <w:rPr>
          <w:rFonts w:cs="Times New Roman"/>
        </w:rPr>
        <w:t>(D15), 17403–17419. https://doi.org/10.1029/2001JD900101</w:t>
      </w:r>
    </w:p>
    <w:p w14:paraId="6DC6C8D9" w14:textId="77777777" w:rsidR="00B8377E" w:rsidRPr="00B8377E" w:rsidRDefault="00B8377E" w:rsidP="00B8377E">
      <w:pPr>
        <w:pStyle w:val="Bibliography"/>
        <w:rPr>
          <w:rFonts w:cs="Times New Roman"/>
        </w:rPr>
      </w:pPr>
      <w:r w:rsidRPr="00B8377E">
        <w:rPr>
          <w:rFonts w:cs="Times New Roman"/>
        </w:rPr>
        <w:lastRenderedPageBreak/>
        <w:t xml:space="preserve">Parton, W. J., Mosier, A. R., Ojima, D. S., Valentine, D. W., Schimel, D. S., Weier, K., &amp; Kulmala, A. E. (1996). Generalized model for N2 and N2O production from nitrification and denitrification. </w:t>
      </w:r>
      <w:r w:rsidRPr="00B8377E">
        <w:rPr>
          <w:rFonts w:cs="Times New Roman"/>
          <w:i/>
          <w:iCs/>
        </w:rPr>
        <w:t>Global Biogeochemical Cycles</w:t>
      </w:r>
      <w:r w:rsidRPr="00B8377E">
        <w:rPr>
          <w:rFonts w:cs="Times New Roman"/>
        </w:rPr>
        <w:t xml:space="preserve">, </w:t>
      </w:r>
      <w:r w:rsidRPr="00B8377E">
        <w:rPr>
          <w:rFonts w:cs="Times New Roman"/>
          <w:i/>
          <w:iCs/>
        </w:rPr>
        <w:t>10</w:t>
      </w:r>
      <w:r w:rsidRPr="00B8377E">
        <w:rPr>
          <w:rFonts w:cs="Times New Roman"/>
        </w:rPr>
        <w:t>(3), 401–412. https://doi.org/10.1029/96GB01455</w:t>
      </w:r>
    </w:p>
    <w:p w14:paraId="7E140EAF" w14:textId="77777777" w:rsidR="00B8377E" w:rsidRPr="00B8377E" w:rsidRDefault="00B8377E" w:rsidP="00B8377E">
      <w:pPr>
        <w:pStyle w:val="Bibliography"/>
        <w:rPr>
          <w:rFonts w:cs="Times New Roman"/>
        </w:rPr>
      </w:pPr>
      <w:r w:rsidRPr="00B8377E">
        <w:rPr>
          <w:rFonts w:cs="Times New Roman"/>
        </w:rPr>
        <w:t xml:space="preserve">Pasha, M. Z., &amp; Umesh, N. (2013). A comparative study on outlier detection techniques. </w:t>
      </w:r>
      <w:r w:rsidRPr="00B8377E">
        <w:rPr>
          <w:rFonts w:cs="Times New Roman"/>
          <w:i/>
          <w:iCs/>
        </w:rPr>
        <w:t>International Journal of Computer Applications</w:t>
      </w:r>
      <w:r w:rsidRPr="00B8377E">
        <w:rPr>
          <w:rFonts w:cs="Times New Roman"/>
        </w:rPr>
        <w:t xml:space="preserve">, </w:t>
      </w:r>
      <w:r w:rsidRPr="00B8377E">
        <w:rPr>
          <w:rFonts w:cs="Times New Roman"/>
          <w:i/>
          <w:iCs/>
        </w:rPr>
        <w:t>66</w:t>
      </w:r>
      <w:r w:rsidRPr="00B8377E">
        <w:rPr>
          <w:rFonts w:cs="Times New Roman"/>
        </w:rPr>
        <w:t>(24).</w:t>
      </w:r>
    </w:p>
    <w:p w14:paraId="62845877" w14:textId="77777777" w:rsidR="00B8377E" w:rsidRPr="00B8377E" w:rsidRDefault="00B8377E" w:rsidP="00B8377E">
      <w:pPr>
        <w:pStyle w:val="Bibliography"/>
        <w:rPr>
          <w:rFonts w:cs="Times New Roman"/>
        </w:rPr>
      </w:pPr>
      <w:r w:rsidRPr="00B8377E">
        <w:rPr>
          <w:rFonts w:cs="Times New Roman"/>
        </w:rPr>
        <w:t xml:space="preserve">Paulheim, H., &amp; Meusel, R. (2015). A decomposition of the outlier detection problem into a set of supervised learning problems. </w:t>
      </w:r>
      <w:r w:rsidRPr="00B8377E">
        <w:rPr>
          <w:rFonts w:cs="Times New Roman"/>
          <w:i/>
          <w:iCs/>
        </w:rPr>
        <w:t>Machine Learning</w:t>
      </w:r>
      <w:r w:rsidRPr="00B8377E">
        <w:rPr>
          <w:rFonts w:cs="Times New Roman"/>
        </w:rPr>
        <w:t xml:space="preserve">, </w:t>
      </w:r>
      <w:r w:rsidRPr="00B8377E">
        <w:rPr>
          <w:rFonts w:cs="Times New Roman"/>
          <w:i/>
          <w:iCs/>
        </w:rPr>
        <w:t>100</w:t>
      </w:r>
      <w:r w:rsidRPr="00B8377E">
        <w:rPr>
          <w:rFonts w:cs="Times New Roman"/>
        </w:rPr>
        <w:t>(2), 509–531. https://doi.org/10.1007/s10994-015-5507-y</w:t>
      </w:r>
    </w:p>
    <w:p w14:paraId="0A42C80B" w14:textId="77777777" w:rsidR="00B8377E" w:rsidRPr="00B8377E" w:rsidRDefault="00B8377E" w:rsidP="00B8377E">
      <w:pPr>
        <w:pStyle w:val="Bibliography"/>
        <w:rPr>
          <w:rFonts w:cs="Times New Roman"/>
        </w:rPr>
      </w:pPr>
      <w:r w:rsidRPr="00B8377E">
        <w:rPr>
          <w:rFonts w:cs="Times New Roman"/>
        </w:rPr>
        <w:t xml:space="preserve">Philibert, A., Loyce, C., &amp; Makowski, D. (2013). Prediction of N2O emission from local information with Random Forest. </w:t>
      </w:r>
      <w:r w:rsidRPr="00B8377E">
        <w:rPr>
          <w:rFonts w:cs="Times New Roman"/>
          <w:i/>
          <w:iCs/>
        </w:rPr>
        <w:t>Environmental Pollution</w:t>
      </w:r>
      <w:r w:rsidRPr="00B8377E">
        <w:rPr>
          <w:rFonts w:cs="Times New Roman"/>
        </w:rPr>
        <w:t xml:space="preserve">, </w:t>
      </w:r>
      <w:r w:rsidRPr="00B8377E">
        <w:rPr>
          <w:rFonts w:cs="Times New Roman"/>
          <w:i/>
          <w:iCs/>
        </w:rPr>
        <w:t>177</w:t>
      </w:r>
      <w:r w:rsidRPr="00B8377E">
        <w:rPr>
          <w:rFonts w:cs="Times New Roman"/>
        </w:rPr>
        <w:t>, 156–163. https://doi.org/10.1016/j.envpol.2013.02.019</w:t>
      </w:r>
    </w:p>
    <w:p w14:paraId="3F00F64F" w14:textId="77777777" w:rsidR="00B8377E" w:rsidRPr="00B8377E" w:rsidRDefault="00B8377E" w:rsidP="00B8377E">
      <w:pPr>
        <w:pStyle w:val="Bibliography"/>
        <w:rPr>
          <w:rFonts w:cs="Times New Roman"/>
        </w:rPr>
      </w:pPr>
      <w:r w:rsidRPr="00B8377E">
        <w:rPr>
          <w:rFonts w:cs="Times New Roman"/>
        </w:rPr>
        <w:t xml:space="preserve">Popov, P., Mahmood, U., Fu, Z., Yang, C., Calhoun, V., &amp; Plis, S. (2024). A simple but tough-to-beat baseline for fMRI time-series classification. </w:t>
      </w:r>
      <w:r w:rsidRPr="00B8377E">
        <w:rPr>
          <w:rFonts w:cs="Times New Roman"/>
          <w:i/>
          <w:iCs/>
        </w:rPr>
        <w:t>NeuroImage</w:t>
      </w:r>
      <w:r w:rsidRPr="00B8377E">
        <w:rPr>
          <w:rFonts w:cs="Times New Roman"/>
        </w:rPr>
        <w:t xml:space="preserve">, </w:t>
      </w:r>
      <w:r w:rsidRPr="00B8377E">
        <w:rPr>
          <w:rFonts w:cs="Times New Roman"/>
          <w:i/>
          <w:iCs/>
        </w:rPr>
        <w:t>303</w:t>
      </w:r>
      <w:r w:rsidRPr="00B8377E">
        <w:rPr>
          <w:rFonts w:cs="Times New Roman"/>
        </w:rPr>
        <w:t>, 120909. https://doi.org/10.1016/j.neuroimage.2024.120909</w:t>
      </w:r>
    </w:p>
    <w:p w14:paraId="22F603E7" w14:textId="77777777" w:rsidR="00B8377E" w:rsidRPr="00B8377E" w:rsidRDefault="00B8377E" w:rsidP="00B8377E">
      <w:pPr>
        <w:pStyle w:val="Bibliography"/>
        <w:rPr>
          <w:rFonts w:cs="Times New Roman"/>
        </w:rPr>
      </w:pPr>
      <w:r w:rsidRPr="00B8377E">
        <w:rPr>
          <w:rFonts w:cs="Times New Roman"/>
        </w:rPr>
        <w:t xml:space="preserve">Powlson, D. S., Poulton, P. R., Glendining, M. J., Macdonald, A. J., &amp; Goulding, K. W. T. (2022). Is it possible to attain the same soil organic matter content in arable agricultural soils as under natural vegetation? </w:t>
      </w:r>
      <w:r w:rsidRPr="00B8377E">
        <w:rPr>
          <w:rFonts w:cs="Times New Roman"/>
          <w:i/>
          <w:iCs/>
        </w:rPr>
        <w:t>Outlook on Agriculture</w:t>
      </w:r>
      <w:r w:rsidRPr="00B8377E">
        <w:rPr>
          <w:rFonts w:cs="Times New Roman"/>
        </w:rPr>
        <w:t xml:space="preserve">, </w:t>
      </w:r>
      <w:r w:rsidRPr="00B8377E">
        <w:rPr>
          <w:rFonts w:cs="Times New Roman"/>
          <w:i/>
          <w:iCs/>
        </w:rPr>
        <w:t>51</w:t>
      </w:r>
      <w:r w:rsidRPr="00B8377E">
        <w:rPr>
          <w:rFonts w:cs="Times New Roman"/>
        </w:rPr>
        <w:t>(1), 91–104. https://doi.org/10.1177/00307270221082113</w:t>
      </w:r>
    </w:p>
    <w:p w14:paraId="5300682B" w14:textId="77777777" w:rsidR="00B8377E" w:rsidRPr="00B8377E" w:rsidRDefault="00B8377E" w:rsidP="00B8377E">
      <w:pPr>
        <w:pStyle w:val="Bibliography"/>
        <w:rPr>
          <w:rFonts w:cs="Times New Roman"/>
        </w:rPr>
      </w:pPr>
      <w:r w:rsidRPr="00B8377E">
        <w:rPr>
          <w:rFonts w:cs="Times New Roman"/>
        </w:rPr>
        <w:t xml:space="preserve">Project Drawdown. (2021). </w:t>
      </w:r>
      <w:r w:rsidRPr="00B8377E">
        <w:rPr>
          <w:rFonts w:cs="Times New Roman"/>
          <w:i/>
          <w:iCs/>
        </w:rPr>
        <w:t>Climate Solutions at Work</w:t>
      </w:r>
      <w:r w:rsidRPr="00B8377E">
        <w:rPr>
          <w:rFonts w:cs="Times New Roman"/>
        </w:rPr>
        <w:t xml:space="preserve"> (p. 43). Drawdown Labs. https://drawdown.org/publications/climate-solutions-at-work</w:t>
      </w:r>
    </w:p>
    <w:p w14:paraId="51A91CC0" w14:textId="77777777" w:rsidR="00B8377E" w:rsidRPr="00B8377E" w:rsidRDefault="00B8377E" w:rsidP="00B8377E">
      <w:pPr>
        <w:pStyle w:val="Bibliography"/>
        <w:rPr>
          <w:rFonts w:cs="Times New Roman"/>
        </w:rPr>
      </w:pPr>
      <w:r w:rsidRPr="00B8377E">
        <w:rPr>
          <w:rFonts w:cs="Times New Roman"/>
        </w:rPr>
        <w:lastRenderedPageBreak/>
        <w:t xml:space="preserve">Rabot, E., Hénault, C., &amp; Cousin, I. (2014). Temporal Variability of Nitrous Oxide Emissionsby Soils as Affected by Hydric History. </w:t>
      </w:r>
      <w:r w:rsidRPr="00B8377E">
        <w:rPr>
          <w:rFonts w:cs="Times New Roman"/>
          <w:i/>
          <w:iCs/>
        </w:rPr>
        <w:t>Soil Science Society of America Journal</w:t>
      </w:r>
      <w:r w:rsidRPr="00B8377E">
        <w:rPr>
          <w:rFonts w:cs="Times New Roman"/>
        </w:rPr>
        <w:t xml:space="preserve">, </w:t>
      </w:r>
      <w:r w:rsidRPr="00B8377E">
        <w:rPr>
          <w:rFonts w:cs="Times New Roman"/>
          <w:i/>
          <w:iCs/>
        </w:rPr>
        <w:t>78</w:t>
      </w:r>
      <w:r w:rsidRPr="00B8377E">
        <w:rPr>
          <w:rFonts w:cs="Times New Roman"/>
        </w:rPr>
        <w:t>(2), 434–444. https://doi.org/10.2136/sssaj2013.07.0311</w:t>
      </w:r>
    </w:p>
    <w:p w14:paraId="5FC0D780" w14:textId="77777777" w:rsidR="00B8377E" w:rsidRPr="00B8377E" w:rsidRDefault="00B8377E" w:rsidP="00B8377E">
      <w:pPr>
        <w:pStyle w:val="Bibliography"/>
        <w:rPr>
          <w:rFonts w:cs="Times New Roman"/>
        </w:rPr>
      </w:pPr>
      <w:r w:rsidRPr="00B8377E">
        <w:rPr>
          <w:rFonts w:cs="Times New Roman"/>
        </w:rPr>
        <w:t xml:space="preserve">Rabot, E., Hénault, C., &amp; Cousin, I. (2016). Effect of the soil water dynamics on nitrous oxide emissions. </w:t>
      </w:r>
      <w:r w:rsidRPr="00B8377E">
        <w:rPr>
          <w:rFonts w:cs="Times New Roman"/>
          <w:i/>
          <w:iCs/>
        </w:rPr>
        <w:t>Geoderma</w:t>
      </w:r>
      <w:r w:rsidRPr="00B8377E">
        <w:rPr>
          <w:rFonts w:cs="Times New Roman"/>
        </w:rPr>
        <w:t xml:space="preserve">, </w:t>
      </w:r>
      <w:r w:rsidRPr="00B8377E">
        <w:rPr>
          <w:rFonts w:cs="Times New Roman"/>
          <w:i/>
          <w:iCs/>
        </w:rPr>
        <w:t>280</w:t>
      </w:r>
      <w:r w:rsidRPr="00B8377E">
        <w:rPr>
          <w:rFonts w:cs="Times New Roman"/>
        </w:rPr>
        <w:t>, 38–46. https://doi.org/10.1016/j.geoderma.2016.06.012</w:t>
      </w:r>
    </w:p>
    <w:p w14:paraId="04183CF8" w14:textId="77777777" w:rsidR="00B8377E" w:rsidRPr="00B8377E" w:rsidRDefault="00B8377E" w:rsidP="00B8377E">
      <w:pPr>
        <w:pStyle w:val="Bibliography"/>
        <w:rPr>
          <w:rFonts w:cs="Times New Roman"/>
        </w:rPr>
      </w:pPr>
      <w:r w:rsidRPr="00B8377E">
        <w:rPr>
          <w:rFonts w:cs="Times New Roman"/>
        </w:rPr>
        <w:t xml:space="preserve">Rachetti, F. L., Dhaliwal, J. K., &amp; Saha, D. (2023). </w:t>
      </w:r>
      <w:r w:rsidRPr="00B8377E">
        <w:rPr>
          <w:rFonts w:cs="Times New Roman"/>
          <w:i/>
          <w:iCs/>
        </w:rPr>
        <w:t>Cover Crop Residue Decomposition Exacerbated Soil Oxygen Depletion to Promote N 2 o Emissions</w:t>
      </w:r>
      <w:r w:rsidRPr="00B8377E">
        <w:rPr>
          <w:rFonts w:cs="Times New Roman"/>
        </w:rPr>
        <w:t>. ASA, CSSA, SSSA International Annual Meeting.</w:t>
      </w:r>
    </w:p>
    <w:p w14:paraId="30E7A60D" w14:textId="77777777" w:rsidR="00B8377E" w:rsidRPr="00B8377E" w:rsidRDefault="00B8377E" w:rsidP="00B8377E">
      <w:pPr>
        <w:pStyle w:val="Bibliography"/>
        <w:rPr>
          <w:rFonts w:cs="Times New Roman"/>
        </w:rPr>
      </w:pPr>
      <w:r w:rsidRPr="00B8377E">
        <w:rPr>
          <w:rFonts w:cs="Times New Roman"/>
        </w:rPr>
        <w:t xml:space="preserve">Rastogi, D., Touma, D., Evans, K. J., &amp; Ashfaq, M. (2020). Shift Toward Intense and Widespread Precipitation Events Over the United States by Mid-21st Century. </w:t>
      </w:r>
      <w:r w:rsidRPr="00B8377E">
        <w:rPr>
          <w:rFonts w:cs="Times New Roman"/>
          <w:i/>
          <w:iCs/>
        </w:rPr>
        <w:t>Geophysical Research Letters</w:t>
      </w:r>
      <w:r w:rsidRPr="00B8377E">
        <w:rPr>
          <w:rFonts w:cs="Times New Roman"/>
        </w:rPr>
        <w:t xml:space="preserve">, </w:t>
      </w:r>
      <w:r w:rsidRPr="00B8377E">
        <w:rPr>
          <w:rFonts w:cs="Times New Roman"/>
          <w:i/>
          <w:iCs/>
        </w:rPr>
        <w:t>47</w:t>
      </w:r>
      <w:r w:rsidRPr="00B8377E">
        <w:rPr>
          <w:rFonts w:cs="Times New Roman"/>
        </w:rPr>
        <w:t>(19), e2020GL089899. https://doi.org/10.1029/2020GL089899</w:t>
      </w:r>
    </w:p>
    <w:p w14:paraId="41D9FDCA" w14:textId="77777777" w:rsidR="00B8377E" w:rsidRPr="00B8377E" w:rsidRDefault="00B8377E" w:rsidP="00B8377E">
      <w:pPr>
        <w:pStyle w:val="Bibliography"/>
        <w:rPr>
          <w:rFonts w:cs="Times New Roman"/>
        </w:rPr>
      </w:pPr>
      <w:r w:rsidRPr="00B8377E">
        <w:rPr>
          <w:rFonts w:cs="Times New Roman"/>
        </w:rPr>
        <w:t xml:space="preserve">Ray, D. K., West, P. C., Clark, M., Gerber, J. S., Prishchepov, A. V., &amp; Chatterjee, S. (2019). Climate change has likely already affected global food production. </w:t>
      </w:r>
      <w:r w:rsidRPr="00B8377E">
        <w:rPr>
          <w:rFonts w:cs="Times New Roman"/>
          <w:i/>
          <w:iCs/>
        </w:rPr>
        <w:t>PLOS ONE</w:t>
      </w:r>
      <w:r w:rsidRPr="00B8377E">
        <w:rPr>
          <w:rFonts w:cs="Times New Roman"/>
        </w:rPr>
        <w:t xml:space="preserve">, </w:t>
      </w:r>
      <w:r w:rsidRPr="00B8377E">
        <w:rPr>
          <w:rFonts w:cs="Times New Roman"/>
          <w:i/>
          <w:iCs/>
        </w:rPr>
        <w:t>14</w:t>
      </w:r>
      <w:r w:rsidRPr="00B8377E">
        <w:rPr>
          <w:rFonts w:cs="Times New Roman"/>
        </w:rPr>
        <w:t>(5), e0217148. https://doi.org/10.1371/journal.pone.0217148</w:t>
      </w:r>
    </w:p>
    <w:p w14:paraId="62EA09A5" w14:textId="77777777" w:rsidR="00B8377E" w:rsidRPr="00B8377E" w:rsidRDefault="00B8377E" w:rsidP="00B8377E">
      <w:pPr>
        <w:pStyle w:val="Bibliography"/>
        <w:rPr>
          <w:rFonts w:cs="Times New Roman"/>
        </w:rPr>
      </w:pPr>
      <w:r w:rsidRPr="00B8377E">
        <w:rPr>
          <w:rFonts w:cs="Times New Roman"/>
        </w:rPr>
        <w:t xml:space="preserve">Rezaei, E. E., Webber, H., Asseng, S., Boote, K., Durand, J. L., Ewert, F., Martre, P., &amp; MacCarthy, D. S. (2023). Climate change impacts on crop yields. </w:t>
      </w:r>
      <w:r w:rsidRPr="00B8377E">
        <w:rPr>
          <w:rFonts w:cs="Times New Roman"/>
          <w:i/>
          <w:iCs/>
        </w:rPr>
        <w:t>Nature Reviews Earth &amp; Environment</w:t>
      </w:r>
      <w:r w:rsidRPr="00B8377E">
        <w:rPr>
          <w:rFonts w:cs="Times New Roman"/>
        </w:rPr>
        <w:t xml:space="preserve">, </w:t>
      </w:r>
      <w:r w:rsidRPr="00B8377E">
        <w:rPr>
          <w:rFonts w:cs="Times New Roman"/>
          <w:i/>
          <w:iCs/>
        </w:rPr>
        <w:t>4</w:t>
      </w:r>
      <w:r w:rsidRPr="00B8377E">
        <w:rPr>
          <w:rFonts w:cs="Times New Roman"/>
        </w:rPr>
        <w:t>(12), 831–846. https://doi.org/10.1038/s43017-023-00491-0</w:t>
      </w:r>
    </w:p>
    <w:p w14:paraId="4780E1EC" w14:textId="77777777" w:rsidR="00B8377E" w:rsidRPr="00B8377E" w:rsidRDefault="00B8377E" w:rsidP="00B8377E">
      <w:pPr>
        <w:pStyle w:val="Bibliography"/>
        <w:rPr>
          <w:rFonts w:cs="Times New Roman"/>
        </w:rPr>
      </w:pPr>
      <w:r w:rsidRPr="00B8377E">
        <w:rPr>
          <w:rFonts w:cs="Times New Roman"/>
        </w:rPr>
        <w:t xml:space="preserve">Risk, N., Snider, D., &amp; Wagner-Riddle, C. (2013). Mechanisms leading to enhanced soil nitrous oxide fluxes induced by freeze–thaw cycles. </w:t>
      </w:r>
      <w:r w:rsidRPr="00B8377E">
        <w:rPr>
          <w:rFonts w:cs="Times New Roman"/>
          <w:i/>
          <w:iCs/>
        </w:rPr>
        <w:t>Canadian Journal of Soil Science</w:t>
      </w:r>
      <w:r w:rsidRPr="00B8377E">
        <w:rPr>
          <w:rFonts w:cs="Times New Roman"/>
        </w:rPr>
        <w:t xml:space="preserve">, </w:t>
      </w:r>
      <w:r w:rsidRPr="00B8377E">
        <w:rPr>
          <w:rFonts w:cs="Times New Roman"/>
          <w:i/>
          <w:iCs/>
        </w:rPr>
        <w:t>93</w:t>
      </w:r>
      <w:r w:rsidRPr="00B8377E">
        <w:rPr>
          <w:rFonts w:cs="Times New Roman"/>
        </w:rPr>
        <w:t>(4), 401–414. https://doi.org/10.4141/cjss2012-071</w:t>
      </w:r>
    </w:p>
    <w:p w14:paraId="3667F28D" w14:textId="77777777" w:rsidR="00B8377E" w:rsidRPr="00B8377E" w:rsidRDefault="00B8377E" w:rsidP="00B8377E">
      <w:pPr>
        <w:pStyle w:val="Bibliography"/>
        <w:rPr>
          <w:rFonts w:cs="Times New Roman"/>
        </w:rPr>
      </w:pPr>
      <w:r w:rsidRPr="00B8377E">
        <w:rPr>
          <w:rFonts w:cs="Times New Roman"/>
        </w:rPr>
        <w:t xml:space="preserve">Rivas, A., Barkle, G., Stenger, R., Moorhead, B., &amp; Clague, J. (2020). Nitrate removal and secondary effects of a woodchip bioreactor for the treatment of subsurface drainage with </w:t>
      </w:r>
      <w:r w:rsidRPr="00B8377E">
        <w:rPr>
          <w:rFonts w:cs="Times New Roman"/>
        </w:rPr>
        <w:lastRenderedPageBreak/>
        <w:t xml:space="preserve">dynamic flows under pastoral agriculture. </w:t>
      </w:r>
      <w:r w:rsidRPr="00B8377E">
        <w:rPr>
          <w:rFonts w:cs="Times New Roman"/>
          <w:i/>
          <w:iCs/>
        </w:rPr>
        <w:t>Ecological Engineering</w:t>
      </w:r>
      <w:r w:rsidRPr="00B8377E">
        <w:rPr>
          <w:rFonts w:cs="Times New Roman"/>
        </w:rPr>
        <w:t xml:space="preserve">, </w:t>
      </w:r>
      <w:r w:rsidRPr="00B8377E">
        <w:rPr>
          <w:rFonts w:cs="Times New Roman"/>
          <w:i/>
          <w:iCs/>
        </w:rPr>
        <w:t>148</w:t>
      </w:r>
      <w:r w:rsidRPr="00B8377E">
        <w:rPr>
          <w:rFonts w:cs="Times New Roman"/>
        </w:rPr>
        <w:t>, 105786. https://doi.org/10.1016/j.ecoleng.2020.105786</w:t>
      </w:r>
    </w:p>
    <w:p w14:paraId="4CD0E091" w14:textId="77777777" w:rsidR="00B8377E" w:rsidRPr="00B8377E" w:rsidRDefault="00B8377E" w:rsidP="00B8377E">
      <w:pPr>
        <w:pStyle w:val="Bibliography"/>
        <w:rPr>
          <w:rFonts w:cs="Times New Roman"/>
        </w:rPr>
      </w:pPr>
      <w:r w:rsidRPr="00B8377E">
        <w:rPr>
          <w:rFonts w:cs="Times New Roman"/>
        </w:rPr>
        <w:t xml:space="preserve">Robinson, R. B., Cox, C. D., &amp; Odom, K. (2005). Identifying Outliers in Correlated Water Quality Data. </w:t>
      </w:r>
      <w:r w:rsidRPr="00B8377E">
        <w:rPr>
          <w:rFonts w:cs="Times New Roman"/>
          <w:i/>
          <w:iCs/>
        </w:rPr>
        <w:t>Journal of Environmental Engineering</w:t>
      </w:r>
      <w:r w:rsidRPr="00B8377E">
        <w:rPr>
          <w:rFonts w:cs="Times New Roman"/>
        </w:rPr>
        <w:t xml:space="preserve">, </w:t>
      </w:r>
      <w:r w:rsidRPr="00B8377E">
        <w:rPr>
          <w:rFonts w:cs="Times New Roman"/>
          <w:i/>
          <w:iCs/>
        </w:rPr>
        <w:t>131</w:t>
      </w:r>
      <w:r w:rsidRPr="00B8377E">
        <w:rPr>
          <w:rFonts w:cs="Times New Roman"/>
        </w:rPr>
        <w:t>(4), 651–657. https://doi.org/10.1061/(ASCE)0733-9372(2005)131:4(651)</w:t>
      </w:r>
    </w:p>
    <w:p w14:paraId="0443F03F" w14:textId="77777777" w:rsidR="00B8377E" w:rsidRPr="00B8377E" w:rsidRDefault="00B8377E" w:rsidP="00B8377E">
      <w:pPr>
        <w:pStyle w:val="Bibliography"/>
        <w:rPr>
          <w:rFonts w:cs="Times New Roman"/>
        </w:rPr>
      </w:pPr>
      <w:r w:rsidRPr="00B8377E">
        <w:rPr>
          <w:rFonts w:cs="Times New Roman"/>
        </w:rPr>
        <w:t xml:space="preserve">Rohatgi, A. (2022). </w:t>
      </w:r>
      <w:r w:rsidRPr="00B8377E">
        <w:rPr>
          <w:rFonts w:cs="Times New Roman"/>
          <w:i/>
          <w:iCs/>
        </w:rPr>
        <w:t>Webplotdigitizer: Version 4.6</w:t>
      </w:r>
      <w:r w:rsidRPr="00B8377E">
        <w:rPr>
          <w:rFonts w:cs="Times New Roman"/>
        </w:rPr>
        <w:t>. https://automeris.io/WebPlotDigitizer</w:t>
      </w:r>
    </w:p>
    <w:p w14:paraId="3D6464FF" w14:textId="77777777" w:rsidR="00B8377E" w:rsidRPr="00B8377E" w:rsidRDefault="00B8377E" w:rsidP="00B8377E">
      <w:pPr>
        <w:pStyle w:val="Bibliography"/>
        <w:rPr>
          <w:rFonts w:cs="Times New Roman"/>
        </w:rPr>
      </w:pPr>
      <w:r w:rsidRPr="00B8377E">
        <w:rPr>
          <w:rFonts w:cs="Times New Roman"/>
        </w:rPr>
        <w:t xml:space="preserve">Rosenzweig, C., Mbow, C., Barioni, L. G., Benton, T. G., Herrero, M., Krishnapillai, M., Liwenga, E. T., Pradhan, P., Rivera-Ferre, M. G., Sapkota, T., Tubiello, F. N., Xu, Y., Mencos Contreras, E., &amp; Portugal-Pereira, J. (2020). Climate change responses benefit from a global food system approach. </w:t>
      </w:r>
      <w:r w:rsidRPr="00B8377E">
        <w:rPr>
          <w:rFonts w:cs="Times New Roman"/>
          <w:i/>
          <w:iCs/>
        </w:rPr>
        <w:t>Nature Food</w:t>
      </w:r>
      <w:r w:rsidRPr="00B8377E">
        <w:rPr>
          <w:rFonts w:cs="Times New Roman"/>
        </w:rPr>
        <w:t xml:space="preserve">, </w:t>
      </w:r>
      <w:r w:rsidRPr="00B8377E">
        <w:rPr>
          <w:rFonts w:cs="Times New Roman"/>
          <w:i/>
          <w:iCs/>
        </w:rPr>
        <w:t>1</w:t>
      </w:r>
      <w:r w:rsidRPr="00B8377E">
        <w:rPr>
          <w:rFonts w:cs="Times New Roman"/>
        </w:rPr>
        <w:t>(2), Article 2. https://doi.org/10.1038/s43016-020-0031-z</w:t>
      </w:r>
    </w:p>
    <w:p w14:paraId="4F8368BF" w14:textId="77777777" w:rsidR="00B8377E" w:rsidRPr="00B8377E" w:rsidRDefault="00B8377E" w:rsidP="00B8377E">
      <w:pPr>
        <w:pStyle w:val="Bibliography"/>
        <w:rPr>
          <w:rFonts w:cs="Times New Roman"/>
        </w:rPr>
      </w:pPr>
      <w:r w:rsidRPr="00B8377E">
        <w:rPr>
          <w:rFonts w:cs="Times New Roman"/>
        </w:rPr>
        <w:t xml:space="preserve">Rousseeuw, P. J., &amp; Hubert, M. (2011). Robust statistics for outlier detection. </w:t>
      </w:r>
      <w:r w:rsidRPr="00B8377E">
        <w:rPr>
          <w:rFonts w:cs="Times New Roman"/>
          <w:i/>
          <w:iCs/>
        </w:rPr>
        <w:t>WIREs Data Mining and Knowledge Discovery</w:t>
      </w:r>
      <w:r w:rsidRPr="00B8377E">
        <w:rPr>
          <w:rFonts w:cs="Times New Roman"/>
        </w:rPr>
        <w:t xml:space="preserve">, </w:t>
      </w:r>
      <w:r w:rsidRPr="00B8377E">
        <w:rPr>
          <w:rFonts w:cs="Times New Roman"/>
          <w:i/>
          <w:iCs/>
        </w:rPr>
        <w:t>1</w:t>
      </w:r>
      <w:r w:rsidRPr="00B8377E">
        <w:rPr>
          <w:rFonts w:cs="Times New Roman"/>
        </w:rPr>
        <w:t>(1), 73–79. https://doi.org/10.1002/widm.2</w:t>
      </w:r>
    </w:p>
    <w:p w14:paraId="7F56469E" w14:textId="77777777" w:rsidR="00B8377E" w:rsidRPr="00B8377E" w:rsidRDefault="00B8377E" w:rsidP="00B8377E">
      <w:pPr>
        <w:pStyle w:val="Bibliography"/>
        <w:rPr>
          <w:rFonts w:cs="Times New Roman"/>
        </w:rPr>
      </w:pPr>
      <w:r w:rsidRPr="00B8377E">
        <w:rPr>
          <w:rFonts w:cs="Times New Roman"/>
        </w:rPr>
        <w:t xml:space="preserve">Russo, S., Besmer, M. D., Blumensaat, F., Bouffard, D., Disch, A., Hammes, F., Hess, A., Lürig, M., Matthews, B., Minaudo, C., Morgenroth, E., Tran-Khac, V., &amp; Villez, K. (2021). The value of human data annotation for machine learning based anomaly detection in environmental systems. </w:t>
      </w:r>
      <w:r w:rsidRPr="00B8377E">
        <w:rPr>
          <w:rFonts w:cs="Times New Roman"/>
          <w:i/>
          <w:iCs/>
        </w:rPr>
        <w:t>Water Research</w:t>
      </w:r>
      <w:r w:rsidRPr="00B8377E">
        <w:rPr>
          <w:rFonts w:cs="Times New Roman"/>
        </w:rPr>
        <w:t xml:space="preserve">, </w:t>
      </w:r>
      <w:r w:rsidRPr="00B8377E">
        <w:rPr>
          <w:rFonts w:cs="Times New Roman"/>
          <w:i/>
          <w:iCs/>
        </w:rPr>
        <w:t>206</w:t>
      </w:r>
      <w:r w:rsidRPr="00B8377E">
        <w:rPr>
          <w:rFonts w:cs="Times New Roman"/>
        </w:rPr>
        <w:t>, 117695. https://doi.org/10.1016/j.watres.2021.117695</w:t>
      </w:r>
    </w:p>
    <w:p w14:paraId="2BE0166F" w14:textId="77777777" w:rsidR="00B8377E" w:rsidRPr="00B8377E" w:rsidRDefault="00B8377E" w:rsidP="00B8377E">
      <w:pPr>
        <w:pStyle w:val="Bibliography"/>
        <w:rPr>
          <w:rFonts w:cs="Times New Roman"/>
        </w:rPr>
      </w:pPr>
      <w:r w:rsidRPr="00B8377E">
        <w:rPr>
          <w:rFonts w:cs="Times New Roman"/>
        </w:rPr>
        <w:t xml:space="preserve">Saber, M., &amp; Habib, E. (2016). Flash Floods Modelling for Wadi System: Challenges and Trends. In A. M. Melesse &amp; W. Abtew (Eds.), </w:t>
      </w:r>
      <w:r w:rsidRPr="00B8377E">
        <w:rPr>
          <w:rFonts w:cs="Times New Roman"/>
          <w:i/>
          <w:iCs/>
        </w:rPr>
        <w:t>Landscape Dynamics, Soils and Hydrological Processes in Varied Climates</w:t>
      </w:r>
      <w:r w:rsidRPr="00B8377E">
        <w:rPr>
          <w:rFonts w:cs="Times New Roman"/>
        </w:rPr>
        <w:t xml:space="preserve"> (pp. 317–339). Springer International Publishing. https://doi.org/10.1007/978-3-319-18787-7_16</w:t>
      </w:r>
    </w:p>
    <w:p w14:paraId="4EC95DB1" w14:textId="77777777" w:rsidR="00B8377E" w:rsidRPr="00B8377E" w:rsidRDefault="00B8377E" w:rsidP="00B8377E">
      <w:pPr>
        <w:pStyle w:val="Bibliography"/>
        <w:rPr>
          <w:rFonts w:cs="Times New Roman"/>
        </w:rPr>
      </w:pPr>
      <w:r w:rsidRPr="00B8377E">
        <w:rPr>
          <w:rFonts w:cs="Times New Roman"/>
        </w:rPr>
        <w:lastRenderedPageBreak/>
        <w:t xml:space="preserve">Saha, D., Basso, B., &amp; Robertson, G. P. (2021a). Machine learning improves predictions of agricultural nitrous oxide (N2O) emissions from intensively managed cropping systems. </w:t>
      </w:r>
      <w:r w:rsidRPr="00B8377E">
        <w:rPr>
          <w:rFonts w:cs="Times New Roman"/>
          <w:i/>
          <w:iCs/>
        </w:rPr>
        <w:t>Environmental Research Letters</w:t>
      </w:r>
      <w:r w:rsidRPr="00B8377E">
        <w:rPr>
          <w:rFonts w:cs="Times New Roman"/>
        </w:rPr>
        <w:t xml:space="preserve">, </w:t>
      </w:r>
      <w:r w:rsidRPr="00B8377E">
        <w:rPr>
          <w:rFonts w:cs="Times New Roman"/>
          <w:i/>
          <w:iCs/>
        </w:rPr>
        <w:t>16</w:t>
      </w:r>
      <w:r w:rsidRPr="00B8377E">
        <w:rPr>
          <w:rFonts w:cs="Times New Roman"/>
        </w:rPr>
        <w:t>(2), 024004. https://doi.org/10.1088/1748-9326/abd2f3</w:t>
      </w:r>
    </w:p>
    <w:p w14:paraId="38074B66" w14:textId="0581D8DA" w:rsidR="00B8377E" w:rsidRPr="00B8377E" w:rsidRDefault="00B8377E" w:rsidP="00B8377E">
      <w:pPr>
        <w:pStyle w:val="Bibliography"/>
        <w:rPr>
          <w:rFonts w:cs="Times New Roman"/>
        </w:rPr>
      </w:pPr>
      <w:r w:rsidRPr="00B8377E">
        <w:rPr>
          <w:rFonts w:cs="Times New Roman"/>
        </w:rPr>
        <w:t>Saha, D., Kaye, J. P., Bhowmik, A., Bruns, M. A., Wallace, J. M., &amp; Kemanian, A. R. (2021</w:t>
      </w:r>
      <w:r w:rsidR="00C45B10">
        <w:rPr>
          <w:rFonts w:cs="Times New Roman"/>
        </w:rPr>
        <w:t>b</w:t>
      </w:r>
      <w:r w:rsidRPr="00B8377E">
        <w:rPr>
          <w:rFonts w:cs="Times New Roman"/>
        </w:rPr>
        <w:t xml:space="preserve">). Organic fertility inputs synergistically increase denitrification-derived nitrous oxide emissions in agroecosystems. </w:t>
      </w:r>
      <w:r w:rsidRPr="00B8377E">
        <w:rPr>
          <w:rFonts w:cs="Times New Roman"/>
          <w:i/>
          <w:iCs/>
        </w:rPr>
        <w:t>Ecological Applications</w:t>
      </w:r>
      <w:r w:rsidRPr="00B8377E">
        <w:rPr>
          <w:rFonts w:cs="Times New Roman"/>
        </w:rPr>
        <w:t xml:space="preserve">, </w:t>
      </w:r>
      <w:r w:rsidRPr="00B8377E">
        <w:rPr>
          <w:rFonts w:cs="Times New Roman"/>
          <w:i/>
          <w:iCs/>
        </w:rPr>
        <w:t>31</w:t>
      </w:r>
      <w:r w:rsidRPr="00B8377E">
        <w:rPr>
          <w:rFonts w:cs="Times New Roman"/>
        </w:rPr>
        <w:t>(7), e02403. https://doi.org/10.1002/eap.2403</w:t>
      </w:r>
    </w:p>
    <w:p w14:paraId="767840C4" w14:textId="77777777" w:rsidR="00B8377E" w:rsidRPr="00B8377E" w:rsidRDefault="00B8377E" w:rsidP="00B8377E">
      <w:pPr>
        <w:pStyle w:val="Bibliography"/>
        <w:rPr>
          <w:rFonts w:cs="Times New Roman"/>
        </w:rPr>
      </w:pPr>
      <w:r w:rsidRPr="00B8377E">
        <w:rPr>
          <w:rFonts w:cs="Times New Roman"/>
        </w:rPr>
        <w:t xml:space="preserve">Saha, D., Kemanian, A. R., Montes, F., Gall, H., Adler, P. R., &amp; Rau, B. M. (2018). Lorenz Curve and Gini Coefficient Reveal Hot Spots and Hot Moments for Nitrous Oxide Emissions. </w:t>
      </w:r>
      <w:r w:rsidRPr="00B8377E">
        <w:rPr>
          <w:rFonts w:cs="Times New Roman"/>
          <w:i/>
          <w:iCs/>
        </w:rPr>
        <w:t>Journal of Geophysical Research: Biogeosciences</w:t>
      </w:r>
      <w:r w:rsidRPr="00B8377E">
        <w:rPr>
          <w:rFonts w:cs="Times New Roman"/>
        </w:rPr>
        <w:t xml:space="preserve">, </w:t>
      </w:r>
      <w:r w:rsidRPr="00B8377E">
        <w:rPr>
          <w:rFonts w:cs="Times New Roman"/>
          <w:i/>
          <w:iCs/>
        </w:rPr>
        <w:t>123</w:t>
      </w:r>
      <w:r w:rsidRPr="00B8377E">
        <w:rPr>
          <w:rFonts w:cs="Times New Roman"/>
        </w:rPr>
        <w:t>(1), 193–206. https://doi.org/10.1002/2017JG004041</w:t>
      </w:r>
    </w:p>
    <w:p w14:paraId="7E599570" w14:textId="77777777" w:rsidR="00B8377E" w:rsidRPr="00B8377E" w:rsidRDefault="00B8377E" w:rsidP="00B8377E">
      <w:pPr>
        <w:pStyle w:val="Bibliography"/>
        <w:rPr>
          <w:rFonts w:cs="Times New Roman"/>
        </w:rPr>
      </w:pPr>
      <w:r w:rsidRPr="00B8377E">
        <w:rPr>
          <w:rFonts w:cs="Times New Roman"/>
        </w:rPr>
        <w:t xml:space="preserve">Saito, T., &amp; Rehmsmeier, M. (2015). The Precision-Recall Plot Is More Informative than the ROC Plot When Evaluating Binary Classifiers on Imbalanced Datasets. </w:t>
      </w:r>
      <w:r w:rsidRPr="00B8377E">
        <w:rPr>
          <w:rFonts w:cs="Times New Roman"/>
          <w:i/>
          <w:iCs/>
        </w:rPr>
        <w:t>PLoS ONE</w:t>
      </w:r>
      <w:r w:rsidRPr="00B8377E">
        <w:rPr>
          <w:rFonts w:cs="Times New Roman"/>
        </w:rPr>
        <w:t xml:space="preserve">, </w:t>
      </w:r>
      <w:r w:rsidRPr="00B8377E">
        <w:rPr>
          <w:rFonts w:cs="Times New Roman"/>
          <w:i/>
          <w:iCs/>
        </w:rPr>
        <w:t>10</w:t>
      </w:r>
      <w:r w:rsidRPr="00B8377E">
        <w:rPr>
          <w:rFonts w:cs="Times New Roman"/>
        </w:rPr>
        <w:t>(3), e0118432. https://doi.org/10.1371/journal.pone.0118432</w:t>
      </w:r>
    </w:p>
    <w:p w14:paraId="4DC6DBCE" w14:textId="77777777" w:rsidR="00B8377E" w:rsidRPr="00B8377E" w:rsidRDefault="00B8377E" w:rsidP="00B8377E">
      <w:pPr>
        <w:pStyle w:val="Bibliography"/>
        <w:rPr>
          <w:rFonts w:cs="Times New Roman"/>
        </w:rPr>
      </w:pPr>
      <w:r w:rsidRPr="00B8377E">
        <w:rPr>
          <w:rFonts w:cs="Times New Roman"/>
        </w:rPr>
        <w:t xml:space="preserve">Sanderman, J., Hengl, T., &amp; Fiske, G. J. (2017). Soil carbon debt of 12,000 years of human land use. </w:t>
      </w:r>
      <w:r w:rsidRPr="00B8377E">
        <w:rPr>
          <w:rFonts w:cs="Times New Roman"/>
          <w:i/>
          <w:iCs/>
        </w:rPr>
        <w:t>Proceedings of the National Academy of Sciences</w:t>
      </w:r>
      <w:r w:rsidRPr="00B8377E">
        <w:rPr>
          <w:rFonts w:cs="Times New Roman"/>
        </w:rPr>
        <w:t xml:space="preserve">, </w:t>
      </w:r>
      <w:r w:rsidRPr="00B8377E">
        <w:rPr>
          <w:rFonts w:cs="Times New Roman"/>
          <w:i/>
          <w:iCs/>
        </w:rPr>
        <w:t>114</w:t>
      </w:r>
      <w:r w:rsidRPr="00B8377E">
        <w:rPr>
          <w:rFonts w:cs="Times New Roman"/>
        </w:rPr>
        <w:t>(36), 9575–9580. https://doi.org/10.1073/pnas.1706103114</w:t>
      </w:r>
    </w:p>
    <w:p w14:paraId="60EB39E3" w14:textId="77777777" w:rsidR="00B8377E" w:rsidRPr="00B8377E" w:rsidRDefault="00B8377E" w:rsidP="00B8377E">
      <w:pPr>
        <w:pStyle w:val="Bibliography"/>
        <w:rPr>
          <w:rFonts w:cs="Times New Roman"/>
        </w:rPr>
      </w:pPr>
      <w:r w:rsidRPr="00B8377E">
        <w:rPr>
          <w:rFonts w:cs="Times New Roman"/>
        </w:rPr>
        <w:t xml:space="preserve">Sarki, A., Mirjat, M. S., Mahessar, A. A., Kori, S. M., &amp; Qureshi, A. L. (2014). Determination of saturated hydraulic conductivity of different soil texture materials. </w:t>
      </w:r>
      <w:r w:rsidRPr="00B8377E">
        <w:rPr>
          <w:rFonts w:cs="Times New Roman"/>
          <w:i/>
          <w:iCs/>
        </w:rPr>
        <w:t>Journal of Agriculture and Veterinary Science</w:t>
      </w:r>
      <w:r w:rsidRPr="00B8377E">
        <w:rPr>
          <w:rFonts w:cs="Times New Roman"/>
        </w:rPr>
        <w:t xml:space="preserve">, </w:t>
      </w:r>
      <w:r w:rsidRPr="00B8377E">
        <w:rPr>
          <w:rFonts w:cs="Times New Roman"/>
          <w:i/>
          <w:iCs/>
        </w:rPr>
        <w:t>7</w:t>
      </w:r>
      <w:r w:rsidRPr="00B8377E">
        <w:rPr>
          <w:rFonts w:cs="Times New Roman"/>
        </w:rPr>
        <w:t>(12), 56–62.</w:t>
      </w:r>
    </w:p>
    <w:p w14:paraId="3B18A151" w14:textId="77777777" w:rsidR="00B8377E" w:rsidRPr="00B8377E" w:rsidRDefault="00B8377E" w:rsidP="00B8377E">
      <w:pPr>
        <w:pStyle w:val="Bibliography"/>
        <w:rPr>
          <w:rFonts w:cs="Times New Roman"/>
        </w:rPr>
      </w:pPr>
      <w:r w:rsidRPr="00B8377E">
        <w:rPr>
          <w:rFonts w:cs="Times New Roman"/>
        </w:rPr>
        <w:t xml:space="preserve">Scheer, C., Del Grosso, S. J., Parton, W. J., Rowlings, D. W., &amp; Grace, P. R. (2014). Modeling nitrous oxide emissions from irrigated agriculture: Testing DayCent with high-frequency </w:t>
      </w:r>
      <w:r w:rsidRPr="00B8377E">
        <w:rPr>
          <w:rFonts w:cs="Times New Roman"/>
        </w:rPr>
        <w:lastRenderedPageBreak/>
        <w:t xml:space="preserve">measurements. </w:t>
      </w:r>
      <w:r w:rsidRPr="00B8377E">
        <w:rPr>
          <w:rFonts w:cs="Times New Roman"/>
          <w:i/>
          <w:iCs/>
        </w:rPr>
        <w:t>Ecological Applications</w:t>
      </w:r>
      <w:r w:rsidRPr="00B8377E">
        <w:rPr>
          <w:rFonts w:cs="Times New Roman"/>
        </w:rPr>
        <w:t xml:space="preserve">, </w:t>
      </w:r>
      <w:r w:rsidRPr="00B8377E">
        <w:rPr>
          <w:rFonts w:cs="Times New Roman"/>
          <w:i/>
          <w:iCs/>
        </w:rPr>
        <w:t>24</w:t>
      </w:r>
      <w:r w:rsidRPr="00B8377E">
        <w:rPr>
          <w:rFonts w:cs="Times New Roman"/>
        </w:rPr>
        <w:t>(3), 528–538. https://doi.org/10.1890/13-0570.1</w:t>
      </w:r>
    </w:p>
    <w:p w14:paraId="3AF170D3" w14:textId="77777777" w:rsidR="00B8377E" w:rsidRPr="00B8377E" w:rsidRDefault="00B8377E" w:rsidP="00B8377E">
      <w:pPr>
        <w:pStyle w:val="Bibliography"/>
        <w:rPr>
          <w:rFonts w:cs="Times New Roman"/>
        </w:rPr>
      </w:pPr>
      <w:r w:rsidRPr="00B8377E">
        <w:rPr>
          <w:rFonts w:cs="Times New Roman"/>
        </w:rPr>
        <w:t xml:space="preserve">Schreiber, F., Wunderlin, P., Udert, K. M., &amp; Wells, G. F. (2012). Nitric oxide and nitrous oxide turnover in natural and engineered microbial communities: Biological pathways, chemical reactions, and novel technologies. </w:t>
      </w:r>
      <w:r w:rsidRPr="00B8377E">
        <w:rPr>
          <w:rFonts w:cs="Times New Roman"/>
          <w:i/>
          <w:iCs/>
        </w:rPr>
        <w:t>Frontiers in Microbiology</w:t>
      </w:r>
      <w:r w:rsidRPr="00B8377E">
        <w:rPr>
          <w:rFonts w:cs="Times New Roman"/>
        </w:rPr>
        <w:t xml:space="preserve">, </w:t>
      </w:r>
      <w:r w:rsidRPr="00B8377E">
        <w:rPr>
          <w:rFonts w:cs="Times New Roman"/>
          <w:i/>
          <w:iCs/>
        </w:rPr>
        <w:t>3</w:t>
      </w:r>
      <w:r w:rsidRPr="00B8377E">
        <w:rPr>
          <w:rFonts w:cs="Times New Roman"/>
        </w:rPr>
        <w:t>. https://doi.org/10.3389/fmicb.2012.00372</w:t>
      </w:r>
    </w:p>
    <w:p w14:paraId="5B8224AB" w14:textId="77777777" w:rsidR="00B8377E" w:rsidRPr="00B8377E" w:rsidRDefault="00B8377E" w:rsidP="00B8377E">
      <w:pPr>
        <w:pStyle w:val="Bibliography"/>
        <w:rPr>
          <w:rFonts w:cs="Times New Roman"/>
        </w:rPr>
      </w:pPr>
      <w:r w:rsidRPr="00B8377E">
        <w:rPr>
          <w:rFonts w:cs="Times New Roman"/>
        </w:rPr>
        <w:t xml:space="preserve">Senbayram, M., Chen, R., Budai, A., Bakken, L., &amp; Dittert, K. (2012). N2O emission and the N2O/(N2O   +   N2) product ratio of denitrification as controlled by available carbon substrates and nitrate concentrations. </w:t>
      </w:r>
      <w:r w:rsidRPr="00B8377E">
        <w:rPr>
          <w:rFonts w:cs="Times New Roman"/>
          <w:i/>
          <w:iCs/>
        </w:rPr>
        <w:t>Agriculture, Ecosystems &amp; Environment</w:t>
      </w:r>
      <w:r w:rsidRPr="00B8377E">
        <w:rPr>
          <w:rFonts w:cs="Times New Roman"/>
        </w:rPr>
        <w:t xml:space="preserve">, </w:t>
      </w:r>
      <w:r w:rsidRPr="00B8377E">
        <w:rPr>
          <w:rFonts w:cs="Times New Roman"/>
          <w:i/>
          <w:iCs/>
        </w:rPr>
        <w:t>147</w:t>
      </w:r>
      <w:r w:rsidRPr="00B8377E">
        <w:rPr>
          <w:rFonts w:cs="Times New Roman"/>
        </w:rPr>
        <w:t>, 4–12. https://doi.org/10.1016/j.agee.2011.06.022</w:t>
      </w:r>
    </w:p>
    <w:p w14:paraId="2AC5A20B" w14:textId="77777777" w:rsidR="00B8377E" w:rsidRPr="00B8377E" w:rsidRDefault="00B8377E" w:rsidP="00B8377E">
      <w:pPr>
        <w:pStyle w:val="Bibliography"/>
        <w:rPr>
          <w:rFonts w:cs="Times New Roman"/>
        </w:rPr>
      </w:pPr>
      <w:r w:rsidRPr="00B8377E">
        <w:rPr>
          <w:rFonts w:cs="Times New Roman"/>
        </w:rPr>
        <w:t xml:space="preserve">Shindell, D., Sadavarte, P., Aben, I., Bredariol, T. de O., Dreyfus, G., Höglund-Isaksson, L., Poulter, B., Saunois, M., Schmidt, G. A., Szopa, S., Rentz, K., Parsons, L., Qu, Z., Faluvegi, G., &amp; Maasakkers, J. D. (2024). The methane imperative. </w:t>
      </w:r>
      <w:r w:rsidRPr="00B8377E">
        <w:rPr>
          <w:rFonts w:cs="Times New Roman"/>
          <w:i/>
          <w:iCs/>
        </w:rPr>
        <w:t>Frontiers in Science</w:t>
      </w:r>
      <w:r w:rsidRPr="00B8377E">
        <w:rPr>
          <w:rFonts w:cs="Times New Roman"/>
        </w:rPr>
        <w:t xml:space="preserve">, </w:t>
      </w:r>
      <w:r w:rsidRPr="00B8377E">
        <w:rPr>
          <w:rFonts w:cs="Times New Roman"/>
          <w:i/>
          <w:iCs/>
        </w:rPr>
        <w:t>2</w:t>
      </w:r>
      <w:r w:rsidRPr="00B8377E">
        <w:rPr>
          <w:rFonts w:cs="Times New Roman"/>
        </w:rPr>
        <w:t>. https://doi.org/10.3389/fsci.2024.1349770</w:t>
      </w:r>
    </w:p>
    <w:p w14:paraId="7AE64560" w14:textId="77777777" w:rsidR="00B8377E" w:rsidRPr="00B8377E" w:rsidRDefault="00B8377E" w:rsidP="00B8377E">
      <w:pPr>
        <w:pStyle w:val="Bibliography"/>
        <w:rPr>
          <w:rFonts w:cs="Times New Roman"/>
        </w:rPr>
      </w:pPr>
      <w:r w:rsidRPr="00B8377E">
        <w:rPr>
          <w:rFonts w:cs="Times New Roman"/>
        </w:rPr>
        <w:t xml:space="preserve">Shrestha, R. C., Ghazaryan, L., Poodiack, B., Zorin, B., Gross, A., Gillor, O., Khozin-Goldberg, I., &amp; Gelfand, I. (2022). The effects of microalgae-based fertilization of wheat on yield, soil microbiome and nitrogen oxides emissions. </w:t>
      </w:r>
      <w:r w:rsidRPr="00B8377E">
        <w:rPr>
          <w:rFonts w:cs="Times New Roman"/>
          <w:i/>
          <w:iCs/>
        </w:rPr>
        <w:t>Science of The Total Environment</w:t>
      </w:r>
      <w:r w:rsidRPr="00B8377E">
        <w:rPr>
          <w:rFonts w:cs="Times New Roman"/>
        </w:rPr>
        <w:t xml:space="preserve">, </w:t>
      </w:r>
      <w:r w:rsidRPr="00B8377E">
        <w:rPr>
          <w:rFonts w:cs="Times New Roman"/>
          <w:i/>
          <w:iCs/>
        </w:rPr>
        <w:t>806</w:t>
      </w:r>
      <w:r w:rsidRPr="00B8377E">
        <w:rPr>
          <w:rFonts w:cs="Times New Roman"/>
        </w:rPr>
        <w:t>, 151320. https://doi.org/10.1016/j.scitotenv.2021.151320</w:t>
      </w:r>
    </w:p>
    <w:p w14:paraId="6F007BB8" w14:textId="77777777" w:rsidR="00B8377E" w:rsidRPr="00B8377E" w:rsidRDefault="00B8377E" w:rsidP="00B8377E">
      <w:pPr>
        <w:pStyle w:val="Bibliography"/>
        <w:rPr>
          <w:rFonts w:cs="Times New Roman"/>
        </w:rPr>
      </w:pPr>
      <w:r w:rsidRPr="00B8377E">
        <w:rPr>
          <w:rFonts w:cs="Times New Roman"/>
        </w:rPr>
        <w:t xml:space="preserve">ŠImek, M., &amp; Cooper, J. E. (2002). The influence of soil pH on denitrification: Progress towards the understanding of this interaction over the last 50 years. </w:t>
      </w:r>
      <w:r w:rsidRPr="00B8377E">
        <w:rPr>
          <w:rFonts w:cs="Times New Roman"/>
          <w:i/>
          <w:iCs/>
        </w:rPr>
        <w:t>European Journal of Soil Science</w:t>
      </w:r>
      <w:r w:rsidRPr="00B8377E">
        <w:rPr>
          <w:rFonts w:cs="Times New Roman"/>
        </w:rPr>
        <w:t xml:space="preserve">, </w:t>
      </w:r>
      <w:r w:rsidRPr="00B8377E">
        <w:rPr>
          <w:rFonts w:cs="Times New Roman"/>
          <w:i/>
          <w:iCs/>
        </w:rPr>
        <w:t>53</w:t>
      </w:r>
      <w:r w:rsidRPr="00B8377E">
        <w:rPr>
          <w:rFonts w:cs="Times New Roman"/>
        </w:rPr>
        <w:t>(3), 345–354. https://doi.org/10.1046/j.1365-2389.2002.00461.x</w:t>
      </w:r>
    </w:p>
    <w:p w14:paraId="009727D3" w14:textId="77777777" w:rsidR="00B8377E" w:rsidRPr="00B8377E" w:rsidRDefault="00B8377E" w:rsidP="00B8377E">
      <w:pPr>
        <w:pStyle w:val="Bibliography"/>
        <w:rPr>
          <w:rFonts w:cs="Times New Roman"/>
        </w:rPr>
      </w:pPr>
      <w:r w:rsidRPr="00B8377E">
        <w:rPr>
          <w:rFonts w:cs="Times New Roman"/>
        </w:rPr>
        <w:t xml:space="preserve">Singer, A. (2007). </w:t>
      </w:r>
      <w:r w:rsidRPr="00B8377E">
        <w:rPr>
          <w:rFonts w:cs="Times New Roman"/>
          <w:i/>
          <w:iCs/>
        </w:rPr>
        <w:t>The Soils of Israel</w:t>
      </w:r>
      <w:r w:rsidRPr="00B8377E">
        <w:rPr>
          <w:rFonts w:cs="Times New Roman"/>
        </w:rPr>
        <w:t>. Springer.</w:t>
      </w:r>
    </w:p>
    <w:p w14:paraId="41DF855F" w14:textId="77777777" w:rsidR="00B8377E" w:rsidRPr="00B8377E" w:rsidRDefault="00B8377E" w:rsidP="00B8377E">
      <w:pPr>
        <w:pStyle w:val="Bibliography"/>
        <w:rPr>
          <w:rFonts w:cs="Times New Roman"/>
        </w:rPr>
      </w:pPr>
      <w:r w:rsidRPr="00B8377E">
        <w:rPr>
          <w:rFonts w:cs="Times New Roman"/>
        </w:rPr>
        <w:t xml:space="preserve">Singh, K., &amp; Upadhyaya, D. S. (2012). </w:t>
      </w:r>
      <w:r w:rsidRPr="00B8377E">
        <w:rPr>
          <w:rFonts w:cs="Times New Roman"/>
          <w:i/>
          <w:iCs/>
        </w:rPr>
        <w:t>Outlier Detection: Applications And Techniques</w:t>
      </w:r>
      <w:r w:rsidRPr="00B8377E">
        <w:rPr>
          <w:rFonts w:cs="Times New Roman"/>
        </w:rPr>
        <w:t xml:space="preserve">. </w:t>
      </w:r>
      <w:r w:rsidRPr="00B8377E">
        <w:rPr>
          <w:rFonts w:cs="Times New Roman"/>
          <w:i/>
          <w:iCs/>
        </w:rPr>
        <w:t>9</w:t>
      </w:r>
      <w:r w:rsidRPr="00B8377E">
        <w:rPr>
          <w:rFonts w:cs="Times New Roman"/>
        </w:rPr>
        <w:t>(1).</w:t>
      </w:r>
    </w:p>
    <w:p w14:paraId="370C5E70" w14:textId="77777777" w:rsidR="00B8377E" w:rsidRPr="00B8377E" w:rsidRDefault="00B8377E" w:rsidP="00B8377E">
      <w:pPr>
        <w:pStyle w:val="Bibliography"/>
        <w:rPr>
          <w:rFonts w:cs="Times New Roman"/>
        </w:rPr>
      </w:pPr>
      <w:r w:rsidRPr="00B8377E">
        <w:rPr>
          <w:rFonts w:cs="Times New Roman"/>
        </w:rPr>
        <w:lastRenderedPageBreak/>
        <w:t xml:space="preserve">Sistani, K. (2020). </w:t>
      </w:r>
      <w:r w:rsidRPr="00B8377E">
        <w:rPr>
          <w:rFonts w:cs="Times New Roman"/>
          <w:i/>
          <w:iCs/>
        </w:rPr>
        <w:t>Greenhouse Gas Study for Greenhouse gas Reduction through Agricultural Carbon Enhancement network in Bowling Green, Kentucky</w:t>
      </w:r>
      <w:r w:rsidRPr="00B8377E">
        <w:rPr>
          <w:rFonts w:cs="Times New Roman"/>
        </w:rPr>
        <w:t xml:space="preserve"> [Dataset]. Ag Data Commons. https://doi.org/10.15482/USDA.ADC/1503968</w:t>
      </w:r>
    </w:p>
    <w:p w14:paraId="708FB438" w14:textId="77777777" w:rsidR="00B8377E" w:rsidRPr="00B8377E" w:rsidRDefault="00B8377E" w:rsidP="00B8377E">
      <w:pPr>
        <w:pStyle w:val="Bibliography"/>
        <w:rPr>
          <w:rFonts w:cs="Times New Roman"/>
        </w:rPr>
      </w:pPr>
      <w:r w:rsidRPr="00B8377E">
        <w:rPr>
          <w:rFonts w:cs="Times New Roman"/>
        </w:rPr>
        <w:t xml:space="preserve">Smith, K. A. (2017). Changing views of nitrous oxide emissions from agricultural soil: Key controlling processes and assessment at different spatial scales. </w:t>
      </w:r>
      <w:r w:rsidRPr="00B8377E">
        <w:rPr>
          <w:rFonts w:cs="Times New Roman"/>
          <w:i/>
          <w:iCs/>
        </w:rPr>
        <w:t>European Journal of Soil Science</w:t>
      </w:r>
      <w:r w:rsidRPr="00B8377E">
        <w:rPr>
          <w:rFonts w:cs="Times New Roman"/>
        </w:rPr>
        <w:t xml:space="preserve">, </w:t>
      </w:r>
      <w:r w:rsidRPr="00B8377E">
        <w:rPr>
          <w:rFonts w:cs="Times New Roman"/>
          <w:i/>
          <w:iCs/>
        </w:rPr>
        <w:t>68</w:t>
      </w:r>
      <w:r w:rsidRPr="00B8377E">
        <w:rPr>
          <w:rFonts w:cs="Times New Roman"/>
        </w:rPr>
        <w:t>(2), 137–155. https://doi.org/10.1111/ejss.12409</w:t>
      </w:r>
    </w:p>
    <w:p w14:paraId="5401B7C3" w14:textId="77777777" w:rsidR="00B8377E" w:rsidRPr="00B8377E" w:rsidRDefault="00B8377E" w:rsidP="00B8377E">
      <w:pPr>
        <w:pStyle w:val="Bibliography"/>
        <w:rPr>
          <w:rFonts w:cs="Times New Roman"/>
        </w:rPr>
      </w:pPr>
      <w:r w:rsidRPr="00B8377E">
        <w:rPr>
          <w:rFonts w:cs="Times New Roman"/>
        </w:rPr>
        <w:t xml:space="preserve">Smiti, A. (2020). A critical overview of outlier detection methods. </w:t>
      </w:r>
      <w:r w:rsidRPr="00B8377E">
        <w:rPr>
          <w:rFonts w:cs="Times New Roman"/>
          <w:i/>
          <w:iCs/>
        </w:rPr>
        <w:t>Computer Science Review</w:t>
      </w:r>
      <w:r w:rsidRPr="00B8377E">
        <w:rPr>
          <w:rFonts w:cs="Times New Roman"/>
        </w:rPr>
        <w:t xml:space="preserve">, </w:t>
      </w:r>
      <w:r w:rsidRPr="00B8377E">
        <w:rPr>
          <w:rFonts w:cs="Times New Roman"/>
          <w:i/>
          <w:iCs/>
        </w:rPr>
        <w:t>38</w:t>
      </w:r>
      <w:r w:rsidRPr="00B8377E">
        <w:rPr>
          <w:rFonts w:cs="Times New Roman"/>
        </w:rPr>
        <w:t>, 100306. https://doi.org/10.1016/j.cosrev.2020.100306</w:t>
      </w:r>
    </w:p>
    <w:p w14:paraId="60F39193" w14:textId="77777777" w:rsidR="00B8377E" w:rsidRPr="00B8377E" w:rsidRDefault="00B8377E" w:rsidP="00B8377E">
      <w:pPr>
        <w:pStyle w:val="Bibliography"/>
        <w:rPr>
          <w:rFonts w:cs="Times New Roman"/>
        </w:rPr>
      </w:pPr>
      <w:r w:rsidRPr="00B8377E">
        <w:rPr>
          <w:rFonts w:cs="Times New Roman"/>
        </w:rPr>
        <w:t xml:space="preserve">Soil Survey Staff, Natural Resources Conservation Service, United States Department of Agriculture. (2019, July 31). </w:t>
      </w:r>
      <w:r w:rsidRPr="00B8377E">
        <w:rPr>
          <w:rFonts w:cs="Times New Roman"/>
          <w:i/>
          <w:iCs/>
        </w:rPr>
        <w:t>Web Soil Survey</w:t>
      </w:r>
      <w:r w:rsidRPr="00B8377E">
        <w:rPr>
          <w:rFonts w:cs="Times New Roman"/>
        </w:rPr>
        <w:t>. Web Soil Survey. https://websoilsurvey.nrcs.usda.gov/app/</w:t>
      </w:r>
    </w:p>
    <w:p w14:paraId="7B249728" w14:textId="77777777" w:rsidR="00B8377E" w:rsidRPr="00B8377E" w:rsidRDefault="00B8377E" w:rsidP="00B8377E">
      <w:pPr>
        <w:pStyle w:val="Bibliography"/>
        <w:rPr>
          <w:rFonts w:cs="Times New Roman"/>
        </w:rPr>
      </w:pPr>
      <w:r w:rsidRPr="00B8377E">
        <w:rPr>
          <w:rFonts w:cs="Times New Roman"/>
        </w:rPr>
        <w:t xml:space="preserve">Soil Survey Staff, USDA. (1999). </w:t>
      </w:r>
      <w:r w:rsidRPr="00B8377E">
        <w:rPr>
          <w:rFonts w:cs="Times New Roman"/>
          <w:i/>
          <w:iCs/>
        </w:rPr>
        <w:t>Soil Taxonomy: A Basic System of Soil Classification for Making and Interpreting Soil Surveys</w:t>
      </w:r>
      <w:r w:rsidRPr="00B8377E">
        <w:rPr>
          <w:rFonts w:cs="Times New Roman"/>
        </w:rPr>
        <w:t xml:space="preserve"> (Second Edition). https://www.nrcs.usda.gov/Internet/FSE_DOCUMENTS/nrcs142p2_051232.pdf</w:t>
      </w:r>
    </w:p>
    <w:p w14:paraId="45C7C2CE" w14:textId="77777777" w:rsidR="00B8377E" w:rsidRPr="00B8377E" w:rsidRDefault="00B8377E" w:rsidP="00B8377E">
      <w:pPr>
        <w:pStyle w:val="Bibliography"/>
        <w:rPr>
          <w:rFonts w:cs="Times New Roman"/>
        </w:rPr>
      </w:pPr>
      <w:r w:rsidRPr="00B8377E">
        <w:rPr>
          <w:rFonts w:cs="Times New Roman"/>
        </w:rPr>
        <w:t xml:space="preserve">Song, X., Liu, M., Ju, X., Gao, B., Su, F., Chen, X., &amp; Rees, R. M. (2018). Nitrous Oxide Emissions Increase Exponentially When Optimum Nitrogen Fertilizer Rates Are Exceeded in the North China Plain. </w:t>
      </w:r>
      <w:r w:rsidRPr="00B8377E">
        <w:rPr>
          <w:rFonts w:cs="Times New Roman"/>
          <w:i/>
          <w:iCs/>
        </w:rPr>
        <w:t>Environmental Science &amp; Technology</w:t>
      </w:r>
      <w:r w:rsidRPr="00B8377E">
        <w:rPr>
          <w:rFonts w:cs="Times New Roman"/>
        </w:rPr>
        <w:t xml:space="preserve">, </w:t>
      </w:r>
      <w:r w:rsidRPr="00B8377E">
        <w:rPr>
          <w:rFonts w:cs="Times New Roman"/>
          <w:i/>
          <w:iCs/>
        </w:rPr>
        <w:t>52</w:t>
      </w:r>
      <w:r w:rsidRPr="00B8377E">
        <w:rPr>
          <w:rFonts w:cs="Times New Roman"/>
        </w:rPr>
        <w:t>(21), 12504–12513. https://doi.org/10.1021/acs.est.8b03931</w:t>
      </w:r>
    </w:p>
    <w:p w14:paraId="1B893A9F" w14:textId="77777777" w:rsidR="00B8377E" w:rsidRPr="00B8377E" w:rsidRDefault="00B8377E" w:rsidP="00B8377E">
      <w:pPr>
        <w:pStyle w:val="Bibliography"/>
        <w:rPr>
          <w:rFonts w:cs="Times New Roman"/>
        </w:rPr>
      </w:pPr>
      <w:r w:rsidRPr="00B8377E">
        <w:rPr>
          <w:rFonts w:cs="Times New Roman"/>
        </w:rPr>
        <w:t xml:space="preserve">Stanford, G., Dzienia, S., &amp; Vander Pol, R. A. (1975). Effect of Temperature on Denitrification Rate in Soils. </w:t>
      </w:r>
      <w:r w:rsidRPr="00B8377E">
        <w:rPr>
          <w:rFonts w:cs="Times New Roman"/>
          <w:i/>
          <w:iCs/>
        </w:rPr>
        <w:t>Soil Science Society of America Journal</w:t>
      </w:r>
      <w:r w:rsidRPr="00B8377E">
        <w:rPr>
          <w:rFonts w:cs="Times New Roman"/>
        </w:rPr>
        <w:t xml:space="preserve">, </w:t>
      </w:r>
      <w:r w:rsidRPr="00B8377E">
        <w:rPr>
          <w:rFonts w:cs="Times New Roman"/>
          <w:i/>
          <w:iCs/>
        </w:rPr>
        <w:t>39</w:t>
      </w:r>
      <w:r w:rsidRPr="00B8377E">
        <w:rPr>
          <w:rFonts w:cs="Times New Roman"/>
        </w:rPr>
        <w:t>(5), 867–870. https://doi.org/10.2136/sssaj1975.03615995003900050024x</w:t>
      </w:r>
    </w:p>
    <w:p w14:paraId="7A9A9ACF" w14:textId="77777777" w:rsidR="00B8377E" w:rsidRPr="00B8377E" w:rsidRDefault="00B8377E" w:rsidP="00B8377E">
      <w:pPr>
        <w:pStyle w:val="Bibliography"/>
        <w:rPr>
          <w:rFonts w:cs="Times New Roman"/>
        </w:rPr>
      </w:pPr>
      <w:r w:rsidRPr="00B8377E">
        <w:rPr>
          <w:rFonts w:cs="Times New Roman"/>
        </w:rPr>
        <w:lastRenderedPageBreak/>
        <w:t xml:space="preserve">Stanford, G., Vander Pol, R. A., &amp; Dzienia, S. (1975). Denitrification Rates in Relation to Total and Extractable Soil Carbon. </w:t>
      </w:r>
      <w:r w:rsidRPr="00B8377E">
        <w:rPr>
          <w:rFonts w:cs="Times New Roman"/>
          <w:i/>
          <w:iCs/>
        </w:rPr>
        <w:t>Soil Science Society of America Journal</w:t>
      </w:r>
      <w:r w:rsidRPr="00B8377E">
        <w:rPr>
          <w:rFonts w:cs="Times New Roman"/>
        </w:rPr>
        <w:t xml:space="preserve">, </w:t>
      </w:r>
      <w:r w:rsidRPr="00B8377E">
        <w:rPr>
          <w:rFonts w:cs="Times New Roman"/>
          <w:i/>
          <w:iCs/>
        </w:rPr>
        <w:t>39</w:t>
      </w:r>
      <w:r w:rsidRPr="00B8377E">
        <w:rPr>
          <w:rFonts w:cs="Times New Roman"/>
        </w:rPr>
        <w:t>(2), 284–289. https://doi.org/10.2136/sssaj1975.03615995003900020019x</w:t>
      </w:r>
    </w:p>
    <w:p w14:paraId="1831E81E" w14:textId="77777777" w:rsidR="00B8377E" w:rsidRPr="00B8377E" w:rsidRDefault="00B8377E" w:rsidP="00B8377E">
      <w:pPr>
        <w:pStyle w:val="Bibliography"/>
        <w:rPr>
          <w:rFonts w:cs="Times New Roman"/>
        </w:rPr>
      </w:pPr>
      <w:r w:rsidRPr="00B8377E">
        <w:rPr>
          <w:rFonts w:cs="Times New Roman"/>
        </w:rPr>
        <w:t xml:space="preserve">Stuchiner, E. R., Jernigan, W. A., Zhang, Z., Eddy, W. C., DeLucia, E. H., &amp; Yang, W. H. (2024). Particulate organic matter predicts spatial variation in denitrification potential at the field scale. </w:t>
      </w:r>
      <w:r w:rsidRPr="00B8377E">
        <w:rPr>
          <w:rFonts w:cs="Times New Roman"/>
          <w:i/>
          <w:iCs/>
        </w:rPr>
        <w:t>Geoderma</w:t>
      </w:r>
      <w:r w:rsidRPr="00B8377E">
        <w:rPr>
          <w:rFonts w:cs="Times New Roman"/>
        </w:rPr>
        <w:t xml:space="preserve">, </w:t>
      </w:r>
      <w:r w:rsidRPr="00B8377E">
        <w:rPr>
          <w:rFonts w:cs="Times New Roman"/>
          <w:i/>
          <w:iCs/>
        </w:rPr>
        <w:t>448</w:t>
      </w:r>
      <w:r w:rsidRPr="00B8377E">
        <w:rPr>
          <w:rFonts w:cs="Times New Roman"/>
        </w:rPr>
        <w:t>, 116943. https://doi.org/10.1016/j.geoderma.2024.116943</w:t>
      </w:r>
    </w:p>
    <w:p w14:paraId="4DA2968C" w14:textId="77777777" w:rsidR="00B8377E" w:rsidRPr="00B8377E" w:rsidRDefault="00B8377E" w:rsidP="00B8377E">
      <w:pPr>
        <w:pStyle w:val="Bibliography"/>
        <w:rPr>
          <w:rFonts w:cs="Times New Roman"/>
        </w:rPr>
      </w:pPr>
      <w:r w:rsidRPr="00B8377E">
        <w:rPr>
          <w:rFonts w:cs="Times New Roman"/>
        </w:rPr>
        <w:t xml:space="preserve">Stuchiner, E. R., Xu, J., Eddy, W. C., DeLucia, E. H., &amp; Yang, W. H. (2025). Hot or Not? An Evaluation of Methods for Identifying Hot Moments of Nitrous Oxide Emissions From Soils. </w:t>
      </w:r>
      <w:r w:rsidRPr="00B8377E">
        <w:rPr>
          <w:rFonts w:cs="Times New Roman"/>
          <w:i/>
          <w:iCs/>
        </w:rPr>
        <w:t>Journal of Geophysical Research: Biogeosciences</w:t>
      </w:r>
      <w:r w:rsidRPr="00B8377E">
        <w:rPr>
          <w:rFonts w:cs="Times New Roman"/>
        </w:rPr>
        <w:t xml:space="preserve">, </w:t>
      </w:r>
      <w:r w:rsidRPr="00B8377E">
        <w:rPr>
          <w:rFonts w:cs="Times New Roman"/>
          <w:i/>
          <w:iCs/>
        </w:rPr>
        <w:t>130</w:t>
      </w:r>
      <w:r w:rsidRPr="00B8377E">
        <w:rPr>
          <w:rFonts w:cs="Times New Roman"/>
        </w:rPr>
        <w:t>(1), e2024JG008138. https://doi.org/10.1029/2024JG008138</w:t>
      </w:r>
    </w:p>
    <w:p w14:paraId="717655EB" w14:textId="77777777" w:rsidR="00B8377E" w:rsidRPr="00B8377E" w:rsidRDefault="00B8377E" w:rsidP="00B8377E">
      <w:pPr>
        <w:pStyle w:val="Bibliography"/>
        <w:rPr>
          <w:rFonts w:cs="Times New Roman"/>
        </w:rPr>
      </w:pPr>
      <w:r w:rsidRPr="00B8377E">
        <w:rPr>
          <w:rFonts w:cs="Times New Roman"/>
        </w:rPr>
        <w:t xml:space="preserve">Su, W., Yuan, Y., &amp; Zhu, M. (2015). A Relationship between the Average Precision and the Area Under the ROC Curve. </w:t>
      </w:r>
      <w:r w:rsidRPr="00B8377E">
        <w:rPr>
          <w:rFonts w:cs="Times New Roman"/>
          <w:i/>
          <w:iCs/>
        </w:rPr>
        <w:t>Proceedings of the 2015 International Conference on The Theory of Information Retrieval</w:t>
      </w:r>
      <w:r w:rsidRPr="00B8377E">
        <w:rPr>
          <w:rFonts w:cs="Times New Roman"/>
        </w:rPr>
        <w:t>, 349–352. https://doi.org/10.1145/2808194.2809481</w:t>
      </w:r>
    </w:p>
    <w:p w14:paraId="63CB0923" w14:textId="77777777" w:rsidR="00B8377E" w:rsidRPr="00B8377E" w:rsidRDefault="00B8377E" w:rsidP="00B8377E">
      <w:pPr>
        <w:pStyle w:val="Bibliography"/>
        <w:rPr>
          <w:rFonts w:cs="Times New Roman"/>
        </w:rPr>
      </w:pPr>
      <w:r w:rsidRPr="00B8377E">
        <w:rPr>
          <w:rFonts w:cs="Times New Roman"/>
        </w:rPr>
        <w:t xml:space="preserve">Sutka, R. L., Ostrom, N. E., Ostrom, P. H., Breznak, J. A., Gandhi, H., Pitt, A. J., &amp; Li, F. (2006). Distinguishing Nitrous Oxide Production from Nitrification and Denitrification on the Basis of Isotopomer Abundances. </w:t>
      </w:r>
      <w:r w:rsidRPr="00B8377E">
        <w:rPr>
          <w:rFonts w:cs="Times New Roman"/>
          <w:i/>
          <w:iCs/>
        </w:rPr>
        <w:t>Applied and Environmental Microbiology</w:t>
      </w:r>
      <w:r w:rsidRPr="00B8377E">
        <w:rPr>
          <w:rFonts w:cs="Times New Roman"/>
        </w:rPr>
        <w:t xml:space="preserve">, </w:t>
      </w:r>
      <w:r w:rsidRPr="00B8377E">
        <w:rPr>
          <w:rFonts w:cs="Times New Roman"/>
          <w:i/>
          <w:iCs/>
        </w:rPr>
        <w:t>72</w:t>
      </w:r>
      <w:r w:rsidRPr="00B8377E">
        <w:rPr>
          <w:rFonts w:cs="Times New Roman"/>
        </w:rPr>
        <w:t>(1), 638–644. https://doi.org/10.1128/AEM.72.1.638-644.2006</w:t>
      </w:r>
    </w:p>
    <w:p w14:paraId="7F2A6BC9" w14:textId="77777777" w:rsidR="00B8377E" w:rsidRPr="00B8377E" w:rsidRDefault="00B8377E" w:rsidP="00B8377E">
      <w:pPr>
        <w:pStyle w:val="Bibliography"/>
        <w:rPr>
          <w:rFonts w:cs="Times New Roman"/>
        </w:rPr>
      </w:pPr>
      <w:r w:rsidRPr="00B8377E">
        <w:rPr>
          <w:rFonts w:cs="Times New Roman"/>
        </w:rPr>
        <w:t xml:space="preserve">Thompson, R. L., Lassaletta, L., Patra, P. K., Wilson, C., Wells, K. C., Gressent, A., Koffi, E. N., Chipperfield, M. P., Winiwarter, W., Davidson, E. A., Tian, H., &amp; Canadell, J. G. (2019). Acceleration of global N2O emissions seen from two decades of atmospheric inversion. </w:t>
      </w:r>
      <w:r w:rsidRPr="00B8377E">
        <w:rPr>
          <w:rFonts w:cs="Times New Roman"/>
          <w:i/>
          <w:iCs/>
        </w:rPr>
        <w:t>Nature Climate Change</w:t>
      </w:r>
      <w:r w:rsidRPr="00B8377E">
        <w:rPr>
          <w:rFonts w:cs="Times New Roman"/>
        </w:rPr>
        <w:t xml:space="preserve">, </w:t>
      </w:r>
      <w:r w:rsidRPr="00B8377E">
        <w:rPr>
          <w:rFonts w:cs="Times New Roman"/>
          <w:i/>
          <w:iCs/>
        </w:rPr>
        <w:t>9</w:t>
      </w:r>
      <w:r w:rsidRPr="00B8377E">
        <w:rPr>
          <w:rFonts w:cs="Times New Roman"/>
        </w:rPr>
        <w:t>(12), Article 12. https://doi.org/10.1038/s41558-019-0613-7</w:t>
      </w:r>
    </w:p>
    <w:p w14:paraId="197609B0" w14:textId="77777777" w:rsidR="00B8377E" w:rsidRPr="00B8377E" w:rsidRDefault="00B8377E" w:rsidP="00B8377E">
      <w:pPr>
        <w:pStyle w:val="Bibliography"/>
        <w:rPr>
          <w:rFonts w:cs="Times New Roman"/>
        </w:rPr>
      </w:pPr>
      <w:r w:rsidRPr="00B8377E">
        <w:rPr>
          <w:rFonts w:cs="Times New Roman"/>
        </w:rPr>
        <w:t xml:space="preserve">Tian, H., Xu, R., Canadell, J. G., Thompson, R. L., Winiwarter, W., Suntharalingam, P., Davidson, E. A., Ciais, P., Jackson, R. B., Janssens-Maenhout, G., Prather, M. J., Regnier, </w:t>
      </w:r>
      <w:r w:rsidRPr="00B8377E">
        <w:rPr>
          <w:rFonts w:cs="Times New Roman"/>
        </w:rPr>
        <w:lastRenderedPageBreak/>
        <w:t xml:space="preserve">P., Pan, N., Pan, S., Peters, G. P., Shi, H., Tubiello, F. N., Zaehle, S., Zhou, F., … Yao, Y. (2020). A comprehensive quantification of global nitrous oxide sources and sinks. </w:t>
      </w:r>
      <w:r w:rsidRPr="00B8377E">
        <w:rPr>
          <w:rFonts w:cs="Times New Roman"/>
          <w:i/>
          <w:iCs/>
        </w:rPr>
        <w:t>Nature</w:t>
      </w:r>
      <w:r w:rsidRPr="00B8377E">
        <w:rPr>
          <w:rFonts w:cs="Times New Roman"/>
        </w:rPr>
        <w:t xml:space="preserve">, </w:t>
      </w:r>
      <w:r w:rsidRPr="00B8377E">
        <w:rPr>
          <w:rFonts w:cs="Times New Roman"/>
          <w:i/>
          <w:iCs/>
        </w:rPr>
        <w:t>586</w:t>
      </w:r>
      <w:r w:rsidRPr="00B8377E">
        <w:rPr>
          <w:rFonts w:cs="Times New Roman"/>
        </w:rPr>
        <w:t>(7828), 248–256. https://doi.org/10.1038/s41586-020-2780-0</w:t>
      </w:r>
    </w:p>
    <w:p w14:paraId="605E6E97" w14:textId="77777777" w:rsidR="00B8377E" w:rsidRPr="00B8377E" w:rsidRDefault="00B8377E" w:rsidP="00B8377E">
      <w:pPr>
        <w:pStyle w:val="Bibliography"/>
        <w:rPr>
          <w:rFonts w:cs="Times New Roman"/>
        </w:rPr>
      </w:pPr>
      <w:r w:rsidRPr="00B8377E">
        <w:rPr>
          <w:rFonts w:cs="Times New Roman"/>
        </w:rPr>
        <w:t xml:space="preserve">Tian, H., Yang, J., Xu, R., Lu, C., Canadell, J. G., Davidson, E. A., Jackson, R. B., Arneth, A., Chang, J., Ciais, P., Gerber, S., Ito, A., Joos, F., Lienert, S., Messina, P., Olin, S., Pan, S., Peng, C., Saikawa, E., … Zhang, B. (2019). Global soil nitrous oxide emissions since the preindustrial era estimated by an ensemble of terrestrial biosphere models: Magnitude, attribution, and uncertainty. </w:t>
      </w:r>
      <w:r w:rsidRPr="00B8377E">
        <w:rPr>
          <w:rFonts w:cs="Times New Roman"/>
          <w:i/>
          <w:iCs/>
        </w:rPr>
        <w:t>Global Change Biology</w:t>
      </w:r>
      <w:r w:rsidRPr="00B8377E">
        <w:rPr>
          <w:rFonts w:cs="Times New Roman"/>
        </w:rPr>
        <w:t xml:space="preserve">, </w:t>
      </w:r>
      <w:r w:rsidRPr="00B8377E">
        <w:rPr>
          <w:rFonts w:cs="Times New Roman"/>
          <w:i/>
          <w:iCs/>
        </w:rPr>
        <w:t>25</w:t>
      </w:r>
      <w:r w:rsidRPr="00B8377E">
        <w:rPr>
          <w:rFonts w:cs="Times New Roman"/>
        </w:rPr>
        <w:t>(2), 640–659. https://doi.org/10.1111/gcb.14514</w:t>
      </w:r>
    </w:p>
    <w:p w14:paraId="21C585E7" w14:textId="77777777" w:rsidR="00B8377E" w:rsidRPr="00B8377E" w:rsidRDefault="00B8377E" w:rsidP="00B8377E">
      <w:pPr>
        <w:pStyle w:val="Bibliography"/>
        <w:rPr>
          <w:rFonts w:cs="Times New Roman"/>
        </w:rPr>
      </w:pPr>
      <w:r w:rsidRPr="00B8377E">
        <w:rPr>
          <w:rFonts w:cs="Times New Roman"/>
        </w:rPr>
        <w:t xml:space="preserve">Tierling, J., &amp; Kuhlmann, H. (2018). Emissions of nitrous oxide (N2O) affected by pH-related nitrite accumulation during nitrification of N fertilizers. </w:t>
      </w:r>
      <w:r w:rsidRPr="00B8377E">
        <w:rPr>
          <w:rFonts w:cs="Times New Roman"/>
          <w:i/>
          <w:iCs/>
        </w:rPr>
        <w:t>Geoderma</w:t>
      </w:r>
      <w:r w:rsidRPr="00B8377E">
        <w:rPr>
          <w:rFonts w:cs="Times New Roman"/>
        </w:rPr>
        <w:t xml:space="preserve">, </w:t>
      </w:r>
      <w:r w:rsidRPr="00B8377E">
        <w:rPr>
          <w:rFonts w:cs="Times New Roman"/>
          <w:i/>
          <w:iCs/>
        </w:rPr>
        <w:t>310</w:t>
      </w:r>
      <w:r w:rsidRPr="00B8377E">
        <w:rPr>
          <w:rFonts w:cs="Times New Roman"/>
        </w:rPr>
        <w:t>, 12–21. https://doi.org/10.1016/j.geoderma.2017.08.040</w:t>
      </w:r>
    </w:p>
    <w:p w14:paraId="31AEA9BD" w14:textId="77777777" w:rsidR="00B8377E" w:rsidRPr="00B8377E" w:rsidRDefault="00B8377E" w:rsidP="00B8377E">
      <w:pPr>
        <w:pStyle w:val="Bibliography"/>
        <w:rPr>
          <w:rFonts w:cs="Times New Roman"/>
        </w:rPr>
      </w:pPr>
      <w:r w:rsidRPr="00B8377E">
        <w:rPr>
          <w:rFonts w:cs="Times New Roman"/>
        </w:rPr>
        <w:t xml:space="preserve">Toyoda, S., Mutobe, H., Yamagishi, H., Yoshida, N., &amp; Tanji, Y. (2005). Fractionation of N2O isotopomers during production by denitrifier. </w:t>
      </w:r>
      <w:r w:rsidRPr="00B8377E">
        <w:rPr>
          <w:rFonts w:cs="Times New Roman"/>
          <w:i/>
          <w:iCs/>
        </w:rPr>
        <w:t>Soil Biology and Biochemistry</w:t>
      </w:r>
      <w:r w:rsidRPr="00B8377E">
        <w:rPr>
          <w:rFonts w:cs="Times New Roman"/>
        </w:rPr>
        <w:t xml:space="preserve">, </w:t>
      </w:r>
      <w:r w:rsidRPr="00B8377E">
        <w:rPr>
          <w:rFonts w:cs="Times New Roman"/>
          <w:i/>
          <w:iCs/>
        </w:rPr>
        <w:t>37</w:t>
      </w:r>
      <w:r w:rsidRPr="00B8377E">
        <w:rPr>
          <w:rFonts w:cs="Times New Roman"/>
        </w:rPr>
        <w:t>(8), 1535–1545. https://doi.org/10.1016/j.soilbio.2005.01.009</w:t>
      </w:r>
    </w:p>
    <w:p w14:paraId="14B281B1" w14:textId="77777777" w:rsidR="00B8377E" w:rsidRPr="00B8377E" w:rsidRDefault="00B8377E" w:rsidP="00B8377E">
      <w:pPr>
        <w:pStyle w:val="Bibliography"/>
        <w:rPr>
          <w:rFonts w:cs="Times New Roman"/>
        </w:rPr>
      </w:pPr>
      <w:r w:rsidRPr="00B8377E">
        <w:rPr>
          <w:rFonts w:cs="Times New Roman"/>
        </w:rPr>
        <w:t xml:space="preserve">Vemuri, N. (2024). Developing a hybrid data-driven and informed model for prediction and mitigation of agricultural nitrous oxide flux hotspots. </w:t>
      </w:r>
      <w:r w:rsidRPr="00B8377E">
        <w:rPr>
          <w:rFonts w:cs="Times New Roman"/>
          <w:i/>
          <w:iCs/>
        </w:rPr>
        <w:t>Frontiers in Environmental Science</w:t>
      </w:r>
      <w:r w:rsidRPr="00B8377E">
        <w:rPr>
          <w:rFonts w:cs="Times New Roman"/>
        </w:rPr>
        <w:t xml:space="preserve">, </w:t>
      </w:r>
      <w:r w:rsidRPr="00B8377E">
        <w:rPr>
          <w:rFonts w:cs="Times New Roman"/>
          <w:i/>
          <w:iCs/>
        </w:rPr>
        <w:t>12</w:t>
      </w:r>
      <w:r w:rsidRPr="00B8377E">
        <w:rPr>
          <w:rFonts w:cs="Times New Roman"/>
        </w:rPr>
        <w:t>. https://doi.org/10.3389/fenvs.2024.1353049</w:t>
      </w:r>
    </w:p>
    <w:p w14:paraId="1F262876" w14:textId="77777777" w:rsidR="00B8377E" w:rsidRPr="00B8377E" w:rsidRDefault="00B8377E" w:rsidP="00B8377E">
      <w:pPr>
        <w:pStyle w:val="Bibliography"/>
        <w:rPr>
          <w:rFonts w:cs="Times New Roman"/>
        </w:rPr>
      </w:pPr>
      <w:r w:rsidRPr="00B8377E">
        <w:rPr>
          <w:rFonts w:cs="Times New Roman"/>
        </w:rPr>
        <w:t xml:space="preserve">Venterea, R. T., Halvorson, A. D., Kitchen, N., Liebig, M. A., Cavigelli, M. A., Grosso, S. J. D., Motavalli, P. P., Nelson, K. A., Spokas, K. A., Singh, B. P., Stewart, C. E., Ranaivoson, A., Strock, J., &amp; Collins, H. (2012). Challenges and opportunities for mitigating nitrous oxide emissions from fertilized cropping systems. </w:t>
      </w:r>
      <w:r w:rsidRPr="00B8377E">
        <w:rPr>
          <w:rFonts w:cs="Times New Roman"/>
          <w:i/>
          <w:iCs/>
        </w:rPr>
        <w:t>Frontiers in Ecology and the Environment</w:t>
      </w:r>
      <w:r w:rsidRPr="00B8377E">
        <w:rPr>
          <w:rFonts w:cs="Times New Roman"/>
        </w:rPr>
        <w:t xml:space="preserve">, </w:t>
      </w:r>
      <w:r w:rsidRPr="00B8377E">
        <w:rPr>
          <w:rFonts w:cs="Times New Roman"/>
          <w:i/>
          <w:iCs/>
        </w:rPr>
        <w:t>10</w:t>
      </w:r>
      <w:r w:rsidRPr="00B8377E">
        <w:rPr>
          <w:rFonts w:cs="Times New Roman"/>
        </w:rPr>
        <w:t>(10), 562–570. https://doi.org/10.1890/120062</w:t>
      </w:r>
    </w:p>
    <w:p w14:paraId="15EB0372" w14:textId="77777777" w:rsidR="00B8377E" w:rsidRPr="00B8377E" w:rsidRDefault="00B8377E" w:rsidP="00B8377E">
      <w:pPr>
        <w:pStyle w:val="Bibliography"/>
        <w:rPr>
          <w:rFonts w:cs="Times New Roman"/>
        </w:rPr>
      </w:pPr>
      <w:r w:rsidRPr="00B8377E">
        <w:rPr>
          <w:rFonts w:cs="Times New Roman"/>
        </w:rPr>
        <w:lastRenderedPageBreak/>
        <w:t xml:space="preserve">Venterea, R. T., &amp; Rolston, D. E. (2000). Nitric and nitrous oxide emissions following fertilizer application to agricultural soil: Biotic and abiotic mechanisms and kinetics. </w:t>
      </w:r>
      <w:r w:rsidRPr="00B8377E">
        <w:rPr>
          <w:rFonts w:cs="Times New Roman"/>
          <w:i/>
          <w:iCs/>
        </w:rPr>
        <w:t>Journal of Geophysical Research: Atmospheres</w:t>
      </w:r>
      <w:r w:rsidRPr="00B8377E">
        <w:rPr>
          <w:rFonts w:cs="Times New Roman"/>
        </w:rPr>
        <w:t xml:space="preserve">, </w:t>
      </w:r>
      <w:r w:rsidRPr="00B8377E">
        <w:rPr>
          <w:rFonts w:cs="Times New Roman"/>
          <w:i/>
          <w:iCs/>
        </w:rPr>
        <w:t>105</w:t>
      </w:r>
      <w:r w:rsidRPr="00B8377E">
        <w:rPr>
          <w:rFonts w:cs="Times New Roman"/>
        </w:rPr>
        <w:t>(D12), 15117–15129. https://doi.org/10.1029/2000JD900025</w:t>
      </w:r>
    </w:p>
    <w:p w14:paraId="73EFF850" w14:textId="77777777" w:rsidR="00B8377E" w:rsidRPr="00B8377E" w:rsidRDefault="00B8377E" w:rsidP="00B8377E">
      <w:pPr>
        <w:pStyle w:val="Bibliography"/>
        <w:rPr>
          <w:rFonts w:cs="Times New Roman"/>
        </w:rPr>
      </w:pPr>
      <w:r w:rsidRPr="00B8377E">
        <w:rPr>
          <w:rFonts w:cs="Times New Roman"/>
        </w:rPr>
        <w:t xml:space="preserve">Verdouw, H., Van Echteld, C. J. A., &amp; Dekkers, E. M. J. (1978). Ammonia determination based on indophenol formation with sodium salicylate. </w:t>
      </w:r>
      <w:r w:rsidRPr="00B8377E">
        <w:rPr>
          <w:rFonts w:cs="Times New Roman"/>
          <w:i/>
          <w:iCs/>
        </w:rPr>
        <w:t>Water Research</w:t>
      </w:r>
      <w:r w:rsidRPr="00B8377E">
        <w:rPr>
          <w:rFonts w:cs="Times New Roman"/>
        </w:rPr>
        <w:t xml:space="preserve">, </w:t>
      </w:r>
      <w:r w:rsidRPr="00B8377E">
        <w:rPr>
          <w:rFonts w:cs="Times New Roman"/>
          <w:i/>
          <w:iCs/>
        </w:rPr>
        <w:t>12</w:t>
      </w:r>
      <w:r w:rsidRPr="00B8377E">
        <w:rPr>
          <w:rFonts w:cs="Times New Roman"/>
        </w:rPr>
        <w:t>(6), 399–402. https://doi.org/10.1016/0043-1354(78)90107-0</w:t>
      </w:r>
    </w:p>
    <w:p w14:paraId="58161557" w14:textId="77777777" w:rsidR="00B8377E" w:rsidRPr="00B8377E" w:rsidRDefault="00B8377E" w:rsidP="00B8377E">
      <w:pPr>
        <w:pStyle w:val="Bibliography"/>
        <w:rPr>
          <w:rFonts w:cs="Times New Roman"/>
        </w:rPr>
      </w:pPr>
      <w:r w:rsidRPr="00B8377E">
        <w:rPr>
          <w:rFonts w:cs="Times New Roman"/>
        </w:rPr>
        <w:t xml:space="preserve">Verheul, J. (2011). Methane as a Greenhouse Gas: Why the EPA Should Regulate Emissions from Animal Feeding Operations and Concentrated Animal Feeding Operations Under the Clean Air Act. </w:t>
      </w:r>
      <w:r w:rsidRPr="00B8377E">
        <w:rPr>
          <w:rFonts w:cs="Times New Roman"/>
          <w:i/>
          <w:iCs/>
        </w:rPr>
        <w:t>Natural Resources Journal</w:t>
      </w:r>
      <w:r w:rsidRPr="00B8377E">
        <w:rPr>
          <w:rFonts w:cs="Times New Roman"/>
        </w:rPr>
        <w:t xml:space="preserve">, </w:t>
      </w:r>
      <w:r w:rsidRPr="00B8377E">
        <w:rPr>
          <w:rFonts w:cs="Times New Roman"/>
          <w:i/>
          <w:iCs/>
        </w:rPr>
        <w:t>51</w:t>
      </w:r>
      <w:r w:rsidRPr="00B8377E">
        <w:rPr>
          <w:rFonts w:cs="Times New Roman"/>
        </w:rPr>
        <w:t>(1), 163–187.</w:t>
      </w:r>
    </w:p>
    <w:p w14:paraId="623D833E" w14:textId="77777777" w:rsidR="00B8377E" w:rsidRPr="00B8377E" w:rsidRDefault="00B8377E" w:rsidP="00B8377E">
      <w:pPr>
        <w:pStyle w:val="Bibliography"/>
        <w:rPr>
          <w:rFonts w:cs="Times New Roman"/>
        </w:rPr>
      </w:pPr>
      <w:r w:rsidRPr="00B8377E">
        <w:rPr>
          <w:rFonts w:cs="Times New Roman"/>
        </w:rPr>
        <w:t xml:space="preserve">Wagner-Riddle, C., Baggs, E. M., Clough, T. J., Fuchs, K., &amp; Petersen, S. O. (2020). Mitigation of nitrous oxide emissions in the context of nitrogen loss reduction from agroecosystems: Managing hot spots and hot moments. </w:t>
      </w:r>
      <w:r w:rsidRPr="00B8377E">
        <w:rPr>
          <w:rFonts w:cs="Times New Roman"/>
          <w:i/>
          <w:iCs/>
        </w:rPr>
        <w:t>Current Opinion in Environmental Sustainability</w:t>
      </w:r>
      <w:r w:rsidRPr="00B8377E">
        <w:rPr>
          <w:rFonts w:cs="Times New Roman"/>
        </w:rPr>
        <w:t xml:space="preserve">, </w:t>
      </w:r>
      <w:r w:rsidRPr="00B8377E">
        <w:rPr>
          <w:rFonts w:cs="Times New Roman"/>
          <w:i/>
          <w:iCs/>
        </w:rPr>
        <w:t>47</w:t>
      </w:r>
      <w:r w:rsidRPr="00B8377E">
        <w:rPr>
          <w:rFonts w:cs="Times New Roman"/>
        </w:rPr>
        <w:t>, 46–53. https://doi.org/10.1016/j.cosust.2020.08.002</w:t>
      </w:r>
    </w:p>
    <w:p w14:paraId="6CE0DD27" w14:textId="77777777" w:rsidR="00B8377E" w:rsidRPr="00B8377E" w:rsidRDefault="00B8377E" w:rsidP="00B8377E">
      <w:pPr>
        <w:pStyle w:val="Bibliography"/>
        <w:rPr>
          <w:rFonts w:cs="Times New Roman"/>
        </w:rPr>
      </w:pPr>
      <w:r w:rsidRPr="00B8377E">
        <w:rPr>
          <w:rFonts w:cs="Times New Roman"/>
        </w:rPr>
        <w:t xml:space="preserve">Wagner-Riddle, C., Congreves, K. A., Abalos, D., Berg, A. A., Brown, S. E., Ambadan, J. T., Gao, X., &amp; Tenuta, M. (2017). Globally important nitrous oxide emissions from croplands induced by freeze–thaw cycles. </w:t>
      </w:r>
      <w:r w:rsidRPr="00B8377E">
        <w:rPr>
          <w:rFonts w:cs="Times New Roman"/>
          <w:i/>
          <w:iCs/>
        </w:rPr>
        <w:t>Nature Geoscience</w:t>
      </w:r>
      <w:r w:rsidRPr="00B8377E">
        <w:rPr>
          <w:rFonts w:cs="Times New Roman"/>
        </w:rPr>
        <w:t xml:space="preserve">, </w:t>
      </w:r>
      <w:r w:rsidRPr="00B8377E">
        <w:rPr>
          <w:rFonts w:cs="Times New Roman"/>
          <w:i/>
          <w:iCs/>
        </w:rPr>
        <w:t>10</w:t>
      </w:r>
      <w:r w:rsidRPr="00B8377E">
        <w:rPr>
          <w:rFonts w:cs="Times New Roman"/>
        </w:rPr>
        <w:t>(4), 279–283. https://doi.org/10.1038/ngeo2907</w:t>
      </w:r>
    </w:p>
    <w:p w14:paraId="09911622" w14:textId="77777777" w:rsidR="00B8377E" w:rsidRPr="00B8377E" w:rsidRDefault="00B8377E" w:rsidP="00B8377E">
      <w:pPr>
        <w:pStyle w:val="Bibliography"/>
        <w:rPr>
          <w:rFonts w:cs="Times New Roman"/>
        </w:rPr>
      </w:pPr>
      <w:r w:rsidRPr="00B8377E">
        <w:rPr>
          <w:rFonts w:cs="Times New Roman"/>
        </w:rPr>
        <w:t xml:space="preserve">Waldo, S., Russell, E. S., Kostyanovsky, K., Pressley, S. N., O’Keeffe, P. T., Huggins, D. R., Stöckle, C. O., Pan, W. L., &amp; Lamb, B. K. (2019). N2O Emissions From Two Agroecosystems: High Spatial Variability and Long Pulses Observed Using Static Chambers and the Flux-Gradient Technique. </w:t>
      </w:r>
      <w:r w:rsidRPr="00B8377E">
        <w:rPr>
          <w:rFonts w:cs="Times New Roman"/>
          <w:i/>
          <w:iCs/>
        </w:rPr>
        <w:t>Journal of Geophysical Research: Biogeosciences</w:t>
      </w:r>
      <w:r w:rsidRPr="00B8377E">
        <w:rPr>
          <w:rFonts w:cs="Times New Roman"/>
        </w:rPr>
        <w:t xml:space="preserve">, </w:t>
      </w:r>
      <w:r w:rsidRPr="00B8377E">
        <w:rPr>
          <w:rFonts w:cs="Times New Roman"/>
          <w:i/>
          <w:iCs/>
        </w:rPr>
        <w:t>124</w:t>
      </w:r>
      <w:r w:rsidRPr="00B8377E">
        <w:rPr>
          <w:rFonts w:cs="Times New Roman"/>
        </w:rPr>
        <w:t>(7), 1887–1904. https://doi.org/10.1029/2019JG005032</w:t>
      </w:r>
    </w:p>
    <w:p w14:paraId="1E0ADEA9" w14:textId="77777777" w:rsidR="00B8377E" w:rsidRPr="00B8377E" w:rsidRDefault="00B8377E" w:rsidP="00B8377E">
      <w:pPr>
        <w:pStyle w:val="Bibliography"/>
        <w:rPr>
          <w:rFonts w:cs="Times New Roman"/>
        </w:rPr>
      </w:pPr>
      <w:r w:rsidRPr="00B8377E">
        <w:rPr>
          <w:rFonts w:cs="Times New Roman"/>
        </w:rPr>
        <w:lastRenderedPageBreak/>
        <w:t xml:space="preserve">Wallenstein, M. D., Myrold, D. D., Firestone, M., &amp; Voytek, M. (2006). Environmental Controls on Denitrifying Communities and Denitrification Rates: Insights from Molecular Methods. </w:t>
      </w:r>
      <w:r w:rsidRPr="00B8377E">
        <w:rPr>
          <w:rFonts w:cs="Times New Roman"/>
          <w:i/>
          <w:iCs/>
        </w:rPr>
        <w:t>Ecological Applications</w:t>
      </w:r>
      <w:r w:rsidRPr="00B8377E">
        <w:rPr>
          <w:rFonts w:cs="Times New Roman"/>
        </w:rPr>
        <w:t xml:space="preserve">, </w:t>
      </w:r>
      <w:r w:rsidRPr="00B8377E">
        <w:rPr>
          <w:rFonts w:cs="Times New Roman"/>
          <w:i/>
          <w:iCs/>
        </w:rPr>
        <w:t>16</w:t>
      </w:r>
      <w:r w:rsidRPr="00B8377E">
        <w:rPr>
          <w:rFonts w:cs="Times New Roman"/>
        </w:rPr>
        <w:t>(6), 2143–2152. https://doi.org/10.1890/1051-0761(2006)016[2143:ECODCA]2.0.CO;2</w:t>
      </w:r>
    </w:p>
    <w:p w14:paraId="220CB7BD" w14:textId="77777777" w:rsidR="00B8377E" w:rsidRPr="00B8377E" w:rsidRDefault="00B8377E" w:rsidP="00B8377E">
      <w:pPr>
        <w:pStyle w:val="Bibliography"/>
        <w:rPr>
          <w:rFonts w:cs="Times New Roman"/>
        </w:rPr>
      </w:pPr>
      <w:r w:rsidRPr="00B8377E">
        <w:rPr>
          <w:rFonts w:cs="Times New Roman"/>
        </w:rPr>
        <w:t xml:space="preserve">Wang, C., Amon, B., Schulz, K., &amp; Mehdi, B. (2021). Factors That Influence Nitrous Oxide Emissions from Agricultural Soils as Well as Their Representation in Simulation Models: A Review. </w:t>
      </w:r>
      <w:r w:rsidRPr="00B8377E">
        <w:rPr>
          <w:rFonts w:cs="Times New Roman"/>
          <w:i/>
          <w:iCs/>
        </w:rPr>
        <w:t>Agronomy</w:t>
      </w:r>
      <w:r w:rsidRPr="00B8377E">
        <w:rPr>
          <w:rFonts w:cs="Times New Roman"/>
        </w:rPr>
        <w:t xml:space="preserve">, </w:t>
      </w:r>
      <w:r w:rsidRPr="00B8377E">
        <w:rPr>
          <w:rFonts w:cs="Times New Roman"/>
          <w:i/>
          <w:iCs/>
        </w:rPr>
        <w:t>11</w:t>
      </w:r>
      <w:r w:rsidRPr="00B8377E">
        <w:rPr>
          <w:rFonts w:cs="Times New Roman"/>
        </w:rPr>
        <w:t>(4), Article 4. https://doi.org/10.3390/agronomy11040770</w:t>
      </w:r>
    </w:p>
    <w:p w14:paraId="5CF185EE" w14:textId="77777777" w:rsidR="00B8377E" w:rsidRPr="00B8377E" w:rsidRDefault="00B8377E" w:rsidP="00B8377E">
      <w:pPr>
        <w:pStyle w:val="Bibliography"/>
        <w:rPr>
          <w:rFonts w:cs="Times New Roman"/>
        </w:rPr>
      </w:pPr>
      <w:r w:rsidRPr="00B8377E">
        <w:rPr>
          <w:rFonts w:cs="Times New Roman"/>
        </w:rPr>
        <w:t xml:space="preserve">Wang, Q., Zhou, F., Shang, Z., Ciais, P., Winiwarter, W., Jackson, R. B., Tubiello, F. N., Janssens-Maenhout, G., Tian, H., Cui, X., Canadell, J. G., Piao, S., &amp; Tao, S. (2020). Data-driven estimates of global nitrous oxide emissions from croplands. </w:t>
      </w:r>
      <w:r w:rsidRPr="00B8377E">
        <w:rPr>
          <w:rFonts w:cs="Times New Roman"/>
          <w:i/>
          <w:iCs/>
        </w:rPr>
        <w:t>National Science Review</w:t>
      </w:r>
      <w:r w:rsidRPr="00B8377E">
        <w:rPr>
          <w:rFonts w:cs="Times New Roman"/>
        </w:rPr>
        <w:t xml:space="preserve">, </w:t>
      </w:r>
      <w:r w:rsidRPr="00B8377E">
        <w:rPr>
          <w:rFonts w:cs="Times New Roman"/>
          <w:i/>
          <w:iCs/>
        </w:rPr>
        <w:t>7</w:t>
      </w:r>
      <w:r w:rsidRPr="00B8377E">
        <w:rPr>
          <w:rFonts w:cs="Times New Roman"/>
        </w:rPr>
        <w:t>(2), 441–452. https://doi.org/10.1093/nsr/nwz087</w:t>
      </w:r>
    </w:p>
    <w:p w14:paraId="38ABE51C" w14:textId="77777777" w:rsidR="00B8377E" w:rsidRPr="00B8377E" w:rsidRDefault="00B8377E" w:rsidP="00B8377E">
      <w:pPr>
        <w:pStyle w:val="Bibliography"/>
        <w:rPr>
          <w:rFonts w:cs="Times New Roman"/>
        </w:rPr>
      </w:pPr>
      <w:r w:rsidRPr="00B8377E">
        <w:rPr>
          <w:rFonts w:cs="Times New Roman"/>
        </w:rPr>
        <w:t xml:space="preserve">Wang, S., Li, J., Yuan, X., Senadheera, S. S., Chang, S. X., Wang, X., &amp; Ok, Y. S. (2024). Machine Learning Predicts Biochar Aging Effects on Nitrous Oxide Emissions from Agricultural Soils. </w:t>
      </w:r>
      <w:r w:rsidRPr="00B8377E">
        <w:rPr>
          <w:rFonts w:cs="Times New Roman"/>
          <w:i/>
          <w:iCs/>
        </w:rPr>
        <w:t>ACS Agricultural Science &amp; Technology</w:t>
      </w:r>
      <w:r w:rsidRPr="00B8377E">
        <w:rPr>
          <w:rFonts w:cs="Times New Roman"/>
        </w:rPr>
        <w:t xml:space="preserve">, </w:t>
      </w:r>
      <w:r w:rsidRPr="00B8377E">
        <w:rPr>
          <w:rFonts w:cs="Times New Roman"/>
          <w:i/>
          <w:iCs/>
        </w:rPr>
        <w:t>4</w:t>
      </w:r>
      <w:r w:rsidRPr="00B8377E">
        <w:rPr>
          <w:rFonts w:cs="Times New Roman"/>
        </w:rPr>
        <w:t>(9), 888–898. https://doi.org/10.1021/acsagscitech.4c00114</w:t>
      </w:r>
    </w:p>
    <w:p w14:paraId="3581415C" w14:textId="77777777" w:rsidR="00B8377E" w:rsidRPr="00B8377E" w:rsidRDefault="00B8377E" w:rsidP="00B8377E">
      <w:pPr>
        <w:pStyle w:val="Bibliography"/>
        <w:rPr>
          <w:rFonts w:cs="Times New Roman"/>
        </w:rPr>
      </w:pPr>
      <w:r w:rsidRPr="00B8377E">
        <w:rPr>
          <w:rFonts w:cs="Times New Roman"/>
        </w:rPr>
        <w:t xml:space="preserve">Wang, X., Wang, S., Yang, Y., Tian, H., Jetten, M. S. M., Song, C., &amp; Zhu, G. (2023). Hot moment of N2O emissions in seasonally frozen peatlands. </w:t>
      </w:r>
      <w:r w:rsidRPr="00B8377E">
        <w:rPr>
          <w:rFonts w:cs="Times New Roman"/>
          <w:i/>
          <w:iCs/>
        </w:rPr>
        <w:t>The ISME Journal</w:t>
      </w:r>
      <w:r w:rsidRPr="00B8377E">
        <w:rPr>
          <w:rFonts w:cs="Times New Roman"/>
        </w:rPr>
        <w:t xml:space="preserve">, </w:t>
      </w:r>
      <w:r w:rsidRPr="00B8377E">
        <w:rPr>
          <w:rFonts w:cs="Times New Roman"/>
          <w:i/>
          <w:iCs/>
        </w:rPr>
        <w:t>17</w:t>
      </w:r>
      <w:r w:rsidRPr="00B8377E">
        <w:rPr>
          <w:rFonts w:cs="Times New Roman"/>
        </w:rPr>
        <w:t>(6), 792–802. https://doi.org/10.1038/s41396-023-01389-x</w:t>
      </w:r>
    </w:p>
    <w:p w14:paraId="3AB52643" w14:textId="77777777" w:rsidR="00B8377E" w:rsidRPr="00B8377E" w:rsidRDefault="00B8377E" w:rsidP="00B8377E">
      <w:pPr>
        <w:pStyle w:val="Bibliography"/>
        <w:rPr>
          <w:rFonts w:cs="Times New Roman"/>
        </w:rPr>
      </w:pPr>
      <w:r w:rsidRPr="00B8377E">
        <w:rPr>
          <w:rFonts w:cs="Times New Roman"/>
        </w:rPr>
        <w:t xml:space="preserve">Wang, Y., Guo, J., Vogt, R. D., Mulder, J., Wang, J., &amp; Zhang, X. (2018). Soil pH as the chief modifier for regional nitrous oxide emissions: New evidence and implications for global estimates and mitigation. </w:t>
      </w:r>
      <w:r w:rsidRPr="00B8377E">
        <w:rPr>
          <w:rFonts w:cs="Times New Roman"/>
          <w:i/>
          <w:iCs/>
        </w:rPr>
        <w:t>Global Change Biology</w:t>
      </w:r>
      <w:r w:rsidRPr="00B8377E">
        <w:rPr>
          <w:rFonts w:cs="Times New Roman"/>
        </w:rPr>
        <w:t xml:space="preserve">, </w:t>
      </w:r>
      <w:r w:rsidRPr="00B8377E">
        <w:rPr>
          <w:rFonts w:cs="Times New Roman"/>
          <w:i/>
          <w:iCs/>
        </w:rPr>
        <w:t>24</w:t>
      </w:r>
      <w:r w:rsidRPr="00B8377E">
        <w:rPr>
          <w:rFonts w:cs="Times New Roman"/>
        </w:rPr>
        <w:t>(2), e617–e626. https://doi.org/10.1111/gcb.13966</w:t>
      </w:r>
    </w:p>
    <w:p w14:paraId="5289A8E3" w14:textId="77777777" w:rsidR="00B8377E" w:rsidRPr="00B8377E" w:rsidRDefault="00B8377E" w:rsidP="00B8377E">
      <w:pPr>
        <w:pStyle w:val="Bibliography"/>
        <w:rPr>
          <w:rFonts w:cs="Times New Roman"/>
        </w:rPr>
      </w:pPr>
      <w:r w:rsidRPr="00B8377E">
        <w:rPr>
          <w:rFonts w:cs="Times New Roman"/>
        </w:rPr>
        <w:lastRenderedPageBreak/>
        <w:t xml:space="preserve">Weier, K. L., Doran, J. W., Power, J. F., &amp; Walters, D. T. (1993). Denitrification and the Dinitrogen/Nitrous Oxide Ratio as Affected by Soil Water, Available Carbon, and Nitrate. </w:t>
      </w:r>
      <w:r w:rsidRPr="00B8377E">
        <w:rPr>
          <w:rFonts w:cs="Times New Roman"/>
          <w:i/>
          <w:iCs/>
        </w:rPr>
        <w:t>Soil Science Society of America Journal</w:t>
      </w:r>
      <w:r w:rsidRPr="00B8377E">
        <w:rPr>
          <w:rFonts w:cs="Times New Roman"/>
        </w:rPr>
        <w:t xml:space="preserve">, </w:t>
      </w:r>
      <w:r w:rsidRPr="00B8377E">
        <w:rPr>
          <w:rFonts w:cs="Times New Roman"/>
          <w:i/>
          <w:iCs/>
        </w:rPr>
        <w:t>57</w:t>
      </w:r>
      <w:r w:rsidRPr="00B8377E">
        <w:rPr>
          <w:rFonts w:cs="Times New Roman"/>
        </w:rPr>
        <w:t>(1), 66–72. https://doi.org/10.2136/sssaj1993.03615995005700010013x</w:t>
      </w:r>
    </w:p>
    <w:p w14:paraId="0620F06C" w14:textId="77777777" w:rsidR="00B8377E" w:rsidRPr="00B8377E" w:rsidRDefault="00B8377E" w:rsidP="00B8377E">
      <w:pPr>
        <w:pStyle w:val="Bibliography"/>
        <w:rPr>
          <w:rFonts w:cs="Times New Roman"/>
        </w:rPr>
      </w:pPr>
      <w:r w:rsidRPr="00B8377E">
        <w:rPr>
          <w:rFonts w:cs="Times New Roman"/>
        </w:rPr>
        <w:t xml:space="preserve">Woodward, A., &amp; Porter, J. R. (2016). Food, hunger, health, and climate change. </w:t>
      </w:r>
      <w:r w:rsidRPr="00B8377E">
        <w:rPr>
          <w:rFonts w:cs="Times New Roman"/>
          <w:i/>
          <w:iCs/>
        </w:rPr>
        <w:t>The Lancet</w:t>
      </w:r>
      <w:r w:rsidRPr="00B8377E">
        <w:rPr>
          <w:rFonts w:cs="Times New Roman"/>
        </w:rPr>
        <w:t xml:space="preserve">, </w:t>
      </w:r>
      <w:r w:rsidRPr="00B8377E">
        <w:rPr>
          <w:rFonts w:cs="Times New Roman"/>
          <w:i/>
          <w:iCs/>
        </w:rPr>
        <w:t>387</w:t>
      </w:r>
      <w:r w:rsidRPr="00B8377E">
        <w:rPr>
          <w:rFonts w:cs="Times New Roman"/>
        </w:rPr>
        <w:t>(10031), 1886–1887. https://doi.org/10.1016/S0140-6736(16)00349-4</w:t>
      </w:r>
    </w:p>
    <w:p w14:paraId="38B41E8D" w14:textId="77777777" w:rsidR="00B8377E" w:rsidRPr="00B8377E" w:rsidRDefault="00B8377E" w:rsidP="00B8377E">
      <w:pPr>
        <w:pStyle w:val="Bibliography"/>
        <w:rPr>
          <w:rFonts w:cs="Times New Roman"/>
        </w:rPr>
      </w:pPr>
      <w:r w:rsidRPr="00B8377E">
        <w:rPr>
          <w:rFonts w:cs="Times New Roman"/>
        </w:rPr>
        <w:t xml:space="preserve">Wrage-Mönnig, N., Horn, M. A., Well, R., Müller, C., Velthof, G., &amp; Oenema, O. (2018). The role of nitrifier denitrification in the production of nitrous oxide revisited. </w:t>
      </w:r>
      <w:r w:rsidRPr="00B8377E">
        <w:rPr>
          <w:rFonts w:cs="Times New Roman"/>
          <w:i/>
          <w:iCs/>
        </w:rPr>
        <w:t>Soil Biology and Biochemistry</w:t>
      </w:r>
      <w:r w:rsidRPr="00B8377E">
        <w:rPr>
          <w:rFonts w:cs="Times New Roman"/>
        </w:rPr>
        <w:t xml:space="preserve">, </w:t>
      </w:r>
      <w:r w:rsidRPr="00B8377E">
        <w:rPr>
          <w:rFonts w:cs="Times New Roman"/>
          <w:i/>
          <w:iCs/>
        </w:rPr>
        <w:t>123</w:t>
      </w:r>
      <w:r w:rsidRPr="00B8377E">
        <w:rPr>
          <w:rFonts w:cs="Times New Roman"/>
        </w:rPr>
        <w:t>, A3–A16. https://doi.org/10.1016/j.soilbio.2018.03.020</w:t>
      </w:r>
    </w:p>
    <w:p w14:paraId="7104CD5A" w14:textId="77777777" w:rsidR="00B8377E" w:rsidRPr="00B8377E" w:rsidRDefault="00B8377E" w:rsidP="00B8377E">
      <w:pPr>
        <w:pStyle w:val="Bibliography"/>
        <w:rPr>
          <w:rFonts w:cs="Times New Roman"/>
        </w:rPr>
      </w:pPr>
      <w:r w:rsidRPr="00B8377E">
        <w:rPr>
          <w:rFonts w:cs="Times New Roman"/>
        </w:rPr>
        <w:t xml:space="preserve">Yan, X., Ti, C., Vitousek, P., Chen, D., Leip, A., Cai, Z., &amp; Zhu, Z. (2014). Fertilizer nitrogen recovery efficiencies in crop production systems of China with and without consideration of the residual effect of nitrogen. </w:t>
      </w:r>
      <w:r w:rsidRPr="00B8377E">
        <w:rPr>
          <w:rFonts w:cs="Times New Roman"/>
          <w:i/>
          <w:iCs/>
        </w:rPr>
        <w:t>Environmental Research Letters</w:t>
      </w:r>
      <w:r w:rsidRPr="00B8377E">
        <w:rPr>
          <w:rFonts w:cs="Times New Roman"/>
        </w:rPr>
        <w:t xml:space="preserve">, </w:t>
      </w:r>
      <w:r w:rsidRPr="00B8377E">
        <w:rPr>
          <w:rFonts w:cs="Times New Roman"/>
          <w:i/>
          <w:iCs/>
        </w:rPr>
        <w:t>9</w:t>
      </w:r>
      <w:r w:rsidRPr="00B8377E">
        <w:rPr>
          <w:rFonts w:cs="Times New Roman"/>
        </w:rPr>
        <w:t>(9), 095002. https://doi.org/10.1088/1748-9326/9/9/095002</w:t>
      </w:r>
    </w:p>
    <w:p w14:paraId="6046F67F" w14:textId="77777777" w:rsidR="00B8377E" w:rsidRPr="00B8377E" w:rsidRDefault="00B8377E" w:rsidP="00B8377E">
      <w:pPr>
        <w:pStyle w:val="Bibliography"/>
        <w:rPr>
          <w:rFonts w:cs="Times New Roman"/>
        </w:rPr>
      </w:pPr>
      <w:r w:rsidRPr="00B8377E">
        <w:rPr>
          <w:rFonts w:cs="Times New Roman"/>
        </w:rPr>
        <w:t xml:space="preserve">Yates, T. T., Si, B. C., Farrell, R. E., &amp; Pennock, D. J. (2006). Probability Distribution and Spatial Dependence of Nitrous Oxide Emission. </w:t>
      </w:r>
      <w:r w:rsidRPr="00B8377E">
        <w:rPr>
          <w:rFonts w:cs="Times New Roman"/>
          <w:i/>
          <w:iCs/>
        </w:rPr>
        <w:t>Soil Science Society of America Journal</w:t>
      </w:r>
      <w:r w:rsidRPr="00B8377E">
        <w:rPr>
          <w:rFonts w:cs="Times New Roman"/>
        </w:rPr>
        <w:t xml:space="preserve">, </w:t>
      </w:r>
      <w:r w:rsidRPr="00B8377E">
        <w:rPr>
          <w:rFonts w:cs="Times New Roman"/>
          <w:i/>
          <w:iCs/>
        </w:rPr>
        <w:t>70</w:t>
      </w:r>
      <w:r w:rsidRPr="00B8377E">
        <w:rPr>
          <w:rFonts w:cs="Times New Roman"/>
        </w:rPr>
        <w:t>(3), 753–762. https://doi.org/10.2136/sssaj2005.0214</w:t>
      </w:r>
    </w:p>
    <w:p w14:paraId="1D6B4945" w14:textId="77777777" w:rsidR="00B8377E" w:rsidRPr="00B8377E" w:rsidRDefault="00B8377E" w:rsidP="00B8377E">
      <w:pPr>
        <w:pStyle w:val="Bibliography"/>
        <w:rPr>
          <w:rFonts w:cs="Times New Roman"/>
        </w:rPr>
      </w:pPr>
      <w:r w:rsidRPr="00B8377E">
        <w:rPr>
          <w:rFonts w:cs="Times New Roman"/>
        </w:rPr>
        <w:t xml:space="preserve">Ye, B. (2024). </w:t>
      </w:r>
      <w:r w:rsidRPr="00B8377E">
        <w:rPr>
          <w:rFonts w:cs="Times New Roman"/>
          <w:i/>
          <w:iCs/>
        </w:rPr>
        <w:t>pyOATS</w:t>
      </w:r>
      <w:r w:rsidRPr="00B8377E">
        <w:rPr>
          <w:rFonts w:cs="Times New Roman"/>
        </w:rPr>
        <w:t xml:space="preserve"> (Version 0.1.3) [Python]. https://github.com/georgian-io/pyoats</w:t>
      </w:r>
    </w:p>
    <w:p w14:paraId="37E69B75" w14:textId="77777777" w:rsidR="00B8377E" w:rsidRPr="00B8377E" w:rsidRDefault="00B8377E" w:rsidP="00B8377E">
      <w:pPr>
        <w:pStyle w:val="Bibliography"/>
        <w:rPr>
          <w:rFonts w:cs="Times New Roman"/>
        </w:rPr>
      </w:pPr>
      <w:r w:rsidRPr="00B8377E">
        <w:rPr>
          <w:rFonts w:cs="Times New Roman"/>
        </w:rPr>
        <w:t xml:space="preserve">Yin, Y., Wang, Z., Tian, X., Wang, Y., Cong, J., &amp; Cui, Z. (2022). Evaluation of variation in background nitrous oxide emissions: A new global synthesis integrating the impacts of climate, soil, and management conditions. </w:t>
      </w:r>
      <w:r w:rsidRPr="00B8377E">
        <w:rPr>
          <w:rFonts w:cs="Times New Roman"/>
          <w:i/>
          <w:iCs/>
        </w:rPr>
        <w:t>Global Change Biology</w:t>
      </w:r>
      <w:r w:rsidRPr="00B8377E">
        <w:rPr>
          <w:rFonts w:cs="Times New Roman"/>
        </w:rPr>
        <w:t xml:space="preserve">, </w:t>
      </w:r>
      <w:r w:rsidRPr="00B8377E">
        <w:rPr>
          <w:rFonts w:cs="Times New Roman"/>
          <w:i/>
          <w:iCs/>
        </w:rPr>
        <w:t>28</w:t>
      </w:r>
      <w:r w:rsidRPr="00B8377E">
        <w:rPr>
          <w:rFonts w:cs="Times New Roman"/>
        </w:rPr>
        <w:t>(2), 480–492. https://doi.org/10.1111/gcb.15860</w:t>
      </w:r>
    </w:p>
    <w:p w14:paraId="24E6A49B" w14:textId="77777777" w:rsidR="00B8377E" w:rsidRPr="00B8377E" w:rsidRDefault="00B8377E" w:rsidP="00B8377E">
      <w:pPr>
        <w:pStyle w:val="Bibliography"/>
        <w:rPr>
          <w:rFonts w:cs="Times New Roman"/>
        </w:rPr>
      </w:pPr>
      <w:r w:rsidRPr="00B8377E">
        <w:rPr>
          <w:rFonts w:cs="Times New Roman"/>
        </w:rPr>
        <w:t xml:space="preserve">Zhao, Y., Nasrullah, Z., &amp; Li, Z. (2019). PyOD: A Python Toolbox for Scalable Outlier Detection. </w:t>
      </w:r>
      <w:r w:rsidRPr="00B8377E">
        <w:rPr>
          <w:rFonts w:cs="Times New Roman"/>
          <w:i/>
          <w:iCs/>
        </w:rPr>
        <w:t>Journal of Machine Learning Research</w:t>
      </w:r>
      <w:r w:rsidRPr="00B8377E">
        <w:rPr>
          <w:rFonts w:cs="Times New Roman"/>
        </w:rPr>
        <w:t xml:space="preserve">, </w:t>
      </w:r>
      <w:r w:rsidRPr="00B8377E">
        <w:rPr>
          <w:rFonts w:cs="Times New Roman"/>
          <w:i/>
          <w:iCs/>
        </w:rPr>
        <w:t>20</w:t>
      </w:r>
      <w:r w:rsidRPr="00B8377E">
        <w:rPr>
          <w:rFonts w:cs="Times New Roman"/>
        </w:rPr>
        <w:t>(96), 1–7.</w:t>
      </w:r>
    </w:p>
    <w:p w14:paraId="3F45A4A0" w14:textId="77777777" w:rsidR="00B8377E" w:rsidRPr="00B8377E" w:rsidRDefault="00B8377E" w:rsidP="00B8377E">
      <w:pPr>
        <w:pStyle w:val="Bibliography"/>
        <w:rPr>
          <w:rFonts w:cs="Times New Roman"/>
        </w:rPr>
      </w:pPr>
      <w:r w:rsidRPr="00B8377E">
        <w:rPr>
          <w:rFonts w:cs="Times New Roman"/>
        </w:rPr>
        <w:lastRenderedPageBreak/>
        <w:t xml:space="preserve">Zhou, Z., Liao, K., Zhu, Q., Lai, X., Yang, J., &amp; Huang, J. (2022). Determining the hot spots and hot moments of soil N2O emissions and mineral N leaching in a mixed landscape under subtropical monsoon climatic conditions. </w:t>
      </w:r>
      <w:r w:rsidRPr="00B8377E">
        <w:rPr>
          <w:rFonts w:cs="Times New Roman"/>
          <w:i/>
          <w:iCs/>
        </w:rPr>
        <w:t>Geoderma</w:t>
      </w:r>
      <w:r w:rsidRPr="00B8377E">
        <w:rPr>
          <w:rFonts w:cs="Times New Roman"/>
        </w:rPr>
        <w:t xml:space="preserve">, </w:t>
      </w:r>
      <w:r w:rsidRPr="00B8377E">
        <w:rPr>
          <w:rFonts w:cs="Times New Roman"/>
          <w:i/>
          <w:iCs/>
        </w:rPr>
        <w:t>420</w:t>
      </w:r>
      <w:r w:rsidRPr="00B8377E">
        <w:rPr>
          <w:rFonts w:cs="Times New Roman"/>
        </w:rPr>
        <w:t>, 115896. https://doi.org/10.1016/j.geoderma.2022.115896</w:t>
      </w:r>
    </w:p>
    <w:p w14:paraId="6DC9718D" w14:textId="77777777" w:rsidR="00B8377E" w:rsidRPr="00B8377E" w:rsidRDefault="00B8377E" w:rsidP="00B8377E">
      <w:pPr>
        <w:pStyle w:val="Bibliography"/>
        <w:rPr>
          <w:rFonts w:cs="Times New Roman"/>
        </w:rPr>
      </w:pPr>
      <w:r w:rsidRPr="00B8377E">
        <w:rPr>
          <w:rFonts w:cs="Times New Roman"/>
        </w:rPr>
        <w:t xml:space="preserve">Zhu-Barker, X., Cavazos, A. R., Ostrom, N. E., Horwath, W. R., &amp; Glass, J. B. (2015). The importance of abiotic reactions for nitrous oxide production. </w:t>
      </w:r>
      <w:r w:rsidRPr="00B8377E">
        <w:rPr>
          <w:rFonts w:cs="Times New Roman"/>
          <w:i/>
          <w:iCs/>
        </w:rPr>
        <w:t>Biogeochemistry</w:t>
      </w:r>
      <w:r w:rsidRPr="00B8377E">
        <w:rPr>
          <w:rFonts w:cs="Times New Roman"/>
        </w:rPr>
        <w:t xml:space="preserve">, </w:t>
      </w:r>
      <w:r w:rsidRPr="00B8377E">
        <w:rPr>
          <w:rFonts w:cs="Times New Roman"/>
          <w:i/>
          <w:iCs/>
        </w:rPr>
        <w:t>126</w:t>
      </w:r>
      <w:r w:rsidRPr="00B8377E">
        <w:rPr>
          <w:rFonts w:cs="Times New Roman"/>
        </w:rPr>
        <w:t>(3), 251–267. https://doi.org/10.1007/s10533-015-0166-4</w:t>
      </w:r>
    </w:p>
    <w:p w14:paraId="64162FD9" w14:textId="77777777" w:rsidR="00B8377E" w:rsidRPr="00B8377E" w:rsidRDefault="00B8377E" w:rsidP="00B8377E">
      <w:pPr>
        <w:pStyle w:val="Bibliography"/>
        <w:rPr>
          <w:rFonts w:cs="Times New Roman"/>
        </w:rPr>
      </w:pPr>
      <w:r w:rsidRPr="00B8377E">
        <w:rPr>
          <w:rFonts w:cs="Times New Roman"/>
        </w:rPr>
        <w:t xml:space="preserve">Zimmermann, J., Carolan, R., Forrestal, P., Harty, M., Lanigan, G., Richards, K. G., Roche, L., Whitfield, M. G., &amp; Jones, M. B. (2018). Assessing the performance of three frequently used biogeochemical models when simulating N2O emissions from a range of soil types and fertiliser treatments. </w:t>
      </w:r>
      <w:r w:rsidRPr="00B8377E">
        <w:rPr>
          <w:rFonts w:cs="Times New Roman"/>
          <w:i/>
          <w:iCs/>
        </w:rPr>
        <w:t>Geoderma</w:t>
      </w:r>
      <w:r w:rsidRPr="00B8377E">
        <w:rPr>
          <w:rFonts w:cs="Times New Roman"/>
        </w:rPr>
        <w:t xml:space="preserve">, </w:t>
      </w:r>
      <w:r w:rsidRPr="00B8377E">
        <w:rPr>
          <w:rFonts w:cs="Times New Roman"/>
          <w:i/>
          <w:iCs/>
        </w:rPr>
        <w:t>331</w:t>
      </w:r>
      <w:r w:rsidRPr="00B8377E">
        <w:rPr>
          <w:rFonts w:cs="Times New Roman"/>
        </w:rPr>
        <w:t>, 53–69. https://doi.org/10.1016/j.geoderma.2018.06.004</w:t>
      </w:r>
    </w:p>
    <w:p w14:paraId="42367AF6" w14:textId="77777777" w:rsidR="00B8377E" w:rsidRPr="00B8377E" w:rsidRDefault="00B8377E" w:rsidP="00B8377E">
      <w:pPr>
        <w:pStyle w:val="Bibliography"/>
        <w:rPr>
          <w:rFonts w:cs="Times New Roman"/>
        </w:rPr>
      </w:pPr>
      <w:r w:rsidRPr="00B8377E">
        <w:rPr>
          <w:rFonts w:cs="Times New Roman"/>
        </w:rPr>
        <w:t xml:space="preserve">Zumft, W. G. (1997). Cell biology and molecular basis of denitrification. </w:t>
      </w:r>
      <w:r w:rsidRPr="00B8377E">
        <w:rPr>
          <w:rFonts w:cs="Times New Roman"/>
          <w:i/>
          <w:iCs/>
        </w:rPr>
        <w:t>Microbiology and Molecular Biology Reviews</w:t>
      </w:r>
      <w:r w:rsidRPr="00B8377E">
        <w:rPr>
          <w:rFonts w:cs="Times New Roman"/>
        </w:rPr>
        <w:t xml:space="preserve">, </w:t>
      </w:r>
      <w:r w:rsidRPr="00B8377E">
        <w:rPr>
          <w:rFonts w:cs="Times New Roman"/>
          <w:i/>
          <w:iCs/>
        </w:rPr>
        <w:t>61</w:t>
      </w:r>
      <w:r w:rsidRPr="00B8377E">
        <w:rPr>
          <w:rFonts w:cs="Times New Roman"/>
        </w:rPr>
        <w:t>(4), 533–616. https://doi.org/10.1128/mmbr.61.4.533-616.1997</w:t>
      </w:r>
    </w:p>
    <w:p w14:paraId="25472A06" w14:textId="03C6AD1B" w:rsidR="00507E65" w:rsidRPr="00507E65" w:rsidRDefault="00B8377E" w:rsidP="00507E65">
      <w:r>
        <w:fldChar w:fldCharType="end"/>
      </w:r>
    </w:p>
    <w:p w14:paraId="42A9D7EF" w14:textId="77777777" w:rsidR="0056583A" w:rsidRDefault="0056583A">
      <w:pPr>
        <w:rPr>
          <w:b/>
          <w:bCs/>
          <w:caps/>
          <w:szCs w:val="24"/>
        </w:rPr>
      </w:pPr>
      <w:r>
        <w:br w:type="page"/>
      </w:r>
    </w:p>
    <w:p w14:paraId="3B632590" w14:textId="77777777" w:rsidR="009B6981" w:rsidRPr="00994531" w:rsidRDefault="009B6981" w:rsidP="009B6981">
      <w:pPr>
        <w:pStyle w:val="Heading1"/>
      </w:pPr>
      <w:bookmarkStart w:id="134" w:name="_Toc204282800"/>
      <w:r w:rsidRPr="00994531">
        <w:lastRenderedPageBreak/>
        <w:t>VITA</w:t>
      </w:r>
      <w:bookmarkEnd w:id="134"/>
    </w:p>
    <w:p w14:paraId="65A4EB70" w14:textId="055B0300" w:rsidR="009B6981" w:rsidRPr="00994531" w:rsidRDefault="009B6981" w:rsidP="009B6981">
      <w:pPr>
        <w:spacing w:line="480" w:lineRule="auto"/>
      </w:pPr>
      <w:r w:rsidRPr="00994531">
        <w:t xml:space="preserve">Ryan Ackett </w:t>
      </w:r>
      <w:r>
        <w:t>was born in St. Petersburg, Florida to two teachers, Wayne and Jennifer</w:t>
      </w:r>
      <w:r w:rsidR="004919ED">
        <w:t xml:space="preserve">. </w:t>
      </w:r>
      <w:r w:rsidR="00E90899">
        <w:t xml:space="preserve">Ryan had a passion for learning from a young age, and loved nothing more than thinking about big problems. </w:t>
      </w:r>
      <w:r w:rsidR="00235E27">
        <w:t xml:space="preserve">It was in college at the University of Florida that he discovered the </w:t>
      </w:r>
      <w:r w:rsidR="000C3EA6">
        <w:t xml:space="preserve">problem that would </w:t>
      </w:r>
      <w:r w:rsidR="009734F4">
        <w:t>capture his mind</w:t>
      </w:r>
      <w:r w:rsidR="00E37AF3">
        <w:t>: the challenge of building a sustainable and just global food system</w:t>
      </w:r>
      <w:r w:rsidR="009F63FB">
        <w:t xml:space="preserve">. Upon graduation with a degree in agricultural engineering, </w:t>
      </w:r>
      <w:r w:rsidR="006A68B6">
        <w:t>he followed that pursuit into the fields of a South Florida citrus farm</w:t>
      </w:r>
      <w:r w:rsidR="00013E77">
        <w:t>, where he would spend three years</w:t>
      </w:r>
      <w:r w:rsidR="00AD6DC0">
        <w:t xml:space="preserve"> learning about the real work of farming. </w:t>
      </w:r>
      <w:r w:rsidR="00DD166C">
        <w:t>It was through this experience that he became aware of the critical relationship between farmers</w:t>
      </w:r>
      <w:r w:rsidR="00E27823">
        <w:t xml:space="preserve"> and researchers</w:t>
      </w:r>
      <w:r w:rsidR="00F3070B">
        <w:t xml:space="preserve">, which led him to return to academia </w:t>
      </w:r>
      <w:r w:rsidR="00D014C9">
        <w:t xml:space="preserve">to study sustainable irrigation and water resource management at </w:t>
      </w:r>
      <w:r w:rsidR="00595347">
        <w:t xml:space="preserve">North Carolina State University. </w:t>
      </w:r>
      <w:r w:rsidR="007D5D28">
        <w:t xml:space="preserve">Through his research he became more and more fascinated with </w:t>
      </w:r>
      <w:r w:rsidR="007649F8">
        <w:t>biogeochemistry</w:t>
      </w:r>
      <w:r w:rsidR="00C85F2C">
        <w:t xml:space="preserve">, </w:t>
      </w:r>
      <w:r w:rsidR="00062B4C">
        <w:t>which he saw as the</w:t>
      </w:r>
      <w:r w:rsidR="00C85F2C">
        <w:t xml:space="preserve"> nexus </w:t>
      </w:r>
      <w:r w:rsidR="00062B4C">
        <w:t>linking</w:t>
      </w:r>
      <w:r w:rsidR="00127515">
        <w:t xml:space="preserve"> the soil,</w:t>
      </w:r>
      <w:r w:rsidR="008F3F9C">
        <w:t xml:space="preserve"> biology,</w:t>
      </w:r>
      <w:r w:rsidR="00127515">
        <w:t xml:space="preserve"> climate, and farm management</w:t>
      </w:r>
      <w:r w:rsidR="001355A1">
        <w:t xml:space="preserve"> and upon which so many critical</w:t>
      </w:r>
      <w:r w:rsidR="00272DB6">
        <w:t xml:space="preserve"> agricultural outcomes depend. </w:t>
      </w:r>
      <w:r w:rsidR="00712B32">
        <w:t>Of particular interest to Ryan was the</w:t>
      </w:r>
      <w:r w:rsidR="005A172E">
        <w:t xml:space="preserve"> interdependence between soil microbiota and </w:t>
      </w:r>
      <w:r w:rsidR="00E62936">
        <w:t>our global climate and the implications</w:t>
      </w:r>
      <w:r w:rsidR="004075AE">
        <w:t xml:space="preserve"> that this relationship had for </w:t>
      </w:r>
      <w:r w:rsidR="00374A6B">
        <w:t>the</w:t>
      </w:r>
      <w:r w:rsidR="004D4EAD">
        <w:t xml:space="preserve"> </w:t>
      </w:r>
      <w:r w:rsidR="00521FFE">
        <w:t xml:space="preserve">collective fight against the climate crisis. </w:t>
      </w:r>
      <w:r w:rsidR="009E0971">
        <w:t>After his graduation from the University of Tennessee</w:t>
      </w:r>
      <w:r w:rsidR="004700FB">
        <w:t>, Ryan will continue to think about big problems</w:t>
      </w:r>
      <w:r w:rsidR="007F3DF6">
        <w:t xml:space="preserve"> and how to come together to solve them</w:t>
      </w:r>
      <w:r w:rsidR="00A66689">
        <w:t xml:space="preserve"> in pursuit of an equitable food system for all.</w:t>
      </w:r>
    </w:p>
    <w:p w14:paraId="59F535C4" w14:textId="77777777" w:rsidR="00760B02" w:rsidRDefault="00760B02" w:rsidP="00E508D7">
      <w:pPr>
        <w:spacing w:line="480" w:lineRule="auto"/>
      </w:pPr>
    </w:p>
    <w:p w14:paraId="7A481BE5" w14:textId="77777777" w:rsidR="00987A33" w:rsidRPr="00994531" w:rsidRDefault="00987A33" w:rsidP="00E508D7">
      <w:pPr>
        <w:spacing w:line="480" w:lineRule="auto"/>
      </w:pPr>
    </w:p>
    <w:sectPr w:rsidR="00987A33" w:rsidRPr="00994531" w:rsidSect="007742FF">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D14872" w14:textId="77777777" w:rsidR="007E618A" w:rsidRDefault="007E618A" w:rsidP="0000501D">
      <w:pPr>
        <w:spacing w:after="0" w:line="240" w:lineRule="auto"/>
      </w:pPr>
      <w:r>
        <w:separator/>
      </w:r>
    </w:p>
    <w:p w14:paraId="35D523FE" w14:textId="77777777" w:rsidR="007E618A" w:rsidRDefault="007E618A"/>
  </w:endnote>
  <w:endnote w:type="continuationSeparator" w:id="0">
    <w:p w14:paraId="45901D52" w14:textId="77777777" w:rsidR="007E618A" w:rsidRDefault="007E618A" w:rsidP="0000501D">
      <w:pPr>
        <w:spacing w:after="0" w:line="240" w:lineRule="auto"/>
      </w:pPr>
      <w:r>
        <w:continuationSeparator/>
      </w:r>
    </w:p>
    <w:p w14:paraId="44C1BA57" w14:textId="77777777" w:rsidR="007E618A" w:rsidRDefault="007E618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79456264"/>
      <w:docPartObj>
        <w:docPartGallery w:val="Page Numbers (Bottom of Page)"/>
        <w:docPartUnique/>
      </w:docPartObj>
    </w:sdtPr>
    <w:sdtEndPr>
      <w:rPr>
        <w:noProof/>
      </w:rPr>
    </w:sdtEndPr>
    <w:sdtContent>
      <w:p w14:paraId="15B0D912" w14:textId="37857DE0" w:rsidR="00C24674" w:rsidRDefault="00C2467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5BABC0A" w14:textId="77777777" w:rsidR="0000501D" w:rsidRDefault="0000501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5D9F31" w14:textId="487E5B85" w:rsidR="00C24674" w:rsidRDefault="00C24674">
    <w:pPr>
      <w:pStyle w:val="Footer"/>
    </w:pPr>
  </w:p>
  <w:p w14:paraId="5C366BDC" w14:textId="77777777" w:rsidR="003E0936" w:rsidRDefault="003E093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63538973"/>
      <w:docPartObj>
        <w:docPartGallery w:val="Page Numbers (Bottom of Page)"/>
        <w:docPartUnique/>
      </w:docPartObj>
    </w:sdtPr>
    <w:sdtEndPr>
      <w:rPr>
        <w:noProof/>
      </w:rPr>
    </w:sdtEndPr>
    <w:sdtContent>
      <w:p w14:paraId="4D563C84" w14:textId="77777777" w:rsidR="00D45508" w:rsidRDefault="00D45508">
        <w:pPr>
          <w:pStyle w:val="Footer"/>
          <w:jc w:val="center"/>
        </w:pPr>
      </w:p>
      <w:p w14:paraId="1055EFD7" w14:textId="3A78F4DB" w:rsidR="00D45508" w:rsidRDefault="00D4550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BDEB956" w14:textId="77777777" w:rsidR="00D45508" w:rsidRDefault="00D45508">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1801811"/>
      <w:docPartObj>
        <w:docPartGallery w:val="Page Numbers (Bottom of Page)"/>
        <w:docPartUnique/>
      </w:docPartObj>
    </w:sdtPr>
    <w:sdtEndPr>
      <w:rPr>
        <w:noProof/>
      </w:rPr>
    </w:sdtEndPr>
    <w:sdtContent>
      <w:p w14:paraId="76A2D430" w14:textId="77777777" w:rsidR="00334BA6" w:rsidRDefault="00334BA6">
        <w:pPr>
          <w:pStyle w:val="Footer"/>
          <w:jc w:val="center"/>
        </w:pPr>
      </w:p>
      <w:p w14:paraId="5FB331F7" w14:textId="77777777" w:rsidR="00334BA6" w:rsidRDefault="00334BA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890CCBC" w14:textId="77777777" w:rsidR="00334BA6" w:rsidRDefault="00334BA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774DDE" w14:textId="77777777" w:rsidR="007E618A" w:rsidRDefault="007E618A" w:rsidP="0000501D">
      <w:pPr>
        <w:spacing w:after="0" w:line="240" w:lineRule="auto"/>
      </w:pPr>
      <w:r>
        <w:separator/>
      </w:r>
    </w:p>
    <w:p w14:paraId="5EF317B6" w14:textId="77777777" w:rsidR="007E618A" w:rsidRDefault="007E618A"/>
  </w:footnote>
  <w:footnote w:type="continuationSeparator" w:id="0">
    <w:p w14:paraId="1D1F84B1" w14:textId="77777777" w:rsidR="007E618A" w:rsidRDefault="007E618A" w:rsidP="0000501D">
      <w:pPr>
        <w:spacing w:after="0" w:line="240" w:lineRule="auto"/>
      </w:pPr>
      <w:r>
        <w:continuationSeparator/>
      </w:r>
    </w:p>
    <w:p w14:paraId="5D3249A6" w14:textId="77777777" w:rsidR="007E618A" w:rsidRDefault="007E618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F11A97"/>
    <w:multiLevelType w:val="hybridMultilevel"/>
    <w:tmpl w:val="830A7590"/>
    <w:lvl w:ilvl="0" w:tplc="568219B4">
      <w:start w:val="1"/>
      <w:numFmt w:val="upp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1F18136A"/>
    <w:multiLevelType w:val="hybridMultilevel"/>
    <w:tmpl w:val="E8DCCBB8"/>
    <w:lvl w:ilvl="0" w:tplc="8AF6A366">
      <w:start w:val="1"/>
      <w:numFmt w:val="upperRoman"/>
      <w:lvlText w:val="%1."/>
      <w:lvlJc w:val="left"/>
      <w:pPr>
        <w:ind w:left="2520" w:hanging="72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 w15:restartNumberingAfterBreak="0">
    <w:nsid w:val="234F514A"/>
    <w:multiLevelType w:val="hybridMultilevel"/>
    <w:tmpl w:val="E47878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C843782"/>
    <w:multiLevelType w:val="hybridMultilevel"/>
    <w:tmpl w:val="CC345EE8"/>
    <w:lvl w:ilvl="0" w:tplc="E354935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0F663CF"/>
    <w:multiLevelType w:val="hybridMultilevel"/>
    <w:tmpl w:val="394A2C70"/>
    <w:lvl w:ilvl="0" w:tplc="DBA27162">
      <w:start w:val="1"/>
      <w:numFmt w:val="upperRoman"/>
      <w:lvlText w:val="%1."/>
      <w:lvlJc w:val="left"/>
      <w:pPr>
        <w:ind w:left="3240" w:hanging="72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num w:numId="1" w16cid:durableId="457260528">
    <w:abstractNumId w:val="3"/>
  </w:num>
  <w:num w:numId="2" w16cid:durableId="1596279910">
    <w:abstractNumId w:val="0"/>
  </w:num>
  <w:num w:numId="3" w16cid:durableId="1320117342">
    <w:abstractNumId w:val="1"/>
  </w:num>
  <w:num w:numId="4" w16cid:durableId="153031967">
    <w:abstractNumId w:val="4"/>
  </w:num>
  <w:num w:numId="5" w16cid:durableId="52320543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2"/>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4B3E"/>
    <w:rsid w:val="00000883"/>
    <w:rsid w:val="000009C2"/>
    <w:rsid w:val="00000C48"/>
    <w:rsid w:val="00000E24"/>
    <w:rsid w:val="00001489"/>
    <w:rsid w:val="00001E26"/>
    <w:rsid w:val="00002642"/>
    <w:rsid w:val="000032B3"/>
    <w:rsid w:val="00003325"/>
    <w:rsid w:val="0000347F"/>
    <w:rsid w:val="00003994"/>
    <w:rsid w:val="00003A4E"/>
    <w:rsid w:val="00003A5C"/>
    <w:rsid w:val="00003D08"/>
    <w:rsid w:val="000042D5"/>
    <w:rsid w:val="0000501D"/>
    <w:rsid w:val="000054CF"/>
    <w:rsid w:val="00005727"/>
    <w:rsid w:val="00005739"/>
    <w:rsid w:val="00005745"/>
    <w:rsid w:val="0000654F"/>
    <w:rsid w:val="00007523"/>
    <w:rsid w:val="0000797C"/>
    <w:rsid w:val="00010045"/>
    <w:rsid w:val="0001023E"/>
    <w:rsid w:val="000104D9"/>
    <w:rsid w:val="000105A8"/>
    <w:rsid w:val="00011370"/>
    <w:rsid w:val="0001142D"/>
    <w:rsid w:val="00011518"/>
    <w:rsid w:val="0001390B"/>
    <w:rsid w:val="00013E77"/>
    <w:rsid w:val="0001418D"/>
    <w:rsid w:val="00014DC6"/>
    <w:rsid w:val="0001523A"/>
    <w:rsid w:val="000159FF"/>
    <w:rsid w:val="00016090"/>
    <w:rsid w:val="00016BA8"/>
    <w:rsid w:val="00016CE6"/>
    <w:rsid w:val="00016E2F"/>
    <w:rsid w:val="0001753C"/>
    <w:rsid w:val="00017718"/>
    <w:rsid w:val="00017E8F"/>
    <w:rsid w:val="0002013E"/>
    <w:rsid w:val="000202A3"/>
    <w:rsid w:val="000203F5"/>
    <w:rsid w:val="00020D3C"/>
    <w:rsid w:val="00020DFF"/>
    <w:rsid w:val="00020F34"/>
    <w:rsid w:val="00021886"/>
    <w:rsid w:val="00021DA4"/>
    <w:rsid w:val="00021E15"/>
    <w:rsid w:val="0002258A"/>
    <w:rsid w:val="00022BED"/>
    <w:rsid w:val="00023473"/>
    <w:rsid w:val="000243B6"/>
    <w:rsid w:val="00024598"/>
    <w:rsid w:val="00024ACD"/>
    <w:rsid w:val="00024F1C"/>
    <w:rsid w:val="000250CF"/>
    <w:rsid w:val="00025B04"/>
    <w:rsid w:val="00026C51"/>
    <w:rsid w:val="0002723A"/>
    <w:rsid w:val="00027CAB"/>
    <w:rsid w:val="000301DE"/>
    <w:rsid w:val="0003028E"/>
    <w:rsid w:val="000303BD"/>
    <w:rsid w:val="000307B2"/>
    <w:rsid w:val="000308E4"/>
    <w:rsid w:val="00030D2D"/>
    <w:rsid w:val="000313A4"/>
    <w:rsid w:val="00031719"/>
    <w:rsid w:val="0003218F"/>
    <w:rsid w:val="00032490"/>
    <w:rsid w:val="00032567"/>
    <w:rsid w:val="0003274C"/>
    <w:rsid w:val="00032B0E"/>
    <w:rsid w:val="0003301A"/>
    <w:rsid w:val="00033921"/>
    <w:rsid w:val="0003406B"/>
    <w:rsid w:val="000343AA"/>
    <w:rsid w:val="000346FA"/>
    <w:rsid w:val="00034E23"/>
    <w:rsid w:val="00035DFB"/>
    <w:rsid w:val="000360D8"/>
    <w:rsid w:val="00036187"/>
    <w:rsid w:val="000364AE"/>
    <w:rsid w:val="00036BE2"/>
    <w:rsid w:val="00037103"/>
    <w:rsid w:val="00037960"/>
    <w:rsid w:val="0004001D"/>
    <w:rsid w:val="000405BE"/>
    <w:rsid w:val="0004243C"/>
    <w:rsid w:val="00042608"/>
    <w:rsid w:val="000435D1"/>
    <w:rsid w:val="00043651"/>
    <w:rsid w:val="00043A02"/>
    <w:rsid w:val="0004406C"/>
    <w:rsid w:val="00044380"/>
    <w:rsid w:val="00044DF2"/>
    <w:rsid w:val="00046088"/>
    <w:rsid w:val="0004784C"/>
    <w:rsid w:val="00050586"/>
    <w:rsid w:val="000508AE"/>
    <w:rsid w:val="00050CA4"/>
    <w:rsid w:val="00050F7A"/>
    <w:rsid w:val="00051167"/>
    <w:rsid w:val="00051339"/>
    <w:rsid w:val="0005157B"/>
    <w:rsid w:val="00051665"/>
    <w:rsid w:val="0005241F"/>
    <w:rsid w:val="00052E4D"/>
    <w:rsid w:val="00052E6F"/>
    <w:rsid w:val="0005346B"/>
    <w:rsid w:val="00053AA6"/>
    <w:rsid w:val="0005447A"/>
    <w:rsid w:val="000549F0"/>
    <w:rsid w:val="00054ABB"/>
    <w:rsid w:val="00054BA3"/>
    <w:rsid w:val="000577F5"/>
    <w:rsid w:val="000578ED"/>
    <w:rsid w:val="00057B10"/>
    <w:rsid w:val="0006132B"/>
    <w:rsid w:val="00061687"/>
    <w:rsid w:val="0006182D"/>
    <w:rsid w:val="00061AA5"/>
    <w:rsid w:val="00061F7E"/>
    <w:rsid w:val="00062B4C"/>
    <w:rsid w:val="00063740"/>
    <w:rsid w:val="00063833"/>
    <w:rsid w:val="00063E08"/>
    <w:rsid w:val="00063F38"/>
    <w:rsid w:val="00064B8C"/>
    <w:rsid w:val="00064E97"/>
    <w:rsid w:val="0006578A"/>
    <w:rsid w:val="00066006"/>
    <w:rsid w:val="000666BA"/>
    <w:rsid w:val="000667A8"/>
    <w:rsid w:val="00066DE6"/>
    <w:rsid w:val="0006798F"/>
    <w:rsid w:val="00067B1B"/>
    <w:rsid w:val="000707D9"/>
    <w:rsid w:val="00070D12"/>
    <w:rsid w:val="00071AA0"/>
    <w:rsid w:val="000728BC"/>
    <w:rsid w:val="00073101"/>
    <w:rsid w:val="000735EF"/>
    <w:rsid w:val="000740DE"/>
    <w:rsid w:val="000740F0"/>
    <w:rsid w:val="00075F25"/>
    <w:rsid w:val="000776DA"/>
    <w:rsid w:val="0007784A"/>
    <w:rsid w:val="00081CC6"/>
    <w:rsid w:val="00082679"/>
    <w:rsid w:val="00082ADA"/>
    <w:rsid w:val="00084242"/>
    <w:rsid w:val="000843A7"/>
    <w:rsid w:val="000858C2"/>
    <w:rsid w:val="00085FF8"/>
    <w:rsid w:val="00086614"/>
    <w:rsid w:val="000871E9"/>
    <w:rsid w:val="000904F1"/>
    <w:rsid w:val="00090B09"/>
    <w:rsid w:val="000911C6"/>
    <w:rsid w:val="00091294"/>
    <w:rsid w:val="000912F3"/>
    <w:rsid w:val="0009130E"/>
    <w:rsid w:val="0009271B"/>
    <w:rsid w:val="00093547"/>
    <w:rsid w:val="00093D95"/>
    <w:rsid w:val="000945EB"/>
    <w:rsid w:val="00094958"/>
    <w:rsid w:val="00094B90"/>
    <w:rsid w:val="00094DBF"/>
    <w:rsid w:val="00095082"/>
    <w:rsid w:val="0009561F"/>
    <w:rsid w:val="00095A03"/>
    <w:rsid w:val="0009670E"/>
    <w:rsid w:val="00096963"/>
    <w:rsid w:val="00097786"/>
    <w:rsid w:val="000977BB"/>
    <w:rsid w:val="00097B4D"/>
    <w:rsid w:val="000A001D"/>
    <w:rsid w:val="000A1118"/>
    <w:rsid w:val="000A113B"/>
    <w:rsid w:val="000A21A4"/>
    <w:rsid w:val="000A229B"/>
    <w:rsid w:val="000A2618"/>
    <w:rsid w:val="000A3029"/>
    <w:rsid w:val="000A42B5"/>
    <w:rsid w:val="000A4784"/>
    <w:rsid w:val="000A4848"/>
    <w:rsid w:val="000A4997"/>
    <w:rsid w:val="000A6051"/>
    <w:rsid w:val="000A6404"/>
    <w:rsid w:val="000A65C1"/>
    <w:rsid w:val="000A7073"/>
    <w:rsid w:val="000A79FA"/>
    <w:rsid w:val="000A7B01"/>
    <w:rsid w:val="000A7C50"/>
    <w:rsid w:val="000B07D5"/>
    <w:rsid w:val="000B10A2"/>
    <w:rsid w:val="000B204A"/>
    <w:rsid w:val="000B3180"/>
    <w:rsid w:val="000B366F"/>
    <w:rsid w:val="000B3FD8"/>
    <w:rsid w:val="000B4226"/>
    <w:rsid w:val="000B42A2"/>
    <w:rsid w:val="000B5129"/>
    <w:rsid w:val="000B513F"/>
    <w:rsid w:val="000B606E"/>
    <w:rsid w:val="000B629A"/>
    <w:rsid w:val="000B63AA"/>
    <w:rsid w:val="000B6970"/>
    <w:rsid w:val="000B6977"/>
    <w:rsid w:val="000B7017"/>
    <w:rsid w:val="000B73CF"/>
    <w:rsid w:val="000B7E6B"/>
    <w:rsid w:val="000C013B"/>
    <w:rsid w:val="000C060B"/>
    <w:rsid w:val="000C132E"/>
    <w:rsid w:val="000C187A"/>
    <w:rsid w:val="000C2E62"/>
    <w:rsid w:val="000C338C"/>
    <w:rsid w:val="000C3ACB"/>
    <w:rsid w:val="000C3B59"/>
    <w:rsid w:val="000C3EA6"/>
    <w:rsid w:val="000C4587"/>
    <w:rsid w:val="000C49C4"/>
    <w:rsid w:val="000C4AF9"/>
    <w:rsid w:val="000C4D76"/>
    <w:rsid w:val="000C5C50"/>
    <w:rsid w:val="000C5F6E"/>
    <w:rsid w:val="000C65F1"/>
    <w:rsid w:val="000C6ECF"/>
    <w:rsid w:val="000C767D"/>
    <w:rsid w:val="000C7988"/>
    <w:rsid w:val="000D040B"/>
    <w:rsid w:val="000D0AEA"/>
    <w:rsid w:val="000D0FCA"/>
    <w:rsid w:val="000D1270"/>
    <w:rsid w:val="000D1E2A"/>
    <w:rsid w:val="000D2CA6"/>
    <w:rsid w:val="000D2EEE"/>
    <w:rsid w:val="000D3A5A"/>
    <w:rsid w:val="000D3BC9"/>
    <w:rsid w:val="000D426C"/>
    <w:rsid w:val="000D4F5B"/>
    <w:rsid w:val="000D5D20"/>
    <w:rsid w:val="000D63DD"/>
    <w:rsid w:val="000D6F20"/>
    <w:rsid w:val="000D7DCB"/>
    <w:rsid w:val="000E0275"/>
    <w:rsid w:val="000E07DC"/>
    <w:rsid w:val="000E1130"/>
    <w:rsid w:val="000E1229"/>
    <w:rsid w:val="000E142C"/>
    <w:rsid w:val="000E1694"/>
    <w:rsid w:val="000E1A55"/>
    <w:rsid w:val="000E1E36"/>
    <w:rsid w:val="000E31DA"/>
    <w:rsid w:val="000E3294"/>
    <w:rsid w:val="000E37EB"/>
    <w:rsid w:val="000E463D"/>
    <w:rsid w:val="000E4B5F"/>
    <w:rsid w:val="000E517F"/>
    <w:rsid w:val="000E5496"/>
    <w:rsid w:val="000E598C"/>
    <w:rsid w:val="000E5F82"/>
    <w:rsid w:val="000E5FD3"/>
    <w:rsid w:val="000E6472"/>
    <w:rsid w:val="000E6FBD"/>
    <w:rsid w:val="000E7040"/>
    <w:rsid w:val="000F0005"/>
    <w:rsid w:val="000F0B22"/>
    <w:rsid w:val="000F0C64"/>
    <w:rsid w:val="000F1292"/>
    <w:rsid w:val="000F2942"/>
    <w:rsid w:val="000F4226"/>
    <w:rsid w:val="000F473A"/>
    <w:rsid w:val="000F4881"/>
    <w:rsid w:val="000F498A"/>
    <w:rsid w:val="000F580C"/>
    <w:rsid w:val="000F6CC1"/>
    <w:rsid w:val="000F6FA6"/>
    <w:rsid w:val="000F7019"/>
    <w:rsid w:val="000F7054"/>
    <w:rsid w:val="000F71E7"/>
    <w:rsid w:val="000F73D2"/>
    <w:rsid w:val="000F7D3C"/>
    <w:rsid w:val="0010008F"/>
    <w:rsid w:val="00100BF0"/>
    <w:rsid w:val="00100E94"/>
    <w:rsid w:val="0010124D"/>
    <w:rsid w:val="001017A3"/>
    <w:rsid w:val="001017C8"/>
    <w:rsid w:val="00101A87"/>
    <w:rsid w:val="00101BE9"/>
    <w:rsid w:val="00101D59"/>
    <w:rsid w:val="00101FF7"/>
    <w:rsid w:val="00102210"/>
    <w:rsid w:val="00102218"/>
    <w:rsid w:val="00102FCE"/>
    <w:rsid w:val="0010373A"/>
    <w:rsid w:val="00104C99"/>
    <w:rsid w:val="0010578F"/>
    <w:rsid w:val="00105A93"/>
    <w:rsid w:val="00105EE9"/>
    <w:rsid w:val="00105F98"/>
    <w:rsid w:val="0010652C"/>
    <w:rsid w:val="00106B3B"/>
    <w:rsid w:val="001078EE"/>
    <w:rsid w:val="00107D33"/>
    <w:rsid w:val="00110693"/>
    <w:rsid w:val="00110812"/>
    <w:rsid w:val="00111669"/>
    <w:rsid w:val="00111693"/>
    <w:rsid w:val="00112575"/>
    <w:rsid w:val="001128C9"/>
    <w:rsid w:val="00112DB3"/>
    <w:rsid w:val="001135CB"/>
    <w:rsid w:val="00113F05"/>
    <w:rsid w:val="001145B6"/>
    <w:rsid w:val="00114701"/>
    <w:rsid w:val="001147B1"/>
    <w:rsid w:val="00114824"/>
    <w:rsid w:val="00114AA2"/>
    <w:rsid w:val="001154C0"/>
    <w:rsid w:val="00115A9B"/>
    <w:rsid w:val="00116750"/>
    <w:rsid w:val="001169AF"/>
    <w:rsid w:val="001172AC"/>
    <w:rsid w:val="00117596"/>
    <w:rsid w:val="00117628"/>
    <w:rsid w:val="001176FA"/>
    <w:rsid w:val="00117AC2"/>
    <w:rsid w:val="00117C7C"/>
    <w:rsid w:val="00117CC7"/>
    <w:rsid w:val="0012073C"/>
    <w:rsid w:val="00120FB1"/>
    <w:rsid w:val="00121ADF"/>
    <w:rsid w:val="00122FCF"/>
    <w:rsid w:val="0012386B"/>
    <w:rsid w:val="00123B48"/>
    <w:rsid w:val="00123B72"/>
    <w:rsid w:val="00123F5D"/>
    <w:rsid w:val="00125179"/>
    <w:rsid w:val="0012538F"/>
    <w:rsid w:val="001263D1"/>
    <w:rsid w:val="001270CA"/>
    <w:rsid w:val="00127152"/>
    <w:rsid w:val="00127277"/>
    <w:rsid w:val="00127515"/>
    <w:rsid w:val="00127B08"/>
    <w:rsid w:val="00127F3F"/>
    <w:rsid w:val="001306AF"/>
    <w:rsid w:val="001308C3"/>
    <w:rsid w:val="001309E1"/>
    <w:rsid w:val="00131997"/>
    <w:rsid w:val="0013238B"/>
    <w:rsid w:val="00132C97"/>
    <w:rsid w:val="00134064"/>
    <w:rsid w:val="00134285"/>
    <w:rsid w:val="00134520"/>
    <w:rsid w:val="00134582"/>
    <w:rsid w:val="001355A1"/>
    <w:rsid w:val="001356A7"/>
    <w:rsid w:val="00135980"/>
    <w:rsid w:val="00135B9A"/>
    <w:rsid w:val="00136A01"/>
    <w:rsid w:val="0013760C"/>
    <w:rsid w:val="001377F5"/>
    <w:rsid w:val="00140A42"/>
    <w:rsid w:val="00140F61"/>
    <w:rsid w:val="00140F97"/>
    <w:rsid w:val="00141B30"/>
    <w:rsid w:val="00141C52"/>
    <w:rsid w:val="00142D0F"/>
    <w:rsid w:val="001431AC"/>
    <w:rsid w:val="00143DB9"/>
    <w:rsid w:val="001444CD"/>
    <w:rsid w:val="00144880"/>
    <w:rsid w:val="00144CD3"/>
    <w:rsid w:val="00144E05"/>
    <w:rsid w:val="001459C2"/>
    <w:rsid w:val="001465CE"/>
    <w:rsid w:val="00146D19"/>
    <w:rsid w:val="0014773A"/>
    <w:rsid w:val="0015055C"/>
    <w:rsid w:val="00150A6A"/>
    <w:rsid w:val="00152E87"/>
    <w:rsid w:val="00152F82"/>
    <w:rsid w:val="001530D8"/>
    <w:rsid w:val="00153D82"/>
    <w:rsid w:val="001540FF"/>
    <w:rsid w:val="00154627"/>
    <w:rsid w:val="0015484C"/>
    <w:rsid w:val="001549F4"/>
    <w:rsid w:val="00155501"/>
    <w:rsid w:val="00155C57"/>
    <w:rsid w:val="00155C9B"/>
    <w:rsid w:val="00155CF7"/>
    <w:rsid w:val="00155DF9"/>
    <w:rsid w:val="00156761"/>
    <w:rsid w:val="0015709C"/>
    <w:rsid w:val="001571FD"/>
    <w:rsid w:val="00157512"/>
    <w:rsid w:val="00160142"/>
    <w:rsid w:val="0016082E"/>
    <w:rsid w:val="00160DD7"/>
    <w:rsid w:val="001611FC"/>
    <w:rsid w:val="0016131A"/>
    <w:rsid w:val="00161630"/>
    <w:rsid w:val="0016165F"/>
    <w:rsid w:val="00161A0F"/>
    <w:rsid w:val="00161CE0"/>
    <w:rsid w:val="001642C2"/>
    <w:rsid w:val="001644B4"/>
    <w:rsid w:val="00165DC2"/>
    <w:rsid w:val="00166FFB"/>
    <w:rsid w:val="00170CD4"/>
    <w:rsid w:val="0017144C"/>
    <w:rsid w:val="0017162E"/>
    <w:rsid w:val="00171725"/>
    <w:rsid w:val="001727DE"/>
    <w:rsid w:val="00172E6A"/>
    <w:rsid w:val="001739B9"/>
    <w:rsid w:val="00174115"/>
    <w:rsid w:val="00174361"/>
    <w:rsid w:val="00175D8A"/>
    <w:rsid w:val="00177195"/>
    <w:rsid w:val="00177957"/>
    <w:rsid w:val="00177C1C"/>
    <w:rsid w:val="00180157"/>
    <w:rsid w:val="00180318"/>
    <w:rsid w:val="00180491"/>
    <w:rsid w:val="00180BB2"/>
    <w:rsid w:val="00181BA3"/>
    <w:rsid w:val="00181DAF"/>
    <w:rsid w:val="00182282"/>
    <w:rsid w:val="0018237F"/>
    <w:rsid w:val="00182964"/>
    <w:rsid w:val="001833B1"/>
    <w:rsid w:val="00183B20"/>
    <w:rsid w:val="00183CCB"/>
    <w:rsid w:val="001844C2"/>
    <w:rsid w:val="001848AC"/>
    <w:rsid w:val="00184BAB"/>
    <w:rsid w:val="00185E4D"/>
    <w:rsid w:val="001864B7"/>
    <w:rsid w:val="001864C5"/>
    <w:rsid w:val="0018684A"/>
    <w:rsid w:val="00186AF7"/>
    <w:rsid w:val="00190577"/>
    <w:rsid w:val="001916F2"/>
    <w:rsid w:val="001918AD"/>
    <w:rsid w:val="0019198C"/>
    <w:rsid w:val="001927C1"/>
    <w:rsid w:val="00193721"/>
    <w:rsid w:val="00193F97"/>
    <w:rsid w:val="00194A42"/>
    <w:rsid w:val="00195EAC"/>
    <w:rsid w:val="00195ECD"/>
    <w:rsid w:val="001962C5"/>
    <w:rsid w:val="00196628"/>
    <w:rsid w:val="00196ABA"/>
    <w:rsid w:val="00197D85"/>
    <w:rsid w:val="001A0285"/>
    <w:rsid w:val="001A04B6"/>
    <w:rsid w:val="001A0675"/>
    <w:rsid w:val="001A0AC4"/>
    <w:rsid w:val="001A11ED"/>
    <w:rsid w:val="001A194D"/>
    <w:rsid w:val="001A213C"/>
    <w:rsid w:val="001A2446"/>
    <w:rsid w:val="001A2A79"/>
    <w:rsid w:val="001A343F"/>
    <w:rsid w:val="001A3CDD"/>
    <w:rsid w:val="001A3FE2"/>
    <w:rsid w:val="001A44EB"/>
    <w:rsid w:val="001A4C4C"/>
    <w:rsid w:val="001A6FC4"/>
    <w:rsid w:val="001B0051"/>
    <w:rsid w:val="001B0358"/>
    <w:rsid w:val="001B0833"/>
    <w:rsid w:val="001B087D"/>
    <w:rsid w:val="001B0A07"/>
    <w:rsid w:val="001B13DC"/>
    <w:rsid w:val="001B145D"/>
    <w:rsid w:val="001B18CF"/>
    <w:rsid w:val="001B3B98"/>
    <w:rsid w:val="001B4134"/>
    <w:rsid w:val="001B4444"/>
    <w:rsid w:val="001B4644"/>
    <w:rsid w:val="001B4A04"/>
    <w:rsid w:val="001B50EF"/>
    <w:rsid w:val="001B567A"/>
    <w:rsid w:val="001B582A"/>
    <w:rsid w:val="001B6B5E"/>
    <w:rsid w:val="001B7884"/>
    <w:rsid w:val="001C05BD"/>
    <w:rsid w:val="001C146B"/>
    <w:rsid w:val="001C251F"/>
    <w:rsid w:val="001C2E69"/>
    <w:rsid w:val="001C2EFB"/>
    <w:rsid w:val="001C3118"/>
    <w:rsid w:val="001C33A7"/>
    <w:rsid w:val="001C3753"/>
    <w:rsid w:val="001C3CA5"/>
    <w:rsid w:val="001C44B9"/>
    <w:rsid w:val="001C4862"/>
    <w:rsid w:val="001C53E4"/>
    <w:rsid w:val="001C5A65"/>
    <w:rsid w:val="001C6C74"/>
    <w:rsid w:val="001C744A"/>
    <w:rsid w:val="001C760B"/>
    <w:rsid w:val="001D0342"/>
    <w:rsid w:val="001D085A"/>
    <w:rsid w:val="001D12DB"/>
    <w:rsid w:val="001D17C9"/>
    <w:rsid w:val="001D1BE6"/>
    <w:rsid w:val="001D212B"/>
    <w:rsid w:val="001D2662"/>
    <w:rsid w:val="001D3AFF"/>
    <w:rsid w:val="001D51D9"/>
    <w:rsid w:val="001D56CA"/>
    <w:rsid w:val="001D5830"/>
    <w:rsid w:val="001D6FBF"/>
    <w:rsid w:val="001D78E0"/>
    <w:rsid w:val="001E038E"/>
    <w:rsid w:val="001E0406"/>
    <w:rsid w:val="001E05F6"/>
    <w:rsid w:val="001E1262"/>
    <w:rsid w:val="001E2184"/>
    <w:rsid w:val="001E2847"/>
    <w:rsid w:val="001E2A91"/>
    <w:rsid w:val="001E31DE"/>
    <w:rsid w:val="001E659C"/>
    <w:rsid w:val="001E6A90"/>
    <w:rsid w:val="001E6E0D"/>
    <w:rsid w:val="001E6FEA"/>
    <w:rsid w:val="001E7677"/>
    <w:rsid w:val="001F0561"/>
    <w:rsid w:val="001F069B"/>
    <w:rsid w:val="001F14BF"/>
    <w:rsid w:val="001F162D"/>
    <w:rsid w:val="001F1EE5"/>
    <w:rsid w:val="001F2C26"/>
    <w:rsid w:val="001F42C5"/>
    <w:rsid w:val="001F43D7"/>
    <w:rsid w:val="001F4852"/>
    <w:rsid w:val="001F4B43"/>
    <w:rsid w:val="001F4D21"/>
    <w:rsid w:val="001F4E7E"/>
    <w:rsid w:val="001F50AD"/>
    <w:rsid w:val="001F5A65"/>
    <w:rsid w:val="001F6AB5"/>
    <w:rsid w:val="001F717B"/>
    <w:rsid w:val="001F7C4A"/>
    <w:rsid w:val="002005A3"/>
    <w:rsid w:val="002018B2"/>
    <w:rsid w:val="002044BA"/>
    <w:rsid w:val="00204D69"/>
    <w:rsid w:val="00205EFC"/>
    <w:rsid w:val="0020630D"/>
    <w:rsid w:val="002063B8"/>
    <w:rsid w:val="002068F3"/>
    <w:rsid w:val="00207B23"/>
    <w:rsid w:val="002102EE"/>
    <w:rsid w:val="0021042C"/>
    <w:rsid w:val="00210AD0"/>
    <w:rsid w:val="002111BF"/>
    <w:rsid w:val="00212548"/>
    <w:rsid w:val="00213194"/>
    <w:rsid w:val="002132A1"/>
    <w:rsid w:val="00214FFA"/>
    <w:rsid w:val="00215761"/>
    <w:rsid w:val="002157C3"/>
    <w:rsid w:val="002169F4"/>
    <w:rsid w:val="00216E82"/>
    <w:rsid w:val="0021709E"/>
    <w:rsid w:val="00217172"/>
    <w:rsid w:val="0021728C"/>
    <w:rsid w:val="0021755F"/>
    <w:rsid w:val="00217E60"/>
    <w:rsid w:val="00217ECB"/>
    <w:rsid w:val="00217F1F"/>
    <w:rsid w:val="002200AC"/>
    <w:rsid w:val="002204D2"/>
    <w:rsid w:val="0022134B"/>
    <w:rsid w:val="00221C51"/>
    <w:rsid w:val="00221D0C"/>
    <w:rsid w:val="00222A9F"/>
    <w:rsid w:val="00222BD2"/>
    <w:rsid w:val="00223107"/>
    <w:rsid w:val="00223F6E"/>
    <w:rsid w:val="0022409B"/>
    <w:rsid w:val="00224722"/>
    <w:rsid w:val="00224D5B"/>
    <w:rsid w:val="0022532F"/>
    <w:rsid w:val="0022599F"/>
    <w:rsid w:val="002263A5"/>
    <w:rsid w:val="00226C08"/>
    <w:rsid w:val="00226DCA"/>
    <w:rsid w:val="00227CD9"/>
    <w:rsid w:val="00227DA8"/>
    <w:rsid w:val="00230737"/>
    <w:rsid w:val="002307C3"/>
    <w:rsid w:val="002313B3"/>
    <w:rsid w:val="002313BC"/>
    <w:rsid w:val="002314CF"/>
    <w:rsid w:val="00232274"/>
    <w:rsid w:val="0023234A"/>
    <w:rsid w:val="00232754"/>
    <w:rsid w:val="00232D0A"/>
    <w:rsid w:val="00232E95"/>
    <w:rsid w:val="002333D8"/>
    <w:rsid w:val="002336FB"/>
    <w:rsid w:val="00233E53"/>
    <w:rsid w:val="00233F87"/>
    <w:rsid w:val="00235560"/>
    <w:rsid w:val="002357BB"/>
    <w:rsid w:val="00235BBD"/>
    <w:rsid w:val="00235E27"/>
    <w:rsid w:val="00236727"/>
    <w:rsid w:val="00236B58"/>
    <w:rsid w:val="00237014"/>
    <w:rsid w:val="00237124"/>
    <w:rsid w:val="00237822"/>
    <w:rsid w:val="00237966"/>
    <w:rsid w:val="00237A09"/>
    <w:rsid w:val="00237DA7"/>
    <w:rsid w:val="00240359"/>
    <w:rsid w:val="00240FB6"/>
    <w:rsid w:val="00241015"/>
    <w:rsid w:val="0024147E"/>
    <w:rsid w:val="002417E3"/>
    <w:rsid w:val="0024243F"/>
    <w:rsid w:val="00242CD8"/>
    <w:rsid w:val="00242F24"/>
    <w:rsid w:val="002438D0"/>
    <w:rsid w:val="00243EDB"/>
    <w:rsid w:val="002458A3"/>
    <w:rsid w:val="002461B9"/>
    <w:rsid w:val="00246327"/>
    <w:rsid w:val="00247719"/>
    <w:rsid w:val="00250371"/>
    <w:rsid w:val="002506F2"/>
    <w:rsid w:val="00250D3B"/>
    <w:rsid w:val="0025297D"/>
    <w:rsid w:val="00253078"/>
    <w:rsid w:val="00253305"/>
    <w:rsid w:val="00253883"/>
    <w:rsid w:val="00253C81"/>
    <w:rsid w:val="00253FDB"/>
    <w:rsid w:val="00254056"/>
    <w:rsid w:val="00255E67"/>
    <w:rsid w:val="00255F28"/>
    <w:rsid w:val="00256119"/>
    <w:rsid w:val="00256575"/>
    <w:rsid w:val="00257074"/>
    <w:rsid w:val="002578B0"/>
    <w:rsid w:val="00257B16"/>
    <w:rsid w:val="00260CC9"/>
    <w:rsid w:val="00261411"/>
    <w:rsid w:val="0026159D"/>
    <w:rsid w:val="00261E15"/>
    <w:rsid w:val="00262201"/>
    <w:rsid w:val="002625C3"/>
    <w:rsid w:val="00263215"/>
    <w:rsid w:val="00264047"/>
    <w:rsid w:val="002656D9"/>
    <w:rsid w:val="00266B05"/>
    <w:rsid w:val="002675B6"/>
    <w:rsid w:val="00267925"/>
    <w:rsid w:val="00270086"/>
    <w:rsid w:val="00270618"/>
    <w:rsid w:val="00270719"/>
    <w:rsid w:val="0027163F"/>
    <w:rsid w:val="00271B94"/>
    <w:rsid w:val="00272DB6"/>
    <w:rsid w:val="00273BAD"/>
    <w:rsid w:val="00274011"/>
    <w:rsid w:val="0027448B"/>
    <w:rsid w:val="00274952"/>
    <w:rsid w:val="0027517F"/>
    <w:rsid w:val="00275B28"/>
    <w:rsid w:val="00275F3C"/>
    <w:rsid w:val="0027624C"/>
    <w:rsid w:val="00276767"/>
    <w:rsid w:val="00276FF0"/>
    <w:rsid w:val="00277381"/>
    <w:rsid w:val="00277D7F"/>
    <w:rsid w:val="00281307"/>
    <w:rsid w:val="00281544"/>
    <w:rsid w:val="002816B8"/>
    <w:rsid w:val="0028264C"/>
    <w:rsid w:val="00282822"/>
    <w:rsid w:val="00282DDE"/>
    <w:rsid w:val="00283116"/>
    <w:rsid w:val="002831AC"/>
    <w:rsid w:val="00283617"/>
    <w:rsid w:val="00283B76"/>
    <w:rsid w:val="00284392"/>
    <w:rsid w:val="002847C8"/>
    <w:rsid w:val="00284A94"/>
    <w:rsid w:val="0028504D"/>
    <w:rsid w:val="00285053"/>
    <w:rsid w:val="00285357"/>
    <w:rsid w:val="002862C7"/>
    <w:rsid w:val="0028748D"/>
    <w:rsid w:val="00287B6B"/>
    <w:rsid w:val="002917E3"/>
    <w:rsid w:val="002919BD"/>
    <w:rsid w:val="00291B3F"/>
    <w:rsid w:val="00292820"/>
    <w:rsid w:val="00292971"/>
    <w:rsid w:val="002930D5"/>
    <w:rsid w:val="002939F4"/>
    <w:rsid w:val="00293C30"/>
    <w:rsid w:val="00293D06"/>
    <w:rsid w:val="00293E1B"/>
    <w:rsid w:val="002940EA"/>
    <w:rsid w:val="002946EB"/>
    <w:rsid w:val="00294BDD"/>
    <w:rsid w:val="00294F74"/>
    <w:rsid w:val="00295146"/>
    <w:rsid w:val="002957A2"/>
    <w:rsid w:val="00295A5F"/>
    <w:rsid w:val="002964D4"/>
    <w:rsid w:val="00296D2F"/>
    <w:rsid w:val="0029750C"/>
    <w:rsid w:val="00297AE0"/>
    <w:rsid w:val="00297C8D"/>
    <w:rsid w:val="00297F3D"/>
    <w:rsid w:val="002A0808"/>
    <w:rsid w:val="002A0CD5"/>
    <w:rsid w:val="002A194A"/>
    <w:rsid w:val="002A3170"/>
    <w:rsid w:val="002A42DD"/>
    <w:rsid w:val="002A5600"/>
    <w:rsid w:val="002A57C1"/>
    <w:rsid w:val="002A58FF"/>
    <w:rsid w:val="002A5A16"/>
    <w:rsid w:val="002A69C9"/>
    <w:rsid w:val="002A69FC"/>
    <w:rsid w:val="002A6DA8"/>
    <w:rsid w:val="002B1058"/>
    <w:rsid w:val="002B2084"/>
    <w:rsid w:val="002B27E3"/>
    <w:rsid w:val="002B2A82"/>
    <w:rsid w:val="002B35BB"/>
    <w:rsid w:val="002B4159"/>
    <w:rsid w:val="002B419E"/>
    <w:rsid w:val="002B5CA2"/>
    <w:rsid w:val="002B5E84"/>
    <w:rsid w:val="002B6013"/>
    <w:rsid w:val="002B677F"/>
    <w:rsid w:val="002B76DA"/>
    <w:rsid w:val="002B7A08"/>
    <w:rsid w:val="002C0BF0"/>
    <w:rsid w:val="002C17C0"/>
    <w:rsid w:val="002C187F"/>
    <w:rsid w:val="002C46A9"/>
    <w:rsid w:val="002C5A84"/>
    <w:rsid w:val="002C614C"/>
    <w:rsid w:val="002C615D"/>
    <w:rsid w:val="002C61AF"/>
    <w:rsid w:val="002C672E"/>
    <w:rsid w:val="002C6CCE"/>
    <w:rsid w:val="002C6ED1"/>
    <w:rsid w:val="002C7209"/>
    <w:rsid w:val="002C72C9"/>
    <w:rsid w:val="002C778D"/>
    <w:rsid w:val="002C779C"/>
    <w:rsid w:val="002C7E6A"/>
    <w:rsid w:val="002D05AC"/>
    <w:rsid w:val="002D216B"/>
    <w:rsid w:val="002D2F19"/>
    <w:rsid w:val="002D2F66"/>
    <w:rsid w:val="002D3378"/>
    <w:rsid w:val="002D359F"/>
    <w:rsid w:val="002D39B6"/>
    <w:rsid w:val="002D3AD0"/>
    <w:rsid w:val="002D448D"/>
    <w:rsid w:val="002D45D1"/>
    <w:rsid w:val="002D5698"/>
    <w:rsid w:val="002D57A3"/>
    <w:rsid w:val="002D6962"/>
    <w:rsid w:val="002D6CE0"/>
    <w:rsid w:val="002D7C28"/>
    <w:rsid w:val="002E144E"/>
    <w:rsid w:val="002E147A"/>
    <w:rsid w:val="002E1E26"/>
    <w:rsid w:val="002E1E99"/>
    <w:rsid w:val="002E2B2F"/>
    <w:rsid w:val="002E3090"/>
    <w:rsid w:val="002E31FF"/>
    <w:rsid w:val="002E48BA"/>
    <w:rsid w:val="002E56D5"/>
    <w:rsid w:val="002E618D"/>
    <w:rsid w:val="002E6E7E"/>
    <w:rsid w:val="002E7174"/>
    <w:rsid w:val="002E784A"/>
    <w:rsid w:val="002E7B13"/>
    <w:rsid w:val="002E7FCF"/>
    <w:rsid w:val="002F0058"/>
    <w:rsid w:val="002F087A"/>
    <w:rsid w:val="002F09E8"/>
    <w:rsid w:val="002F1F3E"/>
    <w:rsid w:val="002F276A"/>
    <w:rsid w:val="002F2AAB"/>
    <w:rsid w:val="002F355B"/>
    <w:rsid w:val="002F3603"/>
    <w:rsid w:val="002F367D"/>
    <w:rsid w:val="002F495B"/>
    <w:rsid w:val="002F4A26"/>
    <w:rsid w:val="002F6267"/>
    <w:rsid w:val="002F62DE"/>
    <w:rsid w:val="002F647E"/>
    <w:rsid w:val="002F6C25"/>
    <w:rsid w:val="002F709B"/>
    <w:rsid w:val="002F755B"/>
    <w:rsid w:val="002F7AF6"/>
    <w:rsid w:val="0030038F"/>
    <w:rsid w:val="003006DA"/>
    <w:rsid w:val="00300BB0"/>
    <w:rsid w:val="003011C1"/>
    <w:rsid w:val="00301422"/>
    <w:rsid w:val="0030285E"/>
    <w:rsid w:val="00302BA7"/>
    <w:rsid w:val="003035C1"/>
    <w:rsid w:val="00303D8E"/>
    <w:rsid w:val="00304249"/>
    <w:rsid w:val="0030460A"/>
    <w:rsid w:val="00304A38"/>
    <w:rsid w:val="003061E7"/>
    <w:rsid w:val="00306445"/>
    <w:rsid w:val="00310685"/>
    <w:rsid w:val="0031082A"/>
    <w:rsid w:val="00311D9C"/>
    <w:rsid w:val="00312033"/>
    <w:rsid w:val="003120B4"/>
    <w:rsid w:val="00312666"/>
    <w:rsid w:val="0031269F"/>
    <w:rsid w:val="00312E50"/>
    <w:rsid w:val="0031336B"/>
    <w:rsid w:val="0031440B"/>
    <w:rsid w:val="00314718"/>
    <w:rsid w:val="0031513F"/>
    <w:rsid w:val="00315644"/>
    <w:rsid w:val="00315BBC"/>
    <w:rsid w:val="003167AB"/>
    <w:rsid w:val="0031732E"/>
    <w:rsid w:val="00317A54"/>
    <w:rsid w:val="00317D60"/>
    <w:rsid w:val="00320A9F"/>
    <w:rsid w:val="00321352"/>
    <w:rsid w:val="00321AC6"/>
    <w:rsid w:val="00321B97"/>
    <w:rsid w:val="00321F5E"/>
    <w:rsid w:val="00322683"/>
    <w:rsid w:val="00322891"/>
    <w:rsid w:val="003229A7"/>
    <w:rsid w:val="00322B8A"/>
    <w:rsid w:val="00322C6C"/>
    <w:rsid w:val="00323320"/>
    <w:rsid w:val="003238EE"/>
    <w:rsid w:val="00323D6B"/>
    <w:rsid w:val="00324073"/>
    <w:rsid w:val="00324244"/>
    <w:rsid w:val="0032450F"/>
    <w:rsid w:val="0032535B"/>
    <w:rsid w:val="00325A61"/>
    <w:rsid w:val="00325C7F"/>
    <w:rsid w:val="00325EBF"/>
    <w:rsid w:val="0032653C"/>
    <w:rsid w:val="00326A29"/>
    <w:rsid w:val="00327A80"/>
    <w:rsid w:val="00330C07"/>
    <w:rsid w:val="0033189E"/>
    <w:rsid w:val="0033250E"/>
    <w:rsid w:val="00332FE6"/>
    <w:rsid w:val="00333151"/>
    <w:rsid w:val="003336C5"/>
    <w:rsid w:val="00333A5B"/>
    <w:rsid w:val="00333AE7"/>
    <w:rsid w:val="00333DF9"/>
    <w:rsid w:val="003346EC"/>
    <w:rsid w:val="00334BA6"/>
    <w:rsid w:val="0033535E"/>
    <w:rsid w:val="003362FB"/>
    <w:rsid w:val="00336911"/>
    <w:rsid w:val="00336D8D"/>
    <w:rsid w:val="0033711C"/>
    <w:rsid w:val="00340069"/>
    <w:rsid w:val="00340EBB"/>
    <w:rsid w:val="003413FF"/>
    <w:rsid w:val="00341B9D"/>
    <w:rsid w:val="00341C74"/>
    <w:rsid w:val="0034323F"/>
    <w:rsid w:val="003433EE"/>
    <w:rsid w:val="00343533"/>
    <w:rsid w:val="00344366"/>
    <w:rsid w:val="00345A29"/>
    <w:rsid w:val="00345CB1"/>
    <w:rsid w:val="00345FEB"/>
    <w:rsid w:val="003461DF"/>
    <w:rsid w:val="0034721E"/>
    <w:rsid w:val="00347B4E"/>
    <w:rsid w:val="003505E7"/>
    <w:rsid w:val="00350AB8"/>
    <w:rsid w:val="0035113D"/>
    <w:rsid w:val="00351CEF"/>
    <w:rsid w:val="003520AE"/>
    <w:rsid w:val="0035246C"/>
    <w:rsid w:val="0035312A"/>
    <w:rsid w:val="0035318E"/>
    <w:rsid w:val="00353447"/>
    <w:rsid w:val="003541C0"/>
    <w:rsid w:val="00354910"/>
    <w:rsid w:val="00354EAA"/>
    <w:rsid w:val="00354ECF"/>
    <w:rsid w:val="00355465"/>
    <w:rsid w:val="00355910"/>
    <w:rsid w:val="00355AFE"/>
    <w:rsid w:val="00356A21"/>
    <w:rsid w:val="00356F50"/>
    <w:rsid w:val="003574CB"/>
    <w:rsid w:val="00357AC7"/>
    <w:rsid w:val="0036015B"/>
    <w:rsid w:val="0036016E"/>
    <w:rsid w:val="003604D5"/>
    <w:rsid w:val="00361630"/>
    <w:rsid w:val="00361B6D"/>
    <w:rsid w:val="00361CA0"/>
    <w:rsid w:val="00362198"/>
    <w:rsid w:val="003623BA"/>
    <w:rsid w:val="00362D2A"/>
    <w:rsid w:val="00362EF3"/>
    <w:rsid w:val="003630DE"/>
    <w:rsid w:val="00363910"/>
    <w:rsid w:val="00363A19"/>
    <w:rsid w:val="003649D1"/>
    <w:rsid w:val="00364B78"/>
    <w:rsid w:val="003650B3"/>
    <w:rsid w:val="003658DD"/>
    <w:rsid w:val="003661DF"/>
    <w:rsid w:val="00366BCE"/>
    <w:rsid w:val="00367160"/>
    <w:rsid w:val="00370C68"/>
    <w:rsid w:val="00370F90"/>
    <w:rsid w:val="00370FBF"/>
    <w:rsid w:val="003711FE"/>
    <w:rsid w:val="00371719"/>
    <w:rsid w:val="00371CCF"/>
    <w:rsid w:val="00371F96"/>
    <w:rsid w:val="00372C2C"/>
    <w:rsid w:val="00372DC9"/>
    <w:rsid w:val="00372E8D"/>
    <w:rsid w:val="0037386E"/>
    <w:rsid w:val="003740FD"/>
    <w:rsid w:val="00374A6B"/>
    <w:rsid w:val="00376076"/>
    <w:rsid w:val="00376897"/>
    <w:rsid w:val="0037785E"/>
    <w:rsid w:val="00377E58"/>
    <w:rsid w:val="003817D7"/>
    <w:rsid w:val="00381965"/>
    <w:rsid w:val="003827E6"/>
    <w:rsid w:val="00382A6B"/>
    <w:rsid w:val="00382C62"/>
    <w:rsid w:val="00382FBE"/>
    <w:rsid w:val="003833E0"/>
    <w:rsid w:val="00383A25"/>
    <w:rsid w:val="00383D41"/>
    <w:rsid w:val="003844B8"/>
    <w:rsid w:val="003855E1"/>
    <w:rsid w:val="00385D72"/>
    <w:rsid w:val="00385EE8"/>
    <w:rsid w:val="00386364"/>
    <w:rsid w:val="0038664F"/>
    <w:rsid w:val="003869EF"/>
    <w:rsid w:val="0038767D"/>
    <w:rsid w:val="003907B2"/>
    <w:rsid w:val="003909EF"/>
    <w:rsid w:val="00390D5E"/>
    <w:rsid w:val="00390E49"/>
    <w:rsid w:val="003915E2"/>
    <w:rsid w:val="003919FB"/>
    <w:rsid w:val="00391D54"/>
    <w:rsid w:val="00392FF6"/>
    <w:rsid w:val="00393435"/>
    <w:rsid w:val="003936C6"/>
    <w:rsid w:val="0039417D"/>
    <w:rsid w:val="003952C6"/>
    <w:rsid w:val="00395D5A"/>
    <w:rsid w:val="00396CDE"/>
    <w:rsid w:val="003A01CB"/>
    <w:rsid w:val="003A01D0"/>
    <w:rsid w:val="003A0212"/>
    <w:rsid w:val="003A0330"/>
    <w:rsid w:val="003A09F0"/>
    <w:rsid w:val="003A10B8"/>
    <w:rsid w:val="003A1BA0"/>
    <w:rsid w:val="003A2A7E"/>
    <w:rsid w:val="003A2DD6"/>
    <w:rsid w:val="003A2EA6"/>
    <w:rsid w:val="003A318C"/>
    <w:rsid w:val="003A3442"/>
    <w:rsid w:val="003A3FC1"/>
    <w:rsid w:val="003A43EF"/>
    <w:rsid w:val="003A4BEB"/>
    <w:rsid w:val="003A5098"/>
    <w:rsid w:val="003A5227"/>
    <w:rsid w:val="003A56BE"/>
    <w:rsid w:val="003A5B1B"/>
    <w:rsid w:val="003A5FDC"/>
    <w:rsid w:val="003A617B"/>
    <w:rsid w:val="003A67F9"/>
    <w:rsid w:val="003A6D75"/>
    <w:rsid w:val="003A76B9"/>
    <w:rsid w:val="003A7A68"/>
    <w:rsid w:val="003B00E5"/>
    <w:rsid w:val="003B0649"/>
    <w:rsid w:val="003B1687"/>
    <w:rsid w:val="003B1F12"/>
    <w:rsid w:val="003B30D5"/>
    <w:rsid w:val="003B365B"/>
    <w:rsid w:val="003B3A4A"/>
    <w:rsid w:val="003B4639"/>
    <w:rsid w:val="003B4CBA"/>
    <w:rsid w:val="003B5112"/>
    <w:rsid w:val="003B51F5"/>
    <w:rsid w:val="003B6271"/>
    <w:rsid w:val="003B63A8"/>
    <w:rsid w:val="003B644C"/>
    <w:rsid w:val="003B7D29"/>
    <w:rsid w:val="003B7F20"/>
    <w:rsid w:val="003C0342"/>
    <w:rsid w:val="003C0D8B"/>
    <w:rsid w:val="003C1239"/>
    <w:rsid w:val="003C1909"/>
    <w:rsid w:val="003C1BED"/>
    <w:rsid w:val="003C1EE9"/>
    <w:rsid w:val="003C2A3F"/>
    <w:rsid w:val="003C2EB8"/>
    <w:rsid w:val="003C3FD2"/>
    <w:rsid w:val="003C42F2"/>
    <w:rsid w:val="003C48B5"/>
    <w:rsid w:val="003C4B43"/>
    <w:rsid w:val="003C585E"/>
    <w:rsid w:val="003C5A5A"/>
    <w:rsid w:val="003C6D68"/>
    <w:rsid w:val="003C7682"/>
    <w:rsid w:val="003C780F"/>
    <w:rsid w:val="003C7BAB"/>
    <w:rsid w:val="003D062B"/>
    <w:rsid w:val="003D06DA"/>
    <w:rsid w:val="003D07F6"/>
    <w:rsid w:val="003D1262"/>
    <w:rsid w:val="003D16B2"/>
    <w:rsid w:val="003D264B"/>
    <w:rsid w:val="003D29D1"/>
    <w:rsid w:val="003D2DC2"/>
    <w:rsid w:val="003D2F34"/>
    <w:rsid w:val="003D3788"/>
    <w:rsid w:val="003D5D27"/>
    <w:rsid w:val="003D6084"/>
    <w:rsid w:val="003D60A0"/>
    <w:rsid w:val="003D6187"/>
    <w:rsid w:val="003D749B"/>
    <w:rsid w:val="003D7DAD"/>
    <w:rsid w:val="003E0936"/>
    <w:rsid w:val="003E10D6"/>
    <w:rsid w:val="003E1EC4"/>
    <w:rsid w:val="003E2B03"/>
    <w:rsid w:val="003E2D3E"/>
    <w:rsid w:val="003E2FFE"/>
    <w:rsid w:val="003E314A"/>
    <w:rsid w:val="003E41C4"/>
    <w:rsid w:val="003E435C"/>
    <w:rsid w:val="003E7A50"/>
    <w:rsid w:val="003E7A6B"/>
    <w:rsid w:val="003F0921"/>
    <w:rsid w:val="003F13D9"/>
    <w:rsid w:val="003F168A"/>
    <w:rsid w:val="003F1CDA"/>
    <w:rsid w:val="003F1FE7"/>
    <w:rsid w:val="003F1FF7"/>
    <w:rsid w:val="003F39EE"/>
    <w:rsid w:val="003F3A4D"/>
    <w:rsid w:val="003F3D6D"/>
    <w:rsid w:val="003F4C62"/>
    <w:rsid w:val="003F5117"/>
    <w:rsid w:val="003F5CB1"/>
    <w:rsid w:val="003F6388"/>
    <w:rsid w:val="003F6750"/>
    <w:rsid w:val="003F6BDD"/>
    <w:rsid w:val="003F6DA0"/>
    <w:rsid w:val="003F75D9"/>
    <w:rsid w:val="003F7A28"/>
    <w:rsid w:val="004003AC"/>
    <w:rsid w:val="004004C3"/>
    <w:rsid w:val="00400947"/>
    <w:rsid w:val="00400A21"/>
    <w:rsid w:val="00402156"/>
    <w:rsid w:val="0040249F"/>
    <w:rsid w:val="00404080"/>
    <w:rsid w:val="004048F2"/>
    <w:rsid w:val="00404CE9"/>
    <w:rsid w:val="0040504E"/>
    <w:rsid w:val="00405231"/>
    <w:rsid w:val="00405B89"/>
    <w:rsid w:val="0040689A"/>
    <w:rsid w:val="00406FE2"/>
    <w:rsid w:val="004075AE"/>
    <w:rsid w:val="00407666"/>
    <w:rsid w:val="0040780A"/>
    <w:rsid w:val="00410D82"/>
    <w:rsid w:val="00410DED"/>
    <w:rsid w:val="00413090"/>
    <w:rsid w:val="00413399"/>
    <w:rsid w:val="0041360F"/>
    <w:rsid w:val="00414215"/>
    <w:rsid w:val="00414B8B"/>
    <w:rsid w:val="00415154"/>
    <w:rsid w:val="00415454"/>
    <w:rsid w:val="00415921"/>
    <w:rsid w:val="004167DB"/>
    <w:rsid w:val="004173D3"/>
    <w:rsid w:val="00417416"/>
    <w:rsid w:val="00417873"/>
    <w:rsid w:val="00417D93"/>
    <w:rsid w:val="00417E37"/>
    <w:rsid w:val="00417E3E"/>
    <w:rsid w:val="004210D7"/>
    <w:rsid w:val="00421AB2"/>
    <w:rsid w:val="00421B22"/>
    <w:rsid w:val="0042320A"/>
    <w:rsid w:val="00423344"/>
    <w:rsid w:val="004234C8"/>
    <w:rsid w:val="00425473"/>
    <w:rsid w:val="004257DC"/>
    <w:rsid w:val="00425A4C"/>
    <w:rsid w:val="00425E80"/>
    <w:rsid w:val="004268DA"/>
    <w:rsid w:val="00427511"/>
    <w:rsid w:val="00427CD3"/>
    <w:rsid w:val="00427DC3"/>
    <w:rsid w:val="00430826"/>
    <w:rsid w:val="0043085F"/>
    <w:rsid w:val="004310D5"/>
    <w:rsid w:val="00433011"/>
    <w:rsid w:val="00433831"/>
    <w:rsid w:val="00434B2E"/>
    <w:rsid w:val="004351C3"/>
    <w:rsid w:val="00435C3C"/>
    <w:rsid w:val="00435CEA"/>
    <w:rsid w:val="00436A2F"/>
    <w:rsid w:val="00436A8A"/>
    <w:rsid w:val="00436E19"/>
    <w:rsid w:val="00436F49"/>
    <w:rsid w:val="004379E6"/>
    <w:rsid w:val="00437F83"/>
    <w:rsid w:val="00440C71"/>
    <w:rsid w:val="00441766"/>
    <w:rsid w:val="004417B6"/>
    <w:rsid w:val="00443A9A"/>
    <w:rsid w:val="00444129"/>
    <w:rsid w:val="0044540F"/>
    <w:rsid w:val="00445716"/>
    <w:rsid w:val="0044589D"/>
    <w:rsid w:val="004461EC"/>
    <w:rsid w:val="004461FA"/>
    <w:rsid w:val="004463EB"/>
    <w:rsid w:val="00447020"/>
    <w:rsid w:val="00447665"/>
    <w:rsid w:val="004479F0"/>
    <w:rsid w:val="00447EF3"/>
    <w:rsid w:val="00450BC4"/>
    <w:rsid w:val="00451B90"/>
    <w:rsid w:val="0045248D"/>
    <w:rsid w:val="00453115"/>
    <w:rsid w:val="00453561"/>
    <w:rsid w:val="00453F0C"/>
    <w:rsid w:val="004543A9"/>
    <w:rsid w:val="0045476D"/>
    <w:rsid w:val="00454868"/>
    <w:rsid w:val="00455766"/>
    <w:rsid w:val="0045578E"/>
    <w:rsid w:val="00455918"/>
    <w:rsid w:val="00455B2F"/>
    <w:rsid w:val="00455CDD"/>
    <w:rsid w:val="00457DA6"/>
    <w:rsid w:val="00457F3B"/>
    <w:rsid w:val="004604CE"/>
    <w:rsid w:val="004617C4"/>
    <w:rsid w:val="00461873"/>
    <w:rsid w:val="004618B1"/>
    <w:rsid w:val="0046248C"/>
    <w:rsid w:val="00462821"/>
    <w:rsid w:val="004628C8"/>
    <w:rsid w:val="00463299"/>
    <w:rsid w:val="00463593"/>
    <w:rsid w:val="004638D6"/>
    <w:rsid w:val="0046438D"/>
    <w:rsid w:val="004647DC"/>
    <w:rsid w:val="004648EB"/>
    <w:rsid w:val="00464EEA"/>
    <w:rsid w:val="00465036"/>
    <w:rsid w:val="00465C46"/>
    <w:rsid w:val="0046600B"/>
    <w:rsid w:val="0046633C"/>
    <w:rsid w:val="00466481"/>
    <w:rsid w:val="00466C44"/>
    <w:rsid w:val="00467227"/>
    <w:rsid w:val="00467E25"/>
    <w:rsid w:val="004700FB"/>
    <w:rsid w:val="004705BD"/>
    <w:rsid w:val="0047088D"/>
    <w:rsid w:val="004708AA"/>
    <w:rsid w:val="00470DC2"/>
    <w:rsid w:val="004718CE"/>
    <w:rsid w:val="00472483"/>
    <w:rsid w:val="00472508"/>
    <w:rsid w:val="00472AA9"/>
    <w:rsid w:val="00472B3C"/>
    <w:rsid w:val="00473027"/>
    <w:rsid w:val="004732B1"/>
    <w:rsid w:val="004736C3"/>
    <w:rsid w:val="00473B9B"/>
    <w:rsid w:val="00473C0D"/>
    <w:rsid w:val="00473F43"/>
    <w:rsid w:val="00473F4D"/>
    <w:rsid w:val="004741E8"/>
    <w:rsid w:val="00474504"/>
    <w:rsid w:val="00475AA4"/>
    <w:rsid w:val="00475B0C"/>
    <w:rsid w:val="0047726F"/>
    <w:rsid w:val="0047766F"/>
    <w:rsid w:val="00477807"/>
    <w:rsid w:val="004800B6"/>
    <w:rsid w:val="0048083D"/>
    <w:rsid w:val="0048142D"/>
    <w:rsid w:val="004819C4"/>
    <w:rsid w:val="0048289A"/>
    <w:rsid w:val="00482EB7"/>
    <w:rsid w:val="00483344"/>
    <w:rsid w:val="00483527"/>
    <w:rsid w:val="004849DB"/>
    <w:rsid w:val="0048588E"/>
    <w:rsid w:val="00486755"/>
    <w:rsid w:val="00486B2C"/>
    <w:rsid w:val="0048757A"/>
    <w:rsid w:val="004876CA"/>
    <w:rsid w:val="00487ABA"/>
    <w:rsid w:val="004906A3"/>
    <w:rsid w:val="00490C94"/>
    <w:rsid w:val="00490EF0"/>
    <w:rsid w:val="004912D6"/>
    <w:rsid w:val="004919ED"/>
    <w:rsid w:val="00491CF3"/>
    <w:rsid w:val="004921DB"/>
    <w:rsid w:val="0049287B"/>
    <w:rsid w:val="004929FF"/>
    <w:rsid w:val="004932E0"/>
    <w:rsid w:val="004940A9"/>
    <w:rsid w:val="00494473"/>
    <w:rsid w:val="0049476C"/>
    <w:rsid w:val="004955D8"/>
    <w:rsid w:val="00495652"/>
    <w:rsid w:val="0049592A"/>
    <w:rsid w:val="00495AA8"/>
    <w:rsid w:val="00495BB5"/>
    <w:rsid w:val="00496E88"/>
    <w:rsid w:val="004970E0"/>
    <w:rsid w:val="00497F6D"/>
    <w:rsid w:val="004A01FB"/>
    <w:rsid w:val="004A0B80"/>
    <w:rsid w:val="004A10B4"/>
    <w:rsid w:val="004A1855"/>
    <w:rsid w:val="004A1D91"/>
    <w:rsid w:val="004A1FD7"/>
    <w:rsid w:val="004A2164"/>
    <w:rsid w:val="004A2599"/>
    <w:rsid w:val="004A3493"/>
    <w:rsid w:val="004A3CEE"/>
    <w:rsid w:val="004A3E5E"/>
    <w:rsid w:val="004A40C1"/>
    <w:rsid w:val="004A4E9B"/>
    <w:rsid w:val="004A509A"/>
    <w:rsid w:val="004A55A7"/>
    <w:rsid w:val="004A5788"/>
    <w:rsid w:val="004A591F"/>
    <w:rsid w:val="004A6F33"/>
    <w:rsid w:val="004A6F85"/>
    <w:rsid w:val="004A781A"/>
    <w:rsid w:val="004A7BDB"/>
    <w:rsid w:val="004B082D"/>
    <w:rsid w:val="004B0A8B"/>
    <w:rsid w:val="004B164E"/>
    <w:rsid w:val="004B1E39"/>
    <w:rsid w:val="004B2051"/>
    <w:rsid w:val="004B2110"/>
    <w:rsid w:val="004B34ED"/>
    <w:rsid w:val="004B3BC2"/>
    <w:rsid w:val="004B6602"/>
    <w:rsid w:val="004B73E6"/>
    <w:rsid w:val="004C15BE"/>
    <w:rsid w:val="004C3100"/>
    <w:rsid w:val="004C3A8B"/>
    <w:rsid w:val="004C3D1B"/>
    <w:rsid w:val="004C45E6"/>
    <w:rsid w:val="004C51B4"/>
    <w:rsid w:val="004C5E2C"/>
    <w:rsid w:val="004C75F0"/>
    <w:rsid w:val="004C7A2F"/>
    <w:rsid w:val="004C7AE8"/>
    <w:rsid w:val="004C7C83"/>
    <w:rsid w:val="004D11B7"/>
    <w:rsid w:val="004D1447"/>
    <w:rsid w:val="004D156D"/>
    <w:rsid w:val="004D19C4"/>
    <w:rsid w:val="004D227E"/>
    <w:rsid w:val="004D266F"/>
    <w:rsid w:val="004D2865"/>
    <w:rsid w:val="004D3073"/>
    <w:rsid w:val="004D31EB"/>
    <w:rsid w:val="004D3382"/>
    <w:rsid w:val="004D3E91"/>
    <w:rsid w:val="004D49C5"/>
    <w:rsid w:val="004D4C09"/>
    <w:rsid w:val="004D4E99"/>
    <w:rsid w:val="004D4EAD"/>
    <w:rsid w:val="004D5107"/>
    <w:rsid w:val="004D57FC"/>
    <w:rsid w:val="004D679E"/>
    <w:rsid w:val="004D7551"/>
    <w:rsid w:val="004D7716"/>
    <w:rsid w:val="004D78A6"/>
    <w:rsid w:val="004D78CD"/>
    <w:rsid w:val="004D7A0A"/>
    <w:rsid w:val="004E1B63"/>
    <w:rsid w:val="004E1FFE"/>
    <w:rsid w:val="004E213F"/>
    <w:rsid w:val="004E241F"/>
    <w:rsid w:val="004E2429"/>
    <w:rsid w:val="004E294B"/>
    <w:rsid w:val="004E2A19"/>
    <w:rsid w:val="004E30A6"/>
    <w:rsid w:val="004E3136"/>
    <w:rsid w:val="004E380F"/>
    <w:rsid w:val="004E3949"/>
    <w:rsid w:val="004E4B3E"/>
    <w:rsid w:val="004E514A"/>
    <w:rsid w:val="004E544F"/>
    <w:rsid w:val="004E5770"/>
    <w:rsid w:val="004E64D8"/>
    <w:rsid w:val="004E6B13"/>
    <w:rsid w:val="004F00E6"/>
    <w:rsid w:val="004F038F"/>
    <w:rsid w:val="004F0431"/>
    <w:rsid w:val="004F0F50"/>
    <w:rsid w:val="004F0F5A"/>
    <w:rsid w:val="004F1329"/>
    <w:rsid w:val="004F1358"/>
    <w:rsid w:val="004F1BC2"/>
    <w:rsid w:val="004F2458"/>
    <w:rsid w:val="004F30A4"/>
    <w:rsid w:val="004F3DAB"/>
    <w:rsid w:val="004F45A5"/>
    <w:rsid w:val="004F4F3D"/>
    <w:rsid w:val="004F50C7"/>
    <w:rsid w:val="004F56B2"/>
    <w:rsid w:val="004F56E7"/>
    <w:rsid w:val="004F5745"/>
    <w:rsid w:val="004F63DE"/>
    <w:rsid w:val="004F68F7"/>
    <w:rsid w:val="004F6D61"/>
    <w:rsid w:val="004F71D2"/>
    <w:rsid w:val="005005A7"/>
    <w:rsid w:val="00500D2F"/>
    <w:rsid w:val="00500F29"/>
    <w:rsid w:val="00501A37"/>
    <w:rsid w:val="00501E17"/>
    <w:rsid w:val="00502180"/>
    <w:rsid w:val="005024E5"/>
    <w:rsid w:val="00502B98"/>
    <w:rsid w:val="00502C60"/>
    <w:rsid w:val="00503709"/>
    <w:rsid w:val="005037D7"/>
    <w:rsid w:val="005051A2"/>
    <w:rsid w:val="005052A0"/>
    <w:rsid w:val="0050599B"/>
    <w:rsid w:val="005062F1"/>
    <w:rsid w:val="0050642E"/>
    <w:rsid w:val="00506871"/>
    <w:rsid w:val="0050700E"/>
    <w:rsid w:val="00507A4E"/>
    <w:rsid w:val="00507E65"/>
    <w:rsid w:val="0051001D"/>
    <w:rsid w:val="00510928"/>
    <w:rsid w:val="00511414"/>
    <w:rsid w:val="00511C67"/>
    <w:rsid w:val="00513159"/>
    <w:rsid w:val="00513242"/>
    <w:rsid w:val="00513C05"/>
    <w:rsid w:val="00513EE5"/>
    <w:rsid w:val="00514872"/>
    <w:rsid w:val="00514D15"/>
    <w:rsid w:val="00514E40"/>
    <w:rsid w:val="0051512B"/>
    <w:rsid w:val="005156B6"/>
    <w:rsid w:val="0051583F"/>
    <w:rsid w:val="005160DA"/>
    <w:rsid w:val="005161DD"/>
    <w:rsid w:val="0051651C"/>
    <w:rsid w:val="00516904"/>
    <w:rsid w:val="00516D4F"/>
    <w:rsid w:val="00516E5B"/>
    <w:rsid w:val="005172F2"/>
    <w:rsid w:val="005174F5"/>
    <w:rsid w:val="005177E5"/>
    <w:rsid w:val="005178A0"/>
    <w:rsid w:val="00517DA2"/>
    <w:rsid w:val="00521726"/>
    <w:rsid w:val="00521897"/>
    <w:rsid w:val="00521FFE"/>
    <w:rsid w:val="00522C1A"/>
    <w:rsid w:val="00526461"/>
    <w:rsid w:val="00527562"/>
    <w:rsid w:val="00527BA2"/>
    <w:rsid w:val="00530CBE"/>
    <w:rsid w:val="00531662"/>
    <w:rsid w:val="00531A04"/>
    <w:rsid w:val="00532D60"/>
    <w:rsid w:val="00533667"/>
    <w:rsid w:val="00534109"/>
    <w:rsid w:val="005348B1"/>
    <w:rsid w:val="00534C86"/>
    <w:rsid w:val="00535D3A"/>
    <w:rsid w:val="00535F33"/>
    <w:rsid w:val="00536208"/>
    <w:rsid w:val="0053627F"/>
    <w:rsid w:val="00536568"/>
    <w:rsid w:val="00536752"/>
    <w:rsid w:val="0053750A"/>
    <w:rsid w:val="005379EF"/>
    <w:rsid w:val="00537B22"/>
    <w:rsid w:val="00537E7A"/>
    <w:rsid w:val="00540441"/>
    <w:rsid w:val="00540DD3"/>
    <w:rsid w:val="00541B3C"/>
    <w:rsid w:val="005421EB"/>
    <w:rsid w:val="005422DF"/>
    <w:rsid w:val="00542C9A"/>
    <w:rsid w:val="00544CBC"/>
    <w:rsid w:val="00544DB1"/>
    <w:rsid w:val="00544EBC"/>
    <w:rsid w:val="005455B3"/>
    <w:rsid w:val="005458C1"/>
    <w:rsid w:val="00546CD9"/>
    <w:rsid w:val="00547280"/>
    <w:rsid w:val="005474BB"/>
    <w:rsid w:val="005475C4"/>
    <w:rsid w:val="0055009A"/>
    <w:rsid w:val="00550433"/>
    <w:rsid w:val="0055077B"/>
    <w:rsid w:val="005507A9"/>
    <w:rsid w:val="005510CF"/>
    <w:rsid w:val="00551328"/>
    <w:rsid w:val="0055280E"/>
    <w:rsid w:val="00552D20"/>
    <w:rsid w:val="005532A6"/>
    <w:rsid w:val="00553624"/>
    <w:rsid w:val="005536C9"/>
    <w:rsid w:val="00553831"/>
    <w:rsid w:val="00554B4B"/>
    <w:rsid w:val="00555F6B"/>
    <w:rsid w:val="005561E6"/>
    <w:rsid w:val="0055667B"/>
    <w:rsid w:val="005569FF"/>
    <w:rsid w:val="00556CB2"/>
    <w:rsid w:val="005573F1"/>
    <w:rsid w:val="005577D2"/>
    <w:rsid w:val="005603CC"/>
    <w:rsid w:val="00560438"/>
    <w:rsid w:val="0056073F"/>
    <w:rsid w:val="00560960"/>
    <w:rsid w:val="00561669"/>
    <w:rsid w:val="00561C43"/>
    <w:rsid w:val="0056295E"/>
    <w:rsid w:val="005635A6"/>
    <w:rsid w:val="00563932"/>
    <w:rsid w:val="00563D6D"/>
    <w:rsid w:val="0056583A"/>
    <w:rsid w:val="00565D5D"/>
    <w:rsid w:val="00566591"/>
    <w:rsid w:val="005666B4"/>
    <w:rsid w:val="005673CC"/>
    <w:rsid w:val="005705B2"/>
    <w:rsid w:val="00570CBB"/>
    <w:rsid w:val="00570D4D"/>
    <w:rsid w:val="00570ED5"/>
    <w:rsid w:val="005717AC"/>
    <w:rsid w:val="00571AE9"/>
    <w:rsid w:val="00571BE9"/>
    <w:rsid w:val="005747BC"/>
    <w:rsid w:val="00575771"/>
    <w:rsid w:val="00575EDF"/>
    <w:rsid w:val="00577B2E"/>
    <w:rsid w:val="00577C76"/>
    <w:rsid w:val="00577D1B"/>
    <w:rsid w:val="00577E95"/>
    <w:rsid w:val="00580543"/>
    <w:rsid w:val="00580699"/>
    <w:rsid w:val="0058156B"/>
    <w:rsid w:val="005820AC"/>
    <w:rsid w:val="005824B3"/>
    <w:rsid w:val="005825F0"/>
    <w:rsid w:val="0058480E"/>
    <w:rsid w:val="00585193"/>
    <w:rsid w:val="00585DBF"/>
    <w:rsid w:val="0058631F"/>
    <w:rsid w:val="0058640E"/>
    <w:rsid w:val="00586E94"/>
    <w:rsid w:val="00587720"/>
    <w:rsid w:val="00587BE0"/>
    <w:rsid w:val="00587E64"/>
    <w:rsid w:val="00590216"/>
    <w:rsid w:val="00590230"/>
    <w:rsid w:val="00591A04"/>
    <w:rsid w:val="00592583"/>
    <w:rsid w:val="005927DE"/>
    <w:rsid w:val="00593156"/>
    <w:rsid w:val="00593CC8"/>
    <w:rsid w:val="00593FDC"/>
    <w:rsid w:val="00594708"/>
    <w:rsid w:val="00594D53"/>
    <w:rsid w:val="00595347"/>
    <w:rsid w:val="0059579A"/>
    <w:rsid w:val="0059630F"/>
    <w:rsid w:val="00596C2E"/>
    <w:rsid w:val="005A01D4"/>
    <w:rsid w:val="005A05B7"/>
    <w:rsid w:val="005A097B"/>
    <w:rsid w:val="005A0B14"/>
    <w:rsid w:val="005A155E"/>
    <w:rsid w:val="005A172E"/>
    <w:rsid w:val="005A1CF0"/>
    <w:rsid w:val="005A2EE6"/>
    <w:rsid w:val="005A3696"/>
    <w:rsid w:val="005A3796"/>
    <w:rsid w:val="005A3811"/>
    <w:rsid w:val="005A395F"/>
    <w:rsid w:val="005A3B81"/>
    <w:rsid w:val="005A61EC"/>
    <w:rsid w:val="005A63B9"/>
    <w:rsid w:val="005A63FF"/>
    <w:rsid w:val="005A6916"/>
    <w:rsid w:val="005A71CE"/>
    <w:rsid w:val="005A7987"/>
    <w:rsid w:val="005B03F4"/>
    <w:rsid w:val="005B0A5E"/>
    <w:rsid w:val="005B0C85"/>
    <w:rsid w:val="005B1C64"/>
    <w:rsid w:val="005B1DE7"/>
    <w:rsid w:val="005B2708"/>
    <w:rsid w:val="005B2A93"/>
    <w:rsid w:val="005B2C85"/>
    <w:rsid w:val="005B3348"/>
    <w:rsid w:val="005B3669"/>
    <w:rsid w:val="005B3E9D"/>
    <w:rsid w:val="005B46B2"/>
    <w:rsid w:val="005B475E"/>
    <w:rsid w:val="005B4E26"/>
    <w:rsid w:val="005B5F09"/>
    <w:rsid w:val="005B6284"/>
    <w:rsid w:val="005B647C"/>
    <w:rsid w:val="005B71EA"/>
    <w:rsid w:val="005B76DC"/>
    <w:rsid w:val="005B77B5"/>
    <w:rsid w:val="005B782C"/>
    <w:rsid w:val="005B784D"/>
    <w:rsid w:val="005B7FC2"/>
    <w:rsid w:val="005C01AA"/>
    <w:rsid w:val="005C07F3"/>
    <w:rsid w:val="005C16F7"/>
    <w:rsid w:val="005C1AFC"/>
    <w:rsid w:val="005C3B86"/>
    <w:rsid w:val="005C3DFA"/>
    <w:rsid w:val="005C3F52"/>
    <w:rsid w:val="005C41FA"/>
    <w:rsid w:val="005C4476"/>
    <w:rsid w:val="005C50B0"/>
    <w:rsid w:val="005C5DE3"/>
    <w:rsid w:val="005C65AD"/>
    <w:rsid w:val="005C6AA3"/>
    <w:rsid w:val="005C6E4E"/>
    <w:rsid w:val="005C7430"/>
    <w:rsid w:val="005C7C2C"/>
    <w:rsid w:val="005C7EB9"/>
    <w:rsid w:val="005D0271"/>
    <w:rsid w:val="005D20F5"/>
    <w:rsid w:val="005D3461"/>
    <w:rsid w:val="005D3C45"/>
    <w:rsid w:val="005D3EAA"/>
    <w:rsid w:val="005D3F20"/>
    <w:rsid w:val="005D420A"/>
    <w:rsid w:val="005D4550"/>
    <w:rsid w:val="005D4936"/>
    <w:rsid w:val="005D52D7"/>
    <w:rsid w:val="005D6009"/>
    <w:rsid w:val="005D60B9"/>
    <w:rsid w:val="005D680D"/>
    <w:rsid w:val="005D6C0F"/>
    <w:rsid w:val="005D7133"/>
    <w:rsid w:val="005D7E10"/>
    <w:rsid w:val="005D7EFD"/>
    <w:rsid w:val="005E0239"/>
    <w:rsid w:val="005E031B"/>
    <w:rsid w:val="005E0542"/>
    <w:rsid w:val="005E0719"/>
    <w:rsid w:val="005E1EF9"/>
    <w:rsid w:val="005E229F"/>
    <w:rsid w:val="005E2361"/>
    <w:rsid w:val="005E336F"/>
    <w:rsid w:val="005E3CDA"/>
    <w:rsid w:val="005E4EDF"/>
    <w:rsid w:val="005E5416"/>
    <w:rsid w:val="005E565B"/>
    <w:rsid w:val="005E5F1D"/>
    <w:rsid w:val="005E7314"/>
    <w:rsid w:val="005E7421"/>
    <w:rsid w:val="005E7742"/>
    <w:rsid w:val="005E7CFA"/>
    <w:rsid w:val="005F09B6"/>
    <w:rsid w:val="005F0A42"/>
    <w:rsid w:val="005F10DB"/>
    <w:rsid w:val="005F158E"/>
    <w:rsid w:val="005F1D47"/>
    <w:rsid w:val="005F1E3E"/>
    <w:rsid w:val="005F1EF5"/>
    <w:rsid w:val="005F214B"/>
    <w:rsid w:val="005F2C82"/>
    <w:rsid w:val="005F338A"/>
    <w:rsid w:val="005F3560"/>
    <w:rsid w:val="005F3A73"/>
    <w:rsid w:val="005F44E8"/>
    <w:rsid w:val="005F4C88"/>
    <w:rsid w:val="005F5261"/>
    <w:rsid w:val="005F60BE"/>
    <w:rsid w:val="005F62BD"/>
    <w:rsid w:val="005F68B9"/>
    <w:rsid w:val="005F73D7"/>
    <w:rsid w:val="005F7EE7"/>
    <w:rsid w:val="006000E0"/>
    <w:rsid w:val="006005DB"/>
    <w:rsid w:val="0060099A"/>
    <w:rsid w:val="00600D84"/>
    <w:rsid w:val="00601B01"/>
    <w:rsid w:val="00601FA1"/>
    <w:rsid w:val="00602157"/>
    <w:rsid w:val="00602DD6"/>
    <w:rsid w:val="00602F84"/>
    <w:rsid w:val="00605094"/>
    <w:rsid w:val="006065A0"/>
    <w:rsid w:val="00606C49"/>
    <w:rsid w:val="00607FA2"/>
    <w:rsid w:val="00610511"/>
    <w:rsid w:val="00610944"/>
    <w:rsid w:val="00611358"/>
    <w:rsid w:val="006122A9"/>
    <w:rsid w:val="006129F6"/>
    <w:rsid w:val="00612B85"/>
    <w:rsid w:val="00612C24"/>
    <w:rsid w:val="006137B0"/>
    <w:rsid w:val="006137BA"/>
    <w:rsid w:val="00613FF8"/>
    <w:rsid w:val="00614020"/>
    <w:rsid w:val="0061421A"/>
    <w:rsid w:val="00614ABD"/>
    <w:rsid w:val="00615159"/>
    <w:rsid w:val="00615512"/>
    <w:rsid w:val="00615B48"/>
    <w:rsid w:val="00615F30"/>
    <w:rsid w:val="00616486"/>
    <w:rsid w:val="006165BE"/>
    <w:rsid w:val="00616CCC"/>
    <w:rsid w:val="00616FF1"/>
    <w:rsid w:val="00617350"/>
    <w:rsid w:val="00617442"/>
    <w:rsid w:val="00617453"/>
    <w:rsid w:val="006204FA"/>
    <w:rsid w:val="0062077D"/>
    <w:rsid w:val="0062085C"/>
    <w:rsid w:val="00620E0E"/>
    <w:rsid w:val="00622186"/>
    <w:rsid w:val="00623023"/>
    <w:rsid w:val="00623DD0"/>
    <w:rsid w:val="00623E36"/>
    <w:rsid w:val="006243AF"/>
    <w:rsid w:val="006248EF"/>
    <w:rsid w:val="006256BB"/>
    <w:rsid w:val="006257E1"/>
    <w:rsid w:val="00625D0D"/>
    <w:rsid w:val="00626E33"/>
    <w:rsid w:val="00630319"/>
    <w:rsid w:val="00630D67"/>
    <w:rsid w:val="00631276"/>
    <w:rsid w:val="00631974"/>
    <w:rsid w:val="00631AAE"/>
    <w:rsid w:val="00632AE5"/>
    <w:rsid w:val="006331DA"/>
    <w:rsid w:val="0063326D"/>
    <w:rsid w:val="00633924"/>
    <w:rsid w:val="00633D09"/>
    <w:rsid w:val="006344C5"/>
    <w:rsid w:val="00634A2E"/>
    <w:rsid w:val="00635454"/>
    <w:rsid w:val="0063556B"/>
    <w:rsid w:val="00635DA2"/>
    <w:rsid w:val="00635EB9"/>
    <w:rsid w:val="00636728"/>
    <w:rsid w:val="00636B96"/>
    <w:rsid w:val="00636F00"/>
    <w:rsid w:val="00640F56"/>
    <w:rsid w:val="0064193E"/>
    <w:rsid w:val="006419DC"/>
    <w:rsid w:val="00641D6F"/>
    <w:rsid w:val="006427A4"/>
    <w:rsid w:val="00643979"/>
    <w:rsid w:val="00643C2B"/>
    <w:rsid w:val="00643FFE"/>
    <w:rsid w:val="006444A9"/>
    <w:rsid w:val="00644F55"/>
    <w:rsid w:val="0064524F"/>
    <w:rsid w:val="0064599B"/>
    <w:rsid w:val="006464FD"/>
    <w:rsid w:val="00647861"/>
    <w:rsid w:val="00647B92"/>
    <w:rsid w:val="006502B7"/>
    <w:rsid w:val="00650710"/>
    <w:rsid w:val="00650C81"/>
    <w:rsid w:val="006512FF"/>
    <w:rsid w:val="0065135D"/>
    <w:rsid w:val="00651469"/>
    <w:rsid w:val="006514A9"/>
    <w:rsid w:val="006516BF"/>
    <w:rsid w:val="00652583"/>
    <w:rsid w:val="00652837"/>
    <w:rsid w:val="006528F2"/>
    <w:rsid w:val="00652AFA"/>
    <w:rsid w:val="00652F6D"/>
    <w:rsid w:val="0065332C"/>
    <w:rsid w:val="00653AA4"/>
    <w:rsid w:val="00654370"/>
    <w:rsid w:val="00654578"/>
    <w:rsid w:val="00655898"/>
    <w:rsid w:val="00656830"/>
    <w:rsid w:val="00656BCD"/>
    <w:rsid w:val="00657CC3"/>
    <w:rsid w:val="006609FD"/>
    <w:rsid w:val="00660D3F"/>
    <w:rsid w:val="0066143C"/>
    <w:rsid w:val="006617B2"/>
    <w:rsid w:val="00661DE2"/>
    <w:rsid w:val="00662256"/>
    <w:rsid w:val="006637A2"/>
    <w:rsid w:val="00663CA3"/>
    <w:rsid w:val="00664762"/>
    <w:rsid w:val="00664781"/>
    <w:rsid w:val="00664B48"/>
    <w:rsid w:val="00664BFA"/>
    <w:rsid w:val="00664E61"/>
    <w:rsid w:val="00664F99"/>
    <w:rsid w:val="006656ED"/>
    <w:rsid w:val="00665A2C"/>
    <w:rsid w:val="00665AE3"/>
    <w:rsid w:val="00666163"/>
    <w:rsid w:val="00666250"/>
    <w:rsid w:val="00666D4E"/>
    <w:rsid w:val="00667148"/>
    <w:rsid w:val="00667D69"/>
    <w:rsid w:val="00670243"/>
    <w:rsid w:val="0067039B"/>
    <w:rsid w:val="0067116E"/>
    <w:rsid w:val="006715E5"/>
    <w:rsid w:val="006729B8"/>
    <w:rsid w:val="00672D92"/>
    <w:rsid w:val="00673375"/>
    <w:rsid w:val="00673504"/>
    <w:rsid w:val="00673627"/>
    <w:rsid w:val="00673C45"/>
    <w:rsid w:val="00673C8A"/>
    <w:rsid w:val="00674491"/>
    <w:rsid w:val="006746E7"/>
    <w:rsid w:val="00674D66"/>
    <w:rsid w:val="00675A84"/>
    <w:rsid w:val="00675D4F"/>
    <w:rsid w:val="00675E7F"/>
    <w:rsid w:val="006763C0"/>
    <w:rsid w:val="0067673A"/>
    <w:rsid w:val="006779FB"/>
    <w:rsid w:val="006801E6"/>
    <w:rsid w:val="00680AEE"/>
    <w:rsid w:val="00680BA5"/>
    <w:rsid w:val="006813AC"/>
    <w:rsid w:val="00681C03"/>
    <w:rsid w:val="00681DAF"/>
    <w:rsid w:val="0068228A"/>
    <w:rsid w:val="006823E5"/>
    <w:rsid w:val="006826F0"/>
    <w:rsid w:val="00682C95"/>
    <w:rsid w:val="00682CF1"/>
    <w:rsid w:val="00683194"/>
    <w:rsid w:val="00683D16"/>
    <w:rsid w:val="006849AF"/>
    <w:rsid w:val="00684C24"/>
    <w:rsid w:val="006850CE"/>
    <w:rsid w:val="0068541C"/>
    <w:rsid w:val="006858D4"/>
    <w:rsid w:val="00686361"/>
    <w:rsid w:val="00686A2A"/>
    <w:rsid w:val="0068727F"/>
    <w:rsid w:val="006874F1"/>
    <w:rsid w:val="00687AF7"/>
    <w:rsid w:val="00687E1C"/>
    <w:rsid w:val="00687ED8"/>
    <w:rsid w:val="0069001C"/>
    <w:rsid w:val="00690A73"/>
    <w:rsid w:val="00690BEC"/>
    <w:rsid w:val="00690D4A"/>
    <w:rsid w:val="00690F94"/>
    <w:rsid w:val="00692122"/>
    <w:rsid w:val="00692299"/>
    <w:rsid w:val="006928EA"/>
    <w:rsid w:val="00692C37"/>
    <w:rsid w:val="00692C7C"/>
    <w:rsid w:val="006936A6"/>
    <w:rsid w:val="00693A42"/>
    <w:rsid w:val="00693C08"/>
    <w:rsid w:val="0069494F"/>
    <w:rsid w:val="006952C3"/>
    <w:rsid w:val="00695DBC"/>
    <w:rsid w:val="00695F69"/>
    <w:rsid w:val="0069626F"/>
    <w:rsid w:val="0069687C"/>
    <w:rsid w:val="00696D00"/>
    <w:rsid w:val="00696F32"/>
    <w:rsid w:val="006A03BD"/>
    <w:rsid w:val="006A073A"/>
    <w:rsid w:val="006A0E2E"/>
    <w:rsid w:val="006A17DA"/>
    <w:rsid w:val="006A1922"/>
    <w:rsid w:val="006A1C93"/>
    <w:rsid w:val="006A2345"/>
    <w:rsid w:val="006A40DE"/>
    <w:rsid w:val="006A410D"/>
    <w:rsid w:val="006A412D"/>
    <w:rsid w:val="006A4319"/>
    <w:rsid w:val="006A440D"/>
    <w:rsid w:val="006A463F"/>
    <w:rsid w:val="006A4F72"/>
    <w:rsid w:val="006A68B6"/>
    <w:rsid w:val="006A7008"/>
    <w:rsid w:val="006A7236"/>
    <w:rsid w:val="006A72C5"/>
    <w:rsid w:val="006B1A41"/>
    <w:rsid w:val="006B1A6B"/>
    <w:rsid w:val="006B1DF4"/>
    <w:rsid w:val="006B20F2"/>
    <w:rsid w:val="006B229E"/>
    <w:rsid w:val="006B2849"/>
    <w:rsid w:val="006B2BB4"/>
    <w:rsid w:val="006B325D"/>
    <w:rsid w:val="006B3F58"/>
    <w:rsid w:val="006B43BB"/>
    <w:rsid w:val="006B44C8"/>
    <w:rsid w:val="006B463A"/>
    <w:rsid w:val="006B5B08"/>
    <w:rsid w:val="006B603A"/>
    <w:rsid w:val="006B6DCE"/>
    <w:rsid w:val="006B7463"/>
    <w:rsid w:val="006C074F"/>
    <w:rsid w:val="006C0839"/>
    <w:rsid w:val="006C092B"/>
    <w:rsid w:val="006C0BB5"/>
    <w:rsid w:val="006C0BC7"/>
    <w:rsid w:val="006C0C74"/>
    <w:rsid w:val="006C0E00"/>
    <w:rsid w:val="006C114C"/>
    <w:rsid w:val="006C11D2"/>
    <w:rsid w:val="006C2019"/>
    <w:rsid w:val="006C21FD"/>
    <w:rsid w:val="006C2487"/>
    <w:rsid w:val="006C3E23"/>
    <w:rsid w:val="006C4DF8"/>
    <w:rsid w:val="006C54DB"/>
    <w:rsid w:val="006C6728"/>
    <w:rsid w:val="006C6F96"/>
    <w:rsid w:val="006C7449"/>
    <w:rsid w:val="006C7ECA"/>
    <w:rsid w:val="006D0CAF"/>
    <w:rsid w:val="006D0D3F"/>
    <w:rsid w:val="006D0F78"/>
    <w:rsid w:val="006D100C"/>
    <w:rsid w:val="006D156F"/>
    <w:rsid w:val="006D442F"/>
    <w:rsid w:val="006D4534"/>
    <w:rsid w:val="006D4A8D"/>
    <w:rsid w:val="006D4C62"/>
    <w:rsid w:val="006D5DD4"/>
    <w:rsid w:val="006D60EC"/>
    <w:rsid w:val="006D717C"/>
    <w:rsid w:val="006D7398"/>
    <w:rsid w:val="006E0C7A"/>
    <w:rsid w:val="006E0D74"/>
    <w:rsid w:val="006E2F7D"/>
    <w:rsid w:val="006E34A1"/>
    <w:rsid w:val="006E3C78"/>
    <w:rsid w:val="006E53EA"/>
    <w:rsid w:val="006E5F42"/>
    <w:rsid w:val="006E6036"/>
    <w:rsid w:val="006E65A4"/>
    <w:rsid w:val="006E6C17"/>
    <w:rsid w:val="006E6DEA"/>
    <w:rsid w:val="006E6E3F"/>
    <w:rsid w:val="006E7CDC"/>
    <w:rsid w:val="006F0957"/>
    <w:rsid w:val="006F1E7D"/>
    <w:rsid w:val="006F2532"/>
    <w:rsid w:val="006F308E"/>
    <w:rsid w:val="006F3686"/>
    <w:rsid w:val="006F3A6B"/>
    <w:rsid w:val="006F3E94"/>
    <w:rsid w:val="006F409A"/>
    <w:rsid w:val="006F425F"/>
    <w:rsid w:val="006F52E2"/>
    <w:rsid w:val="006F609B"/>
    <w:rsid w:val="006F638A"/>
    <w:rsid w:val="006F6524"/>
    <w:rsid w:val="006F77A7"/>
    <w:rsid w:val="006F7D74"/>
    <w:rsid w:val="007000DB"/>
    <w:rsid w:val="00700216"/>
    <w:rsid w:val="0070067D"/>
    <w:rsid w:val="00702287"/>
    <w:rsid w:val="007024FD"/>
    <w:rsid w:val="00702804"/>
    <w:rsid w:val="007035B1"/>
    <w:rsid w:val="00703A7A"/>
    <w:rsid w:val="007051E3"/>
    <w:rsid w:val="007054B4"/>
    <w:rsid w:val="0070586A"/>
    <w:rsid w:val="00705A53"/>
    <w:rsid w:val="00705BC6"/>
    <w:rsid w:val="007068F7"/>
    <w:rsid w:val="00706BCC"/>
    <w:rsid w:val="00707364"/>
    <w:rsid w:val="0070783E"/>
    <w:rsid w:val="007103D8"/>
    <w:rsid w:val="00710456"/>
    <w:rsid w:val="00710466"/>
    <w:rsid w:val="00710816"/>
    <w:rsid w:val="00710DFC"/>
    <w:rsid w:val="00710F74"/>
    <w:rsid w:val="00711049"/>
    <w:rsid w:val="00712B32"/>
    <w:rsid w:val="00713A29"/>
    <w:rsid w:val="00713AE1"/>
    <w:rsid w:val="0071457C"/>
    <w:rsid w:val="00714B43"/>
    <w:rsid w:val="00714BCC"/>
    <w:rsid w:val="0071535E"/>
    <w:rsid w:val="00715E49"/>
    <w:rsid w:val="0071793F"/>
    <w:rsid w:val="00717A40"/>
    <w:rsid w:val="00717C73"/>
    <w:rsid w:val="007205DD"/>
    <w:rsid w:val="00720BD7"/>
    <w:rsid w:val="00720DB3"/>
    <w:rsid w:val="00721586"/>
    <w:rsid w:val="0072277C"/>
    <w:rsid w:val="007228F3"/>
    <w:rsid w:val="007232CF"/>
    <w:rsid w:val="007235B7"/>
    <w:rsid w:val="007235E7"/>
    <w:rsid w:val="00724A10"/>
    <w:rsid w:val="00724A21"/>
    <w:rsid w:val="00724BF2"/>
    <w:rsid w:val="00725599"/>
    <w:rsid w:val="00725775"/>
    <w:rsid w:val="00725ED6"/>
    <w:rsid w:val="00726203"/>
    <w:rsid w:val="0073011A"/>
    <w:rsid w:val="007301DC"/>
    <w:rsid w:val="007305C0"/>
    <w:rsid w:val="0073122B"/>
    <w:rsid w:val="007313F1"/>
    <w:rsid w:val="00731821"/>
    <w:rsid w:val="007320B6"/>
    <w:rsid w:val="0073214A"/>
    <w:rsid w:val="007330B6"/>
    <w:rsid w:val="007338AA"/>
    <w:rsid w:val="00733EE7"/>
    <w:rsid w:val="007346CB"/>
    <w:rsid w:val="007350CB"/>
    <w:rsid w:val="007354F2"/>
    <w:rsid w:val="00735B42"/>
    <w:rsid w:val="007365CE"/>
    <w:rsid w:val="00736BFF"/>
    <w:rsid w:val="00737287"/>
    <w:rsid w:val="007377E6"/>
    <w:rsid w:val="00737B94"/>
    <w:rsid w:val="00737F0D"/>
    <w:rsid w:val="00740897"/>
    <w:rsid w:val="007420E2"/>
    <w:rsid w:val="00742A3E"/>
    <w:rsid w:val="00743380"/>
    <w:rsid w:val="0074396E"/>
    <w:rsid w:val="00743CBF"/>
    <w:rsid w:val="00746640"/>
    <w:rsid w:val="00746646"/>
    <w:rsid w:val="00747132"/>
    <w:rsid w:val="0074733F"/>
    <w:rsid w:val="007474C8"/>
    <w:rsid w:val="0074768B"/>
    <w:rsid w:val="00747D11"/>
    <w:rsid w:val="00752FE0"/>
    <w:rsid w:val="00753644"/>
    <w:rsid w:val="00753AA2"/>
    <w:rsid w:val="00753AEA"/>
    <w:rsid w:val="00753C91"/>
    <w:rsid w:val="00754E66"/>
    <w:rsid w:val="00754F7F"/>
    <w:rsid w:val="00755365"/>
    <w:rsid w:val="00755782"/>
    <w:rsid w:val="00755C30"/>
    <w:rsid w:val="007575BE"/>
    <w:rsid w:val="00760319"/>
    <w:rsid w:val="00760381"/>
    <w:rsid w:val="0076068A"/>
    <w:rsid w:val="007606A9"/>
    <w:rsid w:val="00760975"/>
    <w:rsid w:val="00760B02"/>
    <w:rsid w:val="007616D2"/>
    <w:rsid w:val="00761BB5"/>
    <w:rsid w:val="00761BCD"/>
    <w:rsid w:val="007621E2"/>
    <w:rsid w:val="007623F5"/>
    <w:rsid w:val="007628ED"/>
    <w:rsid w:val="00763991"/>
    <w:rsid w:val="00764470"/>
    <w:rsid w:val="00764489"/>
    <w:rsid w:val="007649F8"/>
    <w:rsid w:val="00764BAD"/>
    <w:rsid w:val="007673A5"/>
    <w:rsid w:val="00767538"/>
    <w:rsid w:val="00767E4F"/>
    <w:rsid w:val="00770536"/>
    <w:rsid w:val="00770910"/>
    <w:rsid w:val="00770D85"/>
    <w:rsid w:val="0077110F"/>
    <w:rsid w:val="0077148D"/>
    <w:rsid w:val="0077247C"/>
    <w:rsid w:val="00772B81"/>
    <w:rsid w:val="00772E15"/>
    <w:rsid w:val="00773308"/>
    <w:rsid w:val="00773BAC"/>
    <w:rsid w:val="00773C8D"/>
    <w:rsid w:val="007742FF"/>
    <w:rsid w:val="00774689"/>
    <w:rsid w:val="007749C0"/>
    <w:rsid w:val="00774F14"/>
    <w:rsid w:val="007751DE"/>
    <w:rsid w:val="00776E79"/>
    <w:rsid w:val="00776FDD"/>
    <w:rsid w:val="00777B60"/>
    <w:rsid w:val="0078065D"/>
    <w:rsid w:val="0078118B"/>
    <w:rsid w:val="0078126E"/>
    <w:rsid w:val="00781BDD"/>
    <w:rsid w:val="00782FD4"/>
    <w:rsid w:val="00783F13"/>
    <w:rsid w:val="00784230"/>
    <w:rsid w:val="00784315"/>
    <w:rsid w:val="007844CF"/>
    <w:rsid w:val="00784634"/>
    <w:rsid w:val="00784A69"/>
    <w:rsid w:val="00785AF6"/>
    <w:rsid w:val="0078616F"/>
    <w:rsid w:val="0078631E"/>
    <w:rsid w:val="00787B49"/>
    <w:rsid w:val="00787BCE"/>
    <w:rsid w:val="00787DBF"/>
    <w:rsid w:val="0079012E"/>
    <w:rsid w:val="007902A8"/>
    <w:rsid w:val="00790510"/>
    <w:rsid w:val="00790913"/>
    <w:rsid w:val="00790D0E"/>
    <w:rsid w:val="00790ED8"/>
    <w:rsid w:val="0079130D"/>
    <w:rsid w:val="00791317"/>
    <w:rsid w:val="00791576"/>
    <w:rsid w:val="00792B0B"/>
    <w:rsid w:val="00792B24"/>
    <w:rsid w:val="00792D24"/>
    <w:rsid w:val="0079334F"/>
    <w:rsid w:val="0079467E"/>
    <w:rsid w:val="007946CE"/>
    <w:rsid w:val="0079486B"/>
    <w:rsid w:val="00795776"/>
    <w:rsid w:val="007971CF"/>
    <w:rsid w:val="007A013B"/>
    <w:rsid w:val="007A0512"/>
    <w:rsid w:val="007A1226"/>
    <w:rsid w:val="007A3EF1"/>
    <w:rsid w:val="007A4179"/>
    <w:rsid w:val="007A4C18"/>
    <w:rsid w:val="007A4F17"/>
    <w:rsid w:val="007A6938"/>
    <w:rsid w:val="007A7773"/>
    <w:rsid w:val="007B0235"/>
    <w:rsid w:val="007B0AEA"/>
    <w:rsid w:val="007B0D07"/>
    <w:rsid w:val="007B0F65"/>
    <w:rsid w:val="007B15BF"/>
    <w:rsid w:val="007B1CF8"/>
    <w:rsid w:val="007B21DD"/>
    <w:rsid w:val="007B2F42"/>
    <w:rsid w:val="007B3CC9"/>
    <w:rsid w:val="007B4960"/>
    <w:rsid w:val="007B4EEC"/>
    <w:rsid w:val="007B50FE"/>
    <w:rsid w:val="007B5253"/>
    <w:rsid w:val="007B65C0"/>
    <w:rsid w:val="007B7A97"/>
    <w:rsid w:val="007B7FFE"/>
    <w:rsid w:val="007C0556"/>
    <w:rsid w:val="007C07EB"/>
    <w:rsid w:val="007C0840"/>
    <w:rsid w:val="007C2F2A"/>
    <w:rsid w:val="007C360D"/>
    <w:rsid w:val="007C390B"/>
    <w:rsid w:val="007C3C06"/>
    <w:rsid w:val="007C42D2"/>
    <w:rsid w:val="007C44A1"/>
    <w:rsid w:val="007C4D67"/>
    <w:rsid w:val="007C596A"/>
    <w:rsid w:val="007C59C6"/>
    <w:rsid w:val="007C609F"/>
    <w:rsid w:val="007C6613"/>
    <w:rsid w:val="007C7AC5"/>
    <w:rsid w:val="007C7BB8"/>
    <w:rsid w:val="007C7D4E"/>
    <w:rsid w:val="007D0C07"/>
    <w:rsid w:val="007D2360"/>
    <w:rsid w:val="007D243B"/>
    <w:rsid w:val="007D24A2"/>
    <w:rsid w:val="007D2BE9"/>
    <w:rsid w:val="007D2D12"/>
    <w:rsid w:val="007D31FA"/>
    <w:rsid w:val="007D3508"/>
    <w:rsid w:val="007D35C3"/>
    <w:rsid w:val="007D381A"/>
    <w:rsid w:val="007D46E1"/>
    <w:rsid w:val="007D4BDE"/>
    <w:rsid w:val="007D5132"/>
    <w:rsid w:val="007D5681"/>
    <w:rsid w:val="007D56A9"/>
    <w:rsid w:val="007D585C"/>
    <w:rsid w:val="007D5886"/>
    <w:rsid w:val="007D58DD"/>
    <w:rsid w:val="007D5D28"/>
    <w:rsid w:val="007D63F4"/>
    <w:rsid w:val="007D6B13"/>
    <w:rsid w:val="007D70F7"/>
    <w:rsid w:val="007D7252"/>
    <w:rsid w:val="007D7872"/>
    <w:rsid w:val="007D7B87"/>
    <w:rsid w:val="007D7F6F"/>
    <w:rsid w:val="007E0F0E"/>
    <w:rsid w:val="007E1252"/>
    <w:rsid w:val="007E16BB"/>
    <w:rsid w:val="007E21DF"/>
    <w:rsid w:val="007E3630"/>
    <w:rsid w:val="007E441E"/>
    <w:rsid w:val="007E4CEB"/>
    <w:rsid w:val="007E5116"/>
    <w:rsid w:val="007E51B7"/>
    <w:rsid w:val="007E618A"/>
    <w:rsid w:val="007E69B5"/>
    <w:rsid w:val="007E6F77"/>
    <w:rsid w:val="007E7018"/>
    <w:rsid w:val="007E755E"/>
    <w:rsid w:val="007E75FA"/>
    <w:rsid w:val="007E792D"/>
    <w:rsid w:val="007E7ED2"/>
    <w:rsid w:val="007E7F85"/>
    <w:rsid w:val="007F013C"/>
    <w:rsid w:val="007F0174"/>
    <w:rsid w:val="007F0337"/>
    <w:rsid w:val="007F0B94"/>
    <w:rsid w:val="007F0CA9"/>
    <w:rsid w:val="007F1591"/>
    <w:rsid w:val="007F1680"/>
    <w:rsid w:val="007F1E96"/>
    <w:rsid w:val="007F200C"/>
    <w:rsid w:val="007F2741"/>
    <w:rsid w:val="007F2E14"/>
    <w:rsid w:val="007F3B8A"/>
    <w:rsid w:val="007F3DF6"/>
    <w:rsid w:val="007F45DA"/>
    <w:rsid w:val="007F4C3D"/>
    <w:rsid w:val="007F5ED1"/>
    <w:rsid w:val="007F7719"/>
    <w:rsid w:val="007F7979"/>
    <w:rsid w:val="007F7D36"/>
    <w:rsid w:val="0080160B"/>
    <w:rsid w:val="0080234F"/>
    <w:rsid w:val="0080312C"/>
    <w:rsid w:val="00803818"/>
    <w:rsid w:val="00803B70"/>
    <w:rsid w:val="00803E67"/>
    <w:rsid w:val="0080467A"/>
    <w:rsid w:val="008048AB"/>
    <w:rsid w:val="0080538A"/>
    <w:rsid w:val="00805691"/>
    <w:rsid w:val="008059ED"/>
    <w:rsid w:val="00805BAE"/>
    <w:rsid w:val="00805C3F"/>
    <w:rsid w:val="00805C75"/>
    <w:rsid w:val="00806810"/>
    <w:rsid w:val="008068E8"/>
    <w:rsid w:val="00810822"/>
    <w:rsid w:val="00810C3C"/>
    <w:rsid w:val="00810CDE"/>
    <w:rsid w:val="008112A9"/>
    <w:rsid w:val="00811569"/>
    <w:rsid w:val="0081255F"/>
    <w:rsid w:val="0081266A"/>
    <w:rsid w:val="008132DC"/>
    <w:rsid w:val="00813455"/>
    <w:rsid w:val="0081349E"/>
    <w:rsid w:val="008136F1"/>
    <w:rsid w:val="00813943"/>
    <w:rsid w:val="00813AA6"/>
    <w:rsid w:val="00814456"/>
    <w:rsid w:val="00814B3C"/>
    <w:rsid w:val="0081629F"/>
    <w:rsid w:val="008164F1"/>
    <w:rsid w:val="00816C27"/>
    <w:rsid w:val="0081759F"/>
    <w:rsid w:val="0081760D"/>
    <w:rsid w:val="008200C8"/>
    <w:rsid w:val="0082038F"/>
    <w:rsid w:val="00820A71"/>
    <w:rsid w:val="00820BCC"/>
    <w:rsid w:val="00820DCD"/>
    <w:rsid w:val="00820E08"/>
    <w:rsid w:val="00820FEC"/>
    <w:rsid w:val="00821BC6"/>
    <w:rsid w:val="00821DE9"/>
    <w:rsid w:val="00821ED5"/>
    <w:rsid w:val="00822A0A"/>
    <w:rsid w:val="00822A15"/>
    <w:rsid w:val="00822C94"/>
    <w:rsid w:val="008236CC"/>
    <w:rsid w:val="0082379B"/>
    <w:rsid w:val="00823B54"/>
    <w:rsid w:val="00823BC4"/>
    <w:rsid w:val="00824446"/>
    <w:rsid w:val="00824B77"/>
    <w:rsid w:val="00824C2E"/>
    <w:rsid w:val="00824F69"/>
    <w:rsid w:val="00824FC8"/>
    <w:rsid w:val="00825740"/>
    <w:rsid w:val="00825C2F"/>
    <w:rsid w:val="00825CAD"/>
    <w:rsid w:val="0082669D"/>
    <w:rsid w:val="0082783B"/>
    <w:rsid w:val="00827B75"/>
    <w:rsid w:val="0083032A"/>
    <w:rsid w:val="0083049C"/>
    <w:rsid w:val="008304FF"/>
    <w:rsid w:val="00830821"/>
    <w:rsid w:val="0083083F"/>
    <w:rsid w:val="00831007"/>
    <w:rsid w:val="00831157"/>
    <w:rsid w:val="00832D57"/>
    <w:rsid w:val="00833E2C"/>
    <w:rsid w:val="00834A50"/>
    <w:rsid w:val="00835426"/>
    <w:rsid w:val="00835DC8"/>
    <w:rsid w:val="008361D1"/>
    <w:rsid w:val="00836968"/>
    <w:rsid w:val="008369F6"/>
    <w:rsid w:val="00836D62"/>
    <w:rsid w:val="008373CA"/>
    <w:rsid w:val="00837461"/>
    <w:rsid w:val="00840243"/>
    <w:rsid w:val="00842651"/>
    <w:rsid w:val="00843A1B"/>
    <w:rsid w:val="00843AB6"/>
    <w:rsid w:val="00843F5B"/>
    <w:rsid w:val="0084411B"/>
    <w:rsid w:val="0084465F"/>
    <w:rsid w:val="00844F9F"/>
    <w:rsid w:val="00845FB2"/>
    <w:rsid w:val="008467CD"/>
    <w:rsid w:val="00846BAD"/>
    <w:rsid w:val="0085059B"/>
    <w:rsid w:val="008506BA"/>
    <w:rsid w:val="008510F0"/>
    <w:rsid w:val="008517F0"/>
    <w:rsid w:val="008518CB"/>
    <w:rsid w:val="00851DFC"/>
    <w:rsid w:val="00852BA2"/>
    <w:rsid w:val="00852DCA"/>
    <w:rsid w:val="008530F3"/>
    <w:rsid w:val="00853106"/>
    <w:rsid w:val="0085430E"/>
    <w:rsid w:val="008547F7"/>
    <w:rsid w:val="00854BB2"/>
    <w:rsid w:val="00855E53"/>
    <w:rsid w:val="00856552"/>
    <w:rsid w:val="008565AE"/>
    <w:rsid w:val="008578F3"/>
    <w:rsid w:val="0086055C"/>
    <w:rsid w:val="00860D73"/>
    <w:rsid w:val="00860E70"/>
    <w:rsid w:val="0086103D"/>
    <w:rsid w:val="008619F4"/>
    <w:rsid w:val="00861D67"/>
    <w:rsid w:val="008621AB"/>
    <w:rsid w:val="008631DD"/>
    <w:rsid w:val="00863E74"/>
    <w:rsid w:val="00863FE5"/>
    <w:rsid w:val="00865A1E"/>
    <w:rsid w:val="00866744"/>
    <w:rsid w:val="00866E57"/>
    <w:rsid w:val="008673F9"/>
    <w:rsid w:val="00867CB3"/>
    <w:rsid w:val="0087002A"/>
    <w:rsid w:val="00870A58"/>
    <w:rsid w:val="0087108A"/>
    <w:rsid w:val="00871A3A"/>
    <w:rsid w:val="00873010"/>
    <w:rsid w:val="00873173"/>
    <w:rsid w:val="00873857"/>
    <w:rsid w:val="00873A4B"/>
    <w:rsid w:val="00873A65"/>
    <w:rsid w:val="00873BFA"/>
    <w:rsid w:val="008744DA"/>
    <w:rsid w:val="00874580"/>
    <w:rsid w:val="008752F6"/>
    <w:rsid w:val="008756F6"/>
    <w:rsid w:val="00875739"/>
    <w:rsid w:val="008759FD"/>
    <w:rsid w:val="0087646F"/>
    <w:rsid w:val="00876DFC"/>
    <w:rsid w:val="008775C2"/>
    <w:rsid w:val="008775C9"/>
    <w:rsid w:val="0087772C"/>
    <w:rsid w:val="00877F8A"/>
    <w:rsid w:val="00880380"/>
    <w:rsid w:val="00880545"/>
    <w:rsid w:val="008805C6"/>
    <w:rsid w:val="0088115C"/>
    <w:rsid w:val="00882666"/>
    <w:rsid w:val="0088317C"/>
    <w:rsid w:val="00883C9B"/>
    <w:rsid w:val="0088458E"/>
    <w:rsid w:val="0088488D"/>
    <w:rsid w:val="00884A45"/>
    <w:rsid w:val="00885007"/>
    <w:rsid w:val="00885008"/>
    <w:rsid w:val="008855B5"/>
    <w:rsid w:val="00885DFE"/>
    <w:rsid w:val="00886177"/>
    <w:rsid w:val="00886A0E"/>
    <w:rsid w:val="00886DA1"/>
    <w:rsid w:val="008873E8"/>
    <w:rsid w:val="00887565"/>
    <w:rsid w:val="00887B5C"/>
    <w:rsid w:val="00887C1B"/>
    <w:rsid w:val="008904D6"/>
    <w:rsid w:val="008912D3"/>
    <w:rsid w:val="00891979"/>
    <w:rsid w:val="00891A93"/>
    <w:rsid w:val="00891CEE"/>
    <w:rsid w:val="00892135"/>
    <w:rsid w:val="0089241D"/>
    <w:rsid w:val="00892B60"/>
    <w:rsid w:val="00892CF6"/>
    <w:rsid w:val="00893352"/>
    <w:rsid w:val="00893E1A"/>
    <w:rsid w:val="00894076"/>
    <w:rsid w:val="008944E7"/>
    <w:rsid w:val="00894947"/>
    <w:rsid w:val="00894D23"/>
    <w:rsid w:val="00895469"/>
    <w:rsid w:val="008955FC"/>
    <w:rsid w:val="008959C0"/>
    <w:rsid w:val="00895E5E"/>
    <w:rsid w:val="00896016"/>
    <w:rsid w:val="008964AB"/>
    <w:rsid w:val="00896E7F"/>
    <w:rsid w:val="008972E7"/>
    <w:rsid w:val="0089773A"/>
    <w:rsid w:val="008978BC"/>
    <w:rsid w:val="00897A64"/>
    <w:rsid w:val="00897FB4"/>
    <w:rsid w:val="008A0CB1"/>
    <w:rsid w:val="008A20A1"/>
    <w:rsid w:val="008A21C5"/>
    <w:rsid w:val="008A2D1F"/>
    <w:rsid w:val="008A3841"/>
    <w:rsid w:val="008A42B9"/>
    <w:rsid w:val="008A4984"/>
    <w:rsid w:val="008A541F"/>
    <w:rsid w:val="008A5F31"/>
    <w:rsid w:val="008B0399"/>
    <w:rsid w:val="008B1734"/>
    <w:rsid w:val="008B1A44"/>
    <w:rsid w:val="008B3C3B"/>
    <w:rsid w:val="008B4227"/>
    <w:rsid w:val="008B554E"/>
    <w:rsid w:val="008B5B3C"/>
    <w:rsid w:val="008B6DDA"/>
    <w:rsid w:val="008C132D"/>
    <w:rsid w:val="008C188B"/>
    <w:rsid w:val="008C18BA"/>
    <w:rsid w:val="008C25F4"/>
    <w:rsid w:val="008C2843"/>
    <w:rsid w:val="008C398F"/>
    <w:rsid w:val="008C3CC2"/>
    <w:rsid w:val="008C4BB3"/>
    <w:rsid w:val="008C53A4"/>
    <w:rsid w:val="008C5F0C"/>
    <w:rsid w:val="008C63CB"/>
    <w:rsid w:val="008C6A7E"/>
    <w:rsid w:val="008C7169"/>
    <w:rsid w:val="008D046C"/>
    <w:rsid w:val="008D07A4"/>
    <w:rsid w:val="008D0EA9"/>
    <w:rsid w:val="008D10BB"/>
    <w:rsid w:val="008D1659"/>
    <w:rsid w:val="008D1704"/>
    <w:rsid w:val="008D1A7D"/>
    <w:rsid w:val="008D1B89"/>
    <w:rsid w:val="008D1C5F"/>
    <w:rsid w:val="008D2191"/>
    <w:rsid w:val="008D25AA"/>
    <w:rsid w:val="008D2DC4"/>
    <w:rsid w:val="008D3DE5"/>
    <w:rsid w:val="008D4C7C"/>
    <w:rsid w:val="008D4F23"/>
    <w:rsid w:val="008D512F"/>
    <w:rsid w:val="008D55AC"/>
    <w:rsid w:val="008D58C1"/>
    <w:rsid w:val="008D636F"/>
    <w:rsid w:val="008D7165"/>
    <w:rsid w:val="008D7487"/>
    <w:rsid w:val="008D796E"/>
    <w:rsid w:val="008D7DA8"/>
    <w:rsid w:val="008E0226"/>
    <w:rsid w:val="008E0CFB"/>
    <w:rsid w:val="008E0FC9"/>
    <w:rsid w:val="008E10B2"/>
    <w:rsid w:val="008E1ACC"/>
    <w:rsid w:val="008E2815"/>
    <w:rsid w:val="008E281A"/>
    <w:rsid w:val="008E2F43"/>
    <w:rsid w:val="008E38D4"/>
    <w:rsid w:val="008E3A5C"/>
    <w:rsid w:val="008E4137"/>
    <w:rsid w:val="008E45B9"/>
    <w:rsid w:val="008E4741"/>
    <w:rsid w:val="008E490B"/>
    <w:rsid w:val="008E49A5"/>
    <w:rsid w:val="008E4EF8"/>
    <w:rsid w:val="008E57CE"/>
    <w:rsid w:val="008E58F7"/>
    <w:rsid w:val="008E5C3C"/>
    <w:rsid w:val="008E5E04"/>
    <w:rsid w:val="008E65D9"/>
    <w:rsid w:val="008E6A27"/>
    <w:rsid w:val="008E6AA2"/>
    <w:rsid w:val="008E719B"/>
    <w:rsid w:val="008E725C"/>
    <w:rsid w:val="008E754B"/>
    <w:rsid w:val="008E78F9"/>
    <w:rsid w:val="008F1255"/>
    <w:rsid w:val="008F19C5"/>
    <w:rsid w:val="008F23E4"/>
    <w:rsid w:val="008F2A18"/>
    <w:rsid w:val="008F2AB0"/>
    <w:rsid w:val="008F2E16"/>
    <w:rsid w:val="008F2E48"/>
    <w:rsid w:val="008F3F9C"/>
    <w:rsid w:val="008F495D"/>
    <w:rsid w:val="008F49BD"/>
    <w:rsid w:val="008F4B14"/>
    <w:rsid w:val="008F550B"/>
    <w:rsid w:val="008F6D24"/>
    <w:rsid w:val="008F6EFD"/>
    <w:rsid w:val="008F7DC6"/>
    <w:rsid w:val="008F7E49"/>
    <w:rsid w:val="008F7FF1"/>
    <w:rsid w:val="009000EC"/>
    <w:rsid w:val="009015FF"/>
    <w:rsid w:val="0090178D"/>
    <w:rsid w:val="00902009"/>
    <w:rsid w:val="00902791"/>
    <w:rsid w:val="0090324B"/>
    <w:rsid w:val="0090349C"/>
    <w:rsid w:val="00903C51"/>
    <w:rsid w:val="00905EC7"/>
    <w:rsid w:val="009060DD"/>
    <w:rsid w:val="0090622D"/>
    <w:rsid w:val="00906BBC"/>
    <w:rsid w:val="00910358"/>
    <w:rsid w:val="0091035B"/>
    <w:rsid w:val="00910C68"/>
    <w:rsid w:val="0091370A"/>
    <w:rsid w:val="00914823"/>
    <w:rsid w:val="00914928"/>
    <w:rsid w:val="00914E33"/>
    <w:rsid w:val="00915439"/>
    <w:rsid w:val="009159B4"/>
    <w:rsid w:val="00915B1E"/>
    <w:rsid w:val="00916463"/>
    <w:rsid w:val="0091735A"/>
    <w:rsid w:val="00917400"/>
    <w:rsid w:val="00917A67"/>
    <w:rsid w:val="00917C3F"/>
    <w:rsid w:val="00920629"/>
    <w:rsid w:val="00920A4F"/>
    <w:rsid w:val="0092207C"/>
    <w:rsid w:val="009220ED"/>
    <w:rsid w:val="009222F8"/>
    <w:rsid w:val="009225F2"/>
    <w:rsid w:val="00922B48"/>
    <w:rsid w:val="009238A9"/>
    <w:rsid w:val="00924294"/>
    <w:rsid w:val="009245FE"/>
    <w:rsid w:val="0092474E"/>
    <w:rsid w:val="00924FE7"/>
    <w:rsid w:val="009254AC"/>
    <w:rsid w:val="00925E05"/>
    <w:rsid w:val="0092616E"/>
    <w:rsid w:val="00926ECC"/>
    <w:rsid w:val="00927A2E"/>
    <w:rsid w:val="0093100E"/>
    <w:rsid w:val="00931A25"/>
    <w:rsid w:val="00931D2D"/>
    <w:rsid w:val="00932137"/>
    <w:rsid w:val="00932FC6"/>
    <w:rsid w:val="009333FC"/>
    <w:rsid w:val="009339C5"/>
    <w:rsid w:val="00933CCF"/>
    <w:rsid w:val="009347E0"/>
    <w:rsid w:val="00934DF4"/>
    <w:rsid w:val="00934E74"/>
    <w:rsid w:val="00935D4E"/>
    <w:rsid w:val="00935F7A"/>
    <w:rsid w:val="00936108"/>
    <w:rsid w:val="0093622B"/>
    <w:rsid w:val="009363DD"/>
    <w:rsid w:val="0093694A"/>
    <w:rsid w:val="009369FD"/>
    <w:rsid w:val="00937810"/>
    <w:rsid w:val="00937CC1"/>
    <w:rsid w:val="00940269"/>
    <w:rsid w:val="00940537"/>
    <w:rsid w:val="009406FA"/>
    <w:rsid w:val="00940720"/>
    <w:rsid w:val="00940766"/>
    <w:rsid w:val="00940B5D"/>
    <w:rsid w:val="00942326"/>
    <w:rsid w:val="009429AA"/>
    <w:rsid w:val="00942A71"/>
    <w:rsid w:val="00943D69"/>
    <w:rsid w:val="00945759"/>
    <w:rsid w:val="00945866"/>
    <w:rsid w:val="00946DC1"/>
    <w:rsid w:val="0094731B"/>
    <w:rsid w:val="00947712"/>
    <w:rsid w:val="00950694"/>
    <w:rsid w:val="009511C5"/>
    <w:rsid w:val="00952B4D"/>
    <w:rsid w:val="00952B7F"/>
    <w:rsid w:val="00953130"/>
    <w:rsid w:val="00953143"/>
    <w:rsid w:val="00953D39"/>
    <w:rsid w:val="00955E2B"/>
    <w:rsid w:val="009567BB"/>
    <w:rsid w:val="00956A4F"/>
    <w:rsid w:val="0095765A"/>
    <w:rsid w:val="009579BD"/>
    <w:rsid w:val="0096026E"/>
    <w:rsid w:val="00960D20"/>
    <w:rsid w:val="00960F2C"/>
    <w:rsid w:val="00961C50"/>
    <w:rsid w:val="009620B9"/>
    <w:rsid w:val="00962430"/>
    <w:rsid w:val="009627DC"/>
    <w:rsid w:val="00962C21"/>
    <w:rsid w:val="00963145"/>
    <w:rsid w:val="00963FA0"/>
    <w:rsid w:val="009644B1"/>
    <w:rsid w:val="00964779"/>
    <w:rsid w:val="00964801"/>
    <w:rsid w:val="00964950"/>
    <w:rsid w:val="00964ABF"/>
    <w:rsid w:val="00965035"/>
    <w:rsid w:val="00965663"/>
    <w:rsid w:val="00965D8F"/>
    <w:rsid w:val="0096675C"/>
    <w:rsid w:val="009677CD"/>
    <w:rsid w:val="0097047B"/>
    <w:rsid w:val="009704B4"/>
    <w:rsid w:val="009719CA"/>
    <w:rsid w:val="009722E7"/>
    <w:rsid w:val="0097241A"/>
    <w:rsid w:val="00972726"/>
    <w:rsid w:val="00972CBA"/>
    <w:rsid w:val="00972EB7"/>
    <w:rsid w:val="00973051"/>
    <w:rsid w:val="009734F4"/>
    <w:rsid w:val="00973CDD"/>
    <w:rsid w:val="00974799"/>
    <w:rsid w:val="009749BF"/>
    <w:rsid w:val="00974D14"/>
    <w:rsid w:val="00975A7B"/>
    <w:rsid w:val="00975B2B"/>
    <w:rsid w:val="00975ED8"/>
    <w:rsid w:val="00976CDB"/>
    <w:rsid w:val="00977C6A"/>
    <w:rsid w:val="00977FB8"/>
    <w:rsid w:val="00980C72"/>
    <w:rsid w:val="00980D10"/>
    <w:rsid w:val="00980F1B"/>
    <w:rsid w:val="0098130D"/>
    <w:rsid w:val="00981907"/>
    <w:rsid w:val="00981F70"/>
    <w:rsid w:val="0098298A"/>
    <w:rsid w:val="00982FC8"/>
    <w:rsid w:val="009838D6"/>
    <w:rsid w:val="00983DEC"/>
    <w:rsid w:val="00985BB9"/>
    <w:rsid w:val="00986C81"/>
    <w:rsid w:val="0098706E"/>
    <w:rsid w:val="00987425"/>
    <w:rsid w:val="00987A33"/>
    <w:rsid w:val="00987B53"/>
    <w:rsid w:val="00990768"/>
    <w:rsid w:val="009912D1"/>
    <w:rsid w:val="00991399"/>
    <w:rsid w:val="00991F20"/>
    <w:rsid w:val="00992039"/>
    <w:rsid w:val="00992EF9"/>
    <w:rsid w:val="00993E39"/>
    <w:rsid w:val="00994531"/>
    <w:rsid w:val="00994668"/>
    <w:rsid w:val="009954FD"/>
    <w:rsid w:val="009959CD"/>
    <w:rsid w:val="00996874"/>
    <w:rsid w:val="009A0D1C"/>
    <w:rsid w:val="009A1617"/>
    <w:rsid w:val="009A27F8"/>
    <w:rsid w:val="009A2A22"/>
    <w:rsid w:val="009A3632"/>
    <w:rsid w:val="009A4970"/>
    <w:rsid w:val="009A4B4A"/>
    <w:rsid w:val="009A584B"/>
    <w:rsid w:val="009A58E7"/>
    <w:rsid w:val="009A6041"/>
    <w:rsid w:val="009A6B0D"/>
    <w:rsid w:val="009A6B61"/>
    <w:rsid w:val="009A734B"/>
    <w:rsid w:val="009A7C50"/>
    <w:rsid w:val="009B08DA"/>
    <w:rsid w:val="009B0D62"/>
    <w:rsid w:val="009B10CD"/>
    <w:rsid w:val="009B2944"/>
    <w:rsid w:val="009B29BD"/>
    <w:rsid w:val="009B2A44"/>
    <w:rsid w:val="009B2E69"/>
    <w:rsid w:val="009B35CD"/>
    <w:rsid w:val="009B42F5"/>
    <w:rsid w:val="009B45E8"/>
    <w:rsid w:val="009B47D4"/>
    <w:rsid w:val="009B480A"/>
    <w:rsid w:val="009B4B54"/>
    <w:rsid w:val="009B4E62"/>
    <w:rsid w:val="009B51DD"/>
    <w:rsid w:val="009B5C12"/>
    <w:rsid w:val="009B6981"/>
    <w:rsid w:val="009B723E"/>
    <w:rsid w:val="009C04D5"/>
    <w:rsid w:val="009C084B"/>
    <w:rsid w:val="009C2FBE"/>
    <w:rsid w:val="009C38D4"/>
    <w:rsid w:val="009C3C63"/>
    <w:rsid w:val="009C3C6D"/>
    <w:rsid w:val="009C3C82"/>
    <w:rsid w:val="009C3FE7"/>
    <w:rsid w:val="009C49E6"/>
    <w:rsid w:val="009C5ABC"/>
    <w:rsid w:val="009C6786"/>
    <w:rsid w:val="009C69EA"/>
    <w:rsid w:val="009D044D"/>
    <w:rsid w:val="009D0C49"/>
    <w:rsid w:val="009D12A2"/>
    <w:rsid w:val="009D13C2"/>
    <w:rsid w:val="009D1C88"/>
    <w:rsid w:val="009D22C7"/>
    <w:rsid w:val="009D2717"/>
    <w:rsid w:val="009D2E2E"/>
    <w:rsid w:val="009D4782"/>
    <w:rsid w:val="009D5582"/>
    <w:rsid w:val="009D5DD1"/>
    <w:rsid w:val="009D6098"/>
    <w:rsid w:val="009D739E"/>
    <w:rsid w:val="009D75D5"/>
    <w:rsid w:val="009D7A45"/>
    <w:rsid w:val="009E00DB"/>
    <w:rsid w:val="009E0971"/>
    <w:rsid w:val="009E09C7"/>
    <w:rsid w:val="009E0B05"/>
    <w:rsid w:val="009E1AE0"/>
    <w:rsid w:val="009E1B75"/>
    <w:rsid w:val="009E2461"/>
    <w:rsid w:val="009E312C"/>
    <w:rsid w:val="009E5BB0"/>
    <w:rsid w:val="009E617A"/>
    <w:rsid w:val="009E65F3"/>
    <w:rsid w:val="009E6890"/>
    <w:rsid w:val="009E6C50"/>
    <w:rsid w:val="009E7301"/>
    <w:rsid w:val="009E783E"/>
    <w:rsid w:val="009F018E"/>
    <w:rsid w:val="009F0723"/>
    <w:rsid w:val="009F0940"/>
    <w:rsid w:val="009F0DA5"/>
    <w:rsid w:val="009F23D9"/>
    <w:rsid w:val="009F2D1B"/>
    <w:rsid w:val="009F2E97"/>
    <w:rsid w:val="009F468D"/>
    <w:rsid w:val="009F5086"/>
    <w:rsid w:val="009F58E6"/>
    <w:rsid w:val="009F60C1"/>
    <w:rsid w:val="009F63FB"/>
    <w:rsid w:val="009F673A"/>
    <w:rsid w:val="009F7146"/>
    <w:rsid w:val="009F734B"/>
    <w:rsid w:val="009F7EF2"/>
    <w:rsid w:val="00A003CC"/>
    <w:rsid w:val="00A00CB4"/>
    <w:rsid w:val="00A01980"/>
    <w:rsid w:val="00A0212D"/>
    <w:rsid w:val="00A03BDB"/>
    <w:rsid w:val="00A04403"/>
    <w:rsid w:val="00A04873"/>
    <w:rsid w:val="00A052B1"/>
    <w:rsid w:val="00A053B5"/>
    <w:rsid w:val="00A056B7"/>
    <w:rsid w:val="00A0579E"/>
    <w:rsid w:val="00A062F1"/>
    <w:rsid w:val="00A07C04"/>
    <w:rsid w:val="00A100B1"/>
    <w:rsid w:val="00A11420"/>
    <w:rsid w:val="00A13F1F"/>
    <w:rsid w:val="00A13F88"/>
    <w:rsid w:val="00A14052"/>
    <w:rsid w:val="00A143D7"/>
    <w:rsid w:val="00A14E34"/>
    <w:rsid w:val="00A16551"/>
    <w:rsid w:val="00A17339"/>
    <w:rsid w:val="00A20A88"/>
    <w:rsid w:val="00A20C84"/>
    <w:rsid w:val="00A21156"/>
    <w:rsid w:val="00A2193C"/>
    <w:rsid w:val="00A222B4"/>
    <w:rsid w:val="00A224DE"/>
    <w:rsid w:val="00A23264"/>
    <w:rsid w:val="00A256F7"/>
    <w:rsid w:val="00A25CBD"/>
    <w:rsid w:val="00A26D22"/>
    <w:rsid w:val="00A274AA"/>
    <w:rsid w:val="00A27F57"/>
    <w:rsid w:val="00A30161"/>
    <w:rsid w:val="00A308AF"/>
    <w:rsid w:val="00A30DC4"/>
    <w:rsid w:val="00A32106"/>
    <w:rsid w:val="00A322E1"/>
    <w:rsid w:val="00A3311E"/>
    <w:rsid w:val="00A33B52"/>
    <w:rsid w:val="00A346E3"/>
    <w:rsid w:val="00A3628D"/>
    <w:rsid w:val="00A365DF"/>
    <w:rsid w:val="00A366DB"/>
    <w:rsid w:val="00A369A8"/>
    <w:rsid w:val="00A36FDC"/>
    <w:rsid w:val="00A40111"/>
    <w:rsid w:val="00A40187"/>
    <w:rsid w:val="00A401F9"/>
    <w:rsid w:val="00A40E18"/>
    <w:rsid w:val="00A4164F"/>
    <w:rsid w:val="00A41B24"/>
    <w:rsid w:val="00A4211A"/>
    <w:rsid w:val="00A42144"/>
    <w:rsid w:val="00A42586"/>
    <w:rsid w:val="00A42613"/>
    <w:rsid w:val="00A43860"/>
    <w:rsid w:val="00A43CB9"/>
    <w:rsid w:val="00A43F02"/>
    <w:rsid w:val="00A45774"/>
    <w:rsid w:val="00A458D9"/>
    <w:rsid w:val="00A45CE6"/>
    <w:rsid w:val="00A466EB"/>
    <w:rsid w:val="00A4676C"/>
    <w:rsid w:val="00A46E94"/>
    <w:rsid w:val="00A47679"/>
    <w:rsid w:val="00A50124"/>
    <w:rsid w:val="00A50640"/>
    <w:rsid w:val="00A50776"/>
    <w:rsid w:val="00A51127"/>
    <w:rsid w:val="00A528F3"/>
    <w:rsid w:val="00A53A47"/>
    <w:rsid w:val="00A53A6D"/>
    <w:rsid w:val="00A54375"/>
    <w:rsid w:val="00A5447E"/>
    <w:rsid w:val="00A54F88"/>
    <w:rsid w:val="00A553F2"/>
    <w:rsid w:val="00A56008"/>
    <w:rsid w:val="00A56274"/>
    <w:rsid w:val="00A56A05"/>
    <w:rsid w:val="00A56DCA"/>
    <w:rsid w:val="00A573CF"/>
    <w:rsid w:val="00A57766"/>
    <w:rsid w:val="00A6077F"/>
    <w:rsid w:val="00A60C4E"/>
    <w:rsid w:val="00A61056"/>
    <w:rsid w:val="00A61ADF"/>
    <w:rsid w:val="00A62ECA"/>
    <w:rsid w:val="00A6510A"/>
    <w:rsid w:val="00A65216"/>
    <w:rsid w:val="00A652B4"/>
    <w:rsid w:val="00A65B9E"/>
    <w:rsid w:val="00A660DE"/>
    <w:rsid w:val="00A66132"/>
    <w:rsid w:val="00A66689"/>
    <w:rsid w:val="00A66BAB"/>
    <w:rsid w:val="00A67A23"/>
    <w:rsid w:val="00A707AE"/>
    <w:rsid w:val="00A70C06"/>
    <w:rsid w:val="00A712C3"/>
    <w:rsid w:val="00A712DB"/>
    <w:rsid w:val="00A71786"/>
    <w:rsid w:val="00A717AD"/>
    <w:rsid w:val="00A71DF6"/>
    <w:rsid w:val="00A71FF1"/>
    <w:rsid w:val="00A727A8"/>
    <w:rsid w:val="00A727CB"/>
    <w:rsid w:val="00A7295E"/>
    <w:rsid w:val="00A72C13"/>
    <w:rsid w:val="00A72C15"/>
    <w:rsid w:val="00A72F54"/>
    <w:rsid w:val="00A73288"/>
    <w:rsid w:val="00A75692"/>
    <w:rsid w:val="00A75A29"/>
    <w:rsid w:val="00A76269"/>
    <w:rsid w:val="00A7778E"/>
    <w:rsid w:val="00A800D5"/>
    <w:rsid w:val="00A800E5"/>
    <w:rsid w:val="00A80171"/>
    <w:rsid w:val="00A80618"/>
    <w:rsid w:val="00A8066B"/>
    <w:rsid w:val="00A80E32"/>
    <w:rsid w:val="00A81113"/>
    <w:rsid w:val="00A81974"/>
    <w:rsid w:val="00A81BC9"/>
    <w:rsid w:val="00A81EC3"/>
    <w:rsid w:val="00A8292E"/>
    <w:rsid w:val="00A83141"/>
    <w:rsid w:val="00A8334B"/>
    <w:rsid w:val="00A83369"/>
    <w:rsid w:val="00A83CCE"/>
    <w:rsid w:val="00A83FB5"/>
    <w:rsid w:val="00A8436F"/>
    <w:rsid w:val="00A850AC"/>
    <w:rsid w:val="00A85381"/>
    <w:rsid w:val="00A8678F"/>
    <w:rsid w:val="00A86AE6"/>
    <w:rsid w:val="00A9021C"/>
    <w:rsid w:val="00A91780"/>
    <w:rsid w:val="00A91BA0"/>
    <w:rsid w:val="00A9292F"/>
    <w:rsid w:val="00A92A57"/>
    <w:rsid w:val="00A930DC"/>
    <w:rsid w:val="00A935AA"/>
    <w:rsid w:val="00A936E8"/>
    <w:rsid w:val="00A9460A"/>
    <w:rsid w:val="00A9508B"/>
    <w:rsid w:val="00A95CD8"/>
    <w:rsid w:val="00A9667B"/>
    <w:rsid w:val="00A96EE1"/>
    <w:rsid w:val="00AA0109"/>
    <w:rsid w:val="00AA0CB8"/>
    <w:rsid w:val="00AA133A"/>
    <w:rsid w:val="00AA17B4"/>
    <w:rsid w:val="00AA1C2E"/>
    <w:rsid w:val="00AA20BB"/>
    <w:rsid w:val="00AA26DA"/>
    <w:rsid w:val="00AA41AA"/>
    <w:rsid w:val="00AA450F"/>
    <w:rsid w:val="00AA492F"/>
    <w:rsid w:val="00AA4CCD"/>
    <w:rsid w:val="00AA4FD0"/>
    <w:rsid w:val="00AA5198"/>
    <w:rsid w:val="00AA5C19"/>
    <w:rsid w:val="00AA6261"/>
    <w:rsid w:val="00AA6719"/>
    <w:rsid w:val="00AA6D0C"/>
    <w:rsid w:val="00AA6D0F"/>
    <w:rsid w:val="00AA7CB8"/>
    <w:rsid w:val="00AB023A"/>
    <w:rsid w:val="00AB0798"/>
    <w:rsid w:val="00AB0807"/>
    <w:rsid w:val="00AB0FB2"/>
    <w:rsid w:val="00AB387B"/>
    <w:rsid w:val="00AB3A9F"/>
    <w:rsid w:val="00AB3AC5"/>
    <w:rsid w:val="00AB43DC"/>
    <w:rsid w:val="00AB4BC7"/>
    <w:rsid w:val="00AB4FAA"/>
    <w:rsid w:val="00AB593B"/>
    <w:rsid w:val="00AB6387"/>
    <w:rsid w:val="00AB7684"/>
    <w:rsid w:val="00AC0356"/>
    <w:rsid w:val="00AC1072"/>
    <w:rsid w:val="00AC1F7F"/>
    <w:rsid w:val="00AC2125"/>
    <w:rsid w:val="00AC2188"/>
    <w:rsid w:val="00AC2265"/>
    <w:rsid w:val="00AC2C16"/>
    <w:rsid w:val="00AC2CF5"/>
    <w:rsid w:val="00AC3BCC"/>
    <w:rsid w:val="00AC3C3F"/>
    <w:rsid w:val="00AC46A8"/>
    <w:rsid w:val="00AC4F6E"/>
    <w:rsid w:val="00AC5A54"/>
    <w:rsid w:val="00AC61C8"/>
    <w:rsid w:val="00AC65DC"/>
    <w:rsid w:val="00AC6B2F"/>
    <w:rsid w:val="00AC7AFE"/>
    <w:rsid w:val="00AC7BA8"/>
    <w:rsid w:val="00AC7D4C"/>
    <w:rsid w:val="00AD012B"/>
    <w:rsid w:val="00AD015F"/>
    <w:rsid w:val="00AD1151"/>
    <w:rsid w:val="00AD14D2"/>
    <w:rsid w:val="00AD156B"/>
    <w:rsid w:val="00AD2254"/>
    <w:rsid w:val="00AD3DA1"/>
    <w:rsid w:val="00AD3F2B"/>
    <w:rsid w:val="00AD4176"/>
    <w:rsid w:val="00AD47DF"/>
    <w:rsid w:val="00AD49DB"/>
    <w:rsid w:val="00AD4B39"/>
    <w:rsid w:val="00AD6DC0"/>
    <w:rsid w:val="00AE0A4D"/>
    <w:rsid w:val="00AE0ED6"/>
    <w:rsid w:val="00AE190E"/>
    <w:rsid w:val="00AE1F89"/>
    <w:rsid w:val="00AE1FE3"/>
    <w:rsid w:val="00AE22F8"/>
    <w:rsid w:val="00AE2478"/>
    <w:rsid w:val="00AE24D9"/>
    <w:rsid w:val="00AE314B"/>
    <w:rsid w:val="00AE379A"/>
    <w:rsid w:val="00AE3991"/>
    <w:rsid w:val="00AE3B4D"/>
    <w:rsid w:val="00AE41C9"/>
    <w:rsid w:val="00AE4238"/>
    <w:rsid w:val="00AE4ADF"/>
    <w:rsid w:val="00AE5B74"/>
    <w:rsid w:val="00AE626F"/>
    <w:rsid w:val="00AE6D22"/>
    <w:rsid w:val="00AE70A8"/>
    <w:rsid w:val="00AE7284"/>
    <w:rsid w:val="00AE777D"/>
    <w:rsid w:val="00AF007B"/>
    <w:rsid w:val="00AF0985"/>
    <w:rsid w:val="00AF1618"/>
    <w:rsid w:val="00AF1A63"/>
    <w:rsid w:val="00AF2B8F"/>
    <w:rsid w:val="00AF2C78"/>
    <w:rsid w:val="00AF3D36"/>
    <w:rsid w:val="00AF434E"/>
    <w:rsid w:val="00AF49DA"/>
    <w:rsid w:val="00AF4B93"/>
    <w:rsid w:val="00AF5331"/>
    <w:rsid w:val="00AF5E79"/>
    <w:rsid w:val="00AF6078"/>
    <w:rsid w:val="00AF6694"/>
    <w:rsid w:val="00AF7FAC"/>
    <w:rsid w:val="00B0094F"/>
    <w:rsid w:val="00B00954"/>
    <w:rsid w:val="00B00B93"/>
    <w:rsid w:val="00B0128E"/>
    <w:rsid w:val="00B02259"/>
    <w:rsid w:val="00B02501"/>
    <w:rsid w:val="00B02AFA"/>
    <w:rsid w:val="00B02F54"/>
    <w:rsid w:val="00B0413E"/>
    <w:rsid w:val="00B048F4"/>
    <w:rsid w:val="00B04A2D"/>
    <w:rsid w:val="00B04AFB"/>
    <w:rsid w:val="00B0502E"/>
    <w:rsid w:val="00B0511B"/>
    <w:rsid w:val="00B0568B"/>
    <w:rsid w:val="00B057E8"/>
    <w:rsid w:val="00B0583A"/>
    <w:rsid w:val="00B05DB9"/>
    <w:rsid w:val="00B063FB"/>
    <w:rsid w:val="00B06905"/>
    <w:rsid w:val="00B06F62"/>
    <w:rsid w:val="00B07126"/>
    <w:rsid w:val="00B07A13"/>
    <w:rsid w:val="00B107F8"/>
    <w:rsid w:val="00B10960"/>
    <w:rsid w:val="00B10D28"/>
    <w:rsid w:val="00B11871"/>
    <w:rsid w:val="00B123E9"/>
    <w:rsid w:val="00B13A6C"/>
    <w:rsid w:val="00B14E2A"/>
    <w:rsid w:val="00B152E0"/>
    <w:rsid w:val="00B16821"/>
    <w:rsid w:val="00B1689E"/>
    <w:rsid w:val="00B170B6"/>
    <w:rsid w:val="00B173DB"/>
    <w:rsid w:val="00B17881"/>
    <w:rsid w:val="00B2032D"/>
    <w:rsid w:val="00B204F7"/>
    <w:rsid w:val="00B20B43"/>
    <w:rsid w:val="00B21067"/>
    <w:rsid w:val="00B21FBF"/>
    <w:rsid w:val="00B22AB0"/>
    <w:rsid w:val="00B22F7A"/>
    <w:rsid w:val="00B232F0"/>
    <w:rsid w:val="00B24010"/>
    <w:rsid w:val="00B24728"/>
    <w:rsid w:val="00B247D8"/>
    <w:rsid w:val="00B24E31"/>
    <w:rsid w:val="00B24F9F"/>
    <w:rsid w:val="00B2507F"/>
    <w:rsid w:val="00B26790"/>
    <w:rsid w:val="00B277BF"/>
    <w:rsid w:val="00B27A30"/>
    <w:rsid w:val="00B27F09"/>
    <w:rsid w:val="00B3004E"/>
    <w:rsid w:val="00B3009D"/>
    <w:rsid w:val="00B3251D"/>
    <w:rsid w:val="00B32734"/>
    <w:rsid w:val="00B330FB"/>
    <w:rsid w:val="00B3404A"/>
    <w:rsid w:val="00B35156"/>
    <w:rsid w:val="00B3553E"/>
    <w:rsid w:val="00B35E73"/>
    <w:rsid w:val="00B35EE0"/>
    <w:rsid w:val="00B35FA1"/>
    <w:rsid w:val="00B36731"/>
    <w:rsid w:val="00B376C2"/>
    <w:rsid w:val="00B37DB9"/>
    <w:rsid w:val="00B405E2"/>
    <w:rsid w:val="00B41443"/>
    <w:rsid w:val="00B421CC"/>
    <w:rsid w:val="00B4228F"/>
    <w:rsid w:val="00B432C5"/>
    <w:rsid w:val="00B43C0E"/>
    <w:rsid w:val="00B444B1"/>
    <w:rsid w:val="00B44B55"/>
    <w:rsid w:val="00B44C3F"/>
    <w:rsid w:val="00B454A3"/>
    <w:rsid w:val="00B45652"/>
    <w:rsid w:val="00B45CF3"/>
    <w:rsid w:val="00B45F73"/>
    <w:rsid w:val="00B46300"/>
    <w:rsid w:val="00B46A08"/>
    <w:rsid w:val="00B46EE5"/>
    <w:rsid w:val="00B470BF"/>
    <w:rsid w:val="00B47700"/>
    <w:rsid w:val="00B47FA1"/>
    <w:rsid w:val="00B52640"/>
    <w:rsid w:val="00B52A62"/>
    <w:rsid w:val="00B52E7F"/>
    <w:rsid w:val="00B52ED0"/>
    <w:rsid w:val="00B541C6"/>
    <w:rsid w:val="00B5422E"/>
    <w:rsid w:val="00B54F38"/>
    <w:rsid w:val="00B5555B"/>
    <w:rsid w:val="00B55915"/>
    <w:rsid w:val="00B56E64"/>
    <w:rsid w:val="00B5744D"/>
    <w:rsid w:val="00B576B2"/>
    <w:rsid w:val="00B579CA"/>
    <w:rsid w:val="00B60BEC"/>
    <w:rsid w:val="00B6107F"/>
    <w:rsid w:val="00B61662"/>
    <w:rsid w:val="00B6179A"/>
    <w:rsid w:val="00B61DA3"/>
    <w:rsid w:val="00B620F4"/>
    <w:rsid w:val="00B623ED"/>
    <w:rsid w:val="00B628D0"/>
    <w:rsid w:val="00B62B54"/>
    <w:rsid w:val="00B62C24"/>
    <w:rsid w:val="00B630D5"/>
    <w:rsid w:val="00B63194"/>
    <w:rsid w:val="00B64856"/>
    <w:rsid w:val="00B6502F"/>
    <w:rsid w:val="00B65AA5"/>
    <w:rsid w:val="00B65EC1"/>
    <w:rsid w:val="00B661D1"/>
    <w:rsid w:val="00B6657A"/>
    <w:rsid w:val="00B66AF6"/>
    <w:rsid w:val="00B66E24"/>
    <w:rsid w:val="00B66EB2"/>
    <w:rsid w:val="00B6756D"/>
    <w:rsid w:val="00B70587"/>
    <w:rsid w:val="00B70EA4"/>
    <w:rsid w:val="00B713C0"/>
    <w:rsid w:val="00B7245D"/>
    <w:rsid w:val="00B728BD"/>
    <w:rsid w:val="00B728C4"/>
    <w:rsid w:val="00B738AE"/>
    <w:rsid w:val="00B747C4"/>
    <w:rsid w:val="00B7498E"/>
    <w:rsid w:val="00B76EF8"/>
    <w:rsid w:val="00B7740B"/>
    <w:rsid w:val="00B77656"/>
    <w:rsid w:val="00B800B0"/>
    <w:rsid w:val="00B80232"/>
    <w:rsid w:val="00B802D3"/>
    <w:rsid w:val="00B80B1B"/>
    <w:rsid w:val="00B81625"/>
    <w:rsid w:val="00B82204"/>
    <w:rsid w:val="00B82DA8"/>
    <w:rsid w:val="00B82E94"/>
    <w:rsid w:val="00B82F4F"/>
    <w:rsid w:val="00B8377E"/>
    <w:rsid w:val="00B84B1B"/>
    <w:rsid w:val="00B84D44"/>
    <w:rsid w:val="00B8568A"/>
    <w:rsid w:val="00B85AF0"/>
    <w:rsid w:val="00B863B1"/>
    <w:rsid w:val="00B864B5"/>
    <w:rsid w:val="00B8694A"/>
    <w:rsid w:val="00B86A7B"/>
    <w:rsid w:val="00B8709F"/>
    <w:rsid w:val="00B87860"/>
    <w:rsid w:val="00B90320"/>
    <w:rsid w:val="00B90898"/>
    <w:rsid w:val="00B90E55"/>
    <w:rsid w:val="00B90F85"/>
    <w:rsid w:val="00B91328"/>
    <w:rsid w:val="00B920EF"/>
    <w:rsid w:val="00B92970"/>
    <w:rsid w:val="00B92C54"/>
    <w:rsid w:val="00B93E5D"/>
    <w:rsid w:val="00B956FD"/>
    <w:rsid w:val="00B9597C"/>
    <w:rsid w:val="00B96048"/>
    <w:rsid w:val="00B96057"/>
    <w:rsid w:val="00B970BD"/>
    <w:rsid w:val="00B978C8"/>
    <w:rsid w:val="00B9795A"/>
    <w:rsid w:val="00BA0941"/>
    <w:rsid w:val="00BA16C7"/>
    <w:rsid w:val="00BA22F5"/>
    <w:rsid w:val="00BA2373"/>
    <w:rsid w:val="00BA265D"/>
    <w:rsid w:val="00BA2914"/>
    <w:rsid w:val="00BA2937"/>
    <w:rsid w:val="00BA348C"/>
    <w:rsid w:val="00BA3586"/>
    <w:rsid w:val="00BA39AB"/>
    <w:rsid w:val="00BA3DFC"/>
    <w:rsid w:val="00BA419B"/>
    <w:rsid w:val="00BA420A"/>
    <w:rsid w:val="00BA4717"/>
    <w:rsid w:val="00BA48CA"/>
    <w:rsid w:val="00BA4F4E"/>
    <w:rsid w:val="00BA6169"/>
    <w:rsid w:val="00BA78BD"/>
    <w:rsid w:val="00BA798C"/>
    <w:rsid w:val="00BB0B1E"/>
    <w:rsid w:val="00BB11BB"/>
    <w:rsid w:val="00BB1F06"/>
    <w:rsid w:val="00BB23E6"/>
    <w:rsid w:val="00BB3C0C"/>
    <w:rsid w:val="00BB4777"/>
    <w:rsid w:val="00BB4D09"/>
    <w:rsid w:val="00BB5274"/>
    <w:rsid w:val="00BB680A"/>
    <w:rsid w:val="00BB6D04"/>
    <w:rsid w:val="00BB754E"/>
    <w:rsid w:val="00BC098F"/>
    <w:rsid w:val="00BC0C5C"/>
    <w:rsid w:val="00BC14C5"/>
    <w:rsid w:val="00BC230F"/>
    <w:rsid w:val="00BC2EBD"/>
    <w:rsid w:val="00BC2EC9"/>
    <w:rsid w:val="00BC456C"/>
    <w:rsid w:val="00BC55D8"/>
    <w:rsid w:val="00BC5767"/>
    <w:rsid w:val="00BC579A"/>
    <w:rsid w:val="00BC7071"/>
    <w:rsid w:val="00BD060E"/>
    <w:rsid w:val="00BD099C"/>
    <w:rsid w:val="00BD1175"/>
    <w:rsid w:val="00BD12D8"/>
    <w:rsid w:val="00BD2403"/>
    <w:rsid w:val="00BD25B0"/>
    <w:rsid w:val="00BD2BEF"/>
    <w:rsid w:val="00BD30ED"/>
    <w:rsid w:val="00BD3E53"/>
    <w:rsid w:val="00BD3F06"/>
    <w:rsid w:val="00BD4CD1"/>
    <w:rsid w:val="00BD4DA6"/>
    <w:rsid w:val="00BD5E11"/>
    <w:rsid w:val="00BD66EF"/>
    <w:rsid w:val="00BD6A2C"/>
    <w:rsid w:val="00BD6D66"/>
    <w:rsid w:val="00BD6E8E"/>
    <w:rsid w:val="00BD7A49"/>
    <w:rsid w:val="00BE1269"/>
    <w:rsid w:val="00BE23CD"/>
    <w:rsid w:val="00BE2C8C"/>
    <w:rsid w:val="00BE328F"/>
    <w:rsid w:val="00BE353B"/>
    <w:rsid w:val="00BE3BD4"/>
    <w:rsid w:val="00BE4049"/>
    <w:rsid w:val="00BE437D"/>
    <w:rsid w:val="00BE4785"/>
    <w:rsid w:val="00BE4DAB"/>
    <w:rsid w:val="00BE4EF6"/>
    <w:rsid w:val="00BE6165"/>
    <w:rsid w:val="00BE6D03"/>
    <w:rsid w:val="00BE6F50"/>
    <w:rsid w:val="00BE759C"/>
    <w:rsid w:val="00BF0730"/>
    <w:rsid w:val="00BF0B23"/>
    <w:rsid w:val="00BF1EAF"/>
    <w:rsid w:val="00BF2116"/>
    <w:rsid w:val="00BF24CC"/>
    <w:rsid w:val="00BF2DEA"/>
    <w:rsid w:val="00BF32F6"/>
    <w:rsid w:val="00BF3F6C"/>
    <w:rsid w:val="00BF4887"/>
    <w:rsid w:val="00BF510D"/>
    <w:rsid w:val="00BF625E"/>
    <w:rsid w:val="00BF65DE"/>
    <w:rsid w:val="00BF6A69"/>
    <w:rsid w:val="00BF70FB"/>
    <w:rsid w:val="00BF79BF"/>
    <w:rsid w:val="00BF7DD7"/>
    <w:rsid w:val="00C008B9"/>
    <w:rsid w:val="00C00C53"/>
    <w:rsid w:val="00C00D3D"/>
    <w:rsid w:val="00C0137F"/>
    <w:rsid w:val="00C02BA2"/>
    <w:rsid w:val="00C02BE4"/>
    <w:rsid w:val="00C02CC7"/>
    <w:rsid w:val="00C02E8F"/>
    <w:rsid w:val="00C03D8A"/>
    <w:rsid w:val="00C03EB1"/>
    <w:rsid w:val="00C05149"/>
    <w:rsid w:val="00C05ADF"/>
    <w:rsid w:val="00C05C61"/>
    <w:rsid w:val="00C05E85"/>
    <w:rsid w:val="00C06279"/>
    <w:rsid w:val="00C06E8E"/>
    <w:rsid w:val="00C115B1"/>
    <w:rsid w:val="00C11BFC"/>
    <w:rsid w:val="00C1208D"/>
    <w:rsid w:val="00C13BC6"/>
    <w:rsid w:val="00C14A29"/>
    <w:rsid w:val="00C14BE0"/>
    <w:rsid w:val="00C14EDF"/>
    <w:rsid w:val="00C1539B"/>
    <w:rsid w:val="00C15557"/>
    <w:rsid w:val="00C15856"/>
    <w:rsid w:val="00C15D18"/>
    <w:rsid w:val="00C1656A"/>
    <w:rsid w:val="00C16B99"/>
    <w:rsid w:val="00C16E55"/>
    <w:rsid w:val="00C17748"/>
    <w:rsid w:val="00C179F0"/>
    <w:rsid w:val="00C2040E"/>
    <w:rsid w:val="00C20F63"/>
    <w:rsid w:val="00C21BB5"/>
    <w:rsid w:val="00C23A4E"/>
    <w:rsid w:val="00C2400C"/>
    <w:rsid w:val="00C2454D"/>
    <w:rsid w:val="00C24674"/>
    <w:rsid w:val="00C251B7"/>
    <w:rsid w:val="00C259D2"/>
    <w:rsid w:val="00C25B79"/>
    <w:rsid w:val="00C265A9"/>
    <w:rsid w:val="00C269E9"/>
    <w:rsid w:val="00C27D7F"/>
    <w:rsid w:val="00C3129B"/>
    <w:rsid w:val="00C3131C"/>
    <w:rsid w:val="00C31C1C"/>
    <w:rsid w:val="00C345AE"/>
    <w:rsid w:val="00C34DAD"/>
    <w:rsid w:val="00C35B97"/>
    <w:rsid w:val="00C35BB3"/>
    <w:rsid w:val="00C36349"/>
    <w:rsid w:val="00C3695F"/>
    <w:rsid w:val="00C36ABB"/>
    <w:rsid w:val="00C370F0"/>
    <w:rsid w:val="00C37413"/>
    <w:rsid w:val="00C37AAE"/>
    <w:rsid w:val="00C40963"/>
    <w:rsid w:val="00C40EA0"/>
    <w:rsid w:val="00C417BC"/>
    <w:rsid w:val="00C417F1"/>
    <w:rsid w:val="00C41ECC"/>
    <w:rsid w:val="00C4231F"/>
    <w:rsid w:val="00C42A54"/>
    <w:rsid w:val="00C434E0"/>
    <w:rsid w:val="00C4380B"/>
    <w:rsid w:val="00C439BB"/>
    <w:rsid w:val="00C44165"/>
    <w:rsid w:val="00C44D76"/>
    <w:rsid w:val="00C45717"/>
    <w:rsid w:val="00C45B10"/>
    <w:rsid w:val="00C45F18"/>
    <w:rsid w:val="00C46A04"/>
    <w:rsid w:val="00C46C34"/>
    <w:rsid w:val="00C47125"/>
    <w:rsid w:val="00C47462"/>
    <w:rsid w:val="00C5078F"/>
    <w:rsid w:val="00C508ED"/>
    <w:rsid w:val="00C508F9"/>
    <w:rsid w:val="00C5105B"/>
    <w:rsid w:val="00C5316C"/>
    <w:rsid w:val="00C53320"/>
    <w:rsid w:val="00C5377B"/>
    <w:rsid w:val="00C544B5"/>
    <w:rsid w:val="00C54E32"/>
    <w:rsid w:val="00C55022"/>
    <w:rsid w:val="00C5549F"/>
    <w:rsid w:val="00C554A6"/>
    <w:rsid w:val="00C55510"/>
    <w:rsid w:val="00C555FE"/>
    <w:rsid w:val="00C55867"/>
    <w:rsid w:val="00C56ED5"/>
    <w:rsid w:val="00C56F60"/>
    <w:rsid w:val="00C56FB6"/>
    <w:rsid w:val="00C572C4"/>
    <w:rsid w:val="00C577B8"/>
    <w:rsid w:val="00C605E1"/>
    <w:rsid w:val="00C60B59"/>
    <w:rsid w:val="00C60C5A"/>
    <w:rsid w:val="00C616FC"/>
    <w:rsid w:val="00C617C2"/>
    <w:rsid w:val="00C62BF6"/>
    <w:rsid w:val="00C6356D"/>
    <w:rsid w:val="00C63907"/>
    <w:rsid w:val="00C63A5F"/>
    <w:rsid w:val="00C645A2"/>
    <w:rsid w:val="00C647BB"/>
    <w:rsid w:val="00C6576C"/>
    <w:rsid w:val="00C659C4"/>
    <w:rsid w:val="00C65B65"/>
    <w:rsid w:val="00C669B9"/>
    <w:rsid w:val="00C6751A"/>
    <w:rsid w:val="00C679F1"/>
    <w:rsid w:val="00C67E46"/>
    <w:rsid w:val="00C7066E"/>
    <w:rsid w:val="00C7104C"/>
    <w:rsid w:val="00C71218"/>
    <w:rsid w:val="00C713D9"/>
    <w:rsid w:val="00C714BF"/>
    <w:rsid w:val="00C71855"/>
    <w:rsid w:val="00C71864"/>
    <w:rsid w:val="00C71F09"/>
    <w:rsid w:val="00C72159"/>
    <w:rsid w:val="00C7215A"/>
    <w:rsid w:val="00C72333"/>
    <w:rsid w:val="00C7283E"/>
    <w:rsid w:val="00C7335A"/>
    <w:rsid w:val="00C7344C"/>
    <w:rsid w:val="00C73AE9"/>
    <w:rsid w:val="00C747ED"/>
    <w:rsid w:val="00C74BC2"/>
    <w:rsid w:val="00C75395"/>
    <w:rsid w:val="00C7549C"/>
    <w:rsid w:val="00C75FA8"/>
    <w:rsid w:val="00C763F2"/>
    <w:rsid w:val="00C76BC5"/>
    <w:rsid w:val="00C76EBB"/>
    <w:rsid w:val="00C80047"/>
    <w:rsid w:val="00C8014C"/>
    <w:rsid w:val="00C80973"/>
    <w:rsid w:val="00C80E53"/>
    <w:rsid w:val="00C81292"/>
    <w:rsid w:val="00C8163B"/>
    <w:rsid w:val="00C81AB8"/>
    <w:rsid w:val="00C81E26"/>
    <w:rsid w:val="00C81EAB"/>
    <w:rsid w:val="00C81F30"/>
    <w:rsid w:val="00C82164"/>
    <w:rsid w:val="00C826A0"/>
    <w:rsid w:val="00C82744"/>
    <w:rsid w:val="00C82D67"/>
    <w:rsid w:val="00C82F36"/>
    <w:rsid w:val="00C85067"/>
    <w:rsid w:val="00C851FD"/>
    <w:rsid w:val="00C85F2C"/>
    <w:rsid w:val="00C86117"/>
    <w:rsid w:val="00C86408"/>
    <w:rsid w:val="00C86711"/>
    <w:rsid w:val="00C879ED"/>
    <w:rsid w:val="00C9012D"/>
    <w:rsid w:val="00C907D4"/>
    <w:rsid w:val="00C91E53"/>
    <w:rsid w:val="00C924AC"/>
    <w:rsid w:val="00C92B82"/>
    <w:rsid w:val="00C92F2C"/>
    <w:rsid w:val="00C93137"/>
    <w:rsid w:val="00C9365B"/>
    <w:rsid w:val="00C94FF6"/>
    <w:rsid w:val="00C95886"/>
    <w:rsid w:val="00C95A39"/>
    <w:rsid w:val="00C95A3B"/>
    <w:rsid w:val="00C96E18"/>
    <w:rsid w:val="00C9757B"/>
    <w:rsid w:val="00C97D73"/>
    <w:rsid w:val="00CA1145"/>
    <w:rsid w:val="00CA1D20"/>
    <w:rsid w:val="00CA1F05"/>
    <w:rsid w:val="00CA1F0F"/>
    <w:rsid w:val="00CA252B"/>
    <w:rsid w:val="00CA2A79"/>
    <w:rsid w:val="00CA3F28"/>
    <w:rsid w:val="00CA3F83"/>
    <w:rsid w:val="00CA40DB"/>
    <w:rsid w:val="00CA45FC"/>
    <w:rsid w:val="00CA4767"/>
    <w:rsid w:val="00CA485A"/>
    <w:rsid w:val="00CA50A1"/>
    <w:rsid w:val="00CA535E"/>
    <w:rsid w:val="00CA54D0"/>
    <w:rsid w:val="00CA588C"/>
    <w:rsid w:val="00CA5D40"/>
    <w:rsid w:val="00CA6CEE"/>
    <w:rsid w:val="00CA726E"/>
    <w:rsid w:val="00CA73F3"/>
    <w:rsid w:val="00CA77DC"/>
    <w:rsid w:val="00CA7E0A"/>
    <w:rsid w:val="00CB0D2C"/>
    <w:rsid w:val="00CB0DE8"/>
    <w:rsid w:val="00CB0F7D"/>
    <w:rsid w:val="00CB0FCA"/>
    <w:rsid w:val="00CB1C64"/>
    <w:rsid w:val="00CB1CB3"/>
    <w:rsid w:val="00CB2E6D"/>
    <w:rsid w:val="00CB3B1B"/>
    <w:rsid w:val="00CB3C28"/>
    <w:rsid w:val="00CB3E6C"/>
    <w:rsid w:val="00CB4440"/>
    <w:rsid w:val="00CB45C4"/>
    <w:rsid w:val="00CB4841"/>
    <w:rsid w:val="00CB6068"/>
    <w:rsid w:val="00CB6112"/>
    <w:rsid w:val="00CB69B8"/>
    <w:rsid w:val="00CB6C5A"/>
    <w:rsid w:val="00CB74A0"/>
    <w:rsid w:val="00CB75CE"/>
    <w:rsid w:val="00CB7D78"/>
    <w:rsid w:val="00CC0477"/>
    <w:rsid w:val="00CC0581"/>
    <w:rsid w:val="00CC0AB4"/>
    <w:rsid w:val="00CC18E6"/>
    <w:rsid w:val="00CC2669"/>
    <w:rsid w:val="00CC28E6"/>
    <w:rsid w:val="00CC3019"/>
    <w:rsid w:val="00CC3030"/>
    <w:rsid w:val="00CC3606"/>
    <w:rsid w:val="00CC43CD"/>
    <w:rsid w:val="00CC4F2A"/>
    <w:rsid w:val="00CC55B4"/>
    <w:rsid w:val="00CC5FCE"/>
    <w:rsid w:val="00CC7148"/>
    <w:rsid w:val="00CC731B"/>
    <w:rsid w:val="00CC74A7"/>
    <w:rsid w:val="00CC7659"/>
    <w:rsid w:val="00CC792A"/>
    <w:rsid w:val="00CD0337"/>
    <w:rsid w:val="00CD0868"/>
    <w:rsid w:val="00CD0AE4"/>
    <w:rsid w:val="00CD0C8F"/>
    <w:rsid w:val="00CD1029"/>
    <w:rsid w:val="00CD266D"/>
    <w:rsid w:val="00CD2AFF"/>
    <w:rsid w:val="00CD2F0B"/>
    <w:rsid w:val="00CD313A"/>
    <w:rsid w:val="00CD4E71"/>
    <w:rsid w:val="00CD5E5D"/>
    <w:rsid w:val="00CD61CC"/>
    <w:rsid w:val="00CD68EF"/>
    <w:rsid w:val="00CD699F"/>
    <w:rsid w:val="00CD7094"/>
    <w:rsid w:val="00CD70F7"/>
    <w:rsid w:val="00CD7ED5"/>
    <w:rsid w:val="00CE011C"/>
    <w:rsid w:val="00CE090F"/>
    <w:rsid w:val="00CE1639"/>
    <w:rsid w:val="00CE17C7"/>
    <w:rsid w:val="00CE1859"/>
    <w:rsid w:val="00CE188B"/>
    <w:rsid w:val="00CE2AA5"/>
    <w:rsid w:val="00CE2AB0"/>
    <w:rsid w:val="00CE2C5A"/>
    <w:rsid w:val="00CE3057"/>
    <w:rsid w:val="00CE4476"/>
    <w:rsid w:val="00CE4851"/>
    <w:rsid w:val="00CE51E3"/>
    <w:rsid w:val="00CE5288"/>
    <w:rsid w:val="00CE5934"/>
    <w:rsid w:val="00CE5999"/>
    <w:rsid w:val="00CE62F6"/>
    <w:rsid w:val="00CE666C"/>
    <w:rsid w:val="00CE71A5"/>
    <w:rsid w:val="00CE780F"/>
    <w:rsid w:val="00CE7A06"/>
    <w:rsid w:val="00CF10B4"/>
    <w:rsid w:val="00CF12DA"/>
    <w:rsid w:val="00CF1356"/>
    <w:rsid w:val="00CF1E74"/>
    <w:rsid w:val="00CF3120"/>
    <w:rsid w:val="00CF41D9"/>
    <w:rsid w:val="00CF4835"/>
    <w:rsid w:val="00CF4EC1"/>
    <w:rsid w:val="00CF5167"/>
    <w:rsid w:val="00CF5346"/>
    <w:rsid w:val="00CF53CE"/>
    <w:rsid w:val="00CF6022"/>
    <w:rsid w:val="00CF69BE"/>
    <w:rsid w:val="00CF6A73"/>
    <w:rsid w:val="00CF6E66"/>
    <w:rsid w:val="00CF6F57"/>
    <w:rsid w:val="00CF7353"/>
    <w:rsid w:val="00CF784D"/>
    <w:rsid w:val="00D008A9"/>
    <w:rsid w:val="00D00A28"/>
    <w:rsid w:val="00D00D45"/>
    <w:rsid w:val="00D0132C"/>
    <w:rsid w:val="00D01358"/>
    <w:rsid w:val="00D014C9"/>
    <w:rsid w:val="00D01643"/>
    <w:rsid w:val="00D01951"/>
    <w:rsid w:val="00D01DC7"/>
    <w:rsid w:val="00D01E44"/>
    <w:rsid w:val="00D02178"/>
    <w:rsid w:val="00D03853"/>
    <w:rsid w:val="00D03DAF"/>
    <w:rsid w:val="00D03F1B"/>
    <w:rsid w:val="00D04336"/>
    <w:rsid w:val="00D04EFC"/>
    <w:rsid w:val="00D0660C"/>
    <w:rsid w:val="00D073DF"/>
    <w:rsid w:val="00D1078B"/>
    <w:rsid w:val="00D108E5"/>
    <w:rsid w:val="00D10E5B"/>
    <w:rsid w:val="00D1200B"/>
    <w:rsid w:val="00D12485"/>
    <w:rsid w:val="00D1332D"/>
    <w:rsid w:val="00D139E9"/>
    <w:rsid w:val="00D13C88"/>
    <w:rsid w:val="00D14B2C"/>
    <w:rsid w:val="00D14B85"/>
    <w:rsid w:val="00D1505A"/>
    <w:rsid w:val="00D151DC"/>
    <w:rsid w:val="00D15FE2"/>
    <w:rsid w:val="00D1651B"/>
    <w:rsid w:val="00D16635"/>
    <w:rsid w:val="00D1758E"/>
    <w:rsid w:val="00D17692"/>
    <w:rsid w:val="00D17C47"/>
    <w:rsid w:val="00D20763"/>
    <w:rsid w:val="00D2106A"/>
    <w:rsid w:val="00D2115B"/>
    <w:rsid w:val="00D212AF"/>
    <w:rsid w:val="00D21680"/>
    <w:rsid w:val="00D221D4"/>
    <w:rsid w:val="00D2297A"/>
    <w:rsid w:val="00D22BA6"/>
    <w:rsid w:val="00D2313D"/>
    <w:rsid w:val="00D235FB"/>
    <w:rsid w:val="00D24801"/>
    <w:rsid w:val="00D250CF"/>
    <w:rsid w:val="00D251DD"/>
    <w:rsid w:val="00D2536A"/>
    <w:rsid w:val="00D261D1"/>
    <w:rsid w:val="00D2737F"/>
    <w:rsid w:val="00D274F6"/>
    <w:rsid w:val="00D30653"/>
    <w:rsid w:val="00D309D8"/>
    <w:rsid w:val="00D3135D"/>
    <w:rsid w:val="00D31C0A"/>
    <w:rsid w:val="00D31F1A"/>
    <w:rsid w:val="00D324A7"/>
    <w:rsid w:val="00D343B9"/>
    <w:rsid w:val="00D347F2"/>
    <w:rsid w:val="00D34FD7"/>
    <w:rsid w:val="00D352D6"/>
    <w:rsid w:val="00D40B18"/>
    <w:rsid w:val="00D4111C"/>
    <w:rsid w:val="00D4148F"/>
    <w:rsid w:val="00D41966"/>
    <w:rsid w:val="00D422C5"/>
    <w:rsid w:val="00D42600"/>
    <w:rsid w:val="00D42730"/>
    <w:rsid w:val="00D429CB"/>
    <w:rsid w:val="00D4347B"/>
    <w:rsid w:val="00D44AC5"/>
    <w:rsid w:val="00D45508"/>
    <w:rsid w:val="00D476EA"/>
    <w:rsid w:val="00D477E8"/>
    <w:rsid w:val="00D51105"/>
    <w:rsid w:val="00D51B1D"/>
    <w:rsid w:val="00D53A93"/>
    <w:rsid w:val="00D53AB2"/>
    <w:rsid w:val="00D54091"/>
    <w:rsid w:val="00D55DF4"/>
    <w:rsid w:val="00D56E2C"/>
    <w:rsid w:val="00D57347"/>
    <w:rsid w:val="00D6071B"/>
    <w:rsid w:val="00D60FE8"/>
    <w:rsid w:val="00D610E9"/>
    <w:rsid w:val="00D6190C"/>
    <w:rsid w:val="00D631A4"/>
    <w:rsid w:val="00D63383"/>
    <w:rsid w:val="00D63969"/>
    <w:rsid w:val="00D6398A"/>
    <w:rsid w:val="00D644E5"/>
    <w:rsid w:val="00D6525A"/>
    <w:rsid w:val="00D656E6"/>
    <w:rsid w:val="00D661F1"/>
    <w:rsid w:val="00D66DBA"/>
    <w:rsid w:val="00D670B9"/>
    <w:rsid w:val="00D67244"/>
    <w:rsid w:val="00D674AE"/>
    <w:rsid w:val="00D679DE"/>
    <w:rsid w:val="00D70599"/>
    <w:rsid w:val="00D72714"/>
    <w:rsid w:val="00D73412"/>
    <w:rsid w:val="00D73A3B"/>
    <w:rsid w:val="00D747E9"/>
    <w:rsid w:val="00D74829"/>
    <w:rsid w:val="00D74AD1"/>
    <w:rsid w:val="00D75763"/>
    <w:rsid w:val="00D75CE9"/>
    <w:rsid w:val="00D75D13"/>
    <w:rsid w:val="00D75EB3"/>
    <w:rsid w:val="00D7627B"/>
    <w:rsid w:val="00D7633B"/>
    <w:rsid w:val="00D76AFA"/>
    <w:rsid w:val="00D76BDA"/>
    <w:rsid w:val="00D76F25"/>
    <w:rsid w:val="00D77688"/>
    <w:rsid w:val="00D77BEB"/>
    <w:rsid w:val="00D80F3C"/>
    <w:rsid w:val="00D8113E"/>
    <w:rsid w:val="00D82329"/>
    <w:rsid w:val="00D82F0C"/>
    <w:rsid w:val="00D83026"/>
    <w:rsid w:val="00D83952"/>
    <w:rsid w:val="00D83BC7"/>
    <w:rsid w:val="00D8421A"/>
    <w:rsid w:val="00D84D9A"/>
    <w:rsid w:val="00D85113"/>
    <w:rsid w:val="00D858D7"/>
    <w:rsid w:val="00D85CD6"/>
    <w:rsid w:val="00D85EDB"/>
    <w:rsid w:val="00D8631E"/>
    <w:rsid w:val="00D869BA"/>
    <w:rsid w:val="00D86B05"/>
    <w:rsid w:val="00D86CE6"/>
    <w:rsid w:val="00D9026B"/>
    <w:rsid w:val="00D90BA6"/>
    <w:rsid w:val="00D90BB8"/>
    <w:rsid w:val="00D911DC"/>
    <w:rsid w:val="00D922D4"/>
    <w:rsid w:val="00D93505"/>
    <w:rsid w:val="00D940E8"/>
    <w:rsid w:val="00D947BC"/>
    <w:rsid w:val="00D94CD9"/>
    <w:rsid w:val="00D95E02"/>
    <w:rsid w:val="00D96117"/>
    <w:rsid w:val="00D9634E"/>
    <w:rsid w:val="00DA0923"/>
    <w:rsid w:val="00DA10E8"/>
    <w:rsid w:val="00DA1201"/>
    <w:rsid w:val="00DA1A91"/>
    <w:rsid w:val="00DA1ACD"/>
    <w:rsid w:val="00DA2248"/>
    <w:rsid w:val="00DA3589"/>
    <w:rsid w:val="00DA3EBE"/>
    <w:rsid w:val="00DA45B5"/>
    <w:rsid w:val="00DA5C54"/>
    <w:rsid w:val="00DA6366"/>
    <w:rsid w:val="00DA6667"/>
    <w:rsid w:val="00DA732A"/>
    <w:rsid w:val="00DB022A"/>
    <w:rsid w:val="00DB0459"/>
    <w:rsid w:val="00DB07B3"/>
    <w:rsid w:val="00DB0D5C"/>
    <w:rsid w:val="00DB13D9"/>
    <w:rsid w:val="00DB14E9"/>
    <w:rsid w:val="00DB1511"/>
    <w:rsid w:val="00DB1DC0"/>
    <w:rsid w:val="00DB2582"/>
    <w:rsid w:val="00DB2964"/>
    <w:rsid w:val="00DB2DFC"/>
    <w:rsid w:val="00DB2F8C"/>
    <w:rsid w:val="00DB36FB"/>
    <w:rsid w:val="00DB3844"/>
    <w:rsid w:val="00DB5193"/>
    <w:rsid w:val="00DB5AC2"/>
    <w:rsid w:val="00DB5E30"/>
    <w:rsid w:val="00DB6B9D"/>
    <w:rsid w:val="00DB6F28"/>
    <w:rsid w:val="00DB7A93"/>
    <w:rsid w:val="00DC0823"/>
    <w:rsid w:val="00DC0B64"/>
    <w:rsid w:val="00DC16FA"/>
    <w:rsid w:val="00DC2184"/>
    <w:rsid w:val="00DC2245"/>
    <w:rsid w:val="00DC33DE"/>
    <w:rsid w:val="00DC48C0"/>
    <w:rsid w:val="00DC5D38"/>
    <w:rsid w:val="00DC69AF"/>
    <w:rsid w:val="00DC72B1"/>
    <w:rsid w:val="00DC74C9"/>
    <w:rsid w:val="00DD1443"/>
    <w:rsid w:val="00DD166C"/>
    <w:rsid w:val="00DD2064"/>
    <w:rsid w:val="00DD2E99"/>
    <w:rsid w:val="00DD53BD"/>
    <w:rsid w:val="00DD56C7"/>
    <w:rsid w:val="00DD5709"/>
    <w:rsid w:val="00DD681C"/>
    <w:rsid w:val="00DD6A15"/>
    <w:rsid w:val="00DE0F4F"/>
    <w:rsid w:val="00DE0FC8"/>
    <w:rsid w:val="00DE1264"/>
    <w:rsid w:val="00DE146F"/>
    <w:rsid w:val="00DE3CBF"/>
    <w:rsid w:val="00DE4A20"/>
    <w:rsid w:val="00DE5AF9"/>
    <w:rsid w:val="00DE5BED"/>
    <w:rsid w:val="00DE5C43"/>
    <w:rsid w:val="00DE67A4"/>
    <w:rsid w:val="00DE69D1"/>
    <w:rsid w:val="00DE72E1"/>
    <w:rsid w:val="00DE7CBC"/>
    <w:rsid w:val="00DF0546"/>
    <w:rsid w:val="00DF065A"/>
    <w:rsid w:val="00DF0663"/>
    <w:rsid w:val="00DF158D"/>
    <w:rsid w:val="00DF22B6"/>
    <w:rsid w:val="00DF2667"/>
    <w:rsid w:val="00DF375B"/>
    <w:rsid w:val="00DF4A77"/>
    <w:rsid w:val="00DF501F"/>
    <w:rsid w:val="00DF5816"/>
    <w:rsid w:val="00DF6311"/>
    <w:rsid w:val="00DF736B"/>
    <w:rsid w:val="00DF754E"/>
    <w:rsid w:val="00DF780F"/>
    <w:rsid w:val="00DF783B"/>
    <w:rsid w:val="00DF7B05"/>
    <w:rsid w:val="00DF7B70"/>
    <w:rsid w:val="00E00532"/>
    <w:rsid w:val="00E00E13"/>
    <w:rsid w:val="00E01240"/>
    <w:rsid w:val="00E01EB3"/>
    <w:rsid w:val="00E037ED"/>
    <w:rsid w:val="00E03EBB"/>
    <w:rsid w:val="00E057FF"/>
    <w:rsid w:val="00E059E6"/>
    <w:rsid w:val="00E05A42"/>
    <w:rsid w:val="00E05B9F"/>
    <w:rsid w:val="00E05F56"/>
    <w:rsid w:val="00E066E9"/>
    <w:rsid w:val="00E07466"/>
    <w:rsid w:val="00E10561"/>
    <w:rsid w:val="00E107FF"/>
    <w:rsid w:val="00E114FF"/>
    <w:rsid w:val="00E117E4"/>
    <w:rsid w:val="00E11AC3"/>
    <w:rsid w:val="00E11EC2"/>
    <w:rsid w:val="00E12019"/>
    <w:rsid w:val="00E14172"/>
    <w:rsid w:val="00E158D1"/>
    <w:rsid w:val="00E15E23"/>
    <w:rsid w:val="00E15ED5"/>
    <w:rsid w:val="00E15F77"/>
    <w:rsid w:val="00E16155"/>
    <w:rsid w:val="00E162D6"/>
    <w:rsid w:val="00E16C4A"/>
    <w:rsid w:val="00E17D18"/>
    <w:rsid w:val="00E20458"/>
    <w:rsid w:val="00E211D0"/>
    <w:rsid w:val="00E214FF"/>
    <w:rsid w:val="00E21DF6"/>
    <w:rsid w:val="00E22191"/>
    <w:rsid w:val="00E22936"/>
    <w:rsid w:val="00E22E03"/>
    <w:rsid w:val="00E23A09"/>
    <w:rsid w:val="00E23A9C"/>
    <w:rsid w:val="00E24842"/>
    <w:rsid w:val="00E25603"/>
    <w:rsid w:val="00E25C45"/>
    <w:rsid w:val="00E25FFC"/>
    <w:rsid w:val="00E2664C"/>
    <w:rsid w:val="00E2667F"/>
    <w:rsid w:val="00E26D41"/>
    <w:rsid w:val="00E26FA8"/>
    <w:rsid w:val="00E27823"/>
    <w:rsid w:val="00E27E43"/>
    <w:rsid w:val="00E27EC8"/>
    <w:rsid w:val="00E3037E"/>
    <w:rsid w:val="00E305AD"/>
    <w:rsid w:val="00E3087E"/>
    <w:rsid w:val="00E309C3"/>
    <w:rsid w:val="00E3110C"/>
    <w:rsid w:val="00E31254"/>
    <w:rsid w:val="00E317A7"/>
    <w:rsid w:val="00E32EF1"/>
    <w:rsid w:val="00E33BC6"/>
    <w:rsid w:val="00E359E3"/>
    <w:rsid w:val="00E35DB8"/>
    <w:rsid w:val="00E3653D"/>
    <w:rsid w:val="00E3654E"/>
    <w:rsid w:val="00E3725A"/>
    <w:rsid w:val="00E37A00"/>
    <w:rsid w:val="00E37AF3"/>
    <w:rsid w:val="00E37C04"/>
    <w:rsid w:val="00E40F0D"/>
    <w:rsid w:val="00E413C0"/>
    <w:rsid w:val="00E4186E"/>
    <w:rsid w:val="00E41A83"/>
    <w:rsid w:val="00E41C23"/>
    <w:rsid w:val="00E421A5"/>
    <w:rsid w:val="00E434FC"/>
    <w:rsid w:val="00E43690"/>
    <w:rsid w:val="00E43CFD"/>
    <w:rsid w:val="00E44A03"/>
    <w:rsid w:val="00E44CA5"/>
    <w:rsid w:val="00E450F2"/>
    <w:rsid w:val="00E454D9"/>
    <w:rsid w:val="00E4571D"/>
    <w:rsid w:val="00E4600D"/>
    <w:rsid w:val="00E464F8"/>
    <w:rsid w:val="00E46963"/>
    <w:rsid w:val="00E47031"/>
    <w:rsid w:val="00E47BB5"/>
    <w:rsid w:val="00E5035E"/>
    <w:rsid w:val="00E503CC"/>
    <w:rsid w:val="00E50507"/>
    <w:rsid w:val="00E508D7"/>
    <w:rsid w:val="00E50B32"/>
    <w:rsid w:val="00E5119D"/>
    <w:rsid w:val="00E52697"/>
    <w:rsid w:val="00E52DC7"/>
    <w:rsid w:val="00E52E17"/>
    <w:rsid w:val="00E5312A"/>
    <w:rsid w:val="00E532B2"/>
    <w:rsid w:val="00E53AEA"/>
    <w:rsid w:val="00E54212"/>
    <w:rsid w:val="00E54991"/>
    <w:rsid w:val="00E55009"/>
    <w:rsid w:val="00E55F30"/>
    <w:rsid w:val="00E560DC"/>
    <w:rsid w:val="00E57570"/>
    <w:rsid w:val="00E5799A"/>
    <w:rsid w:val="00E60DE4"/>
    <w:rsid w:val="00E6109E"/>
    <w:rsid w:val="00E61367"/>
    <w:rsid w:val="00E61F71"/>
    <w:rsid w:val="00E61F9B"/>
    <w:rsid w:val="00E626CA"/>
    <w:rsid w:val="00E62936"/>
    <w:rsid w:val="00E62ABB"/>
    <w:rsid w:val="00E637D0"/>
    <w:rsid w:val="00E64772"/>
    <w:rsid w:val="00E64D11"/>
    <w:rsid w:val="00E65A5F"/>
    <w:rsid w:val="00E65AD8"/>
    <w:rsid w:val="00E66BC8"/>
    <w:rsid w:val="00E66BF6"/>
    <w:rsid w:val="00E67299"/>
    <w:rsid w:val="00E67690"/>
    <w:rsid w:val="00E7005B"/>
    <w:rsid w:val="00E70A58"/>
    <w:rsid w:val="00E7121E"/>
    <w:rsid w:val="00E71782"/>
    <w:rsid w:val="00E73BAA"/>
    <w:rsid w:val="00E73BF4"/>
    <w:rsid w:val="00E74005"/>
    <w:rsid w:val="00E74134"/>
    <w:rsid w:val="00E748AC"/>
    <w:rsid w:val="00E74BA5"/>
    <w:rsid w:val="00E74C57"/>
    <w:rsid w:val="00E75F9B"/>
    <w:rsid w:val="00E763E9"/>
    <w:rsid w:val="00E765FB"/>
    <w:rsid w:val="00E7667F"/>
    <w:rsid w:val="00E76756"/>
    <w:rsid w:val="00E76E5B"/>
    <w:rsid w:val="00E80158"/>
    <w:rsid w:val="00E8018F"/>
    <w:rsid w:val="00E80734"/>
    <w:rsid w:val="00E80932"/>
    <w:rsid w:val="00E813E1"/>
    <w:rsid w:val="00E82383"/>
    <w:rsid w:val="00E8251F"/>
    <w:rsid w:val="00E8253D"/>
    <w:rsid w:val="00E82E78"/>
    <w:rsid w:val="00E83574"/>
    <w:rsid w:val="00E83653"/>
    <w:rsid w:val="00E83B93"/>
    <w:rsid w:val="00E83DB7"/>
    <w:rsid w:val="00E83E96"/>
    <w:rsid w:val="00E845AD"/>
    <w:rsid w:val="00E84DEB"/>
    <w:rsid w:val="00E85A9C"/>
    <w:rsid w:val="00E8620B"/>
    <w:rsid w:val="00E86551"/>
    <w:rsid w:val="00E86C4F"/>
    <w:rsid w:val="00E87C2C"/>
    <w:rsid w:val="00E90007"/>
    <w:rsid w:val="00E90899"/>
    <w:rsid w:val="00E90CC7"/>
    <w:rsid w:val="00E925CC"/>
    <w:rsid w:val="00E92B21"/>
    <w:rsid w:val="00E931A9"/>
    <w:rsid w:val="00E94061"/>
    <w:rsid w:val="00E9462C"/>
    <w:rsid w:val="00E94D55"/>
    <w:rsid w:val="00E957CE"/>
    <w:rsid w:val="00E95930"/>
    <w:rsid w:val="00E95F05"/>
    <w:rsid w:val="00E9637E"/>
    <w:rsid w:val="00EA0030"/>
    <w:rsid w:val="00EA070C"/>
    <w:rsid w:val="00EA0791"/>
    <w:rsid w:val="00EA17DC"/>
    <w:rsid w:val="00EA18AA"/>
    <w:rsid w:val="00EA1AD0"/>
    <w:rsid w:val="00EA20E3"/>
    <w:rsid w:val="00EA2FE5"/>
    <w:rsid w:val="00EA32C7"/>
    <w:rsid w:val="00EA3D47"/>
    <w:rsid w:val="00EA4265"/>
    <w:rsid w:val="00EA4334"/>
    <w:rsid w:val="00EA5C09"/>
    <w:rsid w:val="00EA7863"/>
    <w:rsid w:val="00EA7BC1"/>
    <w:rsid w:val="00EA7BC8"/>
    <w:rsid w:val="00EB0026"/>
    <w:rsid w:val="00EB07AE"/>
    <w:rsid w:val="00EB0809"/>
    <w:rsid w:val="00EB0A13"/>
    <w:rsid w:val="00EB0DC0"/>
    <w:rsid w:val="00EB124F"/>
    <w:rsid w:val="00EB1A21"/>
    <w:rsid w:val="00EB2A46"/>
    <w:rsid w:val="00EB2CCC"/>
    <w:rsid w:val="00EB33A8"/>
    <w:rsid w:val="00EB3EEE"/>
    <w:rsid w:val="00EB4703"/>
    <w:rsid w:val="00EB481E"/>
    <w:rsid w:val="00EB4DBB"/>
    <w:rsid w:val="00EB6C93"/>
    <w:rsid w:val="00EB74A6"/>
    <w:rsid w:val="00EB7D9A"/>
    <w:rsid w:val="00EC01B9"/>
    <w:rsid w:val="00EC05B9"/>
    <w:rsid w:val="00EC07EF"/>
    <w:rsid w:val="00EC0EFE"/>
    <w:rsid w:val="00EC143E"/>
    <w:rsid w:val="00EC1768"/>
    <w:rsid w:val="00EC1A3C"/>
    <w:rsid w:val="00EC1A9B"/>
    <w:rsid w:val="00EC248C"/>
    <w:rsid w:val="00EC299D"/>
    <w:rsid w:val="00EC2EE7"/>
    <w:rsid w:val="00EC40FC"/>
    <w:rsid w:val="00EC7AF3"/>
    <w:rsid w:val="00EC7CE1"/>
    <w:rsid w:val="00ED15B1"/>
    <w:rsid w:val="00ED1EB7"/>
    <w:rsid w:val="00ED261E"/>
    <w:rsid w:val="00ED340D"/>
    <w:rsid w:val="00ED38B0"/>
    <w:rsid w:val="00ED3ACE"/>
    <w:rsid w:val="00ED4732"/>
    <w:rsid w:val="00ED474E"/>
    <w:rsid w:val="00ED47A2"/>
    <w:rsid w:val="00ED4E3E"/>
    <w:rsid w:val="00ED58AC"/>
    <w:rsid w:val="00ED5E97"/>
    <w:rsid w:val="00ED7CF3"/>
    <w:rsid w:val="00EE0904"/>
    <w:rsid w:val="00EE0E17"/>
    <w:rsid w:val="00EE1628"/>
    <w:rsid w:val="00EE1700"/>
    <w:rsid w:val="00EE287F"/>
    <w:rsid w:val="00EE2A0B"/>
    <w:rsid w:val="00EE42C6"/>
    <w:rsid w:val="00EE4424"/>
    <w:rsid w:val="00EE462C"/>
    <w:rsid w:val="00EE585B"/>
    <w:rsid w:val="00EE5BEA"/>
    <w:rsid w:val="00EE611B"/>
    <w:rsid w:val="00EE645D"/>
    <w:rsid w:val="00EE73C5"/>
    <w:rsid w:val="00EE7DD0"/>
    <w:rsid w:val="00EF0923"/>
    <w:rsid w:val="00EF0DB7"/>
    <w:rsid w:val="00EF12B0"/>
    <w:rsid w:val="00EF1439"/>
    <w:rsid w:val="00EF18A7"/>
    <w:rsid w:val="00EF1905"/>
    <w:rsid w:val="00EF1D4B"/>
    <w:rsid w:val="00EF2007"/>
    <w:rsid w:val="00EF23D4"/>
    <w:rsid w:val="00EF294C"/>
    <w:rsid w:val="00EF34CC"/>
    <w:rsid w:val="00EF3704"/>
    <w:rsid w:val="00EF4456"/>
    <w:rsid w:val="00EF4470"/>
    <w:rsid w:val="00EF4568"/>
    <w:rsid w:val="00EF4975"/>
    <w:rsid w:val="00EF4EFF"/>
    <w:rsid w:val="00EF6F9D"/>
    <w:rsid w:val="00EF75A5"/>
    <w:rsid w:val="00EF76FC"/>
    <w:rsid w:val="00EF7FC2"/>
    <w:rsid w:val="00F0009C"/>
    <w:rsid w:val="00F003BE"/>
    <w:rsid w:val="00F01000"/>
    <w:rsid w:val="00F01568"/>
    <w:rsid w:val="00F01668"/>
    <w:rsid w:val="00F01CB6"/>
    <w:rsid w:val="00F02810"/>
    <w:rsid w:val="00F02CA6"/>
    <w:rsid w:val="00F0329B"/>
    <w:rsid w:val="00F032A3"/>
    <w:rsid w:val="00F044A9"/>
    <w:rsid w:val="00F04D58"/>
    <w:rsid w:val="00F05134"/>
    <w:rsid w:val="00F05411"/>
    <w:rsid w:val="00F066B9"/>
    <w:rsid w:val="00F0710B"/>
    <w:rsid w:val="00F075FB"/>
    <w:rsid w:val="00F07C32"/>
    <w:rsid w:val="00F07E38"/>
    <w:rsid w:val="00F07FBF"/>
    <w:rsid w:val="00F1040B"/>
    <w:rsid w:val="00F10851"/>
    <w:rsid w:val="00F10CA6"/>
    <w:rsid w:val="00F11827"/>
    <w:rsid w:val="00F1253E"/>
    <w:rsid w:val="00F130C8"/>
    <w:rsid w:val="00F13AB0"/>
    <w:rsid w:val="00F13FB8"/>
    <w:rsid w:val="00F143A0"/>
    <w:rsid w:val="00F146B9"/>
    <w:rsid w:val="00F14CDD"/>
    <w:rsid w:val="00F14FAA"/>
    <w:rsid w:val="00F15019"/>
    <w:rsid w:val="00F156E1"/>
    <w:rsid w:val="00F15806"/>
    <w:rsid w:val="00F15903"/>
    <w:rsid w:val="00F15B89"/>
    <w:rsid w:val="00F20368"/>
    <w:rsid w:val="00F214AD"/>
    <w:rsid w:val="00F214CD"/>
    <w:rsid w:val="00F2277E"/>
    <w:rsid w:val="00F22954"/>
    <w:rsid w:val="00F2396A"/>
    <w:rsid w:val="00F23B2A"/>
    <w:rsid w:val="00F23F14"/>
    <w:rsid w:val="00F25AF3"/>
    <w:rsid w:val="00F25E31"/>
    <w:rsid w:val="00F260FC"/>
    <w:rsid w:val="00F262E5"/>
    <w:rsid w:val="00F26319"/>
    <w:rsid w:val="00F26C90"/>
    <w:rsid w:val="00F2729B"/>
    <w:rsid w:val="00F30335"/>
    <w:rsid w:val="00F3070B"/>
    <w:rsid w:val="00F3106C"/>
    <w:rsid w:val="00F318E4"/>
    <w:rsid w:val="00F327E7"/>
    <w:rsid w:val="00F32940"/>
    <w:rsid w:val="00F345EF"/>
    <w:rsid w:val="00F34613"/>
    <w:rsid w:val="00F35EF0"/>
    <w:rsid w:val="00F35F80"/>
    <w:rsid w:val="00F36344"/>
    <w:rsid w:val="00F36738"/>
    <w:rsid w:val="00F367B5"/>
    <w:rsid w:val="00F371B0"/>
    <w:rsid w:val="00F3767F"/>
    <w:rsid w:val="00F37F16"/>
    <w:rsid w:val="00F41653"/>
    <w:rsid w:val="00F420CD"/>
    <w:rsid w:val="00F422BA"/>
    <w:rsid w:val="00F4333C"/>
    <w:rsid w:val="00F43C0D"/>
    <w:rsid w:val="00F44F7E"/>
    <w:rsid w:val="00F45519"/>
    <w:rsid w:val="00F46096"/>
    <w:rsid w:val="00F4761E"/>
    <w:rsid w:val="00F47AB7"/>
    <w:rsid w:val="00F501BC"/>
    <w:rsid w:val="00F5023C"/>
    <w:rsid w:val="00F50B7A"/>
    <w:rsid w:val="00F51C36"/>
    <w:rsid w:val="00F520C6"/>
    <w:rsid w:val="00F52438"/>
    <w:rsid w:val="00F52CDB"/>
    <w:rsid w:val="00F52E09"/>
    <w:rsid w:val="00F53C35"/>
    <w:rsid w:val="00F53F12"/>
    <w:rsid w:val="00F54142"/>
    <w:rsid w:val="00F549AC"/>
    <w:rsid w:val="00F549BA"/>
    <w:rsid w:val="00F54C4D"/>
    <w:rsid w:val="00F600D9"/>
    <w:rsid w:val="00F60249"/>
    <w:rsid w:val="00F60F7C"/>
    <w:rsid w:val="00F61502"/>
    <w:rsid w:val="00F61B66"/>
    <w:rsid w:val="00F6271A"/>
    <w:rsid w:val="00F62B52"/>
    <w:rsid w:val="00F635D7"/>
    <w:rsid w:val="00F6366A"/>
    <w:rsid w:val="00F636D1"/>
    <w:rsid w:val="00F63912"/>
    <w:rsid w:val="00F63947"/>
    <w:rsid w:val="00F64273"/>
    <w:rsid w:val="00F646ED"/>
    <w:rsid w:val="00F6492A"/>
    <w:rsid w:val="00F64F8E"/>
    <w:rsid w:val="00F659D4"/>
    <w:rsid w:val="00F65CB1"/>
    <w:rsid w:val="00F65E3D"/>
    <w:rsid w:val="00F66ABA"/>
    <w:rsid w:val="00F67805"/>
    <w:rsid w:val="00F6799C"/>
    <w:rsid w:val="00F700E3"/>
    <w:rsid w:val="00F70EB5"/>
    <w:rsid w:val="00F711F9"/>
    <w:rsid w:val="00F712A6"/>
    <w:rsid w:val="00F7183C"/>
    <w:rsid w:val="00F72DC1"/>
    <w:rsid w:val="00F7364F"/>
    <w:rsid w:val="00F73AD5"/>
    <w:rsid w:val="00F74191"/>
    <w:rsid w:val="00F754A6"/>
    <w:rsid w:val="00F75650"/>
    <w:rsid w:val="00F75674"/>
    <w:rsid w:val="00F76568"/>
    <w:rsid w:val="00F76D64"/>
    <w:rsid w:val="00F773B0"/>
    <w:rsid w:val="00F81706"/>
    <w:rsid w:val="00F81764"/>
    <w:rsid w:val="00F81A48"/>
    <w:rsid w:val="00F81ED5"/>
    <w:rsid w:val="00F8210A"/>
    <w:rsid w:val="00F83235"/>
    <w:rsid w:val="00F83C9B"/>
    <w:rsid w:val="00F83DDC"/>
    <w:rsid w:val="00F8407E"/>
    <w:rsid w:val="00F845C6"/>
    <w:rsid w:val="00F84892"/>
    <w:rsid w:val="00F85416"/>
    <w:rsid w:val="00F85527"/>
    <w:rsid w:val="00F86F8F"/>
    <w:rsid w:val="00F87267"/>
    <w:rsid w:val="00F87557"/>
    <w:rsid w:val="00F876EF"/>
    <w:rsid w:val="00F87CB7"/>
    <w:rsid w:val="00F91DF5"/>
    <w:rsid w:val="00F91E76"/>
    <w:rsid w:val="00F92507"/>
    <w:rsid w:val="00F92E80"/>
    <w:rsid w:val="00F94862"/>
    <w:rsid w:val="00F94A65"/>
    <w:rsid w:val="00F94B3F"/>
    <w:rsid w:val="00F954B1"/>
    <w:rsid w:val="00F956BB"/>
    <w:rsid w:val="00F95989"/>
    <w:rsid w:val="00F959EC"/>
    <w:rsid w:val="00F95B49"/>
    <w:rsid w:val="00F9673C"/>
    <w:rsid w:val="00F96FD4"/>
    <w:rsid w:val="00F97186"/>
    <w:rsid w:val="00F97EC8"/>
    <w:rsid w:val="00FA05DE"/>
    <w:rsid w:val="00FA0F83"/>
    <w:rsid w:val="00FA1FA5"/>
    <w:rsid w:val="00FA36E5"/>
    <w:rsid w:val="00FA38A8"/>
    <w:rsid w:val="00FA3DD3"/>
    <w:rsid w:val="00FA41CF"/>
    <w:rsid w:val="00FA4710"/>
    <w:rsid w:val="00FA4920"/>
    <w:rsid w:val="00FA59FC"/>
    <w:rsid w:val="00FA5C85"/>
    <w:rsid w:val="00FA5F1E"/>
    <w:rsid w:val="00FA603F"/>
    <w:rsid w:val="00FA664E"/>
    <w:rsid w:val="00FA697E"/>
    <w:rsid w:val="00FA72C5"/>
    <w:rsid w:val="00FA74AD"/>
    <w:rsid w:val="00FA7EC7"/>
    <w:rsid w:val="00FB07CA"/>
    <w:rsid w:val="00FB0D49"/>
    <w:rsid w:val="00FB1CFB"/>
    <w:rsid w:val="00FB1E4D"/>
    <w:rsid w:val="00FB28EA"/>
    <w:rsid w:val="00FB29BF"/>
    <w:rsid w:val="00FB2CE5"/>
    <w:rsid w:val="00FB32A0"/>
    <w:rsid w:val="00FB340A"/>
    <w:rsid w:val="00FB3634"/>
    <w:rsid w:val="00FB3EE0"/>
    <w:rsid w:val="00FB4C23"/>
    <w:rsid w:val="00FB4FE1"/>
    <w:rsid w:val="00FB528F"/>
    <w:rsid w:val="00FB5341"/>
    <w:rsid w:val="00FB57A0"/>
    <w:rsid w:val="00FB5951"/>
    <w:rsid w:val="00FB5FEB"/>
    <w:rsid w:val="00FB6405"/>
    <w:rsid w:val="00FB6C80"/>
    <w:rsid w:val="00FB78A8"/>
    <w:rsid w:val="00FC0841"/>
    <w:rsid w:val="00FC0DDD"/>
    <w:rsid w:val="00FC120B"/>
    <w:rsid w:val="00FC1C16"/>
    <w:rsid w:val="00FC1F95"/>
    <w:rsid w:val="00FC1FA9"/>
    <w:rsid w:val="00FC2657"/>
    <w:rsid w:val="00FC2EA2"/>
    <w:rsid w:val="00FC301D"/>
    <w:rsid w:val="00FC3188"/>
    <w:rsid w:val="00FC3249"/>
    <w:rsid w:val="00FC3C76"/>
    <w:rsid w:val="00FC3E4A"/>
    <w:rsid w:val="00FC489C"/>
    <w:rsid w:val="00FC4DB9"/>
    <w:rsid w:val="00FC50BB"/>
    <w:rsid w:val="00FC571C"/>
    <w:rsid w:val="00FC61BF"/>
    <w:rsid w:val="00FC747B"/>
    <w:rsid w:val="00FC7C1B"/>
    <w:rsid w:val="00FD2AF4"/>
    <w:rsid w:val="00FD373A"/>
    <w:rsid w:val="00FD461B"/>
    <w:rsid w:val="00FD4C96"/>
    <w:rsid w:val="00FD4D49"/>
    <w:rsid w:val="00FD4EB1"/>
    <w:rsid w:val="00FD6519"/>
    <w:rsid w:val="00FD6E7B"/>
    <w:rsid w:val="00FE0709"/>
    <w:rsid w:val="00FE0D62"/>
    <w:rsid w:val="00FE0FA1"/>
    <w:rsid w:val="00FE214E"/>
    <w:rsid w:val="00FE2278"/>
    <w:rsid w:val="00FE2497"/>
    <w:rsid w:val="00FE257C"/>
    <w:rsid w:val="00FE2665"/>
    <w:rsid w:val="00FE33D9"/>
    <w:rsid w:val="00FE40FB"/>
    <w:rsid w:val="00FE442E"/>
    <w:rsid w:val="00FE5727"/>
    <w:rsid w:val="00FE58AA"/>
    <w:rsid w:val="00FE5D44"/>
    <w:rsid w:val="00FE646F"/>
    <w:rsid w:val="00FF1665"/>
    <w:rsid w:val="00FF1C73"/>
    <w:rsid w:val="00FF2C79"/>
    <w:rsid w:val="00FF2CA7"/>
    <w:rsid w:val="00FF3DE3"/>
    <w:rsid w:val="00FF4540"/>
    <w:rsid w:val="00FF5A0E"/>
    <w:rsid w:val="00FF5B6D"/>
    <w:rsid w:val="00FF5FBA"/>
    <w:rsid w:val="00FF694C"/>
    <w:rsid w:val="00FF6D85"/>
    <w:rsid w:val="00FF6FB9"/>
    <w:rsid w:val="00FF76FA"/>
    <w:rsid w:val="00FF78E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7AD0EE7"/>
  <w15:chartTrackingRefBased/>
  <w15:docId w15:val="{F67D5248-94E2-4DEA-8270-2F548F0B0C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0A88"/>
    <w:rPr>
      <w:rFonts w:ascii="Times New Roman" w:hAnsi="Times New Roman"/>
      <w:sz w:val="24"/>
    </w:rPr>
  </w:style>
  <w:style w:type="paragraph" w:styleId="Heading1">
    <w:name w:val="heading 1"/>
    <w:basedOn w:val="Normal"/>
    <w:next w:val="Normal"/>
    <w:link w:val="Heading1Char"/>
    <w:uiPriority w:val="9"/>
    <w:qFormat/>
    <w:rsid w:val="00BA6169"/>
    <w:pPr>
      <w:spacing w:after="0" w:line="480" w:lineRule="auto"/>
      <w:jc w:val="center"/>
      <w:outlineLvl w:val="0"/>
    </w:pPr>
    <w:rPr>
      <w:b/>
      <w:bCs/>
      <w:caps/>
      <w:szCs w:val="24"/>
    </w:rPr>
  </w:style>
  <w:style w:type="paragraph" w:styleId="Heading2">
    <w:name w:val="heading 2"/>
    <w:basedOn w:val="Normal"/>
    <w:next w:val="Normal"/>
    <w:link w:val="Heading2Char"/>
    <w:uiPriority w:val="9"/>
    <w:unhideWhenUsed/>
    <w:qFormat/>
    <w:rsid w:val="00BA6169"/>
    <w:pPr>
      <w:spacing w:after="0" w:line="480" w:lineRule="auto"/>
      <w:outlineLvl w:val="1"/>
    </w:pPr>
    <w:rPr>
      <w:b/>
      <w:bCs/>
      <w:szCs w:val="24"/>
    </w:rPr>
  </w:style>
  <w:style w:type="paragraph" w:styleId="Heading3">
    <w:name w:val="heading 3"/>
    <w:basedOn w:val="Normal"/>
    <w:next w:val="Normal"/>
    <w:link w:val="Heading3Char"/>
    <w:uiPriority w:val="9"/>
    <w:unhideWhenUsed/>
    <w:qFormat/>
    <w:rsid w:val="00B90F85"/>
    <w:pPr>
      <w:spacing w:after="0" w:line="480" w:lineRule="auto"/>
      <w:jc w:val="center"/>
      <w:outlineLvl w:val="2"/>
    </w:pPr>
    <w:rPr>
      <w:i/>
      <w:iCs/>
      <w:szCs w:val="24"/>
    </w:rPr>
  </w:style>
  <w:style w:type="paragraph" w:styleId="Heading4">
    <w:name w:val="heading 4"/>
    <w:basedOn w:val="Normal"/>
    <w:next w:val="Normal"/>
    <w:link w:val="Heading4Char"/>
    <w:uiPriority w:val="9"/>
    <w:semiHidden/>
    <w:unhideWhenUsed/>
    <w:qFormat/>
    <w:rsid w:val="004E4B3E"/>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4E4B3E"/>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4E4B3E"/>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4E4B3E"/>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4E4B3E"/>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4E4B3E"/>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A6169"/>
    <w:rPr>
      <w:rFonts w:ascii="Times New Roman" w:hAnsi="Times New Roman"/>
      <w:b/>
      <w:bCs/>
      <w:caps/>
      <w:sz w:val="24"/>
      <w:szCs w:val="24"/>
    </w:rPr>
  </w:style>
  <w:style w:type="character" w:customStyle="1" w:styleId="Heading2Char">
    <w:name w:val="Heading 2 Char"/>
    <w:basedOn w:val="DefaultParagraphFont"/>
    <w:link w:val="Heading2"/>
    <w:uiPriority w:val="9"/>
    <w:rsid w:val="00BA6169"/>
    <w:rPr>
      <w:rFonts w:ascii="Times New Roman" w:hAnsi="Times New Roman"/>
      <w:b/>
      <w:bCs/>
      <w:sz w:val="24"/>
      <w:szCs w:val="24"/>
    </w:rPr>
  </w:style>
  <w:style w:type="character" w:customStyle="1" w:styleId="Heading3Char">
    <w:name w:val="Heading 3 Char"/>
    <w:basedOn w:val="DefaultParagraphFont"/>
    <w:link w:val="Heading3"/>
    <w:uiPriority w:val="9"/>
    <w:rsid w:val="00E65A5F"/>
    <w:rPr>
      <w:rFonts w:ascii="Times New Roman" w:hAnsi="Times New Roman"/>
      <w:i/>
      <w:iCs/>
      <w:sz w:val="24"/>
      <w:szCs w:val="24"/>
    </w:rPr>
  </w:style>
  <w:style w:type="character" w:customStyle="1" w:styleId="Heading4Char">
    <w:name w:val="Heading 4 Char"/>
    <w:basedOn w:val="DefaultParagraphFont"/>
    <w:link w:val="Heading4"/>
    <w:uiPriority w:val="9"/>
    <w:semiHidden/>
    <w:rsid w:val="004E4B3E"/>
    <w:rPr>
      <w:rFonts w:eastAsiaTheme="majorEastAsia" w:cstheme="majorBidi"/>
      <w:i/>
      <w:iCs/>
      <w:color w:val="0F4761" w:themeColor="accent1" w:themeShade="BF"/>
      <w:sz w:val="24"/>
    </w:rPr>
  </w:style>
  <w:style w:type="character" w:customStyle="1" w:styleId="Heading5Char">
    <w:name w:val="Heading 5 Char"/>
    <w:basedOn w:val="DefaultParagraphFont"/>
    <w:link w:val="Heading5"/>
    <w:uiPriority w:val="9"/>
    <w:semiHidden/>
    <w:rsid w:val="004E4B3E"/>
    <w:rPr>
      <w:rFonts w:eastAsiaTheme="majorEastAsia" w:cstheme="majorBidi"/>
      <w:color w:val="0F4761" w:themeColor="accent1" w:themeShade="BF"/>
      <w:sz w:val="24"/>
    </w:rPr>
  </w:style>
  <w:style w:type="character" w:customStyle="1" w:styleId="Heading6Char">
    <w:name w:val="Heading 6 Char"/>
    <w:basedOn w:val="DefaultParagraphFont"/>
    <w:link w:val="Heading6"/>
    <w:uiPriority w:val="9"/>
    <w:semiHidden/>
    <w:rsid w:val="004E4B3E"/>
    <w:rPr>
      <w:rFonts w:eastAsiaTheme="majorEastAsia" w:cstheme="majorBidi"/>
      <w:i/>
      <w:iCs/>
      <w:color w:val="595959" w:themeColor="text1" w:themeTint="A6"/>
      <w:sz w:val="24"/>
    </w:rPr>
  </w:style>
  <w:style w:type="character" w:customStyle="1" w:styleId="Heading7Char">
    <w:name w:val="Heading 7 Char"/>
    <w:basedOn w:val="DefaultParagraphFont"/>
    <w:link w:val="Heading7"/>
    <w:uiPriority w:val="9"/>
    <w:semiHidden/>
    <w:rsid w:val="004E4B3E"/>
    <w:rPr>
      <w:rFonts w:eastAsiaTheme="majorEastAsia" w:cstheme="majorBidi"/>
      <w:color w:val="595959" w:themeColor="text1" w:themeTint="A6"/>
      <w:sz w:val="24"/>
    </w:rPr>
  </w:style>
  <w:style w:type="character" w:customStyle="1" w:styleId="Heading8Char">
    <w:name w:val="Heading 8 Char"/>
    <w:basedOn w:val="DefaultParagraphFont"/>
    <w:link w:val="Heading8"/>
    <w:uiPriority w:val="9"/>
    <w:semiHidden/>
    <w:rsid w:val="004E4B3E"/>
    <w:rPr>
      <w:rFonts w:eastAsiaTheme="majorEastAsia" w:cstheme="majorBidi"/>
      <w:i/>
      <w:iCs/>
      <w:color w:val="272727" w:themeColor="text1" w:themeTint="D8"/>
      <w:sz w:val="24"/>
    </w:rPr>
  </w:style>
  <w:style w:type="character" w:customStyle="1" w:styleId="Heading9Char">
    <w:name w:val="Heading 9 Char"/>
    <w:basedOn w:val="DefaultParagraphFont"/>
    <w:link w:val="Heading9"/>
    <w:uiPriority w:val="9"/>
    <w:semiHidden/>
    <w:rsid w:val="004E4B3E"/>
    <w:rPr>
      <w:rFonts w:eastAsiaTheme="majorEastAsia" w:cstheme="majorBidi"/>
      <w:color w:val="272727" w:themeColor="text1" w:themeTint="D8"/>
      <w:sz w:val="24"/>
    </w:rPr>
  </w:style>
  <w:style w:type="paragraph" w:styleId="Title">
    <w:name w:val="Title"/>
    <w:basedOn w:val="Normal"/>
    <w:next w:val="Normal"/>
    <w:link w:val="TitleChar"/>
    <w:uiPriority w:val="10"/>
    <w:qFormat/>
    <w:rsid w:val="004E4B3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E4B3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E4B3E"/>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E4B3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E4B3E"/>
    <w:pPr>
      <w:spacing w:before="160"/>
      <w:jc w:val="center"/>
    </w:pPr>
    <w:rPr>
      <w:i/>
      <w:iCs/>
      <w:color w:val="404040" w:themeColor="text1" w:themeTint="BF"/>
    </w:rPr>
  </w:style>
  <w:style w:type="character" w:customStyle="1" w:styleId="QuoteChar">
    <w:name w:val="Quote Char"/>
    <w:basedOn w:val="DefaultParagraphFont"/>
    <w:link w:val="Quote"/>
    <w:uiPriority w:val="29"/>
    <w:rsid w:val="004E4B3E"/>
    <w:rPr>
      <w:rFonts w:ascii="Times New Roman" w:hAnsi="Times New Roman"/>
      <w:i/>
      <w:iCs/>
      <w:color w:val="404040" w:themeColor="text1" w:themeTint="BF"/>
      <w:sz w:val="24"/>
    </w:rPr>
  </w:style>
  <w:style w:type="paragraph" w:styleId="ListParagraph">
    <w:name w:val="List Paragraph"/>
    <w:basedOn w:val="Normal"/>
    <w:uiPriority w:val="34"/>
    <w:qFormat/>
    <w:rsid w:val="004E4B3E"/>
    <w:pPr>
      <w:ind w:left="720"/>
      <w:contextualSpacing/>
    </w:pPr>
  </w:style>
  <w:style w:type="character" w:styleId="IntenseEmphasis">
    <w:name w:val="Intense Emphasis"/>
    <w:basedOn w:val="DefaultParagraphFont"/>
    <w:uiPriority w:val="21"/>
    <w:qFormat/>
    <w:rsid w:val="004E4B3E"/>
    <w:rPr>
      <w:i/>
      <w:iCs/>
      <w:color w:val="0F4761" w:themeColor="accent1" w:themeShade="BF"/>
    </w:rPr>
  </w:style>
  <w:style w:type="paragraph" w:styleId="IntenseQuote">
    <w:name w:val="Intense Quote"/>
    <w:basedOn w:val="Normal"/>
    <w:next w:val="Normal"/>
    <w:link w:val="IntenseQuoteChar"/>
    <w:uiPriority w:val="30"/>
    <w:qFormat/>
    <w:rsid w:val="004E4B3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E4B3E"/>
    <w:rPr>
      <w:rFonts w:ascii="Times New Roman" w:hAnsi="Times New Roman"/>
      <w:i/>
      <w:iCs/>
      <w:color w:val="0F4761" w:themeColor="accent1" w:themeShade="BF"/>
      <w:sz w:val="24"/>
    </w:rPr>
  </w:style>
  <w:style w:type="character" w:styleId="IntenseReference">
    <w:name w:val="Intense Reference"/>
    <w:basedOn w:val="DefaultParagraphFont"/>
    <w:uiPriority w:val="32"/>
    <w:qFormat/>
    <w:rsid w:val="004E4B3E"/>
    <w:rPr>
      <w:b/>
      <w:bCs/>
      <w:smallCaps/>
      <w:color w:val="0F4761" w:themeColor="accent1" w:themeShade="BF"/>
      <w:spacing w:val="5"/>
    </w:rPr>
  </w:style>
  <w:style w:type="table" w:styleId="TableGrid">
    <w:name w:val="Table Grid"/>
    <w:basedOn w:val="TableNormal"/>
    <w:uiPriority w:val="39"/>
    <w:rsid w:val="00BA23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phy">
    <w:name w:val="Bibliography"/>
    <w:basedOn w:val="Normal"/>
    <w:next w:val="Normal"/>
    <w:uiPriority w:val="37"/>
    <w:unhideWhenUsed/>
    <w:rsid w:val="00D4347B"/>
    <w:pPr>
      <w:spacing w:after="0" w:line="480" w:lineRule="auto"/>
      <w:ind w:left="720" w:hanging="720"/>
    </w:pPr>
  </w:style>
  <w:style w:type="paragraph" w:styleId="TOCHeading">
    <w:name w:val="TOC Heading"/>
    <w:basedOn w:val="Heading1"/>
    <w:next w:val="Normal"/>
    <w:uiPriority w:val="39"/>
    <w:unhideWhenUsed/>
    <w:qFormat/>
    <w:rsid w:val="0050642E"/>
    <w:pPr>
      <w:keepNext/>
      <w:keepLines/>
      <w:spacing w:before="240"/>
      <w:jc w:val="left"/>
      <w:outlineLvl w:val="9"/>
    </w:pPr>
    <w:rPr>
      <w:rFonts w:asciiTheme="majorHAnsi" w:eastAsiaTheme="majorEastAsia" w:hAnsiTheme="majorHAnsi" w:cstheme="majorBidi"/>
      <w:b w:val="0"/>
      <w:bCs w:val="0"/>
      <w:color w:val="0F4761" w:themeColor="accent1" w:themeShade="BF"/>
      <w:kern w:val="0"/>
      <w:sz w:val="32"/>
      <w:szCs w:val="32"/>
      <w14:ligatures w14:val="none"/>
    </w:rPr>
  </w:style>
  <w:style w:type="paragraph" w:styleId="TOC1">
    <w:name w:val="toc 1"/>
    <w:basedOn w:val="Normal"/>
    <w:next w:val="Normal"/>
    <w:autoRedefine/>
    <w:uiPriority w:val="39"/>
    <w:unhideWhenUsed/>
    <w:rsid w:val="0050642E"/>
    <w:pPr>
      <w:spacing w:after="100"/>
    </w:pPr>
  </w:style>
  <w:style w:type="paragraph" w:styleId="TOC2">
    <w:name w:val="toc 2"/>
    <w:basedOn w:val="Normal"/>
    <w:next w:val="Normal"/>
    <w:autoRedefine/>
    <w:uiPriority w:val="39"/>
    <w:unhideWhenUsed/>
    <w:rsid w:val="0050642E"/>
    <w:pPr>
      <w:spacing w:after="100"/>
      <w:ind w:left="240"/>
    </w:pPr>
  </w:style>
  <w:style w:type="paragraph" w:styleId="TOC3">
    <w:name w:val="toc 3"/>
    <w:basedOn w:val="Normal"/>
    <w:next w:val="Normal"/>
    <w:autoRedefine/>
    <w:uiPriority w:val="39"/>
    <w:unhideWhenUsed/>
    <w:rsid w:val="0050642E"/>
    <w:pPr>
      <w:spacing w:after="100"/>
      <w:ind w:left="480"/>
    </w:pPr>
  </w:style>
  <w:style w:type="character" w:styleId="Hyperlink">
    <w:name w:val="Hyperlink"/>
    <w:basedOn w:val="DefaultParagraphFont"/>
    <w:uiPriority w:val="99"/>
    <w:unhideWhenUsed/>
    <w:rsid w:val="0050642E"/>
    <w:rPr>
      <w:color w:val="467886" w:themeColor="hyperlink"/>
      <w:u w:val="single"/>
    </w:rPr>
  </w:style>
  <w:style w:type="paragraph" w:styleId="Header">
    <w:name w:val="header"/>
    <w:basedOn w:val="Normal"/>
    <w:link w:val="HeaderChar"/>
    <w:uiPriority w:val="99"/>
    <w:unhideWhenUsed/>
    <w:rsid w:val="0000501D"/>
    <w:pPr>
      <w:tabs>
        <w:tab w:val="center" w:pos="4680"/>
        <w:tab w:val="right" w:pos="9360"/>
      </w:tabs>
      <w:spacing w:after="0" w:line="240" w:lineRule="auto"/>
    </w:pPr>
  </w:style>
  <w:style w:type="character" w:customStyle="1" w:styleId="HeaderChar">
    <w:name w:val="Header Char"/>
    <w:basedOn w:val="DefaultParagraphFont"/>
    <w:link w:val="Header"/>
    <w:uiPriority w:val="99"/>
    <w:rsid w:val="0000501D"/>
    <w:rPr>
      <w:rFonts w:ascii="Times New Roman" w:hAnsi="Times New Roman"/>
      <w:sz w:val="24"/>
    </w:rPr>
  </w:style>
  <w:style w:type="paragraph" w:styleId="Footer">
    <w:name w:val="footer"/>
    <w:basedOn w:val="Normal"/>
    <w:link w:val="FooterChar"/>
    <w:uiPriority w:val="99"/>
    <w:unhideWhenUsed/>
    <w:rsid w:val="0000501D"/>
    <w:pPr>
      <w:tabs>
        <w:tab w:val="center" w:pos="4680"/>
        <w:tab w:val="right" w:pos="9360"/>
      </w:tabs>
      <w:spacing w:after="0" w:line="240" w:lineRule="auto"/>
    </w:pPr>
  </w:style>
  <w:style w:type="character" w:customStyle="1" w:styleId="FooterChar">
    <w:name w:val="Footer Char"/>
    <w:basedOn w:val="DefaultParagraphFont"/>
    <w:link w:val="Footer"/>
    <w:uiPriority w:val="99"/>
    <w:rsid w:val="0000501D"/>
    <w:rPr>
      <w:rFonts w:ascii="Times New Roman" w:hAnsi="Times New Roman"/>
      <w:sz w:val="24"/>
    </w:rPr>
  </w:style>
  <w:style w:type="paragraph" w:styleId="Caption">
    <w:name w:val="caption"/>
    <w:basedOn w:val="Normal"/>
    <w:next w:val="Normal"/>
    <w:uiPriority w:val="35"/>
    <w:unhideWhenUsed/>
    <w:qFormat/>
    <w:rsid w:val="00C72159"/>
    <w:pPr>
      <w:spacing w:after="200" w:line="240" w:lineRule="auto"/>
    </w:pPr>
    <w:rPr>
      <w:i/>
      <w:iCs/>
      <w:color w:val="0E2841" w:themeColor="text2"/>
      <w:sz w:val="18"/>
      <w:szCs w:val="18"/>
    </w:rPr>
  </w:style>
  <w:style w:type="paragraph" w:styleId="CommentText">
    <w:name w:val="annotation text"/>
    <w:basedOn w:val="Normal"/>
    <w:link w:val="CommentTextChar"/>
    <w:uiPriority w:val="99"/>
    <w:unhideWhenUsed/>
    <w:rsid w:val="00EF23D4"/>
    <w:pPr>
      <w:spacing w:line="240" w:lineRule="auto"/>
    </w:pPr>
    <w:rPr>
      <w:rFonts w:eastAsia="Times New Roman" w:cs="Times New Roman"/>
      <w:kern w:val="0"/>
      <w:sz w:val="20"/>
      <w:szCs w:val="20"/>
      <w14:ligatures w14:val="none"/>
    </w:rPr>
  </w:style>
  <w:style w:type="character" w:customStyle="1" w:styleId="CommentTextChar">
    <w:name w:val="Comment Text Char"/>
    <w:basedOn w:val="DefaultParagraphFont"/>
    <w:link w:val="CommentText"/>
    <w:uiPriority w:val="99"/>
    <w:rsid w:val="00EF23D4"/>
    <w:rPr>
      <w:rFonts w:ascii="Times New Roman" w:eastAsia="Times New Roman" w:hAnsi="Times New Roman" w:cs="Times New Roman"/>
      <w:kern w:val="0"/>
      <w:sz w:val="20"/>
      <w:szCs w:val="20"/>
      <w14:ligatures w14:val="none"/>
    </w:rPr>
  </w:style>
  <w:style w:type="character" w:styleId="CommentReference">
    <w:name w:val="annotation reference"/>
    <w:basedOn w:val="DefaultParagraphFont"/>
    <w:uiPriority w:val="99"/>
    <w:semiHidden/>
    <w:unhideWhenUsed/>
    <w:rsid w:val="00EF23D4"/>
    <w:rPr>
      <w:sz w:val="16"/>
      <w:szCs w:val="16"/>
    </w:rPr>
  </w:style>
  <w:style w:type="character" w:customStyle="1" w:styleId="Hyperlink1">
    <w:name w:val="Hyperlink1"/>
    <w:basedOn w:val="DefaultParagraphFont"/>
    <w:uiPriority w:val="99"/>
    <w:unhideWhenUsed/>
    <w:rsid w:val="001154C0"/>
    <w:rPr>
      <w:color w:val="0563C1"/>
      <w:u w:val="single"/>
    </w:rPr>
  </w:style>
  <w:style w:type="paragraph" w:styleId="EndnoteText">
    <w:name w:val="endnote text"/>
    <w:basedOn w:val="Normal"/>
    <w:link w:val="EndnoteTextChar"/>
    <w:uiPriority w:val="99"/>
    <w:unhideWhenUsed/>
    <w:rsid w:val="00EF23D4"/>
    <w:pPr>
      <w:spacing w:after="0" w:line="240" w:lineRule="auto"/>
    </w:pPr>
    <w:rPr>
      <w:rFonts w:eastAsia="Times New Roman" w:cs="Times New Roman"/>
      <w:kern w:val="0"/>
      <w:sz w:val="20"/>
      <w:szCs w:val="20"/>
      <w14:ligatures w14:val="none"/>
    </w:rPr>
  </w:style>
  <w:style w:type="character" w:customStyle="1" w:styleId="EndnoteTextChar">
    <w:name w:val="Endnote Text Char"/>
    <w:basedOn w:val="DefaultParagraphFont"/>
    <w:link w:val="EndnoteText"/>
    <w:uiPriority w:val="99"/>
    <w:rsid w:val="00EF23D4"/>
    <w:rPr>
      <w:rFonts w:ascii="Times New Roman" w:eastAsia="Times New Roman" w:hAnsi="Times New Roman" w:cs="Times New Roman"/>
      <w:kern w:val="0"/>
      <w:sz w:val="20"/>
      <w:szCs w:val="20"/>
      <w14:ligatures w14:val="none"/>
    </w:rPr>
  </w:style>
  <w:style w:type="paragraph" w:styleId="TableofFigures">
    <w:name w:val="table of figures"/>
    <w:basedOn w:val="Normal"/>
    <w:next w:val="Normal"/>
    <w:uiPriority w:val="99"/>
    <w:unhideWhenUsed/>
    <w:rsid w:val="00E65AD8"/>
    <w:pPr>
      <w:spacing w:after="0"/>
    </w:pPr>
  </w:style>
  <w:style w:type="paragraph" w:styleId="CommentSubject">
    <w:name w:val="annotation subject"/>
    <w:basedOn w:val="CommentText"/>
    <w:next w:val="CommentText"/>
    <w:link w:val="CommentSubjectChar"/>
    <w:uiPriority w:val="99"/>
    <w:semiHidden/>
    <w:unhideWhenUsed/>
    <w:rsid w:val="00EF23D4"/>
    <w:rPr>
      <w:b/>
      <w:bCs/>
    </w:rPr>
  </w:style>
  <w:style w:type="character" w:customStyle="1" w:styleId="CommentSubjectChar">
    <w:name w:val="Comment Subject Char"/>
    <w:basedOn w:val="CommentTextChar"/>
    <w:link w:val="CommentSubject"/>
    <w:uiPriority w:val="99"/>
    <w:semiHidden/>
    <w:rsid w:val="00EF23D4"/>
    <w:rPr>
      <w:rFonts w:ascii="Times New Roman" w:eastAsia="Times New Roman" w:hAnsi="Times New Roman" w:cs="Times New Roman"/>
      <w:b/>
      <w:bCs/>
      <w:kern w:val="0"/>
      <w:sz w:val="20"/>
      <w:szCs w:val="20"/>
      <w14:ligatures w14:val="none"/>
    </w:rPr>
  </w:style>
  <w:style w:type="paragraph" w:styleId="FootnoteText">
    <w:name w:val="footnote text"/>
    <w:basedOn w:val="Normal"/>
    <w:link w:val="FootnoteTextChar"/>
    <w:uiPriority w:val="99"/>
    <w:semiHidden/>
    <w:unhideWhenUsed/>
    <w:rsid w:val="00EF23D4"/>
    <w:pPr>
      <w:spacing w:after="0" w:line="240" w:lineRule="auto"/>
    </w:pPr>
    <w:rPr>
      <w:rFonts w:eastAsia="Times New Roman" w:cs="Times New Roman"/>
      <w:kern w:val="0"/>
      <w:sz w:val="20"/>
      <w:szCs w:val="20"/>
      <w14:ligatures w14:val="none"/>
    </w:rPr>
  </w:style>
  <w:style w:type="character" w:customStyle="1" w:styleId="FootnoteTextChar">
    <w:name w:val="Footnote Text Char"/>
    <w:basedOn w:val="DefaultParagraphFont"/>
    <w:link w:val="FootnoteText"/>
    <w:uiPriority w:val="99"/>
    <w:semiHidden/>
    <w:rsid w:val="00EF23D4"/>
    <w:rPr>
      <w:rFonts w:ascii="Times New Roman" w:eastAsia="Times New Roman" w:hAnsi="Times New Roman" w:cs="Times New Roman"/>
      <w:kern w:val="0"/>
      <w:sz w:val="20"/>
      <w:szCs w:val="20"/>
      <w14:ligatures w14:val="none"/>
    </w:rPr>
  </w:style>
  <w:style w:type="paragraph" w:styleId="HTMLPreformatted">
    <w:name w:val="HTML Preformatted"/>
    <w:basedOn w:val="Normal"/>
    <w:link w:val="HTMLPreformattedChar"/>
    <w:uiPriority w:val="99"/>
    <w:semiHidden/>
    <w:unhideWhenUsed/>
    <w:rsid w:val="00EF23D4"/>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EF23D4"/>
    <w:rPr>
      <w:rFonts w:ascii="Consolas" w:hAnsi="Consolas"/>
      <w:sz w:val="20"/>
      <w:szCs w:val="20"/>
    </w:rPr>
  </w:style>
  <w:style w:type="character" w:customStyle="1" w:styleId="CommentTextChar1">
    <w:name w:val="Comment Text Char1"/>
    <w:basedOn w:val="DefaultParagraphFont"/>
    <w:uiPriority w:val="99"/>
    <w:semiHidden/>
    <w:rsid w:val="00E55009"/>
    <w:rPr>
      <w:rFonts w:ascii="Times New Roman" w:hAnsi="Times New Roman"/>
      <w:sz w:val="20"/>
      <w:szCs w:val="20"/>
    </w:rPr>
  </w:style>
  <w:style w:type="character" w:customStyle="1" w:styleId="EndnoteTextChar1">
    <w:name w:val="Endnote Text Char1"/>
    <w:basedOn w:val="DefaultParagraphFont"/>
    <w:uiPriority w:val="99"/>
    <w:semiHidden/>
    <w:rsid w:val="00E55009"/>
    <w:rPr>
      <w:rFonts w:ascii="Times New Roman" w:hAnsi="Times New Roman"/>
      <w:sz w:val="20"/>
      <w:szCs w:val="20"/>
    </w:rPr>
  </w:style>
  <w:style w:type="character" w:customStyle="1" w:styleId="CommentSubjectChar1">
    <w:name w:val="Comment Subject Char1"/>
    <w:basedOn w:val="CommentTextChar1"/>
    <w:uiPriority w:val="99"/>
    <w:semiHidden/>
    <w:rsid w:val="00E55009"/>
    <w:rPr>
      <w:rFonts w:ascii="Times New Roman" w:hAnsi="Times New Roman"/>
      <w:b/>
      <w:bCs/>
      <w:sz w:val="20"/>
      <w:szCs w:val="20"/>
    </w:rPr>
  </w:style>
  <w:style w:type="character" w:customStyle="1" w:styleId="FootnoteTextChar1">
    <w:name w:val="Footnote Text Char1"/>
    <w:basedOn w:val="DefaultParagraphFont"/>
    <w:uiPriority w:val="99"/>
    <w:semiHidden/>
    <w:rsid w:val="00E55009"/>
    <w:rPr>
      <w:rFonts w:ascii="Times New Roman" w:hAnsi="Times New Roman"/>
      <w:sz w:val="20"/>
      <w:szCs w:val="20"/>
    </w:rPr>
  </w:style>
  <w:style w:type="character" w:customStyle="1" w:styleId="HTMLPreformattedChar1">
    <w:name w:val="HTML Preformatted Char1"/>
    <w:basedOn w:val="DefaultParagraphFont"/>
    <w:uiPriority w:val="99"/>
    <w:semiHidden/>
    <w:rsid w:val="00E55009"/>
    <w:rPr>
      <w:rFonts w:ascii="Consolas" w:hAnsi="Consolas"/>
      <w:sz w:val="20"/>
      <w:szCs w:val="20"/>
    </w:rPr>
  </w:style>
  <w:style w:type="character" w:customStyle="1" w:styleId="ektkfwmypwzmkoyr0gym">
    <w:name w:val="ektkfwmypwzmkoyr0gym"/>
    <w:basedOn w:val="DefaultParagraphFont"/>
    <w:rsid w:val="00427DC3"/>
  </w:style>
  <w:style w:type="paragraph" w:styleId="Revision">
    <w:name w:val="Revision"/>
    <w:hidden/>
    <w:uiPriority w:val="99"/>
    <w:semiHidden/>
    <w:rsid w:val="00AE3B4D"/>
    <w:pPr>
      <w:spacing w:after="0" w:line="240" w:lineRule="auto"/>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svg"/><Relationship Id="rId26" Type="http://schemas.openxmlformats.org/officeDocument/2006/relationships/image" Target="media/image16.png"/><Relationship Id="rId39" Type="http://schemas.openxmlformats.org/officeDocument/2006/relationships/image" Target="media/image28.png"/><Relationship Id="rId21" Type="http://schemas.openxmlformats.org/officeDocument/2006/relationships/image" Target="media/image11.png"/><Relationship Id="rId34" Type="http://schemas.openxmlformats.org/officeDocument/2006/relationships/image" Target="media/image23.png"/><Relationship Id="rId42" Type="http://schemas.openxmlformats.org/officeDocument/2006/relationships/image" Target="media/image31.svg"/><Relationship Id="rId47" Type="http://schemas.openxmlformats.org/officeDocument/2006/relationships/image" Target="media/image32.png"/><Relationship Id="rId50" Type="http://schemas.openxmlformats.org/officeDocument/2006/relationships/image" Target="media/image35.sv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6.svg"/><Relationship Id="rId29" Type="http://schemas.openxmlformats.org/officeDocument/2006/relationships/image" Target="media/image18.png"/><Relationship Id="rId11" Type="http://schemas.openxmlformats.org/officeDocument/2006/relationships/image" Target="media/image1.png"/><Relationship Id="rId24" Type="http://schemas.openxmlformats.org/officeDocument/2006/relationships/image" Target="media/image14.png"/><Relationship Id="rId32" Type="http://schemas.openxmlformats.org/officeDocument/2006/relationships/image" Target="media/image21.svg"/><Relationship Id="rId37" Type="http://schemas.openxmlformats.org/officeDocument/2006/relationships/image" Target="media/image26.png"/><Relationship Id="rId40" Type="http://schemas.openxmlformats.org/officeDocument/2006/relationships/image" Target="media/image29.svg"/><Relationship Id="rId45" Type="http://schemas.openxmlformats.org/officeDocument/2006/relationships/hyperlink" Target="https://symbolhippo.com/function-symbol/" TargetMode="External"/><Relationship Id="rId53"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19" Type="http://schemas.openxmlformats.org/officeDocument/2006/relationships/image" Target="media/image9.png"/><Relationship Id="rId31" Type="http://schemas.openxmlformats.org/officeDocument/2006/relationships/image" Target="media/image20.png"/><Relationship Id="rId44" Type="http://schemas.openxmlformats.org/officeDocument/2006/relationships/hyperlink" Target="https://symbolhippo.com/function-symbol/" TargetMode="External"/><Relationship Id="rId52" Type="http://schemas.openxmlformats.org/officeDocument/2006/relationships/image" Target="media/image37.svg"/><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4.svg"/><Relationship Id="rId22" Type="http://schemas.openxmlformats.org/officeDocument/2006/relationships/image" Target="media/image12.png"/><Relationship Id="rId27" Type="http://schemas.openxmlformats.org/officeDocument/2006/relationships/image" Target="media/image17.svg"/><Relationship Id="rId30" Type="http://schemas.openxmlformats.org/officeDocument/2006/relationships/image" Target="media/image19.svg"/><Relationship Id="rId35" Type="http://schemas.openxmlformats.org/officeDocument/2006/relationships/image" Target="media/image24.svg"/><Relationship Id="rId43" Type="http://schemas.openxmlformats.org/officeDocument/2006/relationships/hyperlink" Target="https://symbolhippo.com/function-symbol/" TargetMode="External"/><Relationship Id="rId48" Type="http://schemas.openxmlformats.org/officeDocument/2006/relationships/image" Target="media/image33.svg"/><Relationship Id="rId8" Type="http://schemas.openxmlformats.org/officeDocument/2006/relationships/footer" Target="footer1.xml"/><Relationship Id="rId51" Type="http://schemas.openxmlformats.org/officeDocument/2006/relationships/image" Target="media/image36.png"/><Relationship Id="rId3" Type="http://schemas.openxmlformats.org/officeDocument/2006/relationships/styles" Target="style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svg"/><Relationship Id="rId33" Type="http://schemas.openxmlformats.org/officeDocument/2006/relationships/image" Target="media/image22.png"/><Relationship Id="rId38" Type="http://schemas.openxmlformats.org/officeDocument/2006/relationships/image" Target="media/image27.svg"/><Relationship Id="rId46" Type="http://schemas.openxmlformats.org/officeDocument/2006/relationships/hyperlink" Target="https://symbolhippo.com/function-symbol/" TargetMode="External"/><Relationship Id="rId20" Type="http://schemas.openxmlformats.org/officeDocument/2006/relationships/image" Target="media/image10.svg"/><Relationship Id="rId41" Type="http://schemas.openxmlformats.org/officeDocument/2006/relationships/image" Target="media/image30.png"/><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image" Target="media/image13.svg"/><Relationship Id="rId28" Type="http://schemas.openxmlformats.org/officeDocument/2006/relationships/footer" Target="footer4.xml"/><Relationship Id="rId36" Type="http://schemas.openxmlformats.org/officeDocument/2006/relationships/image" Target="media/image25.png"/><Relationship Id="rId49" Type="http://schemas.openxmlformats.org/officeDocument/2006/relationships/image" Target="media/image3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AA6011-0629-417B-9AE7-D336CD3990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7957</TotalTime>
  <Pages>159</Pages>
  <Words>202295</Words>
  <Characters>1153085</Characters>
  <Application>Microsoft Office Word</Application>
  <DocSecurity>0</DocSecurity>
  <Lines>9609</Lines>
  <Paragraphs>2705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1352675</CharactersWithSpaces>
  <SharedDoc>false</SharedDoc>
  <HLinks>
    <vt:vector size="456" baseType="variant">
      <vt:variant>
        <vt:i4>6160385</vt:i4>
      </vt:variant>
      <vt:variant>
        <vt:i4>1251</vt:i4>
      </vt:variant>
      <vt:variant>
        <vt:i4>0</vt:i4>
      </vt:variant>
      <vt:variant>
        <vt:i4>5</vt:i4>
      </vt:variant>
      <vt:variant>
        <vt:lpwstr>https://symbolhippo.com/function-symbol/</vt:lpwstr>
      </vt:variant>
      <vt:variant>
        <vt:lpwstr/>
      </vt:variant>
      <vt:variant>
        <vt:i4>6160385</vt:i4>
      </vt:variant>
      <vt:variant>
        <vt:i4>1248</vt:i4>
      </vt:variant>
      <vt:variant>
        <vt:i4>0</vt:i4>
      </vt:variant>
      <vt:variant>
        <vt:i4>5</vt:i4>
      </vt:variant>
      <vt:variant>
        <vt:lpwstr>https://symbolhippo.com/function-symbol/</vt:lpwstr>
      </vt:variant>
      <vt:variant>
        <vt:lpwstr/>
      </vt:variant>
      <vt:variant>
        <vt:i4>6160385</vt:i4>
      </vt:variant>
      <vt:variant>
        <vt:i4>1245</vt:i4>
      </vt:variant>
      <vt:variant>
        <vt:i4>0</vt:i4>
      </vt:variant>
      <vt:variant>
        <vt:i4>5</vt:i4>
      </vt:variant>
      <vt:variant>
        <vt:lpwstr>https://symbolhippo.com/function-symbol/</vt:lpwstr>
      </vt:variant>
      <vt:variant>
        <vt:lpwstr/>
      </vt:variant>
      <vt:variant>
        <vt:i4>6160385</vt:i4>
      </vt:variant>
      <vt:variant>
        <vt:i4>1242</vt:i4>
      </vt:variant>
      <vt:variant>
        <vt:i4>0</vt:i4>
      </vt:variant>
      <vt:variant>
        <vt:i4>5</vt:i4>
      </vt:variant>
      <vt:variant>
        <vt:lpwstr>https://symbolhippo.com/function-symbol/</vt:lpwstr>
      </vt:variant>
      <vt:variant>
        <vt:lpwstr/>
      </vt:variant>
      <vt:variant>
        <vt:i4>1376311</vt:i4>
      </vt:variant>
      <vt:variant>
        <vt:i4>404</vt:i4>
      </vt:variant>
      <vt:variant>
        <vt:i4>0</vt:i4>
      </vt:variant>
      <vt:variant>
        <vt:i4>5</vt:i4>
      </vt:variant>
      <vt:variant>
        <vt:lpwstr/>
      </vt:variant>
      <vt:variant>
        <vt:lpwstr>_Toc202173007</vt:lpwstr>
      </vt:variant>
      <vt:variant>
        <vt:i4>1376311</vt:i4>
      </vt:variant>
      <vt:variant>
        <vt:i4>398</vt:i4>
      </vt:variant>
      <vt:variant>
        <vt:i4>0</vt:i4>
      </vt:variant>
      <vt:variant>
        <vt:i4>5</vt:i4>
      </vt:variant>
      <vt:variant>
        <vt:lpwstr/>
      </vt:variant>
      <vt:variant>
        <vt:lpwstr>_Toc202173006</vt:lpwstr>
      </vt:variant>
      <vt:variant>
        <vt:i4>1376311</vt:i4>
      </vt:variant>
      <vt:variant>
        <vt:i4>392</vt:i4>
      </vt:variant>
      <vt:variant>
        <vt:i4>0</vt:i4>
      </vt:variant>
      <vt:variant>
        <vt:i4>5</vt:i4>
      </vt:variant>
      <vt:variant>
        <vt:lpwstr/>
      </vt:variant>
      <vt:variant>
        <vt:lpwstr>_Toc202173005</vt:lpwstr>
      </vt:variant>
      <vt:variant>
        <vt:i4>1376311</vt:i4>
      </vt:variant>
      <vt:variant>
        <vt:i4>386</vt:i4>
      </vt:variant>
      <vt:variant>
        <vt:i4>0</vt:i4>
      </vt:variant>
      <vt:variant>
        <vt:i4>5</vt:i4>
      </vt:variant>
      <vt:variant>
        <vt:lpwstr/>
      </vt:variant>
      <vt:variant>
        <vt:lpwstr>_Toc202173004</vt:lpwstr>
      </vt:variant>
      <vt:variant>
        <vt:i4>1376311</vt:i4>
      </vt:variant>
      <vt:variant>
        <vt:i4>380</vt:i4>
      </vt:variant>
      <vt:variant>
        <vt:i4>0</vt:i4>
      </vt:variant>
      <vt:variant>
        <vt:i4>5</vt:i4>
      </vt:variant>
      <vt:variant>
        <vt:lpwstr/>
      </vt:variant>
      <vt:variant>
        <vt:lpwstr>_Toc202173003</vt:lpwstr>
      </vt:variant>
      <vt:variant>
        <vt:i4>1376311</vt:i4>
      </vt:variant>
      <vt:variant>
        <vt:i4>374</vt:i4>
      </vt:variant>
      <vt:variant>
        <vt:i4>0</vt:i4>
      </vt:variant>
      <vt:variant>
        <vt:i4>5</vt:i4>
      </vt:variant>
      <vt:variant>
        <vt:lpwstr/>
      </vt:variant>
      <vt:variant>
        <vt:lpwstr>_Toc202173002</vt:lpwstr>
      </vt:variant>
      <vt:variant>
        <vt:i4>1376311</vt:i4>
      </vt:variant>
      <vt:variant>
        <vt:i4>368</vt:i4>
      </vt:variant>
      <vt:variant>
        <vt:i4>0</vt:i4>
      </vt:variant>
      <vt:variant>
        <vt:i4>5</vt:i4>
      </vt:variant>
      <vt:variant>
        <vt:lpwstr/>
      </vt:variant>
      <vt:variant>
        <vt:lpwstr>_Toc202173001</vt:lpwstr>
      </vt:variant>
      <vt:variant>
        <vt:i4>1376311</vt:i4>
      </vt:variant>
      <vt:variant>
        <vt:i4>362</vt:i4>
      </vt:variant>
      <vt:variant>
        <vt:i4>0</vt:i4>
      </vt:variant>
      <vt:variant>
        <vt:i4>5</vt:i4>
      </vt:variant>
      <vt:variant>
        <vt:lpwstr/>
      </vt:variant>
      <vt:variant>
        <vt:lpwstr>_Toc202173000</vt:lpwstr>
      </vt:variant>
      <vt:variant>
        <vt:i4>1900606</vt:i4>
      </vt:variant>
      <vt:variant>
        <vt:i4>356</vt:i4>
      </vt:variant>
      <vt:variant>
        <vt:i4>0</vt:i4>
      </vt:variant>
      <vt:variant>
        <vt:i4>5</vt:i4>
      </vt:variant>
      <vt:variant>
        <vt:lpwstr/>
      </vt:variant>
      <vt:variant>
        <vt:lpwstr>_Toc202172999</vt:lpwstr>
      </vt:variant>
      <vt:variant>
        <vt:i4>1900606</vt:i4>
      </vt:variant>
      <vt:variant>
        <vt:i4>350</vt:i4>
      </vt:variant>
      <vt:variant>
        <vt:i4>0</vt:i4>
      </vt:variant>
      <vt:variant>
        <vt:i4>5</vt:i4>
      </vt:variant>
      <vt:variant>
        <vt:lpwstr/>
      </vt:variant>
      <vt:variant>
        <vt:lpwstr>_Toc202172998</vt:lpwstr>
      </vt:variant>
      <vt:variant>
        <vt:i4>1900606</vt:i4>
      </vt:variant>
      <vt:variant>
        <vt:i4>344</vt:i4>
      </vt:variant>
      <vt:variant>
        <vt:i4>0</vt:i4>
      </vt:variant>
      <vt:variant>
        <vt:i4>5</vt:i4>
      </vt:variant>
      <vt:variant>
        <vt:lpwstr/>
      </vt:variant>
      <vt:variant>
        <vt:lpwstr>_Toc202172997</vt:lpwstr>
      </vt:variant>
      <vt:variant>
        <vt:i4>1900606</vt:i4>
      </vt:variant>
      <vt:variant>
        <vt:i4>338</vt:i4>
      </vt:variant>
      <vt:variant>
        <vt:i4>0</vt:i4>
      </vt:variant>
      <vt:variant>
        <vt:i4>5</vt:i4>
      </vt:variant>
      <vt:variant>
        <vt:lpwstr/>
      </vt:variant>
      <vt:variant>
        <vt:lpwstr>_Toc202172996</vt:lpwstr>
      </vt:variant>
      <vt:variant>
        <vt:i4>1900606</vt:i4>
      </vt:variant>
      <vt:variant>
        <vt:i4>332</vt:i4>
      </vt:variant>
      <vt:variant>
        <vt:i4>0</vt:i4>
      </vt:variant>
      <vt:variant>
        <vt:i4>5</vt:i4>
      </vt:variant>
      <vt:variant>
        <vt:lpwstr/>
      </vt:variant>
      <vt:variant>
        <vt:lpwstr>_Toc202172995</vt:lpwstr>
      </vt:variant>
      <vt:variant>
        <vt:i4>1900606</vt:i4>
      </vt:variant>
      <vt:variant>
        <vt:i4>326</vt:i4>
      </vt:variant>
      <vt:variant>
        <vt:i4>0</vt:i4>
      </vt:variant>
      <vt:variant>
        <vt:i4>5</vt:i4>
      </vt:variant>
      <vt:variant>
        <vt:lpwstr/>
      </vt:variant>
      <vt:variant>
        <vt:lpwstr>_Toc202172994</vt:lpwstr>
      </vt:variant>
      <vt:variant>
        <vt:i4>1900606</vt:i4>
      </vt:variant>
      <vt:variant>
        <vt:i4>320</vt:i4>
      </vt:variant>
      <vt:variant>
        <vt:i4>0</vt:i4>
      </vt:variant>
      <vt:variant>
        <vt:i4>5</vt:i4>
      </vt:variant>
      <vt:variant>
        <vt:lpwstr/>
      </vt:variant>
      <vt:variant>
        <vt:lpwstr>_Toc202172993</vt:lpwstr>
      </vt:variant>
      <vt:variant>
        <vt:i4>1900606</vt:i4>
      </vt:variant>
      <vt:variant>
        <vt:i4>314</vt:i4>
      </vt:variant>
      <vt:variant>
        <vt:i4>0</vt:i4>
      </vt:variant>
      <vt:variant>
        <vt:i4>5</vt:i4>
      </vt:variant>
      <vt:variant>
        <vt:lpwstr/>
      </vt:variant>
      <vt:variant>
        <vt:lpwstr>_Toc202172992</vt:lpwstr>
      </vt:variant>
      <vt:variant>
        <vt:i4>1900606</vt:i4>
      </vt:variant>
      <vt:variant>
        <vt:i4>308</vt:i4>
      </vt:variant>
      <vt:variant>
        <vt:i4>0</vt:i4>
      </vt:variant>
      <vt:variant>
        <vt:i4>5</vt:i4>
      </vt:variant>
      <vt:variant>
        <vt:lpwstr/>
      </vt:variant>
      <vt:variant>
        <vt:lpwstr>_Toc202172991</vt:lpwstr>
      </vt:variant>
      <vt:variant>
        <vt:i4>1900606</vt:i4>
      </vt:variant>
      <vt:variant>
        <vt:i4>302</vt:i4>
      </vt:variant>
      <vt:variant>
        <vt:i4>0</vt:i4>
      </vt:variant>
      <vt:variant>
        <vt:i4>5</vt:i4>
      </vt:variant>
      <vt:variant>
        <vt:lpwstr/>
      </vt:variant>
      <vt:variant>
        <vt:lpwstr>_Toc202172990</vt:lpwstr>
      </vt:variant>
      <vt:variant>
        <vt:i4>1835070</vt:i4>
      </vt:variant>
      <vt:variant>
        <vt:i4>296</vt:i4>
      </vt:variant>
      <vt:variant>
        <vt:i4>0</vt:i4>
      </vt:variant>
      <vt:variant>
        <vt:i4>5</vt:i4>
      </vt:variant>
      <vt:variant>
        <vt:lpwstr/>
      </vt:variant>
      <vt:variant>
        <vt:lpwstr>_Toc202172989</vt:lpwstr>
      </vt:variant>
      <vt:variant>
        <vt:i4>1835070</vt:i4>
      </vt:variant>
      <vt:variant>
        <vt:i4>290</vt:i4>
      </vt:variant>
      <vt:variant>
        <vt:i4>0</vt:i4>
      </vt:variant>
      <vt:variant>
        <vt:i4>5</vt:i4>
      </vt:variant>
      <vt:variant>
        <vt:lpwstr/>
      </vt:variant>
      <vt:variant>
        <vt:lpwstr>_Toc202172988</vt:lpwstr>
      </vt:variant>
      <vt:variant>
        <vt:i4>1835070</vt:i4>
      </vt:variant>
      <vt:variant>
        <vt:i4>284</vt:i4>
      </vt:variant>
      <vt:variant>
        <vt:i4>0</vt:i4>
      </vt:variant>
      <vt:variant>
        <vt:i4>5</vt:i4>
      </vt:variant>
      <vt:variant>
        <vt:lpwstr/>
      </vt:variant>
      <vt:variant>
        <vt:lpwstr>_Toc202172987</vt:lpwstr>
      </vt:variant>
      <vt:variant>
        <vt:i4>1835070</vt:i4>
      </vt:variant>
      <vt:variant>
        <vt:i4>278</vt:i4>
      </vt:variant>
      <vt:variant>
        <vt:i4>0</vt:i4>
      </vt:variant>
      <vt:variant>
        <vt:i4>5</vt:i4>
      </vt:variant>
      <vt:variant>
        <vt:lpwstr/>
      </vt:variant>
      <vt:variant>
        <vt:lpwstr>_Toc202172986</vt:lpwstr>
      </vt:variant>
      <vt:variant>
        <vt:i4>1835070</vt:i4>
      </vt:variant>
      <vt:variant>
        <vt:i4>272</vt:i4>
      </vt:variant>
      <vt:variant>
        <vt:i4>0</vt:i4>
      </vt:variant>
      <vt:variant>
        <vt:i4>5</vt:i4>
      </vt:variant>
      <vt:variant>
        <vt:lpwstr/>
      </vt:variant>
      <vt:variant>
        <vt:lpwstr>_Toc202172985</vt:lpwstr>
      </vt:variant>
      <vt:variant>
        <vt:i4>1835070</vt:i4>
      </vt:variant>
      <vt:variant>
        <vt:i4>266</vt:i4>
      </vt:variant>
      <vt:variant>
        <vt:i4>0</vt:i4>
      </vt:variant>
      <vt:variant>
        <vt:i4>5</vt:i4>
      </vt:variant>
      <vt:variant>
        <vt:lpwstr/>
      </vt:variant>
      <vt:variant>
        <vt:lpwstr>_Toc202172984</vt:lpwstr>
      </vt:variant>
      <vt:variant>
        <vt:i4>1835070</vt:i4>
      </vt:variant>
      <vt:variant>
        <vt:i4>260</vt:i4>
      </vt:variant>
      <vt:variant>
        <vt:i4>0</vt:i4>
      </vt:variant>
      <vt:variant>
        <vt:i4>5</vt:i4>
      </vt:variant>
      <vt:variant>
        <vt:lpwstr/>
      </vt:variant>
      <vt:variant>
        <vt:lpwstr>_Toc202172983</vt:lpwstr>
      </vt:variant>
      <vt:variant>
        <vt:i4>1835070</vt:i4>
      </vt:variant>
      <vt:variant>
        <vt:i4>254</vt:i4>
      </vt:variant>
      <vt:variant>
        <vt:i4>0</vt:i4>
      </vt:variant>
      <vt:variant>
        <vt:i4>5</vt:i4>
      </vt:variant>
      <vt:variant>
        <vt:lpwstr/>
      </vt:variant>
      <vt:variant>
        <vt:lpwstr>_Toc202172982</vt:lpwstr>
      </vt:variant>
      <vt:variant>
        <vt:i4>1835070</vt:i4>
      </vt:variant>
      <vt:variant>
        <vt:i4>248</vt:i4>
      </vt:variant>
      <vt:variant>
        <vt:i4>0</vt:i4>
      </vt:variant>
      <vt:variant>
        <vt:i4>5</vt:i4>
      </vt:variant>
      <vt:variant>
        <vt:lpwstr/>
      </vt:variant>
      <vt:variant>
        <vt:lpwstr>_Toc202172981</vt:lpwstr>
      </vt:variant>
      <vt:variant>
        <vt:i4>1835070</vt:i4>
      </vt:variant>
      <vt:variant>
        <vt:i4>242</vt:i4>
      </vt:variant>
      <vt:variant>
        <vt:i4>0</vt:i4>
      </vt:variant>
      <vt:variant>
        <vt:i4>5</vt:i4>
      </vt:variant>
      <vt:variant>
        <vt:lpwstr/>
      </vt:variant>
      <vt:variant>
        <vt:lpwstr>_Toc202172980</vt:lpwstr>
      </vt:variant>
      <vt:variant>
        <vt:i4>1245246</vt:i4>
      </vt:variant>
      <vt:variant>
        <vt:i4>236</vt:i4>
      </vt:variant>
      <vt:variant>
        <vt:i4>0</vt:i4>
      </vt:variant>
      <vt:variant>
        <vt:i4>5</vt:i4>
      </vt:variant>
      <vt:variant>
        <vt:lpwstr/>
      </vt:variant>
      <vt:variant>
        <vt:lpwstr>_Toc202172979</vt:lpwstr>
      </vt:variant>
      <vt:variant>
        <vt:i4>1245246</vt:i4>
      </vt:variant>
      <vt:variant>
        <vt:i4>230</vt:i4>
      </vt:variant>
      <vt:variant>
        <vt:i4>0</vt:i4>
      </vt:variant>
      <vt:variant>
        <vt:i4>5</vt:i4>
      </vt:variant>
      <vt:variant>
        <vt:lpwstr/>
      </vt:variant>
      <vt:variant>
        <vt:lpwstr>_Toc202172978</vt:lpwstr>
      </vt:variant>
      <vt:variant>
        <vt:i4>1245246</vt:i4>
      </vt:variant>
      <vt:variant>
        <vt:i4>224</vt:i4>
      </vt:variant>
      <vt:variant>
        <vt:i4>0</vt:i4>
      </vt:variant>
      <vt:variant>
        <vt:i4>5</vt:i4>
      </vt:variant>
      <vt:variant>
        <vt:lpwstr/>
      </vt:variant>
      <vt:variant>
        <vt:lpwstr>_Toc202172977</vt:lpwstr>
      </vt:variant>
      <vt:variant>
        <vt:i4>1245246</vt:i4>
      </vt:variant>
      <vt:variant>
        <vt:i4>218</vt:i4>
      </vt:variant>
      <vt:variant>
        <vt:i4>0</vt:i4>
      </vt:variant>
      <vt:variant>
        <vt:i4>5</vt:i4>
      </vt:variant>
      <vt:variant>
        <vt:lpwstr/>
      </vt:variant>
      <vt:variant>
        <vt:lpwstr>_Toc202172976</vt:lpwstr>
      </vt:variant>
      <vt:variant>
        <vt:i4>1245246</vt:i4>
      </vt:variant>
      <vt:variant>
        <vt:i4>212</vt:i4>
      </vt:variant>
      <vt:variant>
        <vt:i4>0</vt:i4>
      </vt:variant>
      <vt:variant>
        <vt:i4>5</vt:i4>
      </vt:variant>
      <vt:variant>
        <vt:lpwstr/>
      </vt:variant>
      <vt:variant>
        <vt:lpwstr>_Toc202172975</vt:lpwstr>
      </vt:variant>
      <vt:variant>
        <vt:i4>1245246</vt:i4>
      </vt:variant>
      <vt:variant>
        <vt:i4>206</vt:i4>
      </vt:variant>
      <vt:variant>
        <vt:i4>0</vt:i4>
      </vt:variant>
      <vt:variant>
        <vt:i4>5</vt:i4>
      </vt:variant>
      <vt:variant>
        <vt:lpwstr/>
      </vt:variant>
      <vt:variant>
        <vt:lpwstr>_Toc202172974</vt:lpwstr>
      </vt:variant>
      <vt:variant>
        <vt:i4>1245246</vt:i4>
      </vt:variant>
      <vt:variant>
        <vt:i4>200</vt:i4>
      </vt:variant>
      <vt:variant>
        <vt:i4>0</vt:i4>
      </vt:variant>
      <vt:variant>
        <vt:i4>5</vt:i4>
      </vt:variant>
      <vt:variant>
        <vt:lpwstr/>
      </vt:variant>
      <vt:variant>
        <vt:lpwstr>_Toc202172973</vt:lpwstr>
      </vt:variant>
      <vt:variant>
        <vt:i4>1245246</vt:i4>
      </vt:variant>
      <vt:variant>
        <vt:i4>194</vt:i4>
      </vt:variant>
      <vt:variant>
        <vt:i4>0</vt:i4>
      </vt:variant>
      <vt:variant>
        <vt:i4>5</vt:i4>
      </vt:variant>
      <vt:variant>
        <vt:lpwstr/>
      </vt:variant>
      <vt:variant>
        <vt:lpwstr>_Toc202172972</vt:lpwstr>
      </vt:variant>
      <vt:variant>
        <vt:i4>1245246</vt:i4>
      </vt:variant>
      <vt:variant>
        <vt:i4>188</vt:i4>
      </vt:variant>
      <vt:variant>
        <vt:i4>0</vt:i4>
      </vt:variant>
      <vt:variant>
        <vt:i4>5</vt:i4>
      </vt:variant>
      <vt:variant>
        <vt:lpwstr/>
      </vt:variant>
      <vt:variant>
        <vt:lpwstr>_Toc202172971</vt:lpwstr>
      </vt:variant>
      <vt:variant>
        <vt:i4>1245246</vt:i4>
      </vt:variant>
      <vt:variant>
        <vt:i4>182</vt:i4>
      </vt:variant>
      <vt:variant>
        <vt:i4>0</vt:i4>
      </vt:variant>
      <vt:variant>
        <vt:i4>5</vt:i4>
      </vt:variant>
      <vt:variant>
        <vt:lpwstr/>
      </vt:variant>
      <vt:variant>
        <vt:lpwstr>_Toc202172970</vt:lpwstr>
      </vt:variant>
      <vt:variant>
        <vt:i4>1179710</vt:i4>
      </vt:variant>
      <vt:variant>
        <vt:i4>176</vt:i4>
      </vt:variant>
      <vt:variant>
        <vt:i4>0</vt:i4>
      </vt:variant>
      <vt:variant>
        <vt:i4>5</vt:i4>
      </vt:variant>
      <vt:variant>
        <vt:lpwstr/>
      </vt:variant>
      <vt:variant>
        <vt:lpwstr>_Toc202172969</vt:lpwstr>
      </vt:variant>
      <vt:variant>
        <vt:i4>1179710</vt:i4>
      </vt:variant>
      <vt:variant>
        <vt:i4>170</vt:i4>
      </vt:variant>
      <vt:variant>
        <vt:i4>0</vt:i4>
      </vt:variant>
      <vt:variant>
        <vt:i4>5</vt:i4>
      </vt:variant>
      <vt:variant>
        <vt:lpwstr/>
      </vt:variant>
      <vt:variant>
        <vt:lpwstr>_Toc202172968</vt:lpwstr>
      </vt:variant>
      <vt:variant>
        <vt:i4>1179710</vt:i4>
      </vt:variant>
      <vt:variant>
        <vt:i4>164</vt:i4>
      </vt:variant>
      <vt:variant>
        <vt:i4>0</vt:i4>
      </vt:variant>
      <vt:variant>
        <vt:i4>5</vt:i4>
      </vt:variant>
      <vt:variant>
        <vt:lpwstr/>
      </vt:variant>
      <vt:variant>
        <vt:lpwstr>_Toc202172967</vt:lpwstr>
      </vt:variant>
      <vt:variant>
        <vt:i4>1179710</vt:i4>
      </vt:variant>
      <vt:variant>
        <vt:i4>158</vt:i4>
      </vt:variant>
      <vt:variant>
        <vt:i4>0</vt:i4>
      </vt:variant>
      <vt:variant>
        <vt:i4>5</vt:i4>
      </vt:variant>
      <vt:variant>
        <vt:lpwstr/>
      </vt:variant>
      <vt:variant>
        <vt:lpwstr>_Toc202172966</vt:lpwstr>
      </vt:variant>
      <vt:variant>
        <vt:i4>1179710</vt:i4>
      </vt:variant>
      <vt:variant>
        <vt:i4>152</vt:i4>
      </vt:variant>
      <vt:variant>
        <vt:i4>0</vt:i4>
      </vt:variant>
      <vt:variant>
        <vt:i4>5</vt:i4>
      </vt:variant>
      <vt:variant>
        <vt:lpwstr/>
      </vt:variant>
      <vt:variant>
        <vt:lpwstr>_Toc202172965</vt:lpwstr>
      </vt:variant>
      <vt:variant>
        <vt:i4>1179710</vt:i4>
      </vt:variant>
      <vt:variant>
        <vt:i4>146</vt:i4>
      </vt:variant>
      <vt:variant>
        <vt:i4>0</vt:i4>
      </vt:variant>
      <vt:variant>
        <vt:i4>5</vt:i4>
      </vt:variant>
      <vt:variant>
        <vt:lpwstr/>
      </vt:variant>
      <vt:variant>
        <vt:lpwstr>_Toc202172964</vt:lpwstr>
      </vt:variant>
      <vt:variant>
        <vt:i4>1179710</vt:i4>
      </vt:variant>
      <vt:variant>
        <vt:i4>140</vt:i4>
      </vt:variant>
      <vt:variant>
        <vt:i4>0</vt:i4>
      </vt:variant>
      <vt:variant>
        <vt:i4>5</vt:i4>
      </vt:variant>
      <vt:variant>
        <vt:lpwstr/>
      </vt:variant>
      <vt:variant>
        <vt:lpwstr>_Toc202172963</vt:lpwstr>
      </vt:variant>
      <vt:variant>
        <vt:i4>1179710</vt:i4>
      </vt:variant>
      <vt:variant>
        <vt:i4>134</vt:i4>
      </vt:variant>
      <vt:variant>
        <vt:i4>0</vt:i4>
      </vt:variant>
      <vt:variant>
        <vt:i4>5</vt:i4>
      </vt:variant>
      <vt:variant>
        <vt:lpwstr/>
      </vt:variant>
      <vt:variant>
        <vt:lpwstr>_Toc202172962</vt:lpwstr>
      </vt:variant>
      <vt:variant>
        <vt:i4>1179710</vt:i4>
      </vt:variant>
      <vt:variant>
        <vt:i4>128</vt:i4>
      </vt:variant>
      <vt:variant>
        <vt:i4>0</vt:i4>
      </vt:variant>
      <vt:variant>
        <vt:i4>5</vt:i4>
      </vt:variant>
      <vt:variant>
        <vt:lpwstr/>
      </vt:variant>
      <vt:variant>
        <vt:lpwstr>_Toc202172961</vt:lpwstr>
      </vt:variant>
      <vt:variant>
        <vt:i4>1179710</vt:i4>
      </vt:variant>
      <vt:variant>
        <vt:i4>122</vt:i4>
      </vt:variant>
      <vt:variant>
        <vt:i4>0</vt:i4>
      </vt:variant>
      <vt:variant>
        <vt:i4>5</vt:i4>
      </vt:variant>
      <vt:variant>
        <vt:lpwstr/>
      </vt:variant>
      <vt:variant>
        <vt:lpwstr>_Toc202172960</vt:lpwstr>
      </vt:variant>
      <vt:variant>
        <vt:i4>1114174</vt:i4>
      </vt:variant>
      <vt:variant>
        <vt:i4>116</vt:i4>
      </vt:variant>
      <vt:variant>
        <vt:i4>0</vt:i4>
      </vt:variant>
      <vt:variant>
        <vt:i4>5</vt:i4>
      </vt:variant>
      <vt:variant>
        <vt:lpwstr/>
      </vt:variant>
      <vt:variant>
        <vt:lpwstr>_Toc202172959</vt:lpwstr>
      </vt:variant>
      <vt:variant>
        <vt:i4>1114174</vt:i4>
      </vt:variant>
      <vt:variant>
        <vt:i4>110</vt:i4>
      </vt:variant>
      <vt:variant>
        <vt:i4>0</vt:i4>
      </vt:variant>
      <vt:variant>
        <vt:i4>5</vt:i4>
      </vt:variant>
      <vt:variant>
        <vt:lpwstr/>
      </vt:variant>
      <vt:variant>
        <vt:lpwstr>_Toc202172958</vt:lpwstr>
      </vt:variant>
      <vt:variant>
        <vt:i4>1114174</vt:i4>
      </vt:variant>
      <vt:variant>
        <vt:i4>104</vt:i4>
      </vt:variant>
      <vt:variant>
        <vt:i4>0</vt:i4>
      </vt:variant>
      <vt:variant>
        <vt:i4>5</vt:i4>
      </vt:variant>
      <vt:variant>
        <vt:lpwstr/>
      </vt:variant>
      <vt:variant>
        <vt:lpwstr>_Toc202172957</vt:lpwstr>
      </vt:variant>
      <vt:variant>
        <vt:i4>1114174</vt:i4>
      </vt:variant>
      <vt:variant>
        <vt:i4>98</vt:i4>
      </vt:variant>
      <vt:variant>
        <vt:i4>0</vt:i4>
      </vt:variant>
      <vt:variant>
        <vt:i4>5</vt:i4>
      </vt:variant>
      <vt:variant>
        <vt:lpwstr/>
      </vt:variant>
      <vt:variant>
        <vt:lpwstr>_Toc202172956</vt:lpwstr>
      </vt:variant>
      <vt:variant>
        <vt:i4>1114174</vt:i4>
      </vt:variant>
      <vt:variant>
        <vt:i4>92</vt:i4>
      </vt:variant>
      <vt:variant>
        <vt:i4>0</vt:i4>
      </vt:variant>
      <vt:variant>
        <vt:i4>5</vt:i4>
      </vt:variant>
      <vt:variant>
        <vt:lpwstr/>
      </vt:variant>
      <vt:variant>
        <vt:lpwstr>_Toc202172955</vt:lpwstr>
      </vt:variant>
      <vt:variant>
        <vt:i4>1114174</vt:i4>
      </vt:variant>
      <vt:variant>
        <vt:i4>86</vt:i4>
      </vt:variant>
      <vt:variant>
        <vt:i4>0</vt:i4>
      </vt:variant>
      <vt:variant>
        <vt:i4>5</vt:i4>
      </vt:variant>
      <vt:variant>
        <vt:lpwstr/>
      </vt:variant>
      <vt:variant>
        <vt:lpwstr>_Toc202172954</vt:lpwstr>
      </vt:variant>
      <vt:variant>
        <vt:i4>1114174</vt:i4>
      </vt:variant>
      <vt:variant>
        <vt:i4>80</vt:i4>
      </vt:variant>
      <vt:variant>
        <vt:i4>0</vt:i4>
      </vt:variant>
      <vt:variant>
        <vt:i4>5</vt:i4>
      </vt:variant>
      <vt:variant>
        <vt:lpwstr/>
      </vt:variant>
      <vt:variant>
        <vt:lpwstr>_Toc202172953</vt:lpwstr>
      </vt:variant>
      <vt:variant>
        <vt:i4>1114174</vt:i4>
      </vt:variant>
      <vt:variant>
        <vt:i4>74</vt:i4>
      </vt:variant>
      <vt:variant>
        <vt:i4>0</vt:i4>
      </vt:variant>
      <vt:variant>
        <vt:i4>5</vt:i4>
      </vt:variant>
      <vt:variant>
        <vt:lpwstr/>
      </vt:variant>
      <vt:variant>
        <vt:lpwstr>_Toc202172952</vt:lpwstr>
      </vt:variant>
      <vt:variant>
        <vt:i4>1114174</vt:i4>
      </vt:variant>
      <vt:variant>
        <vt:i4>68</vt:i4>
      </vt:variant>
      <vt:variant>
        <vt:i4>0</vt:i4>
      </vt:variant>
      <vt:variant>
        <vt:i4>5</vt:i4>
      </vt:variant>
      <vt:variant>
        <vt:lpwstr/>
      </vt:variant>
      <vt:variant>
        <vt:lpwstr>_Toc202172951</vt:lpwstr>
      </vt:variant>
      <vt:variant>
        <vt:i4>1114174</vt:i4>
      </vt:variant>
      <vt:variant>
        <vt:i4>62</vt:i4>
      </vt:variant>
      <vt:variant>
        <vt:i4>0</vt:i4>
      </vt:variant>
      <vt:variant>
        <vt:i4>5</vt:i4>
      </vt:variant>
      <vt:variant>
        <vt:lpwstr/>
      </vt:variant>
      <vt:variant>
        <vt:lpwstr>_Toc202172950</vt:lpwstr>
      </vt:variant>
      <vt:variant>
        <vt:i4>1048638</vt:i4>
      </vt:variant>
      <vt:variant>
        <vt:i4>56</vt:i4>
      </vt:variant>
      <vt:variant>
        <vt:i4>0</vt:i4>
      </vt:variant>
      <vt:variant>
        <vt:i4>5</vt:i4>
      </vt:variant>
      <vt:variant>
        <vt:lpwstr/>
      </vt:variant>
      <vt:variant>
        <vt:lpwstr>_Toc202172949</vt:lpwstr>
      </vt:variant>
      <vt:variant>
        <vt:i4>1048638</vt:i4>
      </vt:variant>
      <vt:variant>
        <vt:i4>50</vt:i4>
      </vt:variant>
      <vt:variant>
        <vt:i4>0</vt:i4>
      </vt:variant>
      <vt:variant>
        <vt:i4>5</vt:i4>
      </vt:variant>
      <vt:variant>
        <vt:lpwstr/>
      </vt:variant>
      <vt:variant>
        <vt:lpwstr>_Toc202172948</vt:lpwstr>
      </vt:variant>
      <vt:variant>
        <vt:i4>1048638</vt:i4>
      </vt:variant>
      <vt:variant>
        <vt:i4>44</vt:i4>
      </vt:variant>
      <vt:variant>
        <vt:i4>0</vt:i4>
      </vt:variant>
      <vt:variant>
        <vt:i4>5</vt:i4>
      </vt:variant>
      <vt:variant>
        <vt:lpwstr/>
      </vt:variant>
      <vt:variant>
        <vt:lpwstr>_Toc202172947</vt:lpwstr>
      </vt:variant>
      <vt:variant>
        <vt:i4>1048638</vt:i4>
      </vt:variant>
      <vt:variant>
        <vt:i4>38</vt:i4>
      </vt:variant>
      <vt:variant>
        <vt:i4>0</vt:i4>
      </vt:variant>
      <vt:variant>
        <vt:i4>5</vt:i4>
      </vt:variant>
      <vt:variant>
        <vt:lpwstr/>
      </vt:variant>
      <vt:variant>
        <vt:lpwstr>_Toc202172946</vt:lpwstr>
      </vt:variant>
      <vt:variant>
        <vt:i4>1048638</vt:i4>
      </vt:variant>
      <vt:variant>
        <vt:i4>32</vt:i4>
      </vt:variant>
      <vt:variant>
        <vt:i4>0</vt:i4>
      </vt:variant>
      <vt:variant>
        <vt:i4>5</vt:i4>
      </vt:variant>
      <vt:variant>
        <vt:lpwstr/>
      </vt:variant>
      <vt:variant>
        <vt:lpwstr>_Toc202172945</vt:lpwstr>
      </vt:variant>
      <vt:variant>
        <vt:i4>1048638</vt:i4>
      </vt:variant>
      <vt:variant>
        <vt:i4>26</vt:i4>
      </vt:variant>
      <vt:variant>
        <vt:i4>0</vt:i4>
      </vt:variant>
      <vt:variant>
        <vt:i4>5</vt:i4>
      </vt:variant>
      <vt:variant>
        <vt:lpwstr/>
      </vt:variant>
      <vt:variant>
        <vt:lpwstr>_Toc202172944</vt:lpwstr>
      </vt:variant>
      <vt:variant>
        <vt:i4>1048638</vt:i4>
      </vt:variant>
      <vt:variant>
        <vt:i4>20</vt:i4>
      </vt:variant>
      <vt:variant>
        <vt:i4>0</vt:i4>
      </vt:variant>
      <vt:variant>
        <vt:i4>5</vt:i4>
      </vt:variant>
      <vt:variant>
        <vt:lpwstr/>
      </vt:variant>
      <vt:variant>
        <vt:lpwstr>_Toc202172943</vt:lpwstr>
      </vt:variant>
      <vt:variant>
        <vt:i4>1048638</vt:i4>
      </vt:variant>
      <vt:variant>
        <vt:i4>14</vt:i4>
      </vt:variant>
      <vt:variant>
        <vt:i4>0</vt:i4>
      </vt:variant>
      <vt:variant>
        <vt:i4>5</vt:i4>
      </vt:variant>
      <vt:variant>
        <vt:lpwstr/>
      </vt:variant>
      <vt:variant>
        <vt:lpwstr>_Toc202172942</vt:lpwstr>
      </vt:variant>
      <vt:variant>
        <vt:i4>1048638</vt:i4>
      </vt:variant>
      <vt:variant>
        <vt:i4>8</vt:i4>
      </vt:variant>
      <vt:variant>
        <vt:i4>0</vt:i4>
      </vt:variant>
      <vt:variant>
        <vt:i4>5</vt:i4>
      </vt:variant>
      <vt:variant>
        <vt:lpwstr/>
      </vt:variant>
      <vt:variant>
        <vt:lpwstr>_Toc202172941</vt:lpwstr>
      </vt:variant>
      <vt:variant>
        <vt:i4>1048638</vt:i4>
      </vt:variant>
      <vt:variant>
        <vt:i4>2</vt:i4>
      </vt:variant>
      <vt:variant>
        <vt:i4>0</vt:i4>
      </vt:variant>
      <vt:variant>
        <vt:i4>5</vt:i4>
      </vt:variant>
      <vt:variant>
        <vt:lpwstr/>
      </vt:variant>
      <vt:variant>
        <vt:lpwstr>_Toc202172940</vt:lpwstr>
      </vt:variant>
      <vt:variant>
        <vt:i4>3080292</vt:i4>
      </vt:variant>
      <vt:variant>
        <vt:i4>9</vt:i4>
      </vt:variant>
      <vt:variant>
        <vt:i4>0</vt:i4>
      </vt:variant>
      <vt:variant>
        <vt:i4>5</vt:i4>
      </vt:variant>
      <vt:variant>
        <vt:lpwstr>https://www.sciencedirect.com/science/article/abs/pii/S0048969722077518</vt:lpwstr>
      </vt:variant>
      <vt:variant>
        <vt:lpwstr/>
      </vt:variant>
      <vt:variant>
        <vt:i4>5570572</vt:i4>
      </vt:variant>
      <vt:variant>
        <vt:i4>6</vt:i4>
      </vt:variant>
      <vt:variant>
        <vt:i4>0</vt:i4>
      </vt:variant>
      <vt:variant>
        <vt:i4>5</vt:i4>
      </vt:variant>
      <vt:variant>
        <vt:lpwstr>https://doi.org/10.1016/j.soilbio.2012.10.008</vt:lpwstr>
      </vt:variant>
      <vt:variant>
        <vt:lpwstr/>
      </vt:variant>
      <vt:variant>
        <vt:i4>3014781</vt:i4>
      </vt:variant>
      <vt:variant>
        <vt:i4>3</vt:i4>
      </vt:variant>
      <vt:variant>
        <vt:i4>0</vt:i4>
      </vt:variant>
      <vt:variant>
        <vt:i4>5</vt:i4>
      </vt:variant>
      <vt:variant>
        <vt:lpwstr>https://doi.org/10.1016/j.agrformet.2016.03.022</vt:lpwstr>
      </vt:variant>
      <vt:variant>
        <vt:lpwstr/>
      </vt:variant>
      <vt:variant>
        <vt:i4>4587597</vt:i4>
      </vt:variant>
      <vt:variant>
        <vt:i4>0</vt:i4>
      </vt:variant>
      <vt:variant>
        <vt:i4>0</vt:i4>
      </vt:variant>
      <vt:variant>
        <vt:i4>5</vt:i4>
      </vt:variant>
      <vt:variant>
        <vt:lpwstr>http://dx.doi.org/10.1016/j.scitotenv.2017.03.208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Ryan Ackett</dc:creator>
  <cp:keywords/>
  <dc:description/>
  <cp:lastModifiedBy>Sherman, Abby</cp:lastModifiedBy>
  <cp:revision>1012</cp:revision>
  <dcterms:created xsi:type="dcterms:W3CDTF">2025-07-08T16:19:00Z</dcterms:created>
  <dcterms:modified xsi:type="dcterms:W3CDTF">2025-07-28T16:41:00Z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2">
    <vt:lpwstr>alAbbreviations" value="true"/&gt;&lt;pref name="delayCitationUpdates" value="true"/&gt;&lt;pref name="dontAskDelayCitationUpdates" value="true"/&gt;&lt;/prefs&gt;&lt;/data&gt;</vt:lpwstr>
  </property>
  <property fmtid="{D5CDD505-2E9C-101B-9397-08002B2CF9AE}" pid="3" name="GrammarlyDocumentId">
    <vt:lpwstr>a0053f24-451e-441d-ac7a-978187db6296</vt:lpwstr>
  </property>
  <property fmtid="{D5CDD505-2E9C-101B-9397-08002B2CF9AE}" pid="4" name="ZOTERO_PREF_1">
    <vt:lpwstr>&lt;data data-version="3" zotero-version="6.0.36"&gt;&lt;session id="w2hswb8F"/&gt;&lt;style id="http://www.zotero.org/styles/apa" locale="en-US" hasBibliography="1" bibliographyStyleHasBeenSet="1"/&gt;&lt;prefs&gt;&lt;pref name="fieldType" value="Field"/&gt;&lt;pref name="automaticJourn</vt:lpwstr>
  </property>
</Properties>
</file>