
<file path=[Content_Types].xml><?xml version="1.0" encoding="utf-8"?>
<Types xmlns="http://schemas.openxmlformats.org/package/2006/content-types">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073C5" w:rsidRDefault="003073C5" w:rsidP="003073C5">
      <w:pPr>
        <w:spacing w:line="480" w:lineRule="auto"/>
        <w:jc w:val="center"/>
        <w:rPr>
          <w:rFonts w:ascii="Times New Roman" w:hAnsi="Times New Roman"/>
          <w:b/>
        </w:rPr>
      </w:pPr>
    </w:p>
    <w:p w:rsidR="003073C5" w:rsidRDefault="003073C5" w:rsidP="003073C5">
      <w:pPr>
        <w:spacing w:line="480" w:lineRule="auto"/>
        <w:jc w:val="center"/>
        <w:rPr>
          <w:rFonts w:ascii="Times New Roman" w:hAnsi="Times New Roman"/>
          <w:b/>
        </w:rPr>
      </w:pPr>
    </w:p>
    <w:p w:rsidR="003073C5" w:rsidRDefault="003073C5" w:rsidP="003073C5">
      <w:pPr>
        <w:jc w:val="center"/>
        <w:rPr>
          <w:rFonts w:ascii="Times New Roman" w:hAnsi="Times New Roman"/>
          <w:b/>
          <w:sz w:val="36"/>
        </w:rPr>
      </w:pPr>
      <w:r w:rsidRPr="003073C5">
        <w:rPr>
          <w:rFonts w:ascii="Times New Roman" w:hAnsi="Times New Roman"/>
          <w:b/>
          <w:i/>
          <w:sz w:val="36"/>
        </w:rPr>
        <w:t xml:space="preserve">CITIZENS UNITED </w:t>
      </w:r>
      <w:r w:rsidRPr="003073C5">
        <w:rPr>
          <w:rFonts w:ascii="Times New Roman" w:hAnsi="Times New Roman"/>
          <w:b/>
          <w:sz w:val="36"/>
        </w:rPr>
        <w:t xml:space="preserve">and Its Effect on </w:t>
      </w:r>
    </w:p>
    <w:p w:rsidR="003073C5" w:rsidRDefault="003073C5" w:rsidP="003073C5">
      <w:pPr>
        <w:jc w:val="center"/>
        <w:rPr>
          <w:rFonts w:ascii="Times New Roman" w:hAnsi="Times New Roman"/>
          <w:b/>
          <w:sz w:val="36"/>
        </w:rPr>
      </w:pPr>
      <w:r w:rsidRPr="003073C5">
        <w:rPr>
          <w:rFonts w:ascii="Times New Roman" w:hAnsi="Times New Roman"/>
          <w:b/>
          <w:sz w:val="36"/>
        </w:rPr>
        <w:t>Federal Campaign Finance</w:t>
      </w:r>
    </w:p>
    <w:p w:rsidR="003073C5" w:rsidRDefault="003073C5" w:rsidP="003073C5">
      <w:pPr>
        <w:jc w:val="center"/>
        <w:rPr>
          <w:rFonts w:ascii="Times New Roman" w:hAnsi="Times New Roman"/>
          <w:b/>
          <w:sz w:val="36"/>
        </w:rPr>
      </w:pPr>
    </w:p>
    <w:p w:rsidR="003073C5" w:rsidRDefault="003073C5" w:rsidP="003073C5">
      <w:pPr>
        <w:jc w:val="center"/>
        <w:rPr>
          <w:rFonts w:ascii="Times New Roman" w:hAnsi="Times New Roman"/>
          <w:b/>
          <w:sz w:val="36"/>
        </w:rPr>
      </w:pPr>
    </w:p>
    <w:p w:rsidR="003073C5" w:rsidRDefault="003073C5" w:rsidP="003073C5">
      <w:pPr>
        <w:jc w:val="center"/>
        <w:rPr>
          <w:rFonts w:ascii="Times New Roman" w:hAnsi="Times New Roman"/>
          <w:b/>
          <w:sz w:val="36"/>
        </w:rPr>
      </w:pPr>
    </w:p>
    <w:p w:rsidR="003073C5" w:rsidRPr="003073C5" w:rsidRDefault="003073C5" w:rsidP="003073C5">
      <w:pPr>
        <w:jc w:val="center"/>
        <w:rPr>
          <w:rFonts w:ascii="Times New Roman" w:hAnsi="Times New Roman"/>
          <w:b/>
          <w:sz w:val="28"/>
        </w:rPr>
      </w:pPr>
      <w:r w:rsidRPr="003073C5">
        <w:rPr>
          <w:rFonts w:ascii="Times New Roman" w:hAnsi="Times New Roman"/>
          <w:b/>
          <w:sz w:val="28"/>
        </w:rPr>
        <w:t>Thomas Ritter</w:t>
      </w:r>
    </w:p>
    <w:p w:rsidR="003073C5" w:rsidRDefault="003073C5" w:rsidP="003073C5">
      <w:pPr>
        <w:jc w:val="center"/>
        <w:rPr>
          <w:rFonts w:ascii="Times New Roman" w:hAnsi="Times New Roman"/>
          <w:b/>
        </w:rPr>
      </w:pPr>
    </w:p>
    <w:p w:rsidR="003073C5" w:rsidRDefault="003073C5" w:rsidP="003073C5">
      <w:pPr>
        <w:jc w:val="center"/>
        <w:rPr>
          <w:rFonts w:ascii="Times New Roman" w:hAnsi="Times New Roman"/>
          <w:b/>
        </w:rPr>
      </w:pPr>
    </w:p>
    <w:p w:rsidR="003073C5" w:rsidRDefault="003073C5" w:rsidP="003073C5">
      <w:pPr>
        <w:jc w:val="center"/>
        <w:rPr>
          <w:rFonts w:ascii="Times New Roman" w:hAnsi="Times New Roman"/>
          <w:b/>
        </w:rPr>
      </w:pPr>
    </w:p>
    <w:p w:rsidR="003073C5" w:rsidRDefault="003073C5" w:rsidP="003073C5">
      <w:pPr>
        <w:jc w:val="center"/>
        <w:rPr>
          <w:rFonts w:ascii="Times New Roman" w:hAnsi="Times New Roman"/>
          <w:b/>
        </w:rPr>
      </w:pPr>
    </w:p>
    <w:p w:rsidR="003073C5" w:rsidRDefault="003073C5" w:rsidP="003073C5">
      <w:pPr>
        <w:jc w:val="center"/>
        <w:rPr>
          <w:rFonts w:ascii="Times New Roman" w:hAnsi="Times New Roman"/>
          <w:b/>
        </w:rPr>
      </w:pPr>
    </w:p>
    <w:p w:rsidR="00991C0F" w:rsidRPr="003073C5" w:rsidRDefault="00991C0F" w:rsidP="003073C5">
      <w:pPr>
        <w:jc w:val="center"/>
        <w:rPr>
          <w:rFonts w:ascii="Times New Roman" w:hAnsi="Times New Roman"/>
          <w:b/>
          <w:i/>
        </w:rPr>
      </w:pPr>
    </w:p>
    <w:p w:rsidR="00991C0F" w:rsidRDefault="00991C0F" w:rsidP="00BB1942">
      <w:pPr>
        <w:spacing w:line="480" w:lineRule="auto"/>
        <w:rPr>
          <w:rFonts w:ascii="Times New Roman" w:hAnsi="Times New Roman"/>
          <w:b/>
        </w:rPr>
      </w:pPr>
    </w:p>
    <w:p w:rsidR="003073C5" w:rsidRDefault="003073C5" w:rsidP="003073C5">
      <w:pPr>
        <w:jc w:val="center"/>
        <w:rPr>
          <w:rFonts w:ascii="Times New Roman" w:hAnsi="Times New Roman"/>
          <w:b/>
        </w:rPr>
      </w:pPr>
      <w:r>
        <w:rPr>
          <w:rFonts w:ascii="Times New Roman" w:hAnsi="Times New Roman"/>
          <w:b/>
        </w:rPr>
        <w:t>Chancellor Honors Project Senior Thesis</w:t>
      </w:r>
    </w:p>
    <w:p w:rsidR="003073C5" w:rsidRDefault="003073C5" w:rsidP="003073C5">
      <w:pPr>
        <w:jc w:val="center"/>
        <w:rPr>
          <w:rFonts w:ascii="Times New Roman" w:hAnsi="Times New Roman"/>
          <w:b/>
        </w:rPr>
      </w:pPr>
      <w:r>
        <w:rPr>
          <w:rFonts w:ascii="Times New Roman" w:hAnsi="Times New Roman"/>
          <w:b/>
        </w:rPr>
        <w:t>Faculty Advisor: Dr. John Scheb</w:t>
      </w:r>
    </w:p>
    <w:p w:rsidR="003073C5" w:rsidRDefault="003073C5" w:rsidP="003073C5">
      <w:pPr>
        <w:jc w:val="center"/>
        <w:rPr>
          <w:rFonts w:ascii="Times New Roman" w:hAnsi="Times New Roman"/>
          <w:b/>
        </w:rPr>
      </w:pPr>
    </w:p>
    <w:p w:rsidR="00991C0F" w:rsidRDefault="003073C5" w:rsidP="003073C5">
      <w:pPr>
        <w:jc w:val="center"/>
        <w:rPr>
          <w:rFonts w:ascii="Times New Roman" w:hAnsi="Times New Roman"/>
          <w:b/>
        </w:rPr>
      </w:pPr>
      <w:r>
        <w:rPr>
          <w:rFonts w:ascii="Times New Roman" w:hAnsi="Times New Roman"/>
          <w:b/>
        </w:rPr>
        <w:t>Spring 2012</w:t>
      </w:r>
    </w:p>
    <w:p w:rsidR="00991C0F" w:rsidRDefault="00991C0F" w:rsidP="00BB1942">
      <w:pPr>
        <w:spacing w:line="480" w:lineRule="auto"/>
        <w:rPr>
          <w:rFonts w:ascii="Times New Roman" w:hAnsi="Times New Roman"/>
          <w:b/>
        </w:rPr>
      </w:pPr>
    </w:p>
    <w:p w:rsidR="00991C0F" w:rsidRDefault="00991C0F" w:rsidP="00BB1942">
      <w:pPr>
        <w:spacing w:line="480" w:lineRule="auto"/>
        <w:rPr>
          <w:rFonts w:ascii="Times New Roman" w:hAnsi="Times New Roman"/>
          <w:b/>
        </w:rPr>
      </w:pPr>
    </w:p>
    <w:p w:rsidR="00991C0F" w:rsidRDefault="00991C0F" w:rsidP="00BB1942">
      <w:pPr>
        <w:spacing w:line="480" w:lineRule="auto"/>
        <w:rPr>
          <w:rFonts w:ascii="Times New Roman" w:hAnsi="Times New Roman"/>
          <w:b/>
        </w:rPr>
      </w:pPr>
    </w:p>
    <w:p w:rsidR="00BB1942" w:rsidRPr="0064214C" w:rsidRDefault="00BB1942" w:rsidP="00BB1942">
      <w:pPr>
        <w:spacing w:line="480" w:lineRule="auto"/>
        <w:rPr>
          <w:rFonts w:ascii="Times New Roman" w:hAnsi="Times New Roman"/>
          <w:b/>
        </w:rPr>
      </w:pPr>
      <w:r w:rsidRPr="0064214C">
        <w:rPr>
          <w:rFonts w:ascii="Times New Roman" w:hAnsi="Times New Roman"/>
          <w:b/>
        </w:rPr>
        <w:t>INTRODUCTION</w:t>
      </w:r>
    </w:p>
    <w:p w:rsidR="0064214C" w:rsidRDefault="00BB1942" w:rsidP="00BB1942">
      <w:pPr>
        <w:spacing w:line="480" w:lineRule="auto"/>
        <w:ind w:firstLine="720"/>
        <w:rPr>
          <w:rFonts w:ascii="Times New Roman" w:hAnsi="Times New Roman"/>
        </w:rPr>
      </w:pPr>
      <w:r>
        <w:rPr>
          <w:rFonts w:ascii="Times New Roman" w:hAnsi="Times New Roman"/>
        </w:rPr>
        <w:t xml:space="preserve">On January 21, 2010, the Supreme Court </w:t>
      </w:r>
      <w:r w:rsidR="001036BA">
        <w:rPr>
          <w:rFonts w:ascii="Times New Roman" w:hAnsi="Times New Roman"/>
        </w:rPr>
        <w:t>overturned precedent that would send reverberations throughout the world of campaign finance</w:t>
      </w:r>
      <w:r>
        <w:rPr>
          <w:rFonts w:ascii="Times New Roman" w:hAnsi="Times New Roman"/>
        </w:rPr>
        <w:t xml:space="preserve">. Since the </w:t>
      </w:r>
      <w:r w:rsidR="0089219A">
        <w:rPr>
          <w:rFonts w:ascii="Times New Roman" w:hAnsi="Times New Roman"/>
        </w:rPr>
        <w:t>early 20th</w:t>
      </w:r>
      <w:r>
        <w:rPr>
          <w:rFonts w:ascii="Times New Roman" w:hAnsi="Times New Roman"/>
        </w:rPr>
        <w:t xml:space="preserve"> century, Congress had taken </w:t>
      </w:r>
      <w:r w:rsidR="008D3C8D">
        <w:rPr>
          <w:rFonts w:ascii="Times New Roman" w:hAnsi="Times New Roman"/>
        </w:rPr>
        <w:t>great</w:t>
      </w:r>
      <w:r>
        <w:rPr>
          <w:rFonts w:ascii="Times New Roman" w:hAnsi="Times New Roman"/>
        </w:rPr>
        <w:t xml:space="preserve"> steps </w:t>
      </w:r>
      <w:r w:rsidR="00023089">
        <w:rPr>
          <w:rFonts w:ascii="Times New Roman" w:hAnsi="Times New Roman"/>
        </w:rPr>
        <w:t>in regulating</w:t>
      </w:r>
      <w:r>
        <w:rPr>
          <w:rFonts w:ascii="Times New Roman" w:hAnsi="Times New Roman"/>
        </w:rPr>
        <w:t xml:space="preserve"> federal campaign</w:t>
      </w:r>
      <w:r w:rsidR="008D3C8D">
        <w:rPr>
          <w:rFonts w:ascii="Times New Roman" w:hAnsi="Times New Roman"/>
        </w:rPr>
        <w:t>s</w:t>
      </w:r>
      <w:r>
        <w:rPr>
          <w:rFonts w:ascii="Times New Roman" w:hAnsi="Times New Roman"/>
        </w:rPr>
        <w:t xml:space="preserve"> </w:t>
      </w:r>
      <w:r w:rsidR="00023089">
        <w:rPr>
          <w:rFonts w:ascii="Times New Roman" w:hAnsi="Times New Roman"/>
        </w:rPr>
        <w:t>through a variety of methods</w:t>
      </w:r>
      <w:r>
        <w:rPr>
          <w:rFonts w:ascii="Times New Roman" w:hAnsi="Times New Roman"/>
        </w:rPr>
        <w:t>: limiting contributions so that the wealthy and special interest groups could not create a stranglehold on the electoral process; directives to moderate campaign spending</w:t>
      </w:r>
      <w:r w:rsidR="00DA510D">
        <w:rPr>
          <w:rFonts w:ascii="Times New Roman" w:hAnsi="Times New Roman"/>
        </w:rPr>
        <w:t xml:space="preserve"> for federal offices</w:t>
      </w:r>
      <w:r>
        <w:rPr>
          <w:rFonts w:ascii="Times New Roman" w:hAnsi="Times New Roman"/>
        </w:rPr>
        <w:t xml:space="preserve">; and finally the requirement of full public disclosure of any and all campaign finances in hopes of providing education and fairness </w:t>
      </w:r>
      <w:r w:rsidR="00DA510D">
        <w:rPr>
          <w:rFonts w:ascii="Times New Roman" w:hAnsi="Times New Roman"/>
        </w:rPr>
        <w:t>to the electoral process</w:t>
      </w:r>
      <w:r>
        <w:rPr>
          <w:rFonts w:ascii="Times New Roman" w:hAnsi="Times New Roman"/>
        </w:rPr>
        <w:t>.</w:t>
      </w:r>
      <w:r w:rsidR="004C3FB0">
        <w:rPr>
          <w:rStyle w:val="FootnoteReference"/>
          <w:rFonts w:ascii="Times New Roman" w:hAnsi="Times New Roman"/>
        </w:rPr>
        <w:footnoteReference w:id="0"/>
      </w:r>
      <w:r w:rsidR="004C3FB0">
        <w:rPr>
          <w:rFonts w:ascii="Times New Roman" w:hAnsi="Times New Roman"/>
        </w:rPr>
        <w:t xml:space="preserve"> </w:t>
      </w:r>
      <w:r w:rsidR="0089219A">
        <w:rPr>
          <w:rFonts w:ascii="Times New Roman" w:hAnsi="Times New Roman"/>
        </w:rPr>
        <w:t xml:space="preserve">One of the biggest restrictive measures amidst the goals of legislative policy-making was the ban of corporate money in the involvement of federal elections. The case of </w:t>
      </w:r>
      <w:r w:rsidR="0089219A" w:rsidRPr="00AB60F7">
        <w:rPr>
          <w:rFonts w:ascii="Times New Roman" w:hAnsi="Times New Roman"/>
          <w:i/>
        </w:rPr>
        <w:t>Citizens United</w:t>
      </w:r>
      <w:r w:rsidR="0064214C" w:rsidRPr="00AB60F7">
        <w:rPr>
          <w:rFonts w:ascii="Times New Roman" w:hAnsi="Times New Roman"/>
          <w:i/>
        </w:rPr>
        <w:t>, Inc.</w:t>
      </w:r>
      <w:r w:rsidR="0089219A" w:rsidRPr="00AB60F7">
        <w:rPr>
          <w:rFonts w:ascii="Times New Roman" w:hAnsi="Times New Roman"/>
          <w:i/>
        </w:rPr>
        <w:t xml:space="preserve"> v. Federal Election Committee</w:t>
      </w:r>
      <w:r w:rsidR="00BF3A14">
        <w:rPr>
          <w:rStyle w:val="FootnoteReference"/>
          <w:rFonts w:ascii="Times New Roman" w:hAnsi="Times New Roman"/>
        </w:rPr>
        <w:footnoteReference w:customMarkFollows="1" w:id="1"/>
        <w:t>2</w:t>
      </w:r>
      <w:r w:rsidR="0089219A">
        <w:rPr>
          <w:rFonts w:ascii="Times New Roman" w:hAnsi="Times New Roman"/>
        </w:rPr>
        <w:t xml:space="preserve"> not only overturned this century long precedent, but more importantly </w:t>
      </w:r>
      <w:r w:rsidR="008D3C8D">
        <w:rPr>
          <w:rFonts w:ascii="Times New Roman" w:hAnsi="Times New Roman"/>
        </w:rPr>
        <w:t>started a cascading effect that would bring more outside spending into federal elections than the country had ever seen before</w:t>
      </w:r>
      <w:r w:rsidR="0089219A">
        <w:rPr>
          <w:rFonts w:ascii="Times New Roman" w:hAnsi="Times New Roman"/>
        </w:rPr>
        <w:t xml:space="preserve">. </w:t>
      </w:r>
    </w:p>
    <w:p w:rsidR="00D34D14" w:rsidRPr="009C1872" w:rsidRDefault="0064214C" w:rsidP="00BB1942">
      <w:pPr>
        <w:spacing w:line="480" w:lineRule="auto"/>
        <w:ind w:firstLine="720"/>
        <w:rPr>
          <w:rFonts w:ascii="Times New Roman" w:hAnsi="Times New Roman"/>
        </w:rPr>
      </w:pPr>
      <w:r>
        <w:rPr>
          <w:rFonts w:ascii="Times New Roman" w:hAnsi="Times New Roman"/>
        </w:rPr>
        <w:t xml:space="preserve">This </w:t>
      </w:r>
      <w:r w:rsidR="00AB60F7">
        <w:rPr>
          <w:rFonts w:ascii="Times New Roman" w:hAnsi="Times New Roman"/>
        </w:rPr>
        <w:t xml:space="preserve">ruling </w:t>
      </w:r>
      <w:r>
        <w:rPr>
          <w:rFonts w:ascii="Times New Roman" w:hAnsi="Times New Roman"/>
        </w:rPr>
        <w:t xml:space="preserve">has already produced serious implications in our country’s democratic </w:t>
      </w:r>
      <w:r w:rsidR="00D34D14">
        <w:rPr>
          <w:rFonts w:ascii="Times New Roman" w:hAnsi="Times New Roman"/>
        </w:rPr>
        <w:t>electoral</w:t>
      </w:r>
      <w:r w:rsidR="008D3C8D">
        <w:rPr>
          <w:rFonts w:ascii="Times New Roman" w:hAnsi="Times New Roman"/>
        </w:rPr>
        <w:t xml:space="preserve"> process, particularly </w:t>
      </w:r>
      <w:r>
        <w:rPr>
          <w:rFonts w:ascii="Times New Roman" w:hAnsi="Times New Roman"/>
        </w:rPr>
        <w:t xml:space="preserve">at </w:t>
      </w:r>
      <w:r w:rsidR="004E0316">
        <w:rPr>
          <w:rFonts w:ascii="Times New Roman" w:hAnsi="Times New Roman"/>
        </w:rPr>
        <w:t xml:space="preserve">the </w:t>
      </w:r>
      <w:r>
        <w:rPr>
          <w:rFonts w:ascii="Times New Roman" w:hAnsi="Times New Roman"/>
        </w:rPr>
        <w:t xml:space="preserve">federal level. </w:t>
      </w:r>
      <w:r w:rsidR="00D34D14">
        <w:rPr>
          <w:rFonts w:ascii="Times New Roman" w:hAnsi="Times New Roman"/>
        </w:rPr>
        <w:t>Concerns have already been raised over</w:t>
      </w:r>
      <w:r w:rsidR="00D34D14" w:rsidRPr="00D34D14">
        <w:rPr>
          <w:rFonts w:ascii="Times New Roman" w:hAnsi="Times New Roman"/>
          <w:i/>
        </w:rPr>
        <w:t xml:space="preserve"> Citizen’s</w:t>
      </w:r>
      <w:r w:rsidR="00D34D14">
        <w:rPr>
          <w:rFonts w:ascii="Times New Roman" w:hAnsi="Times New Roman"/>
        </w:rPr>
        <w:t xml:space="preserve"> allowance of corporate money in Congressional and Presidential elections. Looking at these issues and analyzing the effect of corporate money on th</w:t>
      </w:r>
      <w:r w:rsidR="00F407F2">
        <w:rPr>
          <w:rFonts w:ascii="Times New Roman" w:hAnsi="Times New Roman"/>
        </w:rPr>
        <w:t>e electoral process will help us</w:t>
      </w:r>
      <w:r w:rsidR="00D34D14">
        <w:rPr>
          <w:rFonts w:ascii="Times New Roman" w:hAnsi="Times New Roman"/>
        </w:rPr>
        <w:t xml:space="preserve">, as citizens, decide how to act in creating a more fair and less financially dependent </w:t>
      </w:r>
      <w:r w:rsidR="004E0316">
        <w:rPr>
          <w:rFonts w:ascii="Times New Roman" w:hAnsi="Times New Roman"/>
        </w:rPr>
        <w:t xml:space="preserve">electoral system. </w:t>
      </w:r>
      <w:r w:rsidR="00F440C6">
        <w:rPr>
          <w:rFonts w:ascii="Times New Roman" w:hAnsi="Times New Roman"/>
        </w:rPr>
        <w:t>Money continues to flood federal campaigns at an unprecedented rate</w:t>
      </w:r>
      <w:r w:rsidR="009C1872">
        <w:rPr>
          <w:rFonts w:ascii="Times New Roman" w:hAnsi="Times New Roman"/>
        </w:rPr>
        <w:t xml:space="preserve"> as Super PACs (political action committees) and the wealthy elite </w:t>
      </w:r>
      <w:r w:rsidR="008D3C8D">
        <w:rPr>
          <w:rFonts w:ascii="Times New Roman" w:hAnsi="Times New Roman"/>
        </w:rPr>
        <w:t>control</w:t>
      </w:r>
      <w:r w:rsidR="009C1872">
        <w:rPr>
          <w:rFonts w:ascii="Times New Roman" w:hAnsi="Times New Roman"/>
        </w:rPr>
        <w:t xml:space="preserve"> the means to play a monumental role in the election of Washington’s public officials. With the impending 2012 Presidential election, </w:t>
      </w:r>
      <w:r w:rsidR="009C1872" w:rsidRPr="009C1872">
        <w:rPr>
          <w:rFonts w:ascii="Times New Roman" w:hAnsi="Times New Roman"/>
          <w:i/>
        </w:rPr>
        <w:t>Citizens</w:t>
      </w:r>
      <w:r w:rsidR="009C1872">
        <w:rPr>
          <w:rFonts w:ascii="Times New Roman" w:hAnsi="Times New Roman"/>
        </w:rPr>
        <w:t xml:space="preserve"> has transformed the campaign finance landscape in a variety of ways. I aim to explore how the Supreme Court</w:t>
      </w:r>
      <w:r w:rsidR="0087781B">
        <w:rPr>
          <w:rFonts w:ascii="Times New Roman" w:hAnsi="Times New Roman"/>
        </w:rPr>
        <w:t xml:space="preserve"> came to the decision that they did in </w:t>
      </w:r>
      <w:r w:rsidR="0087781B" w:rsidRPr="0087781B">
        <w:rPr>
          <w:rFonts w:ascii="Times New Roman" w:hAnsi="Times New Roman"/>
          <w:i/>
        </w:rPr>
        <w:t>Citizens United</w:t>
      </w:r>
      <w:r w:rsidR="009C1872">
        <w:rPr>
          <w:rFonts w:ascii="Times New Roman" w:hAnsi="Times New Roman"/>
        </w:rPr>
        <w:t xml:space="preserve">, </w:t>
      </w:r>
      <w:r w:rsidR="0087781B">
        <w:rPr>
          <w:rFonts w:ascii="Times New Roman" w:hAnsi="Times New Roman"/>
        </w:rPr>
        <w:t xml:space="preserve">the effect this decision had on political action committees, </w:t>
      </w:r>
      <w:r w:rsidR="009C1872">
        <w:rPr>
          <w:rFonts w:ascii="Times New Roman" w:hAnsi="Times New Roman"/>
        </w:rPr>
        <w:t xml:space="preserve">look at the rise and effect of Super PACS on federal campaigns since </w:t>
      </w:r>
      <w:r w:rsidR="009C1872" w:rsidRPr="009C1872">
        <w:rPr>
          <w:rFonts w:ascii="Times New Roman" w:hAnsi="Times New Roman"/>
          <w:i/>
        </w:rPr>
        <w:t>Citizens</w:t>
      </w:r>
      <w:r w:rsidR="009C1872">
        <w:rPr>
          <w:rFonts w:ascii="Times New Roman" w:hAnsi="Times New Roman"/>
        </w:rPr>
        <w:t xml:space="preserve">, </w:t>
      </w:r>
      <w:r w:rsidR="008D3C8D">
        <w:rPr>
          <w:rFonts w:ascii="Times New Roman" w:hAnsi="Times New Roman"/>
        </w:rPr>
        <w:t>and explore issues like</w:t>
      </w:r>
      <w:r w:rsidR="0087781B">
        <w:rPr>
          <w:rFonts w:ascii="Times New Roman" w:hAnsi="Times New Roman"/>
        </w:rPr>
        <w:t xml:space="preserve"> quid pro quo and</w:t>
      </w:r>
      <w:r w:rsidR="008D3C8D">
        <w:rPr>
          <w:rFonts w:ascii="Times New Roman" w:hAnsi="Times New Roman"/>
        </w:rPr>
        <w:t xml:space="preserve"> donor anonymity that threaten the integrity of our electoral system. </w:t>
      </w:r>
      <w:r w:rsidR="009C1872">
        <w:rPr>
          <w:rFonts w:ascii="Times New Roman" w:hAnsi="Times New Roman"/>
        </w:rPr>
        <w:t xml:space="preserve"> </w:t>
      </w:r>
    </w:p>
    <w:p w:rsidR="00B639D4" w:rsidRDefault="004C6B11" w:rsidP="00BB1942">
      <w:pPr>
        <w:spacing w:line="480" w:lineRule="auto"/>
        <w:ind w:firstLine="720"/>
        <w:rPr>
          <w:rFonts w:ascii="Times New Roman" w:hAnsi="Times New Roman"/>
        </w:rPr>
      </w:pPr>
      <w:r>
        <w:rPr>
          <w:rFonts w:ascii="Times New Roman" w:hAnsi="Times New Roman"/>
        </w:rPr>
        <w:t>The history of corporate spending in political elections is a</w:t>
      </w:r>
      <w:r w:rsidR="008C2530">
        <w:rPr>
          <w:rFonts w:ascii="Times New Roman" w:hAnsi="Times New Roman"/>
        </w:rPr>
        <w:t xml:space="preserve"> storied one that fits inside the evolution of a </w:t>
      </w:r>
      <w:r>
        <w:rPr>
          <w:rFonts w:ascii="Times New Roman" w:hAnsi="Times New Roman"/>
        </w:rPr>
        <w:t xml:space="preserve">legal framework </w:t>
      </w:r>
      <w:r w:rsidR="008C2530">
        <w:rPr>
          <w:rFonts w:ascii="Times New Roman" w:hAnsi="Times New Roman"/>
        </w:rPr>
        <w:t>that involved</w:t>
      </w:r>
      <w:r>
        <w:rPr>
          <w:rFonts w:ascii="Times New Roman" w:hAnsi="Times New Roman"/>
        </w:rPr>
        <w:t xml:space="preserve"> legislative acts and the </w:t>
      </w:r>
      <w:r w:rsidR="001F5FD2">
        <w:rPr>
          <w:rFonts w:ascii="Times New Roman" w:hAnsi="Times New Roman"/>
        </w:rPr>
        <w:t xml:space="preserve">validation of these acts by the Supreme Court. </w:t>
      </w:r>
      <w:r w:rsidR="008C2530">
        <w:rPr>
          <w:rFonts w:ascii="Times New Roman" w:hAnsi="Times New Roman"/>
        </w:rPr>
        <w:t>Beginning in the early 1900s, corporate spending in federal elections came to a forefront with the passage of the Tillman Act of 1907</w:t>
      </w:r>
      <w:r w:rsidR="006D0C05">
        <w:rPr>
          <w:rStyle w:val="FootnoteReference"/>
          <w:rFonts w:ascii="Times New Roman" w:hAnsi="Times New Roman"/>
        </w:rPr>
        <w:footnoteReference w:customMarkFollows="1" w:id="2"/>
        <w:t>3</w:t>
      </w:r>
      <w:r w:rsidR="008C2530">
        <w:rPr>
          <w:rFonts w:ascii="Times New Roman" w:hAnsi="Times New Roman"/>
        </w:rPr>
        <w:t xml:space="preserve">. The act was drafted in response to the Presidential election of 1904 featuring Alton Parker and Theodore Roosevelt. After losing the election, Alton Parker publicly questioned whether Roosevelt had clandestinely financed his successful election through </w:t>
      </w:r>
      <w:r w:rsidR="00B911FF">
        <w:rPr>
          <w:rFonts w:ascii="Times New Roman" w:hAnsi="Times New Roman"/>
        </w:rPr>
        <w:t>the direct contributions</w:t>
      </w:r>
      <w:r w:rsidR="008C2530">
        <w:rPr>
          <w:rFonts w:ascii="Times New Roman" w:hAnsi="Times New Roman"/>
        </w:rPr>
        <w:t xml:space="preserve"> of life insurance companies.</w:t>
      </w:r>
      <w:r w:rsidR="006D0C05">
        <w:rPr>
          <w:rStyle w:val="FootnoteReference"/>
          <w:rFonts w:ascii="Times New Roman" w:hAnsi="Times New Roman"/>
        </w:rPr>
        <w:footnoteReference w:customMarkFollows="1" w:id="3"/>
        <w:t>4</w:t>
      </w:r>
      <w:r w:rsidR="008C2530">
        <w:rPr>
          <w:rFonts w:ascii="Times New Roman" w:hAnsi="Times New Roman"/>
        </w:rPr>
        <w:t xml:space="preserve"> </w:t>
      </w:r>
      <w:r w:rsidR="00670921">
        <w:rPr>
          <w:rFonts w:ascii="Times New Roman" w:hAnsi="Times New Roman"/>
        </w:rPr>
        <w:t>After the media substantiated these claims, Democratic Senator Ben Tillman introduced a bill that would prevent corporations from “</w:t>
      </w:r>
      <w:r w:rsidR="00621048">
        <w:rPr>
          <w:rFonts w:ascii="Times New Roman" w:hAnsi="Times New Roman"/>
        </w:rPr>
        <w:t>making money contributions in connection with political elections” that had to do with federal races involving “Presidential and Vice Presidential victors or a Representative in Congress or any e</w:t>
      </w:r>
      <w:r w:rsidR="00970877">
        <w:rPr>
          <w:rFonts w:ascii="Times New Roman" w:hAnsi="Times New Roman"/>
        </w:rPr>
        <w:t xml:space="preserve">lection by any state legislature </w:t>
      </w:r>
      <w:r w:rsidR="00621048">
        <w:rPr>
          <w:rFonts w:ascii="Times New Roman" w:hAnsi="Times New Roman"/>
        </w:rPr>
        <w:t>of a United States Senator.”</w:t>
      </w:r>
      <w:r w:rsidR="006D0C05">
        <w:rPr>
          <w:rStyle w:val="FootnoteReference"/>
          <w:rFonts w:ascii="Times New Roman" w:hAnsi="Times New Roman"/>
        </w:rPr>
        <w:footnoteReference w:customMarkFollows="1" w:id="4"/>
        <w:t>5</w:t>
      </w:r>
      <w:r w:rsidR="00B911FF">
        <w:rPr>
          <w:rFonts w:ascii="Times New Roman" w:hAnsi="Times New Roman"/>
        </w:rPr>
        <w:t xml:space="preserve"> </w:t>
      </w:r>
      <w:r w:rsidR="001F3040">
        <w:rPr>
          <w:rFonts w:ascii="Times New Roman" w:hAnsi="Times New Roman"/>
        </w:rPr>
        <w:t>The act effectively marked the start of federal campaign finance law with the idea that this ban would limit the power and influence of big business on the political process and prevent the idea of business and politics engaging in a sort of quid pro quo.</w:t>
      </w:r>
      <w:r w:rsidR="006D0C05">
        <w:rPr>
          <w:rStyle w:val="FootnoteReference"/>
          <w:rFonts w:ascii="Times New Roman" w:hAnsi="Times New Roman"/>
        </w:rPr>
        <w:footnoteReference w:customMarkFollows="1" w:id="5"/>
        <w:t>6</w:t>
      </w:r>
      <w:r w:rsidR="00EC1449">
        <w:rPr>
          <w:rFonts w:ascii="Times New Roman" w:hAnsi="Times New Roman"/>
        </w:rPr>
        <w:t xml:space="preserve"> In 1947, Congress further clarified the prevention of corporate spending on elections with the Taft Hartley Act. </w:t>
      </w:r>
      <w:r w:rsidR="000E5C3E">
        <w:rPr>
          <w:rFonts w:ascii="Times New Roman" w:hAnsi="Times New Roman"/>
        </w:rPr>
        <w:t>This prevented labor unions and more importantly, corporations, from making expenditures and contributions to federal elections.</w:t>
      </w:r>
      <w:r w:rsidR="006D0C05">
        <w:rPr>
          <w:rStyle w:val="FootnoteReference"/>
          <w:rFonts w:ascii="Times New Roman" w:hAnsi="Times New Roman"/>
        </w:rPr>
        <w:footnoteReference w:customMarkFollows="1" w:id="6"/>
        <w:t>7</w:t>
      </w:r>
      <w:r w:rsidR="000E5C3E">
        <w:rPr>
          <w:rFonts w:ascii="Times New Roman" w:hAnsi="Times New Roman"/>
        </w:rPr>
        <w:t xml:space="preserve"> The unions</w:t>
      </w:r>
      <w:r w:rsidR="00D446D6">
        <w:rPr>
          <w:rFonts w:ascii="Times New Roman" w:hAnsi="Times New Roman"/>
        </w:rPr>
        <w:t>’</w:t>
      </w:r>
      <w:r w:rsidR="000E5C3E">
        <w:rPr>
          <w:rFonts w:ascii="Times New Roman" w:hAnsi="Times New Roman"/>
        </w:rPr>
        <w:t xml:space="preserve"> response came in the creation of political action committees (PACs), which acted as the </w:t>
      </w:r>
      <w:r w:rsidR="00423ABB">
        <w:rPr>
          <w:rFonts w:ascii="Times New Roman" w:hAnsi="Times New Roman"/>
        </w:rPr>
        <w:t>channel</w:t>
      </w:r>
      <w:r w:rsidR="000E5C3E">
        <w:rPr>
          <w:rFonts w:ascii="Times New Roman" w:hAnsi="Times New Roman"/>
        </w:rPr>
        <w:t xml:space="preserve"> for members of unions and corporations to donate money that would support specific political candidates.</w:t>
      </w:r>
      <w:r w:rsidR="006D0C05">
        <w:rPr>
          <w:rStyle w:val="FootnoteReference"/>
          <w:rFonts w:ascii="Times New Roman" w:hAnsi="Times New Roman"/>
        </w:rPr>
        <w:footnoteReference w:customMarkFollows="1" w:id="7"/>
        <w:t>8</w:t>
      </w:r>
      <w:r w:rsidR="006819B2">
        <w:rPr>
          <w:rFonts w:ascii="Times New Roman" w:hAnsi="Times New Roman"/>
        </w:rPr>
        <w:t xml:space="preserve"> </w:t>
      </w:r>
      <w:r w:rsidR="00AB60F7">
        <w:rPr>
          <w:rFonts w:ascii="Times New Roman" w:hAnsi="Times New Roman"/>
        </w:rPr>
        <w:t xml:space="preserve">Federal campaign finance didn’t stop there, as </w:t>
      </w:r>
      <w:r w:rsidR="009B7CF9">
        <w:rPr>
          <w:rFonts w:ascii="Times New Roman" w:hAnsi="Times New Roman"/>
        </w:rPr>
        <w:t>the Federal Election Campaign Act</w:t>
      </w:r>
      <w:r w:rsidR="00AB60F7">
        <w:rPr>
          <w:rFonts w:ascii="Times New Roman" w:hAnsi="Times New Roman"/>
        </w:rPr>
        <w:t xml:space="preserve"> of 1972</w:t>
      </w:r>
      <w:r w:rsidR="009B7CF9">
        <w:rPr>
          <w:rFonts w:ascii="Times New Roman" w:hAnsi="Times New Roman"/>
        </w:rPr>
        <w:t xml:space="preserve"> </w:t>
      </w:r>
      <w:r w:rsidR="006819B2">
        <w:rPr>
          <w:rFonts w:ascii="Times New Roman" w:hAnsi="Times New Roman"/>
        </w:rPr>
        <w:t>required the reporting of full campaign contributions and expenditures to the Clerk of the House, Secretary of the Senate and Comptroller General of the United S</w:t>
      </w:r>
      <w:r w:rsidR="00D446D6">
        <w:rPr>
          <w:rFonts w:ascii="Times New Roman" w:hAnsi="Times New Roman"/>
        </w:rPr>
        <w:t>tates General Accounting Office (</w:t>
      </w:r>
      <w:r w:rsidR="006819B2">
        <w:rPr>
          <w:rFonts w:ascii="Times New Roman" w:hAnsi="Times New Roman"/>
        </w:rPr>
        <w:t>wi</w:t>
      </w:r>
      <w:r w:rsidR="00D446D6">
        <w:rPr>
          <w:rFonts w:ascii="Times New Roman" w:hAnsi="Times New Roman"/>
        </w:rPr>
        <w:t xml:space="preserve">th the Justice Department responsible </w:t>
      </w:r>
      <w:r w:rsidR="00EE6BF0">
        <w:rPr>
          <w:rFonts w:ascii="Times New Roman" w:hAnsi="Times New Roman"/>
        </w:rPr>
        <w:t>for prosecuting specific violations</w:t>
      </w:r>
      <w:r w:rsidR="00D446D6">
        <w:rPr>
          <w:rFonts w:ascii="Times New Roman" w:hAnsi="Times New Roman"/>
        </w:rPr>
        <w:t>)</w:t>
      </w:r>
      <w:r w:rsidR="00EE6BF0">
        <w:rPr>
          <w:rFonts w:ascii="Times New Roman" w:hAnsi="Times New Roman"/>
        </w:rPr>
        <w:t>.</w:t>
      </w:r>
      <w:r w:rsidR="006D0C05">
        <w:rPr>
          <w:rStyle w:val="FootnoteReference"/>
          <w:rFonts w:ascii="Times New Roman" w:hAnsi="Times New Roman"/>
        </w:rPr>
        <w:footnoteReference w:customMarkFollows="1" w:id="8"/>
        <w:t>9</w:t>
      </w:r>
      <w:r w:rsidR="00EE6BF0">
        <w:rPr>
          <w:rFonts w:ascii="Times New Roman" w:hAnsi="Times New Roman"/>
        </w:rPr>
        <w:t xml:space="preserve"> It wasn’t until 1975 that Congress created the Federal Election Commission (FEC) to enforce the FECA</w:t>
      </w:r>
      <w:r w:rsidR="00D446D6">
        <w:rPr>
          <w:rFonts w:ascii="Times New Roman" w:hAnsi="Times New Roman"/>
        </w:rPr>
        <w:t>, whose duty</w:t>
      </w:r>
      <w:r w:rsidR="00EE6BF0">
        <w:rPr>
          <w:rFonts w:ascii="Times New Roman" w:hAnsi="Times New Roman"/>
        </w:rPr>
        <w:t xml:space="preserve"> as an independent regulatory agency involved the disclosure of campaign finance information through the enforcement of statutory provisions that limit certain contributions at the state and federal level.</w:t>
      </w:r>
      <w:r w:rsidR="006D0C05">
        <w:rPr>
          <w:rStyle w:val="FootnoteReference"/>
          <w:rFonts w:ascii="Times New Roman" w:hAnsi="Times New Roman"/>
        </w:rPr>
        <w:footnoteReference w:customMarkFollows="1" w:id="9"/>
        <w:t>10</w:t>
      </w:r>
      <w:r w:rsidR="00D446D6">
        <w:rPr>
          <w:rFonts w:ascii="Times New Roman" w:hAnsi="Times New Roman"/>
        </w:rPr>
        <w:t xml:space="preserve"> </w:t>
      </w:r>
      <w:r w:rsidR="003F6779">
        <w:rPr>
          <w:rFonts w:ascii="Times New Roman" w:hAnsi="Times New Roman"/>
        </w:rPr>
        <w:t xml:space="preserve">After more than 60 years of drafted legislation governing the practice of campaign finance, the Supreme Court involved itself in the FECA stipulations and the creations of PACs in 1976 with </w:t>
      </w:r>
      <w:r w:rsidR="003F6779" w:rsidRPr="003F6779">
        <w:rPr>
          <w:rFonts w:ascii="Times New Roman" w:hAnsi="Times New Roman"/>
          <w:i/>
        </w:rPr>
        <w:t>Buckley v. Valeo</w:t>
      </w:r>
      <w:r w:rsidR="007076AC">
        <w:rPr>
          <w:rFonts w:ascii="Times New Roman" w:hAnsi="Times New Roman"/>
          <w:i/>
        </w:rPr>
        <w:t>.</w:t>
      </w:r>
      <w:r w:rsidR="007076AC">
        <w:rPr>
          <w:rStyle w:val="FootnoteReference"/>
          <w:rFonts w:ascii="Times New Roman" w:hAnsi="Times New Roman"/>
          <w:i/>
        </w:rPr>
        <w:footnoteReference w:customMarkFollows="1" w:id="10"/>
        <w:t>11</w:t>
      </w:r>
    </w:p>
    <w:p w:rsidR="00296985" w:rsidRDefault="00B14A24" w:rsidP="00296985">
      <w:pPr>
        <w:spacing w:line="480" w:lineRule="auto"/>
        <w:ind w:firstLine="720"/>
        <w:rPr>
          <w:rFonts w:ascii="Times New Roman" w:hAnsi="Times New Roman"/>
        </w:rPr>
      </w:pPr>
      <w:r>
        <w:rPr>
          <w:rFonts w:ascii="Times New Roman" w:hAnsi="Times New Roman"/>
        </w:rPr>
        <w:t>In 1974, the Federal Election Campaign Act</w:t>
      </w:r>
      <w:r w:rsidR="007076AC">
        <w:rPr>
          <w:rStyle w:val="FootnoteReference"/>
          <w:rFonts w:ascii="Times New Roman" w:hAnsi="Times New Roman"/>
        </w:rPr>
        <w:footnoteReference w:customMarkFollows="1" w:id="11"/>
        <w:t>12</w:t>
      </w:r>
      <w:r>
        <w:rPr>
          <w:rFonts w:ascii="Times New Roman" w:hAnsi="Times New Roman"/>
        </w:rPr>
        <w:t xml:space="preserve"> had passed a substantial number of amendments outlining more rules pertaining to federal elections and the regulation of campaign contributions. </w:t>
      </w:r>
      <w:r w:rsidR="002D06A1">
        <w:rPr>
          <w:rFonts w:ascii="Times New Roman" w:hAnsi="Times New Roman"/>
        </w:rPr>
        <w:t>In 1975, New York Senator James L. Buckley joined former Presidential candidate Eugene McCarthy and other plaintiffs in bringing suit against Francis R. Valeo, who served as Secretary of the Senate and the ex officio member</w:t>
      </w:r>
      <w:r w:rsidR="007076AC">
        <w:rPr>
          <w:rStyle w:val="FootnoteReference"/>
          <w:rFonts w:ascii="Times New Roman" w:hAnsi="Times New Roman"/>
        </w:rPr>
        <w:footnoteReference w:customMarkFollows="1" w:id="12"/>
        <w:t>13</w:t>
      </w:r>
      <w:r w:rsidR="002D06A1">
        <w:rPr>
          <w:rFonts w:ascii="Times New Roman" w:hAnsi="Times New Roman"/>
        </w:rPr>
        <w:t xml:space="preserve"> of the FEC.</w:t>
      </w:r>
      <w:r w:rsidR="00D905CC">
        <w:rPr>
          <w:rFonts w:ascii="Times New Roman" w:hAnsi="Times New Roman"/>
        </w:rPr>
        <w:t xml:space="preserve"> The statutes at issue had the following provisions: </w:t>
      </w:r>
      <w:r w:rsidR="00D905CC">
        <w:t xml:space="preserve">“ </w:t>
      </w:r>
      <w:r w:rsidR="00D905CC" w:rsidRPr="00D905CC">
        <w:rPr>
          <w:rFonts w:ascii="Times New Roman" w:hAnsi="Times New Roman"/>
        </w:rPr>
        <w:t>individual political contributions are limited to $1,000 to any single candidate per election, with an over-all annual limitation of $25,000 by any contributor; independent expenditures by individuals and groups "relative to a clearly identified candidate" are limited to $1,000 a year; campaign spending by candidates for various federal offices and spending for national conventions by political parties are subject to prescribed limits</w:t>
      </w:r>
      <w:r w:rsidR="007076AC">
        <w:rPr>
          <w:rStyle w:val="FootnoteReference"/>
          <w:rFonts w:ascii="Times New Roman" w:hAnsi="Times New Roman"/>
        </w:rPr>
        <w:footnoteReference w:customMarkFollows="1" w:id="13"/>
        <w:t>14</w:t>
      </w:r>
      <w:r w:rsidR="00D905CC" w:rsidRPr="00D905CC">
        <w:rPr>
          <w:rFonts w:ascii="Times New Roman" w:hAnsi="Times New Roman"/>
        </w:rPr>
        <w:t>; contributions and expenditures above certain threshold levels must be reported and publicly disclosed</w:t>
      </w:r>
      <w:r w:rsidR="007076AC">
        <w:rPr>
          <w:rStyle w:val="FootnoteReference"/>
          <w:rFonts w:ascii="Times New Roman" w:hAnsi="Times New Roman"/>
        </w:rPr>
        <w:footnoteReference w:customMarkFollows="1" w:id="14"/>
        <w:t>15</w:t>
      </w:r>
      <w:r w:rsidR="00D905CC" w:rsidRPr="00D905CC">
        <w:rPr>
          <w:rFonts w:ascii="Times New Roman" w:hAnsi="Times New Roman"/>
        </w:rPr>
        <w:t>; a system for public funding of Presidential campaign activities established by Subtitle H of the Internal Revenue Code</w:t>
      </w:r>
      <w:r w:rsidR="007076AC">
        <w:rPr>
          <w:rStyle w:val="FootnoteReference"/>
          <w:rFonts w:ascii="Times New Roman" w:hAnsi="Times New Roman"/>
        </w:rPr>
        <w:footnoteReference w:customMarkFollows="1" w:id="15"/>
        <w:t>16</w:t>
      </w:r>
      <w:r w:rsidR="00D905CC" w:rsidRPr="00D905CC">
        <w:rPr>
          <w:rFonts w:ascii="Times New Roman" w:hAnsi="Times New Roman"/>
        </w:rPr>
        <w:t>;</w:t>
      </w:r>
      <w:bookmarkStart w:id="0" w:name="424_US_1n3ref"/>
      <w:r w:rsidR="00D905CC" w:rsidRPr="00D905CC">
        <w:rPr>
          <w:rFonts w:ascii="Times New Roman" w:hAnsi="Times New Roman"/>
          <w:b/>
          <w:vertAlign w:val="superscript"/>
        </w:rPr>
        <w:t xml:space="preserve"> </w:t>
      </w:r>
      <w:bookmarkEnd w:id="0"/>
      <w:r w:rsidR="00D905CC" w:rsidRPr="00D905CC">
        <w:rPr>
          <w:rFonts w:ascii="Times New Roman" w:hAnsi="Times New Roman"/>
        </w:rPr>
        <w:t>and a Federal Election Commission established to administer and enforce the legislation</w:t>
      </w:r>
      <w:r w:rsidR="007076AC">
        <w:rPr>
          <w:rStyle w:val="FootnoteReference"/>
          <w:rFonts w:ascii="Times New Roman" w:hAnsi="Times New Roman"/>
        </w:rPr>
        <w:footnoteReference w:customMarkFollows="1" w:id="16"/>
        <w:t>17</w:t>
      </w:r>
      <w:r w:rsidR="00D905CC" w:rsidRPr="00D905CC">
        <w:rPr>
          <w:rFonts w:ascii="Times New Roman" w:hAnsi="Times New Roman"/>
        </w:rPr>
        <w:t>.”</w:t>
      </w:r>
      <w:r w:rsidR="007076AC">
        <w:rPr>
          <w:rStyle w:val="FootnoteReference"/>
          <w:rFonts w:ascii="Times New Roman" w:hAnsi="Times New Roman"/>
        </w:rPr>
        <w:footnoteReference w:customMarkFollows="1" w:id="17"/>
        <w:t>18</w:t>
      </w:r>
      <w:r w:rsidR="00AC3E19">
        <w:rPr>
          <w:rFonts w:ascii="Times New Roman" w:hAnsi="Times New Roman"/>
        </w:rPr>
        <w:t xml:space="preserve"> </w:t>
      </w:r>
      <w:r w:rsidR="00C7029B">
        <w:rPr>
          <w:rFonts w:ascii="Times New Roman" w:hAnsi="Times New Roman"/>
        </w:rPr>
        <w:t xml:space="preserve">The petitioners argued that these stipulations were in direct violation of the First Amendment freedom and equal protection principle and the right to freedom of association. Furthermore, they argued that </w:t>
      </w:r>
      <w:r w:rsidR="00DE3841">
        <w:rPr>
          <w:rFonts w:ascii="Times New Roman" w:hAnsi="Times New Roman"/>
        </w:rPr>
        <w:t>the IRC S</w:t>
      </w:r>
      <w:r w:rsidR="00922435">
        <w:rPr>
          <w:rFonts w:ascii="Times New Roman" w:hAnsi="Times New Roman"/>
        </w:rPr>
        <w:t xml:space="preserve">ubtitle H was unconstitutional </w:t>
      </w:r>
      <w:r w:rsidR="001C7A88">
        <w:rPr>
          <w:rFonts w:ascii="Times New Roman" w:hAnsi="Times New Roman"/>
        </w:rPr>
        <w:t>for two reasons. The first being that</w:t>
      </w:r>
      <w:r w:rsidR="00922435">
        <w:rPr>
          <w:rFonts w:ascii="Times New Roman" w:hAnsi="Times New Roman"/>
        </w:rPr>
        <w:t xml:space="preserve"> </w:t>
      </w:r>
      <w:r w:rsidR="001C7A88">
        <w:rPr>
          <w:rFonts w:ascii="Times New Roman" w:hAnsi="Times New Roman"/>
        </w:rPr>
        <w:t>it violated</w:t>
      </w:r>
      <w:r w:rsidR="00922435">
        <w:rPr>
          <w:rFonts w:ascii="Times New Roman" w:hAnsi="Times New Roman"/>
        </w:rPr>
        <w:t xml:space="preserve"> the Fifth Amendment Due Process clause and </w:t>
      </w:r>
      <w:r w:rsidR="001C7A88">
        <w:rPr>
          <w:rFonts w:ascii="Times New Roman" w:hAnsi="Times New Roman"/>
        </w:rPr>
        <w:t xml:space="preserve">the second purporting </w:t>
      </w:r>
      <w:r w:rsidR="00922435">
        <w:rPr>
          <w:rFonts w:ascii="Times New Roman" w:hAnsi="Times New Roman"/>
        </w:rPr>
        <w:t xml:space="preserve">that the </w:t>
      </w:r>
      <w:r w:rsidR="00CA6A72">
        <w:rPr>
          <w:rFonts w:ascii="Times New Roman" w:hAnsi="Times New Roman"/>
        </w:rPr>
        <w:t xml:space="preserve">appointment clause precluded the Constitutionality of the Federal Election Commission by acting as a violation of the separation of powers clause. </w:t>
      </w:r>
      <w:r w:rsidR="004A7911">
        <w:rPr>
          <w:rFonts w:ascii="Times New Roman" w:hAnsi="Times New Roman"/>
        </w:rPr>
        <w:t>The court concluded their opinion by affirming the  “</w:t>
      </w:r>
      <w:r w:rsidR="004A7911" w:rsidRPr="004A7911">
        <w:rPr>
          <w:rFonts w:ascii="Times New Roman" w:hAnsi="Times New Roman"/>
        </w:rPr>
        <w:t>individual contribution limits, the disclosure and reporting provisions, and the public financing scheme</w:t>
      </w:r>
      <w:r w:rsidR="004A7911">
        <w:rPr>
          <w:rFonts w:ascii="Times New Roman" w:hAnsi="Times New Roman"/>
        </w:rPr>
        <w:t>”</w:t>
      </w:r>
      <w:r w:rsidR="00EF1AD5">
        <w:rPr>
          <w:rStyle w:val="FootnoteReference"/>
          <w:rFonts w:ascii="Times New Roman" w:hAnsi="Times New Roman"/>
        </w:rPr>
        <w:footnoteReference w:customMarkFollows="1" w:id="18"/>
        <w:t>19</w:t>
      </w:r>
      <w:r w:rsidR="004A7911" w:rsidRPr="004A7911">
        <w:rPr>
          <w:rFonts w:ascii="Times New Roman" w:hAnsi="Times New Roman"/>
        </w:rPr>
        <w:t xml:space="preserve">. </w:t>
      </w:r>
      <w:r w:rsidR="004A7911">
        <w:rPr>
          <w:rFonts w:ascii="Times New Roman" w:hAnsi="Times New Roman"/>
        </w:rPr>
        <w:t>However,</w:t>
      </w:r>
      <w:r w:rsidR="004A7911" w:rsidRPr="004A7911">
        <w:rPr>
          <w:rFonts w:ascii="Times New Roman" w:hAnsi="Times New Roman"/>
        </w:rPr>
        <w:t xml:space="preserve"> the limitations on campaign expenditures, on independent expenditures by individuals and groups, and on expenditures by a candidate from his personal funds </w:t>
      </w:r>
      <w:r w:rsidR="004A7911">
        <w:rPr>
          <w:rFonts w:ascii="Times New Roman" w:hAnsi="Times New Roman"/>
        </w:rPr>
        <w:t>were deemed constitutionally invalid</w:t>
      </w:r>
      <w:r w:rsidR="004A7911" w:rsidRPr="004A7911">
        <w:rPr>
          <w:rFonts w:ascii="Times New Roman" w:hAnsi="Times New Roman"/>
        </w:rPr>
        <w:t xml:space="preserve">. </w:t>
      </w:r>
      <w:r w:rsidR="004A7911">
        <w:rPr>
          <w:rFonts w:ascii="Times New Roman" w:hAnsi="Times New Roman"/>
        </w:rPr>
        <w:t>Lastly, the Court held</w:t>
      </w:r>
      <w:r w:rsidR="004A7911" w:rsidRPr="004A7911">
        <w:rPr>
          <w:rFonts w:ascii="Times New Roman" w:hAnsi="Times New Roman"/>
        </w:rPr>
        <w:t xml:space="preserve"> that most of the powers conferred </w:t>
      </w:r>
      <w:r w:rsidR="004A7911">
        <w:rPr>
          <w:rFonts w:ascii="Times New Roman" w:hAnsi="Times New Roman"/>
        </w:rPr>
        <w:t>upon</w:t>
      </w:r>
      <w:r w:rsidR="004A7911" w:rsidRPr="004A7911">
        <w:rPr>
          <w:rFonts w:ascii="Times New Roman" w:hAnsi="Times New Roman"/>
        </w:rPr>
        <w:t xml:space="preserve"> Federal Election Commission</w:t>
      </w:r>
      <w:r w:rsidR="004A7911">
        <w:rPr>
          <w:rFonts w:ascii="Times New Roman" w:hAnsi="Times New Roman"/>
        </w:rPr>
        <w:t xml:space="preserve"> by the Act</w:t>
      </w:r>
      <w:r w:rsidR="004A7911" w:rsidRPr="004A7911">
        <w:rPr>
          <w:rFonts w:ascii="Times New Roman" w:hAnsi="Times New Roman"/>
        </w:rPr>
        <w:t xml:space="preserve"> </w:t>
      </w:r>
      <w:r w:rsidR="004A7911">
        <w:rPr>
          <w:rFonts w:ascii="Times New Roman" w:hAnsi="Times New Roman"/>
        </w:rPr>
        <w:t>violated the</w:t>
      </w:r>
      <w:r w:rsidR="004A7911" w:rsidRPr="004A7911">
        <w:rPr>
          <w:rFonts w:ascii="Times New Roman" w:hAnsi="Times New Roman"/>
        </w:rPr>
        <w:t xml:space="preserve"> "Officers of the United States,"</w:t>
      </w:r>
      <w:r w:rsidR="004A7911">
        <w:rPr>
          <w:rFonts w:ascii="Times New Roman" w:hAnsi="Times New Roman"/>
        </w:rPr>
        <w:t xml:space="preserve"> portion of</w:t>
      </w:r>
      <w:r w:rsidR="004A7911" w:rsidRPr="004A7911">
        <w:rPr>
          <w:rFonts w:ascii="Times New Roman" w:hAnsi="Times New Roman"/>
        </w:rPr>
        <w:t xml:space="preserve"> Art. II, § 2, cl. 2, of the Constitution, and therefore </w:t>
      </w:r>
      <w:r w:rsidR="004A7911">
        <w:rPr>
          <w:rFonts w:ascii="Times New Roman" w:hAnsi="Times New Roman"/>
        </w:rPr>
        <w:t>could not</w:t>
      </w:r>
      <w:r w:rsidR="004A7911" w:rsidRPr="004A7911">
        <w:rPr>
          <w:rFonts w:ascii="Times New Roman" w:hAnsi="Times New Roman"/>
        </w:rPr>
        <w:t xml:space="preserve"> be exercised by the Commission as presently constituted.</w:t>
      </w:r>
      <w:r w:rsidR="00EF1AD5">
        <w:rPr>
          <w:rStyle w:val="FootnoteReference"/>
          <w:rFonts w:ascii="Times New Roman" w:hAnsi="Times New Roman"/>
        </w:rPr>
        <w:footnoteReference w:customMarkFollows="1" w:id="19"/>
        <w:t>20</w:t>
      </w:r>
      <w:r w:rsidR="00430303">
        <w:rPr>
          <w:rFonts w:ascii="Times New Roman" w:hAnsi="Times New Roman"/>
        </w:rPr>
        <w:t xml:space="preserve"> </w:t>
      </w:r>
      <w:r w:rsidR="004A7911">
        <w:rPr>
          <w:rFonts w:ascii="Times New Roman" w:hAnsi="Times New Roman"/>
        </w:rPr>
        <w:t>The Supreme Court believed the limits enacted by the FECA of 1974 effectively stemmed the incoming tide of potential political corruption</w:t>
      </w:r>
      <w:r w:rsidR="001C7A88">
        <w:rPr>
          <w:rFonts w:ascii="Times New Roman" w:hAnsi="Times New Roman"/>
        </w:rPr>
        <w:t xml:space="preserve"> (quid pro quo)</w:t>
      </w:r>
      <w:r w:rsidR="004A7911">
        <w:rPr>
          <w:rFonts w:ascii="Times New Roman" w:hAnsi="Times New Roman"/>
        </w:rPr>
        <w:t xml:space="preserve">. </w:t>
      </w:r>
      <w:r w:rsidR="007F269A">
        <w:rPr>
          <w:rFonts w:ascii="Times New Roman" w:hAnsi="Times New Roman"/>
        </w:rPr>
        <w:t>Nevertheless, it had important implications on political action committees as it refused to limit the establishment of PACs and made important clarifications on a PACs right to make independent expenditures.</w:t>
      </w:r>
      <w:r w:rsidR="00EF1AD5">
        <w:rPr>
          <w:rStyle w:val="FootnoteReference"/>
          <w:rFonts w:ascii="Times New Roman" w:hAnsi="Times New Roman"/>
        </w:rPr>
        <w:footnoteReference w:customMarkFollows="1" w:id="20"/>
        <w:t>21</w:t>
      </w:r>
      <w:r w:rsidR="007F269A">
        <w:rPr>
          <w:rFonts w:ascii="Times New Roman" w:hAnsi="Times New Roman"/>
        </w:rPr>
        <w:t xml:space="preserve"> </w:t>
      </w:r>
      <w:r w:rsidR="007F269A" w:rsidRPr="007F269A">
        <w:rPr>
          <w:rFonts w:ascii="Times New Roman" w:hAnsi="Times New Roman"/>
          <w:i/>
        </w:rPr>
        <w:t>Buckley v. Valeo</w:t>
      </w:r>
      <w:r w:rsidR="007F269A">
        <w:rPr>
          <w:rFonts w:ascii="Times New Roman" w:hAnsi="Times New Roman"/>
          <w:i/>
        </w:rPr>
        <w:t xml:space="preserve"> </w:t>
      </w:r>
      <w:r w:rsidR="00D20799">
        <w:rPr>
          <w:rFonts w:ascii="Times New Roman" w:hAnsi="Times New Roman"/>
        </w:rPr>
        <w:t>clarified the idea of issue advocacy, wherein a group or individual advocates for or against certain issues to the general public.</w:t>
      </w:r>
      <w:r w:rsidR="00731A0B">
        <w:rPr>
          <w:rFonts w:ascii="Times New Roman" w:hAnsi="Times New Roman"/>
        </w:rPr>
        <w:t xml:space="preserve"> The Court outlawed certain issue advocacy as overtly expressive vocabulary that included words like “vote for</w:t>
      </w:r>
      <w:r w:rsidR="00A24457">
        <w:rPr>
          <w:rFonts w:ascii="Times New Roman" w:hAnsi="Times New Roman"/>
        </w:rPr>
        <w:t>,” “elect,” and “support.”</w:t>
      </w:r>
      <w:r w:rsidR="00D20799">
        <w:rPr>
          <w:rFonts w:ascii="Times New Roman" w:hAnsi="Times New Roman"/>
        </w:rPr>
        <w:t xml:space="preserve"> The stipulations surrounding the idea of issue advocacy and federal campaign elections would be at issue</w:t>
      </w:r>
      <w:r w:rsidR="00A24457">
        <w:rPr>
          <w:rFonts w:ascii="Times New Roman" w:hAnsi="Times New Roman"/>
        </w:rPr>
        <w:t xml:space="preserve"> again in 1986 in </w:t>
      </w:r>
      <w:r w:rsidR="00D20799">
        <w:rPr>
          <w:rFonts w:ascii="Times New Roman" w:hAnsi="Times New Roman"/>
        </w:rPr>
        <w:t xml:space="preserve">the Supreme Court case </w:t>
      </w:r>
      <w:r w:rsidR="00D20799" w:rsidRPr="00D20799">
        <w:rPr>
          <w:rFonts w:ascii="Times New Roman" w:hAnsi="Times New Roman"/>
          <w:i/>
        </w:rPr>
        <w:t>FEC v. Massachusetts Citizens for Life</w:t>
      </w:r>
      <w:r w:rsidR="001E6100">
        <w:rPr>
          <w:rFonts w:ascii="Times New Roman" w:hAnsi="Times New Roman"/>
          <w:i/>
        </w:rPr>
        <w:t>, Inc</w:t>
      </w:r>
      <w:r w:rsidR="001C7A88">
        <w:rPr>
          <w:rFonts w:ascii="Times New Roman" w:hAnsi="Times New Roman"/>
        </w:rPr>
        <w:t xml:space="preserve"> and would later serve as the basis for </w:t>
      </w:r>
      <w:r w:rsidR="001C7A88" w:rsidRPr="001C7A88">
        <w:rPr>
          <w:rFonts w:ascii="Times New Roman" w:hAnsi="Times New Roman"/>
          <w:i/>
        </w:rPr>
        <w:t>Citizens United</w:t>
      </w:r>
      <w:r w:rsidR="001C7A88">
        <w:rPr>
          <w:rFonts w:ascii="Times New Roman" w:hAnsi="Times New Roman"/>
        </w:rPr>
        <w:t>.</w:t>
      </w:r>
      <w:r w:rsidR="00D20799">
        <w:rPr>
          <w:rFonts w:ascii="Times New Roman" w:hAnsi="Times New Roman"/>
        </w:rPr>
        <w:t xml:space="preserve"> </w:t>
      </w:r>
    </w:p>
    <w:p w:rsidR="00D20799" w:rsidRPr="00296985" w:rsidRDefault="00296985" w:rsidP="00296985">
      <w:pPr>
        <w:spacing w:line="480" w:lineRule="auto"/>
        <w:ind w:firstLine="720"/>
        <w:rPr>
          <w:rFonts w:ascii="Times New Roman" w:hAnsi="Times New Roman"/>
        </w:rPr>
      </w:pPr>
      <w:r>
        <w:rPr>
          <w:rFonts w:ascii="Times New Roman" w:hAnsi="Times New Roman"/>
        </w:rPr>
        <w:t xml:space="preserve">A corporation’s political expenditures and FECA stipulations from the 1970s came to the forefront when </w:t>
      </w:r>
      <w:r w:rsidRPr="00296985">
        <w:rPr>
          <w:rFonts w:ascii="Times New Roman" w:hAnsi="Times New Roman"/>
          <w:i/>
        </w:rPr>
        <w:t>FEC v. Massachusetts Citizens for Life</w:t>
      </w:r>
      <w:r w:rsidR="001E6100">
        <w:rPr>
          <w:rFonts w:ascii="Times New Roman" w:hAnsi="Times New Roman"/>
          <w:i/>
        </w:rPr>
        <w:t>, Inc.</w:t>
      </w:r>
      <w:r w:rsidR="00EF1AD5">
        <w:rPr>
          <w:rStyle w:val="FootnoteReference"/>
          <w:rFonts w:ascii="Times New Roman" w:hAnsi="Times New Roman"/>
        </w:rPr>
        <w:footnoteReference w:customMarkFollows="1" w:id="21"/>
        <w:t>22</w:t>
      </w:r>
      <w:r w:rsidR="008A274C">
        <w:rPr>
          <w:rFonts w:ascii="Times New Roman" w:hAnsi="Times New Roman"/>
        </w:rPr>
        <w:t xml:space="preserve"> </w:t>
      </w:r>
      <w:r>
        <w:rPr>
          <w:rFonts w:ascii="Times New Roman" w:hAnsi="Times New Roman"/>
        </w:rPr>
        <w:t xml:space="preserve">came before the Supreme Court in 1986. </w:t>
      </w:r>
      <w:r w:rsidR="001E6100">
        <w:rPr>
          <w:rFonts w:ascii="Times New Roman" w:hAnsi="Times New Roman"/>
        </w:rPr>
        <w:t>At issue in the case was the non-profit corporation Massachusetts Citizens for Life and their decision to have a special election flyer printed. Located on the election publication was information entitled “Everything You Need to Vote for Pro-Life.”</w:t>
      </w:r>
      <w:r w:rsidR="00EF1AD5">
        <w:rPr>
          <w:rStyle w:val="FootnoteReference"/>
          <w:rFonts w:ascii="Times New Roman" w:hAnsi="Times New Roman"/>
        </w:rPr>
        <w:footnoteReference w:customMarkFollows="1" w:id="22"/>
        <w:t>23</w:t>
      </w:r>
      <w:r w:rsidR="001E6100">
        <w:rPr>
          <w:rFonts w:ascii="Times New Roman" w:hAnsi="Times New Roman"/>
        </w:rPr>
        <w:t xml:space="preserve"> The </w:t>
      </w:r>
      <w:r w:rsidR="00A73765">
        <w:rPr>
          <w:rFonts w:ascii="Times New Roman" w:hAnsi="Times New Roman"/>
        </w:rPr>
        <w:t>pamphlet</w:t>
      </w:r>
      <w:r w:rsidR="001E6100">
        <w:rPr>
          <w:rFonts w:ascii="Times New Roman" w:hAnsi="Times New Roman"/>
        </w:rPr>
        <w:t xml:space="preserve"> feature</w:t>
      </w:r>
      <w:r w:rsidR="00A73765">
        <w:rPr>
          <w:rFonts w:ascii="Times New Roman" w:hAnsi="Times New Roman"/>
        </w:rPr>
        <w:t>d</w:t>
      </w:r>
      <w:r w:rsidR="001E6100">
        <w:rPr>
          <w:rFonts w:ascii="Times New Roman" w:hAnsi="Times New Roman"/>
        </w:rPr>
        <w:t xml:space="preserve"> the pro-life, pro-abortion positions of state and federal candidates and included statements such as, “Vote pro-life,” and “No pro-life candidate can win in November without your vote in September.”</w:t>
      </w:r>
      <w:r w:rsidR="00EF1AD5">
        <w:rPr>
          <w:rStyle w:val="FootnoteReference"/>
          <w:rFonts w:ascii="Times New Roman" w:hAnsi="Times New Roman"/>
        </w:rPr>
        <w:footnoteReference w:customMarkFollows="1" w:id="23"/>
        <w:t>24</w:t>
      </w:r>
      <w:r w:rsidR="001E6100">
        <w:rPr>
          <w:rFonts w:ascii="Times New Roman" w:hAnsi="Times New Roman"/>
        </w:rPr>
        <w:t xml:space="preserve"> Copies were left in public areas and were mailed out to both members and non-members alike. The FEC found this to be a violation of the FECA stipulation </w:t>
      </w:r>
      <w:r w:rsidR="001E6100" w:rsidRPr="001E6100">
        <w:rPr>
          <w:rFonts w:ascii="Times New Roman" w:hAnsi="Times New Roman"/>
        </w:rPr>
        <w:t>2 U.S.C. §</w:t>
      </w:r>
      <w:r w:rsidR="001E6100">
        <w:rPr>
          <w:rFonts w:ascii="Times New Roman" w:hAnsi="Times New Roman"/>
        </w:rPr>
        <w:t>441b</w:t>
      </w:r>
      <w:r w:rsidR="00EF1AD5">
        <w:rPr>
          <w:rStyle w:val="FootnoteReference"/>
          <w:rFonts w:ascii="Times New Roman" w:hAnsi="Times New Roman"/>
        </w:rPr>
        <w:footnoteReference w:customMarkFollows="1" w:id="24"/>
        <w:t>25</w:t>
      </w:r>
      <w:r w:rsidR="001E6100">
        <w:rPr>
          <w:rFonts w:ascii="Times New Roman" w:hAnsi="Times New Roman"/>
        </w:rPr>
        <w:t xml:space="preserve">, which prevented corporate spending in federal elections. </w:t>
      </w:r>
    </w:p>
    <w:p w:rsidR="00023089" w:rsidRDefault="00D20799" w:rsidP="00BB1942">
      <w:pPr>
        <w:spacing w:line="480" w:lineRule="auto"/>
        <w:ind w:firstLine="720"/>
        <w:rPr>
          <w:rFonts w:ascii="Times New Roman" w:hAnsi="Times New Roman"/>
        </w:rPr>
      </w:pPr>
      <w:r>
        <w:rPr>
          <w:rFonts w:ascii="Times New Roman" w:hAnsi="Times New Roman"/>
        </w:rPr>
        <w:tab/>
      </w:r>
      <w:r w:rsidR="00B82916">
        <w:rPr>
          <w:rFonts w:ascii="Times New Roman" w:hAnsi="Times New Roman"/>
        </w:rPr>
        <w:t xml:space="preserve">After the case went through the District Court and Court of Appeals, it went before the Supreme Court. In a narrowly contested decision, the Supreme Court ruled in favor of </w:t>
      </w:r>
      <w:r w:rsidR="001D7AAC">
        <w:rPr>
          <w:rFonts w:ascii="Times New Roman" w:hAnsi="Times New Roman"/>
        </w:rPr>
        <w:t xml:space="preserve">MCFL (Massachusetts Citizen For Life) but did so in a very roundabout way. Although MCFL argued that their actions didn’t constitute those outlined under </w:t>
      </w:r>
      <w:r w:rsidR="001D7AAC" w:rsidRPr="001E6100">
        <w:rPr>
          <w:rFonts w:ascii="Times New Roman" w:hAnsi="Times New Roman"/>
        </w:rPr>
        <w:t>§</w:t>
      </w:r>
      <w:r w:rsidR="001D7AAC">
        <w:rPr>
          <w:rFonts w:ascii="Times New Roman" w:hAnsi="Times New Roman"/>
        </w:rPr>
        <w:t>441b</w:t>
      </w:r>
      <w:r w:rsidR="005A1A0D">
        <w:rPr>
          <w:rFonts w:ascii="Times New Roman" w:hAnsi="Times New Roman"/>
        </w:rPr>
        <w:t>’s</w:t>
      </w:r>
      <w:r w:rsidR="001D7AAC">
        <w:rPr>
          <w:rFonts w:ascii="Times New Roman" w:hAnsi="Times New Roman"/>
        </w:rPr>
        <w:t xml:space="preserve"> definition of expenditure</w:t>
      </w:r>
      <w:r w:rsidR="005A1A0D">
        <w:rPr>
          <w:rFonts w:ascii="Times New Roman" w:hAnsi="Times New Roman"/>
        </w:rPr>
        <w:t>(s)</w:t>
      </w:r>
      <w:r w:rsidR="001D7AAC">
        <w:rPr>
          <w:rFonts w:ascii="Times New Roman" w:hAnsi="Times New Roman"/>
        </w:rPr>
        <w:t xml:space="preserve">, the Court disagreed by saying that the statute “clearly confirms that </w:t>
      </w:r>
      <w:r w:rsidR="001D7AAC" w:rsidRPr="001E6100">
        <w:rPr>
          <w:rFonts w:ascii="Times New Roman" w:hAnsi="Times New Roman"/>
        </w:rPr>
        <w:t>§</w:t>
      </w:r>
      <w:r w:rsidR="001D7AAC">
        <w:rPr>
          <w:rFonts w:ascii="Times New Roman" w:hAnsi="Times New Roman"/>
        </w:rPr>
        <w:t>441b was meant to proscribe expenditures in connection with an election” and not specifically on behalf of a candidate or political committee.</w:t>
      </w:r>
      <w:r w:rsidR="00EF1AD5">
        <w:rPr>
          <w:rStyle w:val="FootnoteReference"/>
          <w:rFonts w:ascii="Times New Roman" w:hAnsi="Times New Roman"/>
        </w:rPr>
        <w:footnoteReference w:customMarkFollows="1" w:id="25"/>
        <w:t>26</w:t>
      </w:r>
      <w:r w:rsidR="00EF1AD5">
        <w:rPr>
          <w:rFonts w:ascii="Times New Roman" w:hAnsi="Times New Roman"/>
        </w:rPr>
        <w:t xml:space="preserve"> </w:t>
      </w:r>
      <w:r w:rsidR="005A1A0D">
        <w:rPr>
          <w:rFonts w:ascii="Times New Roman" w:hAnsi="Times New Roman"/>
        </w:rPr>
        <w:t xml:space="preserve">Therefore, the Court ruled that MCFL had violated </w:t>
      </w:r>
      <w:r w:rsidR="005A1A0D" w:rsidRPr="001E6100">
        <w:rPr>
          <w:rFonts w:ascii="Times New Roman" w:hAnsi="Times New Roman"/>
        </w:rPr>
        <w:t>§</w:t>
      </w:r>
      <w:r w:rsidR="005A1A0D">
        <w:rPr>
          <w:rFonts w:ascii="Times New Roman" w:hAnsi="Times New Roman"/>
        </w:rPr>
        <w:t xml:space="preserve">441b, but found this code to be unconstitutional to MCFL as </w:t>
      </w:r>
      <w:r w:rsidR="00423ABB">
        <w:rPr>
          <w:rFonts w:ascii="Times New Roman" w:hAnsi="Times New Roman"/>
        </w:rPr>
        <w:t xml:space="preserve">it </w:t>
      </w:r>
      <w:r w:rsidR="005A1A0D">
        <w:rPr>
          <w:rFonts w:ascii="Times New Roman" w:hAnsi="Times New Roman"/>
        </w:rPr>
        <w:t>applied</w:t>
      </w:r>
      <w:r w:rsidR="003A1C71">
        <w:rPr>
          <w:rStyle w:val="FootnoteReference"/>
          <w:rFonts w:ascii="Times New Roman" w:hAnsi="Times New Roman"/>
        </w:rPr>
        <w:footnoteReference w:customMarkFollows="1" w:id="26"/>
        <w:t>27</w:t>
      </w:r>
      <w:r w:rsidR="005A1A0D">
        <w:rPr>
          <w:rFonts w:ascii="Times New Roman" w:hAnsi="Times New Roman"/>
        </w:rPr>
        <w:t xml:space="preserve">. The unconstitutionality of  </w:t>
      </w:r>
      <w:r w:rsidR="005A1A0D" w:rsidRPr="001E6100">
        <w:rPr>
          <w:rFonts w:ascii="Times New Roman" w:hAnsi="Times New Roman"/>
        </w:rPr>
        <w:t>§</w:t>
      </w:r>
      <w:r w:rsidR="005A1A0D">
        <w:rPr>
          <w:rFonts w:ascii="Times New Roman" w:hAnsi="Times New Roman"/>
        </w:rPr>
        <w:t xml:space="preserve">441b arose because of its </w:t>
      </w:r>
      <w:r w:rsidR="005A1A0D" w:rsidRPr="00560B79">
        <w:rPr>
          <w:rFonts w:ascii="Times New Roman" w:hAnsi="Times New Roman"/>
        </w:rPr>
        <w:t>“</w:t>
      </w:r>
      <w:r w:rsidR="00560B79" w:rsidRPr="00560B79">
        <w:rPr>
          <w:rFonts w:ascii="Times New Roman" w:hAnsi="Times New Roman"/>
        </w:rPr>
        <w:t>infringe[ment] on</w:t>
      </w:r>
      <w:r w:rsidR="005A1A0D" w:rsidRPr="00560B79">
        <w:rPr>
          <w:rFonts w:ascii="Times New Roman" w:hAnsi="Times New Roman"/>
        </w:rPr>
        <w:t xml:space="preserve"> protected speech without a compelling just</w:t>
      </w:r>
      <w:r w:rsidR="00A73765">
        <w:rPr>
          <w:rFonts w:ascii="Times New Roman" w:hAnsi="Times New Roman"/>
        </w:rPr>
        <w:t>ification for such infringement,”</w:t>
      </w:r>
      <w:r w:rsidR="00996E12" w:rsidRPr="00996E12">
        <w:rPr>
          <w:rStyle w:val="FootnoteReference"/>
          <w:rFonts w:ascii="Times New Roman" w:hAnsi="Times New Roman"/>
        </w:rPr>
        <w:t xml:space="preserve"> </w:t>
      </w:r>
      <w:r w:rsidR="003A1C71">
        <w:rPr>
          <w:rStyle w:val="FootnoteReference"/>
          <w:rFonts w:ascii="Times New Roman" w:hAnsi="Times New Roman"/>
        </w:rPr>
        <w:footnoteReference w:customMarkFollows="1" w:id="27"/>
        <w:t>28</w:t>
      </w:r>
      <w:r w:rsidR="00A73765">
        <w:rPr>
          <w:rFonts w:ascii="Times New Roman" w:hAnsi="Times New Roman"/>
        </w:rPr>
        <w:t xml:space="preserve"> resulting in a direction violation of the First Amendment Free Speech clause.</w:t>
      </w:r>
      <w:r w:rsidR="00996E12">
        <w:rPr>
          <w:rFonts w:ascii="Times New Roman" w:hAnsi="Times New Roman"/>
        </w:rPr>
        <w:t xml:space="preserve"> When the dust had settled,</w:t>
      </w:r>
      <w:r w:rsidR="00560B79">
        <w:rPr>
          <w:rFonts w:ascii="Times New Roman" w:hAnsi="Times New Roman"/>
        </w:rPr>
        <w:t xml:space="preserve"> </w:t>
      </w:r>
      <w:r w:rsidR="00996E12">
        <w:rPr>
          <w:rFonts w:ascii="Times New Roman" w:hAnsi="Times New Roman"/>
        </w:rPr>
        <w:t>t</w:t>
      </w:r>
      <w:r w:rsidR="00560B79">
        <w:rPr>
          <w:rFonts w:ascii="Times New Roman" w:hAnsi="Times New Roman"/>
        </w:rPr>
        <w:t>he Court had carved out a narrow exception</w:t>
      </w:r>
      <w:r w:rsidR="003A1C71">
        <w:rPr>
          <w:rStyle w:val="FootnoteReference"/>
          <w:rFonts w:ascii="Times New Roman" w:hAnsi="Times New Roman"/>
        </w:rPr>
        <w:footnoteReference w:customMarkFollows="1" w:id="28"/>
        <w:t>29</w:t>
      </w:r>
      <w:r w:rsidR="00560B79">
        <w:rPr>
          <w:rFonts w:ascii="Times New Roman" w:hAnsi="Times New Roman"/>
        </w:rPr>
        <w:t xml:space="preserve"> to FECA’s ban on corporate political spending in dealing with nonprofit corporations, further examining </w:t>
      </w:r>
      <w:r w:rsidR="007569C9">
        <w:rPr>
          <w:rFonts w:ascii="Times New Roman" w:hAnsi="Times New Roman"/>
        </w:rPr>
        <w:t>the use of corpora</w:t>
      </w:r>
      <w:r w:rsidR="0017045E">
        <w:rPr>
          <w:rFonts w:ascii="Times New Roman" w:hAnsi="Times New Roman"/>
        </w:rPr>
        <w:t>te</w:t>
      </w:r>
      <w:r w:rsidR="007569C9">
        <w:rPr>
          <w:rFonts w:ascii="Times New Roman" w:hAnsi="Times New Roman"/>
        </w:rPr>
        <w:t xml:space="preserve"> </w:t>
      </w:r>
      <w:r w:rsidR="00560B79">
        <w:rPr>
          <w:rFonts w:ascii="Times New Roman" w:hAnsi="Times New Roman"/>
        </w:rPr>
        <w:t xml:space="preserve">expenditures </w:t>
      </w:r>
      <w:r w:rsidR="007569C9">
        <w:rPr>
          <w:rFonts w:ascii="Times New Roman" w:hAnsi="Times New Roman"/>
        </w:rPr>
        <w:t>in federal elections</w:t>
      </w:r>
      <w:r w:rsidR="00996E12">
        <w:rPr>
          <w:rFonts w:ascii="Times New Roman" w:hAnsi="Times New Roman"/>
        </w:rPr>
        <w:t xml:space="preserve"> and reaffirming the specifications pertaining to expressive or issue advocacy</w:t>
      </w:r>
      <w:r w:rsidR="007569C9">
        <w:rPr>
          <w:rFonts w:ascii="Times New Roman" w:hAnsi="Times New Roman"/>
        </w:rPr>
        <w:t>.</w:t>
      </w:r>
      <w:r w:rsidR="003A1C71">
        <w:rPr>
          <w:rStyle w:val="FootnoteReference"/>
          <w:rFonts w:ascii="Times New Roman" w:hAnsi="Times New Roman"/>
        </w:rPr>
        <w:footnoteReference w:customMarkFollows="1" w:id="29"/>
        <w:t>30</w:t>
      </w:r>
      <w:r w:rsidR="00A73765">
        <w:rPr>
          <w:rFonts w:ascii="Times New Roman" w:hAnsi="Times New Roman"/>
        </w:rPr>
        <w:t xml:space="preserve"> </w:t>
      </w:r>
      <w:r w:rsidR="0017045E">
        <w:rPr>
          <w:rFonts w:ascii="Times New Roman" w:hAnsi="Times New Roman"/>
        </w:rPr>
        <w:t>The Supreme Court cast a wary eye on combining corporate money with politics, citing a need for the protection of the country’s electoral system from “the corrosive influence of concentrated corporate wealth.”</w:t>
      </w:r>
      <w:r w:rsidR="003A1C71">
        <w:rPr>
          <w:rStyle w:val="FootnoteReference"/>
          <w:rFonts w:ascii="Times New Roman" w:hAnsi="Times New Roman"/>
        </w:rPr>
        <w:footnoteReference w:customMarkFollows="1" w:id="30"/>
        <w:t>31</w:t>
      </w:r>
    </w:p>
    <w:p w:rsidR="00FE1930" w:rsidRDefault="00191338" w:rsidP="00191338">
      <w:pPr>
        <w:spacing w:line="480" w:lineRule="auto"/>
        <w:rPr>
          <w:rFonts w:ascii="Times New Roman" w:hAnsi="Times New Roman"/>
          <w:bCs/>
          <w:szCs w:val="22"/>
        </w:rPr>
      </w:pPr>
      <w:r>
        <w:rPr>
          <w:rFonts w:ascii="Times New Roman" w:hAnsi="Times New Roman"/>
        </w:rPr>
        <w:tab/>
      </w:r>
      <w:r>
        <w:rPr>
          <w:rFonts w:ascii="Times New Roman" w:hAnsi="Times New Roman"/>
        </w:rPr>
        <w:tab/>
      </w:r>
      <w:r w:rsidR="0017045E">
        <w:rPr>
          <w:rFonts w:ascii="Times New Roman" w:hAnsi="Times New Roman"/>
        </w:rPr>
        <w:t xml:space="preserve">While </w:t>
      </w:r>
      <w:r w:rsidR="0017045E" w:rsidRPr="0017045E">
        <w:rPr>
          <w:rFonts w:ascii="Times New Roman" w:hAnsi="Times New Roman"/>
          <w:i/>
        </w:rPr>
        <w:t>Buckley</w:t>
      </w:r>
      <w:r w:rsidR="0017045E">
        <w:rPr>
          <w:rFonts w:ascii="Times New Roman" w:hAnsi="Times New Roman"/>
        </w:rPr>
        <w:t xml:space="preserve"> and </w:t>
      </w:r>
      <w:r w:rsidR="0017045E" w:rsidRPr="0017045E">
        <w:rPr>
          <w:rFonts w:ascii="Times New Roman" w:hAnsi="Times New Roman"/>
          <w:i/>
        </w:rPr>
        <w:t>MCFL</w:t>
      </w:r>
      <w:r w:rsidR="0017045E">
        <w:rPr>
          <w:rFonts w:ascii="Times New Roman" w:hAnsi="Times New Roman"/>
        </w:rPr>
        <w:t xml:space="preserve"> dealt with campaign finance law at the federal level, the Court found itself being presented with campaign finance questions at the state level in </w:t>
      </w:r>
      <w:r w:rsidR="0017045E" w:rsidRPr="0017045E">
        <w:rPr>
          <w:rFonts w:ascii="Times New Roman" w:hAnsi="Times New Roman"/>
          <w:i/>
        </w:rPr>
        <w:t>Austin v. Michigan Chamber of Commerce</w:t>
      </w:r>
      <w:r w:rsidR="003A1C71">
        <w:rPr>
          <w:rStyle w:val="FootnoteReference"/>
          <w:rFonts w:ascii="Times New Roman" w:hAnsi="Times New Roman"/>
        </w:rPr>
        <w:footnoteReference w:customMarkFollows="1" w:id="31"/>
        <w:t>32</w:t>
      </w:r>
      <w:r w:rsidR="0017045E">
        <w:rPr>
          <w:rFonts w:ascii="Times New Roman" w:hAnsi="Times New Roman"/>
        </w:rPr>
        <w:t xml:space="preserve">. </w:t>
      </w:r>
      <w:r w:rsidR="008B2824">
        <w:rPr>
          <w:rFonts w:ascii="Times New Roman" w:hAnsi="Times New Roman"/>
        </w:rPr>
        <w:t xml:space="preserve">In 1985, the nonprofit corporation Michigan Chamber of Commerce took steps to place a quarter-page political ad in the </w:t>
      </w:r>
      <w:r w:rsidR="008B2824" w:rsidRPr="008B2824">
        <w:rPr>
          <w:rFonts w:ascii="Times New Roman" w:hAnsi="Times New Roman"/>
          <w:i/>
        </w:rPr>
        <w:t>Grand Rapids Press</w:t>
      </w:r>
      <w:r w:rsidR="008B2824">
        <w:rPr>
          <w:rFonts w:ascii="Times New Roman" w:hAnsi="Times New Roman"/>
        </w:rPr>
        <w:t xml:space="preserve"> that supported a specific candidate to fill a vacant seat in the Michigan House of Representatives.</w:t>
      </w:r>
      <w:r w:rsidR="003A1C71">
        <w:rPr>
          <w:rStyle w:val="FootnoteReference"/>
          <w:rFonts w:ascii="Times New Roman" w:hAnsi="Times New Roman"/>
        </w:rPr>
        <w:footnoteReference w:customMarkFollows="1" w:id="32"/>
        <w:t>33</w:t>
      </w:r>
      <w:r w:rsidR="008B2824">
        <w:rPr>
          <w:rFonts w:ascii="Times New Roman" w:hAnsi="Times New Roman"/>
        </w:rPr>
        <w:t xml:space="preserve"> The Chamber </w:t>
      </w:r>
      <w:r w:rsidR="00777F8B">
        <w:rPr>
          <w:rFonts w:ascii="Times New Roman" w:hAnsi="Times New Roman"/>
        </w:rPr>
        <w:t xml:space="preserve">sought to pay </w:t>
      </w:r>
      <w:r w:rsidR="008B2824">
        <w:rPr>
          <w:rFonts w:ascii="Times New Roman" w:hAnsi="Times New Roman"/>
        </w:rPr>
        <w:t xml:space="preserve">for this advertisement through funds derived from their General Treasury. </w:t>
      </w:r>
      <w:r w:rsidR="00AE0D09">
        <w:rPr>
          <w:rFonts w:ascii="Times New Roman" w:hAnsi="Times New Roman"/>
        </w:rPr>
        <w:t>Under Michigan federal campaign finance law, “corporations could make ‘independent expenditures’ only from a separate, segregated fund.”</w:t>
      </w:r>
      <w:r w:rsidR="003A1C71">
        <w:rPr>
          <w:rStyle w:val="FootnoteReference"/>
          <w:rFonts w:ascii="Times New Roman" w:hAnsi="Times New Roman"/>
        </w:rPr>
        <w:footnoteReference w:customMarkFollows="1" w:id="33"/>
        <w:t>34</w:t>
      </w:r>
      <w:r w:rsidR="00D62D2F">
        <w:rPr>
          <w:rFonts w:ascii="Times New Roman" w:hAnsi="Times New Roman"/>
        </w:rPr>
        <w:t xml:space="preserve"> Knowing this was punishable under state law as a felony, Michigan Chamber of Commerce sought a Constitutional challenge(s) from the United States District Court on grounds that their First Amendment Right to Free Speech and Equal Protection Clause of the Fourth Amendment were being violated by section 54(1)</w:t>
      </w:r>
      <w:r w:rsidR="003A1C71">
        <w:rPr>
          <w:rStyle w:val="FootnoteReference"/>
          <w:rFonts w:ascii="Times New Roman" w:hAnsi="Times New Roman"/>
        </w:rPr>
        <w:footnoteReference w:customMarkFollows="1" w:id="34"/>
        <w:t>35</w:t>
      </w:r>
      <w:r w:rsidR="00D62D2F">
        <w:rPr>
          <w:rFonts w:ascii="Times New Roman" w:hAnsi="Times New Roman"/>
        </w:rPr>
        <w:t xml:space="preserve"> of the Michigan Campaign Finance Act. </w:t>
      </w:r>
      <w:r w:rsidR="001221B9">
        <w:rPr>
          <w:rFonts w:ascii="Times New Roman" w:hAnsi="Times New Roman"/>
        </w:rPr>
        <w:t xml:space="preserve">After decisions of the District Court and Court of Appeals, the case headed for the Supreme Court. In a six-to-three decision, </w:t>
      </w:r>
      <w:r w:rsidR="008F26BD">
        <w:rPr>
          <w:rFonts w:ascii="Times New Roman" w:hAnsi="Times New Roman"/>
        </w:rPr>
        <w:t xml:space="preserve">the Court found the law to be narrowly tailored to appropriately demonstrating a compelling interest in preventing corruption of campaign finance at the state level. </w:t>
      </w:r>
      <w:r w:rsidR="0012602B">
        <w:rPr>
          <w:rFonts w:ascii="Times New Roman" w:hAnsi="Times New Roman"/>
        </w:rPr>
        <w:t>The Court agreed that expressed activity or advocacy on behalf of a candidate fell well within First Amendment rights with the Michigan statute burdening that activity. Therefore, the only way the Court could determine th</w:t>
      </w:r>
      <w:r w:rsidR="005A15CF">
        <w:rPr>
          <w:rFonts w:ascii="Times New Roman" w:hAnsi="Times New Roman"/>
        </w:rPr>
        <w:t>e Constitutionality of the statute</w:t>
      </w:r>
      <w:r w:rsidR="0012602B">
        <w:rPr>
          <w:rFonts w:ascii="Times New Roman" w:hAnsi="Times New Roman"/>
        </w:rPr>
        <w:t xml:space="preserve"> was by deciding whether </w:t>
      </w:r>
      <w:r w:rsidR="005A15CF">
        <w:rPr>
          <w:rFonts w:ascii="Times New Roman" w:hAnsi="Times New Roman"/>
        </w:rPr>
        <w:t>it “justified a compelling state interest” through a narrowly tailored channel.</w:t>
      </w:r>
      <w:r w:rsidR="003A1C71">
        <w:rPr>
          <w:rStyle w:val="FootnoteReference"/>
          <w:rFonts w:ascii="Times New Roman" w:hAnsi="Times New Roman"/>
        </w:rPr>
        <w:footnoteReference w:customMarkFollows="1" w:id="35"/>
        <w:t>36</w:t>
      </w:r>
      <w:r w:rsidR="00F45796">
        <w:rPr>
          <w:rFonts w:ascii="Times New Roman" w:hAnsi="Times New Roman"/>
        </w:rPr>
        <w:t xml:space="preserve"> The Supreme Court threw out the Chamber’s argument </w:t>
      </w:r>
      <w:r w:rsidR="00ED31D3">
        <w:rPr>
          <w:rFonts w:ascii="Times New Roman" w:hAnsi="Times New Roman"/>
        </w:rPr>
        <w:t>stating</w:t>
      </w:r>
      <w:r w:rsidR="00F45796">
        <w:rPr>
          <w:rFonts w:ascii="Times New Roman" w:hAnsi="Times New Roman"/>
        </w:rPr>
        <w:t xml:space="preserve"> </w:t>
      </w:r>
      <w:r w:rsidR="00423ABB">
        <w:rPr>
          <w:rFonts w:ascii="Times New Roman" w:hAnsi="Times New Roman"/>
        </w:rPr>
        <w:t>the</w:t>
      </w:r>
      <w:r w:rsidR="00F45796">
        <w:rPr>
          <w:rFonts w:ascii="Times New Roman" w:hAnsi="Times New Roman"/>
        </w:rPr>
        <w:t xml:space="preserve"> statute </w:t>
      </w:r>
      <w:r w:rsidR="00ED31D3">
        <w:rPr>
          <w:rFonts w:ascii="Times New Roman" w:hAnsi="Times New Roman"/>
        </w:rPr>
        <w:t>was a</w:t>
      </w:r>
      <w:r w:rsidR="00F45796">
        <w:rPr>
          <w:rFonts w:ascii="Times New Roman" w:hAnsi="Times New Roman"/>
        </w:rPr>
        <w:t xml:space="preserve"> violation of the Equal Protection clause. The Chamber believed that unincorporated associations or media associations were not mandated to comply with the same restrictions under</w:t>
      </w:r>
      <w:r w:rsidR="00F45796" w:rsidRPr="001E6100">
        <w:rPr>
          <w:rFonts w:ascii="Times New Roman" w:hAnsi="Times New Roman"/>
        </w:rPr>
        <w:t>§</w:t>
      </w:r>
      <w:r w:rsidR="00F45796">
        <w:rPr>
          <w:rFonts w:ascii="Times New Roman" w:hAnsi="Times New Roman"/>
        </w:rPr>
        <w:t xml:space="preserve"> 54(1) and were given preferential treatment to “similarly situated entities.”</w:t>
      </w:r>
      <w:r w:rsidR="00AE3CF5">
        <w:rPr>
          <w:rStyle w:val="FootnoteReference"/>
          <w:rFonts w:ascii="Times New Roman" w:hAnsi="Times New Roman"/>
        </w:rPr>
        <w:footnoteReference w:customMarkFollows="1" w:id="36"/>
        <w:t>37</w:t>
      </w:r>
      <w:r w:rsidR="00FE1930">
        <w:rPr>
          <w:rFonts w:ascii="Times New Roman" w:hAnsi="Times New Roman"/>
        </w:rPr>
        <w:t xml:space="preserve"> The Court disagreed by stating that the media had unique societal roles that excluded them from this restriction, and that the Michigan Chamber had to adhere because it was given legal advantages unincorporated associations were not. </w:t>
      </w:r>
      <w:r w:rsidR="001255DF">
        <w:rPr>
          <w:rFonts w:ascii="Times New Roman" w:hAnsi="Times New Roman"/>
          <w:bCs/>
          <w:szCs w:val="22"/>
        </w:rPr>
        <w:t>Justice Thurgood Marshall</w:t>
      </w:r>
      <w:r w:rsidR="00FE1930" w:rsidRPr="00FE1930">
        <w:rPr>
          <w:rFonts w:ascii="Times New Roman" w:hAnsi="Times New Roman"/>
          <w:bCs/>
          <w:szCs w:val="22"/>
        </w:rPr>
        <w:t xml:space="preserve"> </w:t>
      </w:r>
      <w:r w:rsidR="00FE1930">
        <w:rPr>
          <w:rFonts w:ascii="Times New Roman" w:hAnsi="Times New Roman"/>
          <w:bCs/>
          <w:szCs w:val="22"/>
        </w:rPr>
        <w:t>concluded</w:t>
      </w:r>
      <w:r w:rsidR="001255DF">
        <w:rPr>
          <w:rFonts w:ascii="Times New Roman" w:hAnsi="Times New Roman"/>
          <w:bCs/>
          <w:szCs w:val="22"/>
        </w:rPr>
        <w:t xml:space="preserve"> the majority opinion</w:t>
      </w:r>
      <w:r w:rsidR="00FE1930">
        <w:rPr>
          <w:rFonts w:ascii="Times New Roman" w:hAnsi="Times New Roman"/>
          <w:bCs/>
          <w:szCs w:val="22"/>
        </w:rPr>
        <w:t xml:space="preserve"> </w:t>
      </w:r>
      <w:r w:rsidR="001255DF">
        <w:rPr>
          <w:rFonts w:ascii="Times New Roman" w:hAnsi="Times New Roman"/>
          <w:bCs/>
          <w:szCs w:val="22"/>
        </w:rPr>
        <w:t>saying</w:t>
      </w:r>
      <w:r w:rsidR="00503E82">
        <w:rPr>
          <w:rFonts w:ascii="Times New Roman" w:hAnsi="Times New Roman"/>
          <w:bCs/>
          <w:szCs w:val="22"/>
        </w:rPr>
        <w:t>,</w:t>
      </w:r>
    </w:p>
    <w:p w:rsidR="009C419E" w:rsidRDefault="001255DF" w:rsidP="00FE1930">
      <w:pPr>
        <w:spacing w:line="480" w:lineRule="auto"/>
        <w:ind w:left="900"/>
        <w:rPr>
          <w:rStyle w:val="headertext"/>
        </w:rPr>
      </w:pPr>
      <w:r>
        <w:rPr>
          <w:rStyle w:val="headertext"/>
        </w:rPr>
        <w:t>Corporate wealth can unfairly influence elections when it is deployed in the form of independent expenditures, just as it can when it assumes the guise of political contributions. We therefore hold that the State has articulated a sufficiently compelling rationale to support its restriction on independent expenditures by corporations.</w:t>
      </w:r>
      <w:r w:rsidR="00AE3CF5">
        <w:rPr>
          <w:rStyle w:val="FootnoteReference"/>
        </w:rPr>
        <w:footnoteReference w:customMarkFollows="1" w:id="37"/>
        <w:t>38</w:t>
      </w:r>
    </w:p>
    <w:p w:rsidR="003307B1" w:rsidRDefault="00681D47" w:rsidP="009C419E">
      <w:pPr>
        <w:spacing w:line="480" w:lineRule="auto"/>
        <w:rPr>
          <w:rFonts w:ascii="Times New Roman" w:hAnsi="Times New Roman"/>
        </w:rPr>
      </w:pPr>
      <w:r>
        <w:rPr>
          <w:rFonts w:ascii="Times New Roman" w:hAnsi="Times New Roman"/>
        </w:rPr>
        <w:t xml:space="preserve">Therefore the Court held that political speech may be </w:t>
      </w:r>
      <w:r w:rsidR="00D403D2">
        <w:rPr>
          <w:rFonts w:ascii="Times New Roman" w:hAnsi="Times New Roman"/>
        </w:rPr>
        <w:t>excluded based</w:t>
      </w:r>
      <w:r>
        <w:rPr>
          <w:rFonts w:ascii="Times New Roman" w:hAnsi="Times New Roman"/>
        </w:rPr>
        <w:t xml:space="preserve"> on a speaker’s identity, serving as an atypical approach to past First Amendment principles. </w:t>
      </w:r>
    </w:p>
    <w:p w:rsidR="00F562EE" w:rsidRDefault="003307B1" w:rsidP="009C419E">
      <w:pPr>
        <w:spacing w:line="480" w:lineRule="auto"/>
        <w:rPr>
          <w:rFonts w:ascii="Times New Roman" w:hAnsi="Times New Roman"/>
        </w:rPr>
      </w:pPr>
      <w:r>
        <w:rPr>
          <w:rFonts w:ascii="Times New Roman" w:hAnsi="Times New Roman"/>
        </w:rPr>
        <w:tab/>
      </w:r>
      <w:r w:rsidR="004307BA">
        <w:rPr>
          <w:rFonts w:ascii="Times New Roman" w:hAnsi="Times New Roman"/>
        </w:rPr>
        <w:t xml:space="preserve">Ten years later, campaign finance again became a hot-button topic of conversation as the amount of campaign money being raised </w:t>
      </w:r>
      <w:r w:rsidR="00DE6B21">
        <w:rPr>
          <w:rFonts w:ascii="Times New Roman" w:hAnsi="Times New Roman"/>
        </w:rPr>
        <w:t xml:space="preserve">skyrocketed. Soft money is nonfederal money that falls outside the realm of FEC regulations. </w:t>
      </w:r>
      <w:r w:rsidR="0099670F">
        <w:rPr>
          <w:rFonts w:ascii="Times New Roman" w:hAnsi="Times New Roman"/>
        </w:rPr>
        <w:t>Soft money</w:t>
      </w:r>
      <w:r w:rsidR="00DE6B21">
        <w:rPr>
          <w:rFonts w:ascii="Times New Roman" w:hAnsi="Times New Roman"/>
        </w:rPr>
        <w:t xml:space="preserve"> was being used to provide a competitive edge in tightly fought elections </w:t>
      </w:r>
      <w:r w:rsidR="0099670F">
        <w:rPr>
          <w:rFonts w:ascii="Times New Roman" w:hAnsi="Times New Roman"/>
        </w:rPr>
        <w:t>through the</w:t>
      </w:r>
      <w:r w:rsidR="0057587D">
        <w:rPr>
          <w:rFonts w:ascii="Times New Roman" w:hAnsi="Times New Roman"/>
        </w:rPr>
        <w:t xml:space="preserve"> financing</w:t>
      </w:r>
      <w:r w:rsidR="00DE6B21">
        <w:rPr>
          <w:rFonts w:ascii="Times New Roman" w:hAnsi="Times New Roman"/>
        </w:rPr>
        <w:t xml:space="preserve"> </w:t>
      </w:r>
      <w:r w:rsidR="0099670F">
        <w:rPr>
          <w:rFonts w:ascii="Times New Roman" w:hAnsi="Times New Roman"/>
        </w:rPr>
        <w:t xml:space="preserve">of </w:t>
      </w:r>
      <w:r w:rsidR="00DE6B21">
        <w:rPr>
          <w:rFonts w:ascii="Times New Roman" w:hAnsi="Times New Roman"/>
        </w:rPr>
        <w:t>“administrative and electioneering activities.”</w:t>
      </w:r>
      <w:r w:rsidR="00AE3CF5">
        <w:rPr>
          <w:rStyle w:val="FootnoteReference"/>
          <w:rFonts w:ascii="Times New Roman" w:hAnsi="Times New Roman"/>
        </w:rPr>
        <w:footnoteReference w:customMarkFollows="1" w:id="38"/>
        <w:t>39</w:t>
      </w:r>
      <w:r w:rsidR="0057587D">
        <w:rPr>
          <w:rFonts w:ascii="Times New Roman" w:hAnsi="Times New Roman"/>
        </w:rPr>
        <w:t xml:space="preserve"> </w:t>
      </w:r>
      <w:r w:rsidR="0099670F">
        <w:rPr>
          <w:rFonts w:ascii="Times New Roman" w:hAnsi="Times New Roman"/>
        </w:rPr>
        <w:t>The usage of s</w:t>
      </w:r>
      <w:r w:rsidR="00294FDB">
        <w:rPr>
          <w:rFonts w:ascii="Times New Roman" w:hAnsi="Times New Roman"/>
        </w:rPr>
        <w:t xml:space="preserve">oft money in electioneering communications became </w:t>
      </w:r>
      <w:r w:rsidR="008B6C18">
        <w:rPr>
          <w:rFonts w:ascii="Times New Roman" w:hAnsi="Times New Roman"/>
        </w:rPr>
        <w:t>law</w:t>
      </w:r>
      <w:r w:rsidR="00294FDB">
        <w:rPr>
          <w:rFonts w:ascii="Times New Roman" w:hAnsi="Times New Roman"/>
        </w:rPr>
        <w:t xml:space="preserve"> when a U.S. District Court in Virginia ruled</w:t>
      </w:r>
      <w:r w:rsidR="0099670F">
        <w:rPr>
          <w:rFonts w:ascii="Times New Roman" w:hAnsi="Times New Roman"/>
        </w:rPr>
        <w:t xml:space="preserve"> in 1995</w:t>
      </w:r>
      <w:r w:rsidR="00294FDB">
        <w:rPr>
          <w:rFonts w:ascii="Times New Roman" w:hAnsi="Times New Roman"/>
        </w:rPr>
        <w:t xml:space="preserve"> that the spending of soft money in regards to issue advocacy was acceptable under the caveat that the B</w:t>
      </w:r>
      <w:r w:rsidR="0099670F">
        <w:rPr>
          <w:rFonts w:ascii="Times New Roman" w:hAnsi="Times New Roman"/>
        </w:rPr>
        <w:t>uckley standard of not explicitly urging voters to do a particular thing would not be violated.</w:t>
      </w:r>
      <w:r w:rsidR="00AE3CF5">
        <w:rPr>
          <w:rStyle w:val="FootnoteReference"/>
          <w:rFonts w:ascii="Times New Roman" w:hAnsi="Times New Roman"/>
        </w:rPr>
        <w:footnoteReference w:customMarkFollows="1" w:id="39"/>
        <w:t>40</w:t>
      </w:r>
      <w:r w:rsidR="0099670F">
        <w:rPr>
          <w:rFonts w:ascii="Times New Roman" w:hAnsi="Times New Roman"/>
        </w:rPr>
        <w:t xml:space="preserve"> This precedent was further established when the Supreme Court ruled in </w:t>
      </w:r>
      <w:r w:rsidR="0099670F" w:rsidRPr="0099670F">
        <w:rPr>
          <w:rFonts w:ascii="Times New Roman" w:hAnsi="Times New Roman"/>
          <w:i/>
        </w:rPr>
        <w:t>Colorado Republican Federal Campaign Committee v. FEC</w:t>
      </w:r>
      <w:r w:rsidR="0099670F">
        <w:rPr>
          <w:rFonts w:ascii="Times New Roman" w:hAnsi="Times New Roman"/>
        </w:rPr>
        <w:t>“ that political parties were allowed to spend money on behalf of candidates without using hard money.”</w:t>
      </w:r>
      <w:r w:rsidR="00AE3CF5">
        <w:rPr>
          <w:rStyle w:val="FootnoteReference"/>
          <w:rFonts w:ascii="Times New Roman" w:hAnsi="Times New Roman"/>
        </w:rPr>
        <w:footnoteReference w:customMarkFollows="1" w:id="40"/>
        <w:t>41</w:t>
      </w:r>
      <w:r w:rsidR="0099670F">
        <w:rPr>
          <w:rFonts w:ascii="Times New Roman" w:hAnsi="Times New Roman"/>
        </w:rPr>
        <w:t xml:space="preserve"> From these decisions, the use of soft money in the 1996 Presidential election between Bill Clinton and Bob Dole skyrocketed. Additionally, </w:t>
      </w:r>
      <w:r w:rsidR="005176AB">
        <w:rPr>
          <w:rFonts w:ascii="Times New Roman" w:hAnsi="Times New Roman"/>
        </w:rPr>
        <w:t xml:space="preserve">soft </w:t>
      </w:r>
      <w:r w:rsidR="0099670F">
        <w:rPr>
          <w:rFonts w:ascii="Times New Roman" w:hAnsi="Times New Roman"/>
        </w:rPr>
        <w:t xml:space="preserve">money was </w:t>
      </w:r>
      <w:r w:rsidR="005176AB">
        <w:rPr>
          <w:rFonts w:ascii="Times New Roman" w:hAnsi="Times New Roman"/>
        </w:rPr>
        <w:t>being used to fund</w:t>
      </w:r>
      <w:r w:rsidR="0099670F">
        <w:rPr>
          <w:rFonts w:ascii="Times New Roman" w:hAnsi="Times New Roman"/>
        </w:rPr>
        <w:t xml:space="preserve"> electioneering communications </w:t>
      </w:r>
      <w:r w:rsidR="005176AB">
        <w:rPr>
          <w:rFonts w:ascii="Times New Roman" w:hAnsi="Times New Roman"/>
        </w:rPr>
        <w:t>in forty-four of the Congressional elections.</w:t>
      </w:r>
      <w:r w:rsidR="00AE3CF5">
        <w:rPr>
          <w:rStyle w:val="FootnoteReference"/>
          <w:rFonts w:ascii="Times New Roman" w:hAnsi="Times New Roman"/>
        </w:rPr>
        <w:footnoteReference w:customMarkFollows="1" w:id="41"/>
        <w:t>42</w:t>
      </w:r>
      <w:r w:rsidR="005176AB">
        <w:rPr>
          <w:rFonts w:ascii="Times New Roman" w:hAnsi="Times New Roman"/>
        </w:rPr>
        <w:t xml:space="preserve"> This culminated in the Democratic and Republican parties raising $495 million in soft money for the 2000 elections.</w:t>
      </w:r>
      <w:r w:rsidR="00AE3CF5">
        <w:rPr>
          <w:rStyle w:val="FootnoteReference"/>
          <w:rFonts w:ascii="Times New Roman" w:hAnsi="Times New Roman"/>
        </w:rPr>
        <w:footnoteReference w:customMarkFollows="1" w:id="42"/>
        <w:t>43</w:t>
      </w:r>
      <w:r w:rsidR="005176AB">
        <w:rPr>
          <w:rFonts w:ascii="Times New Roman" w:hAnsi="Times New Roman"/>
        </w:rPr>
        <w:t xml:space="preserve"> Finding this unacceptable, Senators Russell Feingold and John McCain began advocating for governmental intervention in preventing soft money from controlling federal elections. Their wish came to fruition when Congress passed the Bipartisan Campaign Reform Act of 2002, also known as the </w:t>
      </w:r>
      <w:r w:rsidR="002F6A5F">
        <w:rPr>
          <w:rFonts w:ascii="Times New Roman" w:hAnsi="Times New Roman"/>
        </w:rPr>
        <w:t>McCain-Feingold Act.</w:t>
      </w:r>
      <w:r w:rsidR="00AE3CF5">
        <w:rPr>
          <w:rStyle w:val="FootnoteReference"/>
          <w:rFonts w:ascii="Times New Roman" w:hAnsi="Times New Roman"/>
        </w:rPr>
        <w:footnoteReference w:customMarkFollows="1" w:id="43"/>
        <w:t>44</w:t>
      </w:r>
      <w:r w:rsidR="00F562EE">
        <w:rPr>
          <w:rFonts w:ascii="Times New Roman" w:hAnsi="Times New Roman"/>
        </w:rPr>
        <w:t xml:space="preserve"> It outlawed the use of soft money by national parties or congressional campaign committees, pressuring national, state, and local party organizations to pay for </w:t>
      </w:r>
      <w:r w:rsidR="009F6866">
        <w:rPr>
          <w:rFonts w:ascii="Times New Roman" w:hAnsi="Times New Roman"/>
        </w:rPr>
        <w:t>electioneering communications</w:t>
      </w:r>
      <w:r w:rsidR="00F562EE">
        <w:rPr>
          <w:rFonts w:ascii="Times New Roman" w:hAnsi="Times New Roman"/>
        </w:rPr>
        <w:t xml:space="preserve"> with their hard money.</w:t>
      </w:r>
      <w:r w:rsidR="009F6866" w:rsidRPr="009F6866">
        <w:rPr>
          <w:rFonts w:ascii="Times New Roman" w:hAnsi="Times New Roman"/>
        </w:rPr>
        <w:t xml:space="preserve"> </w:t>
      </w:r>
      <w:r w:rsidR="009F6866">
        <w:rPr>
          <w:rFonts w:ascii="Times New Roman" w:hAnsi="Times New Roman"/>
        </w:rPr>
        <w:t xml:space="preserve">Corporations and unions were excluded from using treasury money to broadcast campaign advertisements or participate in “electioneering communications” The only way for corporate influence to be dispersed in the political realm was by coordinating activities </w:t>
      </w:r>
      <w:r w:rsidR="00F562EE">
        <w:rPr>
          <w:rFonts w:ascii="Times New Roman" w:hAnsi="Times New Roman"/>
        </w:rPr>
        <w:t>through the proper avenue of their Political Action Committees. Therefore, political action committees became even bigger players on the nat</w:t>
      </w:r>
      <w:r w:rsidR="00591272">
        <w:rPr>
          <w:rFonts w:ascii="Times New Roman" w:hAnsi="Times New Roman"/>
        </w:rPr>
        <w:t xml:space="preserve">ional stage of campaign finance. Corporations and now national parties alike had similar dependence on using PACs to get their political ideologies broadcast.  </w:t>
      </w:r>
    </w:p>
    <w:p w:rsidR="007935FA" w:rsidRPr="00C66829" w:rsidRDefault="00F562EE" w:rsidP="009C419E">
      <w:pPr>
        <w:spacing w:line="480" w:lineRule="auto"/>
        <w:rPr>
          <w:rFonts w:ascii="Times New Roman" w:hAnsi="Times New Roman"/>
        </w:rPr>
      </w:pPr>
      <w:r>
        <w:rPr>
          <w:rFonts w:ascii="Times New Roman" w:hAnsi="Times New Roman"/>
        </w:rPr>
        <w:tab/>
        <w:t>The BCRA Act’s constitutionality was challenged almost immediately as Senator Mitch McConnell brought suit against the FEC in the District Court of Columbia</w:t>
      </w:r>
      <w:r w:rsidR="00307514">
        <w:rPr>
          <w:rFonts w:ascii="Times New Roman" w:hAnsi="Times New Roman"/>
        </w:rPr>
        <w:t xml:space="preserve"> in </w:t>
      </w:r>
      <w:r w:rsidR="00307514" w:rsidRPr="00307514">
        <w:rPr>
          <w:rFonts w:ascii="Times New Roman" w:hAnsi="Times New Roman"/>
          <w:i/>
        </w:rPr>
        <w:t>McConnell v. FEC</w:t>
      </w:r>
      <w:r w:rsidR="00AE3CF5">
        <w:rPr>
          <w:rStyle w:val="FootnoteReference"/>
          <w:rFonts w:ascii="Times New Roman" w:hAnsi="Times New Roman"/>
          <w:i/>
        </w:rPr>
        <w:footnoteReference w:customMarkFollows="1" w:id="44"/>
        <w:t>45</w:t>
      </w:r>
      <w:r>
        <w:rPr>
          <w:rFonts w:ascii="Times New Roman" w:hAnsi="Times New Roman"/>
        </w:rPr>
        <w:t>. More than 80 plaintiffs joined the suit shortly thereafter, proclaiming that the BCRA</w:t>
      </w:r>
      <w:r w:rsidR="0049008D">
        <w:rPr>
          <w:rFonts w:ascii="Times New Roman" w:hAnsi="Times New Roman"/>
        </w:rPr>
        <w:t>’s key provisions were</w:t>
      </w:r>
      <w:r>
        <w:rPr>
          <w:rFonts w:ascii="Times New Roman" w:hAnsi="Times New Roman"/>
        </w:rPr>
        <w:t xml:space="preserve"> in clear violation </w:t>
      </w:r>
      <w:r w:rsidR="0049008D">
        <w:rPr>
          <w:rFonts w:ascii="Times New Roman" w:hAnsi="Times New Roman"/>
        </w:rPr>
        <w:t>of First Amendment Free Speech and Fifth Amendment equal protection rights of the Du</w:t>
      </w:r>
      <w:r w:rsidR="009C1872">
        <w:rPr>
          <w:rFonts w:ascii="Times New Roman" w:hAnsi="Times New Roman"/>
        </w:rPr>
        <w:t>e Process clause. The District C</w:t>
      </w:r>
      <w:r w:rsidR="0049008D">
        <w:rPr>
          <w:rFonts w:ascii="Times New Roman" w:hAnsi="Times New Roman"/>
        </w:rPr>
        <w:t xml:space="preserve">ourt issued a ruling that extinguished the ban on soft money while upholding the restrictions that had been assigned to electioneering communications. </w:t>
      </w:r>
      <w:r w:rsidR="009751EA">
        <w:rPr>
          <w:rFonts w:ascii="Times New Roman" w:hAnsi="Times New Roman"/>
        </w:rPr>
        <w:t xml:space="preserve">Following the District Court’s decision, the case made its way to the Supreme Court. </w:t>
      </w:r>
      <w:r w:rsidR="00FB4DDA">
        <w:rPr>
          <w:rFonts w:ascii="Times New Roman" w:hAnsi="Times New Roman"/>
        </w:rPr>
        <w:t xml:space="preserve">In a narrowly contested decision, the Supreme Court ruled 5-4 to uphold the Constitutionality of key provisions of the BCRA. Once again, corporations and unions were prevented from making their presence felt through independent expenditures and soft money. </w:t>
      </w:r>
      <w:r w:rsidR="000D449A">
        <w:rPr>
          <w:rFonts w:ascii="Times New Roman" w:hAnsi="Times New Roman"/>
        </w:rPr>
        <w:t>The Court deduced that PACs provided corporations and unions a “constitutionally sufficient” avenue to participate in federal elections.</w:t>
      </w:r>
      <w:r w:rsidR="00EB2605">
        <w:rPr>
          <w:rStyle w:val="FootnoteReference"/>
          <w:rFonts w:ascii="Times New Roman" w:hAnsi="Times New Roman"/>
        </w:rPr>
        <w:footnoteReference w:customMarkFollows="1" w:id="45"/>
        <w:t>46</w:t>
      </w:r>
      <w:r w:rsidR="00C66829">
        <w:rPr>
          <w:rFonts w:ascii="Times New Roman" w:hAnsi="Times New Roman"/>
        </w:rPr>
        <w:t xml:space="preserve"> Expounding on the same interest discussed in </w:t>
      </w:r>
      <w:r w:rsidR="00C66829" w:rsidRPr="00C66829">
        <w:rPr>
          <w:rFonts w:ascii="Times New Roman" w:hAnsi="Times New Roman"/>
          <w:i/>
        </w:rPr>
        <w:t>Buckley</w:t>
      </w:r>
      <w:r w:rsidR="00C66829">
        <w:rPr>
          <w:rFonts w:ascii="Times New Roman" w:hAnsi="Times New Roman"/>
        </w:rPr>
        <w:t xml:space="preserve"> and </w:t>
      </w:r>
      <w:r w:rsidR="00C66829" w:rsidRPr="00C66829">
        <w:rPr>
          <w:rFonts w:ascii="Times New Roman" w:hAnsi="Times New Roman"/>
          <w:i/>
        </w:rPr>
        <w:t>Austin</w:t>
      </w:r>
      <w:r w:rsidR="00C66829">
        <w:rPr>
          <w:rFonts w:ascii="Times New Roman" w:hAnsi="Times New Roman"/>
        </w:rPr>
        <w:t>, the Court believed that there was sufficient interest in “preserving the integrity of the electoral process, preventing corruption, and preserving the confidence of citizens in the government.”</w:t>
      </w:r>
      <w:r w:rsidR="00EB2605">
        <w:rPr>
          <w:rStyle w:val="FootnoteReference"/>
          <w:rFonts w:ascii="Times New Roman" w:hAnsi="Times New Roman"/>
        </w:rPr>
        <w:footnoteReference w:customMarkFollows="1" w:id="46"/>
        <w:t>47</w:t>
      </w:r>
      <w:r w:rsidR="00BA73C0">
        <w:rPr>
          <w:rFonts w:ascii="Times New Roman" w:hAnsi="Times New Roman"/>
        </w:rPr>
        <w:t xml:space="preserve"> </w:t>
      </w:r>
      <w:r w:rsidR="00C66829">
        <w:rPr>
          <w:rFonts w:ascii="Times New Roman" w:hAnsi="Times New Roman"/>
        </w:rPr>
        <w:t xml:space="preserve">The Justices believed that all of these things were infringed upon when corporate money had the opportunity of making its presence felt in federal elections. When the book had shut on the </w:t>
      </w:r>
      <w:r w:rsidR="00C66829" w:rsidRPr="00C66829">
        <w:rPr>
          <w:rFonts w:ascii="Times New Roman" w:hAnsi="Times New Roman"/>
          <w:i/>
        </w:rPr>
        <w:t>McConnell</w:t>
      </w:r>
      <w:r w:rsidR="00C66829">
        <w:rPr>
          <w:rFonts w:ascii="Times New Roman" w:hAnsi="Times New Roman"/>
        </w:rPr>
        <w:t xml:space="preserve"> case, it seemed like the future for corporate influence in the electoral process was dim at best. </w:t>
      </w:r>
      <w:r w:rsidR="00F02B26">
        <w:rPr>
          <w:rFonts w:ascii="Times New Roman" w:hAnsi="Times New Roman"/>
        </w:rPr>
        <w:t>Ironically,</w:t>
      </w:r>
      <w:r w:rsidR="00C66829">
        <w:rPr>
          <w:rFonts w:ascii="Times New Roman" w:hAnsi="Times New Roman"/>
        </w:rPr>
        <w:t xml:space="preserve"> it took </w:t>
      </w:r>
      <w:r w:rsidR="00F02B26">
        <w:rPr>
          <w:rFonts w:ascii="Times New Roman" w:hAnsi="Times New Roman"/>
        </w:rPr>
        <w:t xml:space="preserve">just </w:t>
      </w:r>
      <w:r w:rsidR="00C66829">
        <w:rPr>
          <w:rFonts w:ascii="Times New Roman" w:hAnsi="Times New Roman"/>
        </w:rPr>
        <w:t xml:space="preserve">one case </w:t>
      </w:r>
      <w:r w:rsidR="00F02B26">
        <w:rPr>
          <w:rFonts w:ascii="Times New Roman" w:hAnsi="Times New Roman"/>
        </w:rPr>
        <w:t>with an</w:t>
      </w:r>
      <w:r w:rsidR="00DA02F0">
        <w:rPr>
          <w:rFonts w:ascii="Times New Roman" w:hAnsi="Times New Roman"/>
        </w:rPr>
        <w:t xml:space="preserve"> expanded scope to throw a curveball into campaign finance</w:t>
      </w:r>
      <w:r w:rsidR="00C66829">
        <w:rPr>
          <w:rFonts w:ascii="Times New Roman" w:hAnsi="Times New Roman"/>
        </w:rPr>
        <w:t xml:space="preserve">. </w:t>
      </w:r>
    </w:p>
    <w:p w:rsidR="00B0301F" w:rsidRDefault="007935FA" w:rsidP="00B0301F">
      <w:pPr>
        <w:spacing w:line="480" w:lineRule="auto"/>
        <w:rPr>
          <w:rFonts w:ascii="Times New Roman" w:hAnsi="Times New Roman"/>
        </w:rPr>
      </w:pPr>
      <w:r>
        <w:rPr>
          <w:rFonts w:ascii="Times New Roman" w:hAnsi="Times New Roman"/>
        </w:rPr>
        <w:tab/>
      </w:r>
      <w:r w:rsidR="00B0301F">
        <w:rPr>
          <w:rFonts w:ascii="Times New Roman" w:hAnsi="Times New Roman"/>
        </w:rPr>
        <w:t xml:space="preserve">In January 2008, </w:t>
      </w:r>
      <w:r w:rsidR="003B2190">
        <w:rPr>
          <w:rFonts w:ascii="Times New Roman" w:hAnsi="Times New Roman"/>
        </w:rPr>
        <w:t xml:space="preserve">the wheels were set in motion </w:t>
      </w:r>
      <w:r w:rsidR="00F02B26">
        <w:rPr>
          <w:rFonts w:ascii="Times New Roman" w:hAnsi="Times New Roman"/>
        </w:rPr>
        <w:t>for corporate spending to be unleashed in political</w:t>
      </w:r>
      <w:r w:rsidR="00EB2605">
        <w:rPr>
          <w:rFonts w:ascii="Times New Roman" w:hAnsi="Times New Roman"/>
        </w:rPr>
        <w:t xml:space="preserve"> election</w:t>
      </w:r>
      <w:r w:rsidR="00F02B26">
        <w:rPr>
          <w:rFonts w:ascii="Times New Roman" w:hAnsi="Times New Roman"/>
        </w:rPr>
        <w:t>s</w:t>
      </w:r>
      <w:r w:rsidR="00B0301F">
        <w:rPr>
          <w:rFonts w:ascii="Times New Roman" w:hAnsi="Times New Roman"/>
        </w:rPr>
        <w:t xml:space="preserve">. Citizens United was a non-profit corporation intent on distributing a ninety-minute documentary called </w:t>
      </w:r>
      <w:r w:rsidR="00B0301F">
        <w:rPr>
          <w:rFonts w:ascii="Times New Roman" w:hAnsi="Times New Roman"/>
          <w:i/>
        </w:rPr>
        <w:t>Hillary: The Movie</w:t>
      </w:r>
      <w:r w:rsidR="00B0301F">
        <w:rPr>
          <w:rFonts w:ascii="Times New Roman" w:hAnsi="Times New Roman"/>
        </w:rPr>
        <w:t xml:space="preserve">. The documentary was critical of Senator Hillary Clinton’s impending effort to win the Democratic nomination for the Presidency. A few problems arose from the non-profits intentions to release the movie. Namely, Citizens was in violation of McCain-Feingold’s ban on corporate funded independent expenditures. Citizens also </w:t>
      </w:r>
      <w:r w:rsidR="00F02B26">
        <w:rPr>
          <w:rFonts w:ascii="Times New Roman" w:hAnsi="Times New Roman"/>
        </w:rPr>
        <w:t xml:space="preserve">intended </w:t>
      </w:r>
      <w:r w:rsidR="00B0301F">
        <w:rPr>
          <w:rFonts w:ascii="Times New Roman" w:hAnsi="Times New Roman"/>
        </w:rPr>
        <w:t xml:space="preserve">to show the movie in the days leading up to the election and tried to get around this by making the movie </w:t>
      </w:r>
      <w:r w:rsidR="00F02B26">
        <w:rPr>
          <w:rFonts w:ascii="Times New Roman" w:hAnsi="Times New Roman"/>
        </w:rPr>
        <w:t>accessible only</w:t>
      </w:r>
      <w:r w:rsidR="00B0301F">
        <w:rPr>
          <w:rFonts w:ascii="Times New Roman" w:hAnsi="Times New Roman"/>
        </w:rPr>
        <w:t xml:space="preserve"> through “video-on-demand.” Citizens knew both these things could potentially be a violation of 441(b), along with B</w:t>
      </w:r>
      <w:r w:rsidR="007E6753">
        <w:rPr>
          <w:rFonts w:ascii="Times New Roman" w:hAnsi="Times New Roman"/>
        </w:rPr>
        <w:t>CR</w:t>
      </w:r>
      <w:r w:rsidR="00B0301F">
        <w:rPr>
          <w:rFonts w:ascii="Times New Roman" w:hAnsi="Times New Roman"/>
        </w:rPr>
        <w:t xml:space="preserve">A’s </w:t>
      </w:r>
      <w:r w:rsidR="00B0301F" w:rsidRPr="00F43AAF">
        <w:rPr>
          <w:rFonts w:ascii="Times New Roman" w:hAnsi="Times New Roman"/>
        </w:rPr>
        <w:t>§</w:t>
      </w:r>
      <w:r w:rsidR="00B0301F">
        <w:rPr>
          <w:rFonts w:ascii="Times New Roman" w:hAnsi="Times New Roman"/>
        </w:rPr>
        <w:t xml:space="preserve">201 and </w:t>
      </w:r>
      <w:r w:rsidR="00B0301F" w:rsidRPr="00F43AAF">
        <w:rPr>
          <w:rFonts w:ascii="Times New Roman" w:hAnsi="Times New Roman"/>
        </w:rPr>
        <w:t>§</w:t>
      </w:r>
      <w:r w:rsidR="00B0301F">
        <w:rPr>
          <w:rFonts w:ascii="Times New Roman" w:hAnsi="Times New Roman"/>
        </w:rPr>
        <w:t>311 disclosure requirements, and therefore sought “declaratory and injunctive relief.</w:t>
      </w:r>
      <w:r w:rsidR="00EB2605">
        <w:rPr>
          <w:rStyle w:val="FootnoteReference"/>
          <w:rFonts w:ascii="Times New Roman" w:hAnsi="Times New Roman"/>
        </w:rPr>
        <w:footnoteReference w:customMarkFollows="1" w:id="47"/>
        <w:t>48</w:t>
      </w:r>
      <w:r w:rsidR="00B0301F">
        <w:rPr>
          <w:rFonts w:ascii="Times New Roman" w:hAnsi="Times New Roman"/>
        </w:rPr>
        <w:t>” After bringing their case before the District Court, the District Court granted the FEC summary judgm</w:t>
      </w:r>
      <w:r w:rsidR="007E6753">
        <w:rPr>
          <w:rFonts w:ascii="Times New Roman" w:hAnsi="Times New Roman"/>
        </w:rPr>
        <w:t>ent. After deciding that the BCR</w:t>
      </w:r>
      <w:r w:rsidR="00B0301F">
        <w:rPr>
          <w:rFonts w:ascii="Times New Roman" w:hAnsi="Times New Roman"/>
        </w:rPr>
        <w:t xml:space="preserve">A’s disclosure requirements were constitutional and 441(b) was constitutional as applied to </w:t>
      </w:r>
      <w:r w:rsidR="00B0301F" w:rsidRPr="00DD3DB8">
        <w:rPr>
          <w:rFonts w:ascii="Times New Roman" w:hAnsi="Times New Roman"/>
          <w:i/>
        </w:rPr>
        <w:t>Hillary</w:t>
      </w:r>
      <w:r w:rsidR="00B0301F">
        <w:rPr>
          <w:rFonts w:ascii="Times New Roman" w:hAnsi="Times New Roman"/>
          <w:i/>
        </w:rPr>
        <w:t xml:space="preserve"> </w:t>
      </w:r>
      <w:r w:rsidR="00B0301F">
        <w:rPr>
          <w:rFonts w:ascii="Times New Roman" w:hAnsi="Times New Roman"/>
        </w:rPr>
        <w:t xml:space="preserve">using </w:t>
      </w:r>
      <w:r w:rsidR="00B0301F" w:rsidRPr="00DD3DB8">
        <w:rPr>
          <w:rFonts w:ascii="Times New Roman" w:hAnsi="Times New Roman"/>
          <w:i/>
        </w:rPr>
        <w:t>McConnell</w:t>
      </w:r>
      <w:r w:rsidR="00B0301F">
        <w:rPr>
          <w:rFonts w:ascii="Times New Roman" w:hAnsi="Times New Roman"/>
        </w:rPr>
        <w:t xml:space="preserve"> precedent, the Court asked both parties to file supplemental briefs to the Supreme Court addressing the facial validity of </w:t>
      </w:r>
      <w:r w:rsidR="00B0301F" w:rsidRPr="00DD3DB8">
        <w:rPr>
          <w:rFonts w:ascii="Times New Roman" w:hAnsi="Times New Roman"/>
          <w:i/>
        </w:rPr>
        <w:t>McConnell</w:t>
      </w:r>
      <w:r w:rsidR="00B0301F">
        <w:rPr>
          <w:rFonts w:ascii="Times New Roman" w:hAnsi="Times New Roman"/>
        </w:rPr>
        <w:t xml:space="preserve"> or </w:t>
      </w:r>
      <w:r w:rsidR="00B0301F" w:rsidRPr="00DD3DB8">
        <w:rPr>
          <w:rFonts w:ascii="Times New Roman" w:hAnsi="Times New Roman"/>
          <w:i/>
        </w:rPr>
        <w:t>Austin</w:t>
      </w:r>
      <w:r w:rsidR="00EB2605">
        <w:rPr>
          <w:rStyle w:val="FootnoteReference"/>
          <w:rFonts w:ascii="Times New Roman" w:hAnsi="Times New Roman"/>
        </w:rPr>
        <w:footnoteReference w:customMarkFollows="1" w:id="48"/>
        <w:t>49</w:t>
      </w:r>
      <w:r w:rsidR="00B0301F">
        <w:rPr>
          <w:rFonts w:ascii="Times New Roman" w:hAnsi="Times New Roman"/>
        </w:rPr>
        <w:t>. Citizens’ submitted brief to the Supreme Court took the form of an as applied challenge, believing it had a better chance of having 441(b) successfully overturned.</w:t>
      </w:r>
      <w:r w:rsidR="00A47FFA">
        <w:rPr>
          <w:rStyle w:val="FootnoteReference"/>
          <w:rFonts w:ascii="Times New Roman" w:hAnsi="Times New Roman"/>
        </w:rPr>
        <w:footnoteReference w:customMarkFollows="1" w:id="49"/>
        <w:t>50</w:t>
      </w:r>
      <w:r w:rsidR="00B0301F">
        <w:rPr>
          <w:rFonts w:ascii="Times New Roman" w:hAnsi="Times New Roman"/>
        </w:rPr>
        <w:t xml:space="preserve"> In an unprecedented move, the Supreme Court pointed to Citizens’ brief at the District Court level and its facial challenge of </w:t>
      </w:r>
      <w:r w:rsidR="00B0301F" w:rsidRPr="006B4C15">
        <w:rPr>
          <w:rFonts w:ascii="Times New Roman" w:hAnsi="Times New Roman"/>
          <w:i/>
        </w:rPr>
        <w:t>Austin</w:t>
      </w:r>
      <w:r w:rsidR="00B0301F">
        <w:rPr>
          <w:rFonts w:ascii="Times New Roman" w:hAnsi="Times New Roman"/>
        </w:rPr>
        <w:t xml:space="preserve"> and instructed Citizens </w:t>
      </w:r>
      <w:r w:rsidR="007E6753">
        <w:rPr>
          <w:rFonts w:ascii="Times New Roman" w:hAnsi="Times New Roman"/>
        </w:rPr>
        <w:t xml:space="preserve">to </w:t>
      </w:r>
      <w:r w:rsidR="00687252">
        <w:rPr>
          <w:rFonts w:ascii="Times New Roman" w:hAnsi="Times New Roman"/>
        </w:rPr>
        <w:t>challenge the 441(b) legislation as unconstitutional.</w:t>
      </w:r>
      <w:r w:rsidR="00B0301F">
        <w:rPr>
          <w:rFonts w:ascii="Times New Roman" w:hAnsi="Times New Roman"/>
        </w:rPr>
        <w:t xml:space="preserve"> Justice Roberts believed the distinction wasn’t so definite that it imprisoned </w:t>
      </w:r>
      <w:r w:rsidR="007E6753">
        <w:rPr>
          <w:rFonts w:ascii="Times New Roman" w:hAnsi="Times New Roman"/>
        </w:rPr>
        <w:t xml:space="preserve">a </w:t>
      </w:r>
      <w:r w:rsidR="00B0301F">
        <w:rPr>
          <w:rFonts w:ascii="Times New Roman" w:hAnsi="Times New Roman"/>
        </w:rPr>
        <w:t>challenger from using one over the other. He added “[nothing] prevents the Court from considering certain remedies if those remedies are necessary to resolve a claim that has been preserved.”</w:t>
      </w:r>
      <w:r w:rsidR="00A47FFA">
        <w:rPr>
          <w:rStyle w:val="FootnoteReference"/>
          <w:rFonts w:ascii="Times New Roman" w:hAnsi="Times New Roman"/>
        </w:rPr>
        <w:footnoteReference w:customMarkFollows="1" w:id="50"/>
        <w:t>51</w:t>
      </w:r>
      <w:r w:rsidR="00C66829">
        <w:rPr>
          <w:rFonts w:ascii="Times New Roman" w:hAnsi="Times New Roman"/>
        </w:rPr>
        <w:t xml:space="preserve"> </w:t>
      </w:r>
      <w:r w:rsidR="00B0301F">
        <w:rPr>
          <w:rFonts w:ascii="Times New Roman" w:hAnsi="Times New Roman"/>
        </w:rPr>
        <w:t xml:space="preserve">The stage had been set for the Court to issue a monumental decision that would overturn years of well-established precedent. </w:t>
      </w:r>
    </w:p>
    <w:p w:rsidR="000C7D9D" w:rsidRPr="004B2A2F" w:rsidRDefault="000C7D9D" w:rsidP="000C7D9D">
      <w:pPr>
        <w:spacing w:line="480" w:lineRule="auto"/>
        <w:rPr>
          <w:rFonts w:ascii="Times New Roman" w:hAnsi="Times New Roman"/>
        </w:rPr>
      </w:pPr>
      <w:r>
        <w:rPr>
          <w:rFonts w:ascii="Times New Roman" w:hAnsi="Times New Roman"/>
        </w:rPr>
        <w:tab/>
        <w:t xml:space="preserve">In evaluating the Constitutionality of the claims Citizens had raised, namely independent expenditures, the Supreme Court looked at past campaign finance precedent that involved </w:t>
      </w:r>
      <w:r w:rsidRPr="00847C41">
        <w:rPr>
          <w:rFonts w:ascii="Times New Roman" w:hAnsi="Times New Roman"/>
          <w:i/>
        </w:rPr>
        <w:t>Buckley v. Valeo</w:t>
      </w:r>
      <w:r>
        <w:rPr>
          <w:rFonts w:ascii="Times New Roman" w:hAnsi="Times New Roman"/>
        </w:rPr>
        <w:t xml:space="preserve">, </w:t>
      </w:r>
      <w:r w:rsidRPr="00847C41">
        <w:rPr>
          <w:rFonts w:ascii="Times New Roman" w:hAnsi="Times New Roman"/>
          <w:i/>
        </w:rPr>
        <w:t>Austin v. Michigan Chamber of Commerce</w:t>
      </w:r>
      <w:r>
        <w:rPr>
          <w:rFonts w:ascii="Times New Roman" w:hAnsi="Times New Roman"/>
        </w:rPr>
        <w:t xml:space="preserve">, the BCRA of 2002, and </w:t>
      </w:r>
      <w:r w:rsidRPr="00847C41">
        <w:rPr>
          <w:rFonts w:ascii="Times New Roman" w:hAnsi="Times New Roman"/>
          <w:i/>
        </w:rPr>
        <w:t xml:space="preserve">McConnell v. </w:t>
      </w:r>
      <w:r>
        <w:rPr>
          <w:rFonts w:ascii="Times New Roman" w:hAnsi="Times New Roman"/>
          <w:i/>
        </w:rPr>
        <w:t xml:space="preserve">Federal Election Commission. </w:t>
      </w:r>
      <w:r>
        <w:rPr>
          <w:rFonts w:ascii="Times New Roman" w:hAnsi="Times New Roman"/>
        </w:rPr>
        <w:t xml:space="preserve">The Supreme Court’s decision to strike down limits on independent expenditures in </w:t>
      </w:r>
      <w:r w:rsidRPr="004B2A2F">
        <w:rPr>
          <w:rFonts w:ascii="Times New Roman" w:hAnsi="Times New Roman"/>
          <w:i/>
        </w:rPr>
        <w:t>Buckley</w:t>
      </w:r>
      <w:r>
        <w:rPr>
          <w:rFonts w:ascii="Times New Roman" w:hAnsi="Times New Roman"/>
        </w:rPr>
        <w:t xml:space="preserve"> was founded on the belief that independent expenditures aptly defined as contributions “not made in concert or cooperation with [anyone]”</w:t>
      </w:r>
      <w:r w:rsidR="00A47FFA">
        <w:rPr>
          <w:rStyle w:val="FootnoteReference"/>
          <w:rFonts w:ascii="Times New Roman" w:hAnsi="Times New Roman"/>
        </w:rPr>
        <w:footnoteReference w:customMarkFollows="1" w:id="51"/>
        <w:t>52</w:t>
      </w:r>
      <w:r>
        <w:rPr>
          <w:rFonts w:ascii="Times New Roman" w:hAnsi="Times New Roman"/>
        </w:rPr>
        <w:t xml:space="preserve"> successfully eliminated acts of quid pro quo from imposing its will on politics. Having already explained the Court’s reasoning in </w:t>
      </w:r>
      <w:r w:rsidRPr="004B2A2F">
        <w:rPr>
          <w:rFonts w:ascii="Times New Roman" w:hAnsi="Times New Roman"/>
          <w:i/>
        </w:rPr>
        <w:t>Austin</w:t>
      </w:r>
      <w:r>
        <w:rPr>
          <w:rFonts w:ascii="Times New Roman" w:hAnsi="Times New Roman"/>
        </w:rPr>
        <w:t xml:space="preserve"> and </w:t>
      </w:r>
      <w:r w:rsidRPr="004B2A2F">
        <w:rPr>
          <w:rFonts w:ascii="Times New Roman" w:hAnsi="Times New Roman"/>
          <w:i/>
        </w:rPr>
        <w:t>McConnell</w:t>
      </w:r>
      <w:r>
        <w:rPr>
          <w:rFonts w:ascii="Times New Roman" w:hAnsi="Times New Roman"/>
          <w:i/>
        </w:rPr>
        <w:t xml:space="preserve"> </w:t>
      </w:r>
      <w:r>
        <w:rPr>
          <w:rFonts w:ascii="Times New Roman" w:hAnsi="Times New Roman"/>
        </w:rPr>
        <w:t xml:space="preserve">earlier, the Citizens Court used </w:t>
      </w:r>
      <w:r w:rsidRPr="00D667A5">
        <w:rPr>
          <w:rFonts w:ascii="Times New Roman" w:hAnsi="Times New Roman"/>
          <w:i/>
        </w:rPr>
        <w:t>Buckley’s</w:t>
      </w:r>
      <w:r>
        <w:rPr>
          <w:rFonts w:ascii="Times New Roman" w:hAnsi="Times New Roman"/>
        </w:rPr>
        <w:t xml:space="preserve"> line of reasoning. This was done to reevaluate the decisions handed down in both </w:t>
      </w:r>
      <w:r w:rsidRPr="004B2A2F">
        <w:rPr>
          <w:rFonts w:ascii="Times New Roman" w:hAnsi="Times New Roman"/>
          <w:i/>
        </w:rPr>
        <w:t>Austin</w:t>
      </w:r>
      <w:r>
        <w:rPr>
          <w:rFonts w:ascii="Times New Roman" w:hAnsi="Times New Roman"/>
        </w:rPr>
        <w:t xml:space="preserve"> and </w:t>
      </w:r>
      <w:r w:rsidRPr="004B2A2F">
        <w:rPr>
          <w:rFonts w:ascii="Times New Roman" w:hAnsi="Times New Roman"/>
          <w:i/>
        </w:rPr>
        <w:t>McConnell</w:t>
      </w:r>
      <w:r>
        <w:rPr>
          <w:rFonts w:ascii="Times New Roman" w:hAnsi="Times New Roman"/>
        </w:rPr>
        <w:t xml:space="preserve"> that were founded on governmental anti-corruption interest. Justice Kennedy believed that through precedent established in </w:t>
      </w:r>
      <w:r w:rsidRPr="00D667A5">
        <w:rPr>
          <w:rFonts w:ascii="Times New Roman" w:hAnsi="Times New Roman"/>
          <w:i/>
        </w:rPr>
        <w:t>Buckley</w:t>
      </w:r>
      <w:r>
        <w:rPr>
          <w:rFonts w:ascii="Times New Roman" w:hAnsi="Times New Roman"/>
        </w:rPr>
        <w:t xml:space="preserve">, independent expenditures could not be banned unless a substantial threat could be established between </w:t>
      </w:r>
      <w:r w:rsidR="0069158C">
        <w:rPr>
          <w:rFonts w:ascii="Times New Roman" w:hAnsi="Times New Roman"/>
        </w:rPr>
        <w:t>expenditures and</w:t>
      </w:r>
      <w:r>
        <w:rPr>
          <w:rFonts w:ascii="Times New Roman" w:hAnsi="Times New Roman"/>
        </w:rPr>
        <w:t xml:space="preserve"> political corruption. Using the basis of understanding that independent expenditures did not correlate to quid pro quo, </w:t>
      </w:r>
      <w:r w:rsidR="00E7510A">
        <w:rPr>
          <w:rFonts w:ascii="Times New Roman" w:hAnsi="Times New Roman"/>
        </w:rPr>
        <w:t xml:space="preserve">Justice </w:t>
      </w:r>
      <w:r>
        <w:rPr>
          <w:rFonts w:ascii="Times New Roman" w:hAnsi="Times New Roman"/>
        </w:rPr>
        <w:t xml:space="preserve">Kennedy examined cases culminating in </w:t>
      </w:r>
      <w:r w:rsidRPr="00371203">
        <w:rPr>
          <w:rFonts w:ascii="Times New Roman" w:hAnsi="Times New Roman"/>
          <w:i/>
        </w:rPr>
        <w:t>McConnell</w:t>
      </w:r>
      <w:r>
        <w:rPr>
          <w:rFonts w:ascii="Times New Roman" w:hAnsi="Times New Roman"/>
        </w:rPr>
        <w:t xml:space="preserve"> to determine the Court’s definition of what constituted corruption. He determined that along with “quid pro quo, dollars for political favors,” the Court had over many years expounded upon the definition to include “the appearance of undue influence.”</w:t>
      </w:r>
      <w:r w:rsidR="00A47FFA">
        <w:rPr>
          <w:rStyle w:val="FootnoteReference"/>
          <w:rFonts w:ascii="Times New Roman" w:hAnsi="Times New Roman"/>
        </w:rPr>
        <w:footnoteReference w:customMarkFollows="1" w:id="52"/>
        <w:t>53</w:t>
      </w:r>
      <w:r>
        <w:rPr>
          <w:rFonts w:ascii="Times New Roman" w:hAnsi="Times New Roman"/>
        </w:rPr>
        <w:t xml:space="preserve"> The </w:t>
      </w:r>
      <w:r w:rsidRPr="003E2B51">
        <w:rPr>
          <w:rFonts w:ascii="Times New Roman" w:hAnsi="Times New Roman"/>
          <w:i/>
        </w:rPr>
        <w:t>Citizens</w:t>
      </w:r>
      <w:r>
        <w:rPr>
          <w:rFonts w:ascii="Times New Roman" w:hAnsi="Times New Roman"/>
        </w:rPr>
        <w:t xml:space="preserve"> Court took issue with  “undue influence” being a characteristic of the govern</w:t>
      </w:r>
      <w:r w:rsidR="0069158C">
        <w:rPr>
          <w:rFonts w:ascii="Times New Roman" w:hAnsi="Times New Roman"/>
        </w:rPr>
        <w:t>ment’s definition or interest in</w:t>
      </w:r>
      <w:r>
        <w:rPr>
          <w:rFonts w:ascii="Times New Roman" w:hAnsi="Times New Roman"/>
        </w:rPr>
        <w:t xml:space="preserve"> corruption and instead returned to the older definition specific to only quid pro quo. </w:t>
      </w:r>
      <w:r w:rsidR="0069158C">
        <w:rPr>
          <w:rFonts w:ascii="Times New Roman" w:hAnsi="Times New Roman"/>
        </w:rPr>
        <w:t xml:space="preserve">Justice Kennedy believed that the influence of one engaging in political activity didn’t create the appearance of quid pro quo. </w:t>
      </w:r>
      <w:r>
        <w:rPr>
          <w:rFonts w:ascii="Times New Roman" w:hAnsi="Times New Roman"/>
        </w:rPr>
        <w:t>“The fact that speakers may have influence over or access to elected officials does not mean that these officials are corrupt.”</w:t>
      </w:r>
      <w:r w:rsidR="00F77045">
        <w:rPr>
          <w:rStyle w:val="FootnoteReference"/>
          <w:rFonts w:ascii="Times New Roman" w:hAnsi="Times New Roman"/>
        </w:rPr>
        <w:footnoteReference w:customMarkFollows="1" w:id="53"/>
        <w:t>54</w:t>
      </w:r>
      <w:r>
        <w:rPr>
          <w:rFonts w:ascii="Times New Roman" w:hAnsi="Times New Roman"/>
        </w:rPr>
        <w:t xml:space="preserve"> With this deduction, the Court overruled precedent that had been established in </w:t>
      </w:r>
      <w:r w:rsidRPr="00085392">
        <w:rPr>
          <w:rFonts w:ascii="Times New Roman" w:hAnsi="Times New Roman"/>
          <w:i/>
        </w:rPr>
        <w:t>Austin</w:t>
      </w:r>
      <w:r>
        <w:rPr>
          <w:rFonts w:ascii="Times New Roman" w:hAnsi="Times New Roman"/>
        </w:rPr>
        <w:t xml:space="preserve"> and part 441(b) of </w:t>
      </w:r>
      <w:r w:rsidRPr="00085392">
        <w:rPr>
          <w:rFonts w:ascii="Times New Roman" w:hAnsi="Times New Roman"/>
          <w:i/>
        </w:rPr>
        <w:t>McConnell</w:t>
      </w:r>
      <w:r>
        <w:rPr>
          <w:rFonts w:ascii="Times New Roman" w:hAnsi="Times New Roman"/>
        </w:rPr>
        <w:t xml:space="preserve"> by concluding, “Independent expenditures, including those made by corporations, do not give rise to corruption or the appearance of corruption.”</w:t>
      </w:r>
      <w:r w:rsidR="00F77045">
        <w:rPr>
          <w:rStyle w:val="FootnoteReference"/>
          <w:rFonts w:ascii="Times New Roman" w:hAnsi="Times New Roman"/>
        </w:rPr>
        <w:footnoteReference w:customMarkFollows="1" w:id="54"/>
        <w:t>55</w:t>
      </w:r>
      <w:r>
        <w:rPr>
          <w:rFonts w:ascii="Times New Roman" w:hAnsi="Times New Roman"/>
        </w:rPr>
        <w:t xml:space="preserve"> The Court deduced that it was a violation of one’s First Amendment right to have their speech suppressed based solely on one’s corporate identity. In a tightly contested vote, The Supreme Court ruled in a 5-4 decision that corporations were now free to spend shareholder money on independent expenditures in an effort to advocate on behalf or against a specific candidate running for political office.  </w:t>
      </w:r>
    </w:p>
    <w:p w:rsidR="00B473A4" w:rsidRDefault="00B0301F" w:rsidP="00B0301F">
      <w:pPr>
        <w:spacing w:line="480" w:lineRule="auto"/>
        <w:rPr>
          <w:rFonts w:ascii="Times New Roman" w:hAnsi="Times New Roman"/>
        </w:rPr>
      </w:pPr>
      <w:r>
        <w:rPr>
          <w:rFonts w:ascii="Times New Roman" w:hAnsi="Times New Roman"/>
        </w:rPr>
        <w:tab/>
      </w:r>
      <w:r w:rsidR="00FC58A0">
        <w:rPr>
          <w:rFonts w:ascii="Times New Roman" w:hAnsi="Times New Roman"/>
        </w:rPr>
        <w:t xml:space="preserve">In the end, one’s first amendment right to free speech proved to be the deciding factor in the Court’s decision to allow corporations to involve their own finances in the electoral process. It was decided that for-profit corporations </w:t>
      </w:r>
      <w:r w:rsidR="007E6753">
        <w:rPr>
          <w:rFonts w:ascii="Times New Roman" w:hAnsi="Times New Roman"/>
        </w:rPr>
        <w:t>should have</w:t>
      </w:r>
      <w:r w:rsidR="00FC58A0">
        <w:rPr>
          <w:rFonts w:ascii="Times New Roman" w:hAnsi="Times New Roman"/>
        </w:rPr>
        <w:t xml:space="preserve"> the same rights as human beings when it comes</w:t>
      </w:r>
      <w:r w:rsidR="007E6753">
        <w:rPr>
          <w:rFonts w:ascii="Times New Roman" w:hAnsi="Times New Roman"/>
        </w:rPr>
        <w:t xml:space="preserve"> to</w:t>
      </w:r>
      <w:r w:rsidR="00FC58A0">
        <w:rPr>
          <w:rFonts w:ascii="Times New Roman" w:hAnsi="Times New Roman"/>
        </w:rPr>
        <w:t xml:space="preserve"> an individual’s freedom to have their speech heard.</w:t>
      </w:r>
      <w:r w:rsidR="00F77045">
        <w:rPr>
          <w:rStyle w:val="FootnoteReference"/>
          <w:rFonts w:ascii="Times New Roman" w:hAnsi="Times New Roman"/>
        </w:rPr>
        <w:footnoteReference w:customMarkFollows="1" w:id="55"/>
        <w:t>56</w:t>
      </w:r>
      <w:r w:rsidR="00B473A4">
        <w:rPr>
          <w:rFonts w:ascii="Times New Roman" w:hAnsi="Times New Roman"/>
        </w:rPr>
        <w:t xml:space="preserve"> With the possibility of spending endless amounts of cash from their treasury checkbook, electioneering communications became one of the most attractive ways for people to advertise their beliefs on why a certain candidate was the right or wrong choice for the job. It seemed only natural that the wealthy would have no problem giving, but </w:t>
      </w:r>
      <w:r w:rsidR="000A6FB3">
        <w:rPr>
          <w:rFonts w:ascii="Times New Roman" w:hAnsi="Times New Roman"/>
        </w:rPr>
        <w:t>these same people didn’t want</w:t>
      </w:r>
      <w:r w:rsidR="00B473A4">
        <w:rPr>
          <w:rFonts w:ascii="Times New Roman" w:hAnsi="Times New Roman"/>
        </w:rPr>
        <w:t xml:space="preserve"> their name or company directly associated with</w:t>
      </w:r>
      <w:r w:rsidR="000A6FB3">
        <w:rPr>
          <w:rFonts w:ascii="Times New Roman" w:hAnsi="Times New Roman"/>
        </w:rPr>
        <w:t xml:space="preserve"> an ad </w:t>
      </w:r>
      <w:r w:rsidR="00687252">
        <w:rPr>
          <w:rFonts w:ascii="Times New Roman" w:hAnsi="Times New Roman"/>
        </w:rPr>
        <w:t>that airs on television criticiz</w:t>
      </w:r>
      <w:r w:rsidR="000A6FB3">
        <w:rPr>
          <w:rFonts w:ascii="Times New Roman" w:hAnsi="Times New Roman"/>
        </w:rPr>
        <w:t>ing</w:t>
      </w:r>
      <w:r w:rsidR="00B473A4">
        <w:rPr>
          <w:rFonts w:ascii="Times New Roman" w:hAnsi="Times New Roman"/>
        </w:rPr>
        <w:t xml:space="preserve"> Senator _____ (fill in the blank). Corporations and unions now had the ability to influence the electoral process, and thanks to FECA’s PAC stipulation, just the machinery to do it for them. </w:t>
      </w:r>
    </w:p>
    <w:p w:rsidR="005E7671" w:rsidRDefault="00B473A4" w:rsidP="00B0301F">
      <w:pPr>
        <w:spacing w:line="480" w:lineRule="auto"/>
        <w:rPr>
          <w:rFonts w:ascii="Times New Roman" w:hAnsi="Times New Roman"/>
        </w:rPr>
      </w:pPr>
      <w:r>
        <w:rPr>
          <w:rFonts w:ascii="Times New Roman" w:hAnsi="Times New Roman"/>
        </w:rPr>
        <w:tab/>
        <w:t xml:space="preserve">More than two years later, it’s incredible to see the amount of money being spent as independent expenditures </w:t>
      </w:r>
      <w:r w:rsidR="007B4BDC">
        <w:rPr>
          <w:rFonts w:ascii="Times New Roman" w:hAnsi="Times New Roman"/>
        </w:rPr>
        <w:t xml:space="preserve">flood federal elections. Millions of dollars are being spent on electioneering communications that openly advertise on behalf or against a candidate and their campaign. At the heart of it all are political action committees. PACs face a much easier road of navigating the channels of federal law </w:t>
      </w:r>
      <w:r w:rsidR="004306C9">
        <w:rPr>
          <w:rFonts w:ascii="Times New Roman" w:hAnsi="Times New Roman"/>
        </w:rPr>
        <w:t>that mandates how much money can be received and how it can be spent. By laying the founda</w:t>
      </w:r>
      <w:r w:rsidR="000A6FB3">
        <w:rPr>
          <w:rFonts w:ascii="Times New Roman" w:hAnsi="Times New Roman"/>
        </w:rPr>
        <w:t>tion of how campaign finance evolved over the course of the 20</w:t>
      </w:r>
      <w:r w:rsidR="000A6FB3" w:rsidRPr="000A6FB3">
        <w:rPr>
          <w:rFonts w:ascii="Times New Roman" w:hAnsi="Times New Roman"/>
          <w:vertAlign w:val="superscript"/>
        </w:rPr>
        <w:t>th</w:t>
      </w:r>
      <w:r w:rsidR="000A6FB3">
        <w:rPr>
          <w:rFonts w:ascii="Times New Roman" w:hAnsi="Times New Roman"/>
        </w:rPr>
        <w:t xml:space="preserve"> century,</w:t>
      </w:r>
      <w:r w:rsidR="004306C9">
        <w:rPr>
          <w:rFonts w:ascii="Times New Roman" w:hAnsi="Times New Roman"/>
        </w:rPr>
        <w:t xml:space="preserve"> it’s now possible to explore the effects</w:t>
      </w:r>
      <w:r w:rsidR="000A6FB3">
        <w:rPr>
          <w:rFonts w:ascii="Times New Roman" w:hAnsi="Times New Roman"/>
        </w:rPr>
        <w:t xml:space="preserve"> independent expenditures and PACs have had on federal elections</w:t>
      </w:r>
      <w:r w:rsidR="004306C9">
        <w:rPr>
          <w:rFonts w:ascii="Times New Roman" w:hAnsi="Times New Roman"/>
        </w:rPr>
        <w:t xml:space="preserve">. </w:t>
      </w:r>
      <w:r w:rsidR="000A6FB3">
        <w:rPr>
          <w:rFonts w:ascii="Times New Roman" w:hAnsi="Times New Roman"/>
        </w:rPr>
        <w:t>Before I do that, it’s important to understand the evolutionary framework of PACs and the expanded role they now play.</w:t>
      </w:r>
      <w:r w:rsidR="004306C9">
        <w:rPr>
          <w:rFonts w:ascii="Times New Roman" w:hAnsi="Times New Roman"/>
        </w:rPr>
        <w:t xml:space="preserve"> </w:t>
      </w:r>
    </w:p>
    <w:p w:rsidR="005E7671" w:rsidRDefault="005E7671" w:rsidP="005E7671">
      <w:pPr>
        <w:spacing w:line="480" w:lineRule="auto"/>
        <w:rPr>
          <w:rFonts w:ascii="Times New Roman" w:hAnsi="Times New Roman"/>
          <w:b/>
        </w:rPr>
      </w:pPr>
      <w:r>
        <w:rPr>
          <w:rFonts w:ascii="Times New Roman" w:hAnsi="Times New Roman"/>
          <w:b/>
        </w:rPr>
        <w:t>FROM PACS TO SUPER PACS, THEIR EFFECT ON 2012</w:t>
      </w:r>
    </w:p>
    <w:p w:rsidR="005E7671" w:rsidRDefault="005E7671" w:rsidP="005E7671">
      <w:pPr>
        <w:spacing w:line="480" w:lineRule="auto"/>
        <w:rPr>
          <w:rFonts w:ascii="Times New Roman" w:hAnsi="Times New Roman"/>
        </w:rPr>
      </w:pPr>
      <w:r>
        <w:rPr>
          <w:rFonts w:ascii="Times New Roman" w:hAnsi="Times New Roman"/>
          <w:b/>
        </w:rPr>
        <w:tab/>
      </w:r>
      <w:r>
        <w:rPr>
          <w:rFonts w:ascii="Times New Roman" w:hAnsi="Times New Roman"/>
        </w:rPr>
        <w:t xml:space="preserve">As previously mentioned, political action committees had been around long before </w:t>
      </w:r>
      <w:r w:rsidRPr="00C95481">
        <w:rPr>
          <w:rFonts w:ascii="Times New Roman" w:hAnsi="Times New Roman"/>
          <w:i/>
        </w:rPr>
        <w:t>Citizens United</w:t>
      </w:r>
      <w:r>
        <w:rPr>
          <w:rFonts w:ascii="Times New Roman" w:hAnsi="Times New Roman"/>
        </w:rPr>
        <w:t xml:space="preserve">. </w:t>
      </w:r>
      <w:r>
        <w:rPr>
          <w:rFonts w:ascii="Times New Roman" w:hAnsi="Times New Roman"/>
          <w:i/>
        </w:rPr>
        <w:t>Buckle</w:t>
      </w:r>
      <w:r w:rsidRPr="00C95481">
        <w:rPr>
          <w:rFonts w:ascii="Times New Roman" w:hAnsi="Times New Roman"/>
          <w:i/>
        </w:rPr>
        <w:t>y v. Valeo</w:t>
      </w:r>
      <w:r>
        <w:rPr>
          <w:rFonts w:ascii="Times New Roman" w:hAnsi="Times New Roman"/>
        </w:rPr>
        <w:t xml:space="preserve"> had provided unions and corporations </w:t>
      </w:r>
      <w:r w:rsidR="003C1B2F">
        <w:rPr>
          <w:rFonts w:ascii="Times New Roman" w:hAnsi="Times New Roman"/>
        </w:rPr>
        <w:t>the ability to</w:t>
      </w:r>
      <w:r>
        <w:rPr>
          <w:rFonts w:ascii="Times New Roman" w:hAnsi="Times New Roman"/>
        </w:rPr>
        <w:t xml:space="preserve"> express their political speech through political action committees. Through the 1976 FEC regulations, donors were restricted from giving more than $5,000 to a PAC.</w:t>
      </w:r>
      <w:r w:rsidR="00F77045">
        <w:rPr>
          <w:rStyle w:val="FootnoteReference"/>
          <w:rFonts w:ascii="Times New Roman" w:hAnsi="Times New Roman"/>
        </w:rPr>
        <w:footnoteReference w:customMarkFollows="1" w:id="56"/>
        <w:t>57</w:t>
      </w:r>
      <w:r>
        <w:rPr>
          <w:rFonts w:ascii="Times New Roman" w:hAnsi="Times New Roman"/>
        </w:rPr>
        <w:t xml:space="preserve"> As elections continued to evolve, donors found a way around this requirement through 527</w:t>
      </w:r>
      <w:r w:rsidR="004C4998">
        <w:rPr>
          <w:rFonts w:ascii="Times New Roman" w:hAnsi="Times New Roman"/>
        </w:rPr>
        <w:t xml:space="preserve"> </w:t>
      </w:r>
      <w:r>
        <w:rPr>
          <w:rFonts w:ascii="Times New Roman" w:hAnsi="Times New Roman"/>
        </w:rPr>
        <w:t>non-profits</w:t>
      </w:r>
      <w:r w:rsidR="00B568E2">
        <w:rPr>
          <w:rFonts w:ascii="Times New Roman" w:hAnsi="Times New Roman"/>
        </w:rPr>
        <w:t>, which were allowed to accept donations in excess of the $5,000 limit</w:t>
      </w:r>
      <w:r>
        <w:rPr>
          <w:rFonts w:ascii="Times New Roman" w:hAnsi="Times New Roman"/>
        </w:rPr>
        <w:t>.</w:t>
      </w:r>
      <w:r w:rsidR="004C4998">
        <w:rPr>
          <w:rFonts w:ascii="Times New Roman" w:hAnsi="Times New Roman"/>
        </w:rPr>
        <w:t xml:space="preserve"> A 527 committee is defined as a “tax-exempt, private political organization that is created to engage in political activities” and to “influence the selection, nomination, election or appointment of any individual to any Federal, State, or local public office.”</w:t>
      </w:r>
      <w:r w:rsidR="00F77045">
        <w:rPr>
          <w:rStyle w:val="FootnoteReference"/>
          <w:rFonts w:ascii="Times New Roman" w:hAnsi="Times New Roman"/>
        </w:rPr>
        <w:footnoteReference w:customMarkFollows="1" w:id="57"/>
        <w:t>58</w:t>
      </w:r>
      <w:r w:rsidR="004C4998">
        <w:rPr>
          <w:rFonts w:ascii="Times New Roman" w:hAnsi="Times New Roman"/>
        </w:rPr>
        <w:t xml:space="preserve"> 527s dominated the campaign finance landscape in the early 2000s, causing soft money fundraising to skyrocket and leading many to believe the 527 was the vehicle of choice to influence elections.</w:t>
      </w:r>
      <w:r w:rsidR="00F77045">
        <w:rPr>
          <w:rStyle w:val="FootnoteReference"/>
          <w:rFonts w:ascii="Times New Roman" w:hAnsi="Times New Roman"/>
        </w:rPr>
        <w:footnoteReference w:customMarkFollows="1" w:id="58"/>
        <w:t>59</w:t>
      </w:r>
      <w:r w:rsidR="004C4998">
        <w:rPr>
          <w:rFonts w:ascii="Times New Roman" w:hAnsi="Times New Roman"/>
        </w:rPr>
        <w:t xml:space="preserve"> </w:t>
      </w:r>
      <w:r w:rsidR="00314356">
        <w:rPr>
          <w:rFonts w:ascii="Times New Roman" w:hAnsi="Times New Roman"/>
        </w:rPr>
        <w:t>For a long time this held true, but that</w:t>
      </w:r>
      <w:r w:rsidR="00B568E2">
        <w:rPr>
          <w:rFonts w:ascii="Times New Roman" w:hAnsi="Times New Roman"/>
        </w:rPr>
        <w:t xml:space="preserve"> would all change shortly after the </w:t>
      </w:r>
      <w:r w:rsidR="00B568E2" w:rsidRPr="00B568E2">
        <w:rPr>
          <w:rFonts w:ascii="Times New Roman" w:hAnsi="Times New Roman"/>
          <w:i/>
        </w:rPr>
        <w:t>Citizens</w:t>
      </w:r>
      <w:r w:rsidR="00B568E2">
        <w:rPr>
          <w:rFonts w:ascii="Times New Roman" w:hAnsi="Times New Roman"/>
        </w:rPr>
        <w:t xml:space="preserve"> decision. Once the </w:t>
      </w:r>
      <w:r w:rsidRPr="00A74B32">
        <w:rPr>
          <w:rFonts w:ascii="Times New Roman" w:hAnsi="Times New Roman"/>
          <w:i/>
        </w:rPr>
        <w:t>Citizens</w:t>
      </w:r>
      <w:r>
        <w:rPr>
          <w:rFonts w:ascii="Times New Roman" w:hAnsi="Times New Roman"/>
        </w:rPr>
        <w:t xml:space="preserve"> </w:t>
      </w:r>
      <w:r w:rsidR="00B568E2">
        <w:rPr>
          <w:rFonts w:ascii="Times New Roman" w:hAnsi="Times New Roman"/>
        </w:rPr>
        <w:t>ruling had been handed down</w:t>
      </w:r>
      <w:r>
        <w:rPr>
          <w:rFonts w:ascii="Times New Roman" w:hAnsi="Times New Roman"/>
        </w:rPr>
        <w:t xml:space="preserve">, many wondered how the Court’s decision on independent expenditures would affect PACs. It took less than two months for their question to be answered in the form of the case </w:t>
      </w:r>
      <w:r w:rsidRPr="000E49B6">
        <w:rPr>
          <w:rFonts w:ascii="Times New Roman" w:hAnsi="Times New Roman"/>
          <w:i/>
        </w:rPr>
        <w:t>SpeechNow.org, et al v. Federal Election Commission</w:t>
      </w:r>
      <w:r w:rsidR="00FE1272">
        <w:rPr>
          <w:rFonts w:ascii="Times New Roman" w:hAnsi="Times New Roman"/>
          <w:i/>
        </w:rPr>
        <w:t>.</w:t>
      </w:r>
      <w:r w:rsidR="0022339F">
        <w:rPr>
          <w:rStyle w:val="FootnoteReference"/>
          <w:rFonts w:ascii="Times New Roman" w:hAnsi="Times New Roman"/>
        </w:rPr>
        <w:footnoteReference w:customMarkFollows="1" w:id="59"/>
        <w:t>60</w:t>
      </w:r>
    </w:p>
    <w:p w:rsidR="005E7671" w:rsidRDefault="005E7671" w:rsidP="005E7671">
      <w:pPr>
        <w:spacing w:line="480" w:lineRule="auto"/>
        <w:rPr>
          <w:rFonts w:ascii="Times New Roman" w:hAnsi="Times New Roman"/>
        </w:rPr>
      </w:pPr>
      <w:r>
        <w:rPr>
          <w:rFonts w:ascii="Times New Roman" w:hAnsi="Times New Roman"/>
        </w:rPr>
        <w:tab/>
        <w:t>SpeechNow was an unincorporated nonprofit classified as a 527 under the I</w:t>
      </w:r>
      <w:r w:rsidR="00B568E2">
        <w:rPr>
          <w:rFonts w:ascii="Times New Roman" w:hAnsi="Times New Roman"/>
        </w:rPr>
        <w:t xml:space="preserve">nternal </w:t>
      </w:r>
      <w:r>
        <w:rPr>
          <w:rFonts w:ascii="Times New Roman" w:hAnsi="Times New Roman"/>
        </w:rPr>
        <w:t>R</w:t>
      </w:r>
      <w:r w:rsidR="00B568E2">
        <w:rPr>
          <w:rFonts w:ascii="Times New Roman" w:hAnsi="Times New Roman"/>
        </w:rPr>
        <w:t xml:space="preserve">evenue </w:t>
      </w:r>
      <w:r>
        <w:rPr>
          <w:rFonts w:ascii="Times New Roman" w:hAnsi="Times New Roman"/>
        </w:rPr>
        <w:t>C</w:t>
      </w:r>
      <w:r w:rsidR="00B568E2">
        <w:rPr>
          <w:rFonts w:ascii="Times New Roman" w:hAnsi="Times New Roman"/>
        </w:rPr>
        <w:t>ode</w:t>
      </w:r>
      <w:r>
        <w:rPr>
          <w:rFonts w:ascii="Times New Roman" w:hAnsi="Times New Roman"/>
        </w:rPr>
        <w:t xml:space="preserve">. Although the 527 had yet to perform specific actions, its leaders had made </w:t>
      </w:r>
      <w:r w:rsidR="00FE1272">
        <w:rPr>
          <w:rFonts w:ascii="Times New Roman" w:hAnsi="Times New Roman"/>
        </w:rPr>
        <w:t>future</w:t>
      </w:r>
      <w:r>
        <w:rPr>
          <w:rFonts w:ascii="Times New Roman" w:hAnsi="Times New Roman"/>
        </w:rPr>
        <w:t xml:space="preserve"> plans concerning fundraising and independent expenditures. With plans to accept donations in excess of $5,000 and run electioneering communications for the 2010 midterms, SpeechNow’s President and Treasurer, David Keating, was concerned the organization’s actions would violate federal law. Keating and a few others asked the FEC to issue an advisory opinion to determine if they would have to register as a political action committee and if contributions made to the organization would be subject to regulations like </w:t>
      </w:r>
      <w:r w:rsidRPr="00F43AAF">
        <w:rPr>
          <w:rFonts w:ascii="Times New Roman" w:hAnsi="Times New Roman"/>
        </w:rPr>
        <w:t>§</w:t>
      </w:r>
      <w:r>
        <w:rPr>
          <w:rFonts w:ascii="Times New Roman" w:hAnsi="Times New Roman"/>
        </w:rPr>
        <w:t>441</w:t>
      </w:r>
      <w:r w:rsidR="00FE1272">
        <w:rPr>
          <w:rFonts w:ascii="Times New Roman" w:hAnsi="Times New Roman"/>
        </w:rPr>
        <w:t>.</w:t>
      </w:r>
      <w:r w:rsidR="0022339F">
        <w:rPr>
          <w:rStyle w:val="FootnoteReference"/>
          <w:rFonts w:ascii="Times New Roman" w:hAnsi="Times New Roman"/>
        </w:rPr>
        <w:footnoteReference w:customMarkFollows="1" w:id="60"/>
        <w:t>61</w:t>
      </w:r>
      <w:r>
        <w:rPr>
          <w:rFonts w:ascii="Times New Roman" w:hAnsi="Times New Roman"/>
        </w:rPr>
        <w:t xml:space="preserve"> The FEC quickly ruled that SpeechNow would be considered a PAC and that contributions would be limited to federal PAC limits. Keating and four others then took the initiative to file a complaint in District Court requesting declaratory relief against the FEC. The only problem was that they had done so under 2 U.S.C. </w:t>
      </w:r>
      <w:r w:rsidRPr="00F43AAF">
        <w:rPr>
          <w:rFonts w:ascii="Times New Roman" w:hAnsi="Times New Roman"/>
        </w:rPr>
        <w:t>§</w:t>
      </w:r>
      <w:r>
        <w:rPr>
          <w:rFonts w:ascii="Times New Roman" w:hAnsi="Times New Roman"/>
        </w:rPr>
        <w:t xml:space="preserve">437h, which provides that a “district court immediately shall certify all questions of constitutionality of the FECA Act to the United States court of appeals for the circuit involved.” The only parties permissible under 2 U.S.C. to seek declaratory relief were the FEC, political parties, or individuals and SpeechNow constituted none of these. The only reason the court of appeals agreed to hear the case was because the plaintiffs had also taken the initiative to seek a preliminary injunction against the FEC from enforcing PAC limits on the contributions that SpeechNow planned on accepting. Therefore, the questions raised in the complaint combined with the plaintiff’s preliminary injunction were consolidated into a single case appearing before the court of appeals. </w:t>
      </w:r>
    </w:p>
    <w:p w:rsidR="005E7671" w:rsidRDefault="005E7671" w:rsidP="005E7671">
      <w:pPr>
        <w:spacing w:line="480" w:lineRule="auto"/>
        <w:rPr>
          <w:rFonts w:ascii="Times New Roman" w:hAnsi="Times New Roman"/>
        </w:rPr>
      </w:pPr>
      <w:r>
        <w:rPr>
          <w:rFonts w:ascii="Times New Roman" w:hAnsi="Times New Roman"/>
        </w:rPr>
        <w:tab/>
        <w:t xml:space="preserve">One of the first things the court of appeals sought to address was the federally mandated contribution limits that had been placed upon PACs. The government’s past precedent in dealing with contribution limits lay within their anti-corruption interest. Yet, the court of appeals cited </w:t>
      </w:r>
      <w:r w:rsidRPr="00227C54">
        <w:rPr>
          <w:rFonts w:ascii="Times New Roman" w:hAnsi="Times New Roman"/>
          <w:i/>
        </w:rPr>
        <w:t>Citizens</w:t>
      </w:r>
      <w:r>
        <w:rPr>
          <w:rFonts w:ascii="Times New Roman" w:hAnsi="Times New Roman"/>
        </w:rPr>
        <w:t xml:space="preserve"> in determining their ruling. Because </w:t>
      </w:r>
      <w:r w:rsidRPr="000E49B6">
        <w:rPr>
          <w:rFonts w:ascii="Times New Roman" w:hAnsi="Times New Roman"/>
          <w:i/>
        </w:rPr>
        <w:t>Citizens</w:t>
      </w:r>
      <w:r>
        <w:rPr>
          <w:rFonts w:ascii="Times New Roman" w:hAnsi="Times New Roman"/>
        </w:rPr>
        <w:t xml:space="preserve"> had ruled that independent expenditures do not corrupt or create quid pro quo arrangements, “contributions to groups that make only independent expenditures cannot corrupt or create the appearance of corruption.”</w:t>
      </w:r>
      <w:r w:rsidR="0022339F">
        <w:rPr>
          <w:rStyle w:val="FootnoteReference"/>
          <w:rFonts w:ascii="Times New Roman" w:hAnsi="Times New Roman"/>
        </w:rPr>
        <w:footnoteReference w:customMarkFollows="1" w:id="61"/>
        <w:t>62</w:t>
      </w:r>
      <w:r>
        <w:rPr>
          <w:rFonts w:ascii="Times New Roman" w:hAnsi="Times New Roman"/>
        </w:rPr>
        <w:t xml:space="preserve">  Therefore, the court of appeals ruled that it was a direct violation of First Amendment rights to limit contributions made to an independent expenditure group. While </w:t>
      </w:r>
      <w:r w:rsidRPr="006A0FD9">
        <w:rPr>
          <w:rFonts w:ascii="Times New Roman" w:hAnsi="Times New Roman"/>
          <w:i/>
        </w:rPr>
        <w:t>Citizens</w:t>
      </w:r>
      <w:r>
        <w:rPr>
          <w:rFonts w:ascii="Times New Roman" w:hAnsi="Times New Roman"/>
          <w:i/>
        </w:rPr>
        <w:t xml:space="preserve"> </w:t>
      </w:r>
      <w:r>
        <w:rPr>
          <w:rFonts w:ascii="Times New Roman" w:hAnsi="Times New Roman"/>
        </w:rPr>
        <w:t xml:space="preserve">opened the door for corporations and unions to spend their own money on federal elections, it hadn’t effectively answered the question in regards to donating money to PACs. The court of appeals did as PACs could now legally accept contributions of any size from any donor. </w:t>
      </w:r>
      <w:r w:rsidR="00AF1AE8">
        <w:rPr>
          <w:rFonts w:ascii="Times New Roman" w:hAnsi="Times New Roman"/>
        </w:rPr>
        <w:t xml:space="preserve">The creation of Super PACs was now complete, as Super PACs became known as independent expenditure only political action committees intent on raising and spending unlimited funds campaigning on behalf or against a candidate. </w:t>
      </w:r>
    </w:p>
    <w:p w:rsidR="005E7671" w:rsidRDefault="005E7671" w:rsidP="005E7671">
      <w:pPr>
        <w:spacing w:line="480" w:lineRule="auto"/>
        <w:rPr>
          <w:rFonts w:ascii="Times New Roman" w:hAnsi="Times New Roman"/>
        </w:rPr>
      </w:pPr>
      <w:r>
        <w:rPr>
          <w:rFonts w:ascii="Times New Roman" w:hAnsi="Times New Roman"/>
        </w:rPr>
        <w:tab/>
        <w:t xml:space="preserve">In just a few months, the structure of political action committees had completely changed. With the </w:t>
      </w:r>
      <w:r w:rsidRPr="008E4FEE">
        <w:rPr>
          <w:rFonts w:ascii="Times New Roman" w:hAnsi="Times New Roman"/>
          <w:i/>
        </w:rPr>
        <w:t>Citizens</w:t>
      </w:r>
      <w:r>
        <w:rPr>
          <w:rFonts w:ascii="Times New Roman" w:hAnsi="Times New Roman"/>
        </w:rPr>
        <w:t xml:space="preserve"> and </w:t>
      </w:r>
      <w:r w:rsidRPr="008E4FEE">
        <w:rPr>
          <w:rFonts w:ascii="Times New Roman" w:hAnsi="Times New Roman"/>
          <w:i/>
        </w:rPr>
        <w:t>SpeechNow</w:t>
      </w:r>
      <w:r>
        <w:rPr>
          <w:rFonts w:ascii="Times New Roman" w:hAnsi="Times New Roman"/>
        </w:rPr>
        <w:t xml:space="preserve"> rulings, an important distinction had now been made separating standard PACs from a new breed: independent-expenditure-only political action committees. While they could accept unlimited amounts of money, the two main requirements that remained in place were that of donor disclosure and a clear distinction of incoordination between the committee and the candidate.  As the court of appeals said in the </w:t>
      </w:r>
      <w:r w:rsidRPr="003F5060">
        <w:rPr>
          <w:rFonts w:ascii="Times New Roman" w:hAnsi="Times New Roman"/>
          <w:i/>
        </w:rPr>
        <w:t>Speechnow</w:t>
      </w:r>
      <w:r>
        <w:rPr>
          <w:rFonts w:ascii="Times New Roman" w:hAnsi="Times New Roman"/>
        </w:rPr>
        <w:t xml:space="preserve"> case, “[But] the public has an interest in knowing who is speaking about a candidate and who is funding that speech, no matter whether the contributions were made towards administrative expenses or independent expenditures.”</w:t>
      </w:r>
      <w:r w:rsidR="0022339F">
        <w:rPr>
          <w:rStyle w:val="FootnoteReference"/>
          <w:rFonts w:ascii="Times New Roman" w:hAnsi="Times New Roman"/>
        </w:rPr>
        <w:footnoteReference w:customMarkFollows="1" w:id="62"/>
        <w:t>63</w:t>
      </w:r>
      <w:r>
        <w:rPr>
          <w:rFonts w:ascii="Times New Roman" w:hAnsi="Times New Roman"/>
        </w:rPr>
        <w:t xml:space="preserve"> </w:t>
      </w:r>
    </w:p>
    <w:p w:rsidR="005E7671" w:rsidRDefault="005E7671" w:rsidP="005E7671">
      <w:pPr>
        <w:spacing w:line="480" w:lineRule="auto"/>
        <w:ind w:firstLine="720"/>
        <w:rPr>
          <w:rFonts w:ascii="Times New Roman" w:hAnsi="Times New Roman"/>
        </w:rPr>
      </w:pPr>
      <w:r>
        <w:rPr>
          <w:rFonts w:ascii="Times New Roman" w:hAnsi="Times New Roman"/>
        </w:rPr>
        <w:t xml:space="preserve">Super PACs have let their presence be felt immediately in federal elections, most notably in the upcoming 2012 Presidential election. As prominent super PACs raise and spend more and more money, many serious implications arise from their participation. </w:t>
      </w:r>
      <w:r w:rsidR="00AF1AE8">
        <w:rPr>
          <w:rFonts w:ascii="Times New Roman" w:hAnsi="Times New Roman"/>
        </w:rPr>
        <w:t>Is there an appropriate level of incoordination between S</w:t>
      </w:r>
      <w:r>
        <w:rPr>
          <w:rFonts w:ascii="Times New Roman" w:hAnsi="Times New Roman"/>
        </w:rPr>
        <w:t>uper PAC</w:t>
      </w:r>
      <w:r w:rsidR="00AF1AE8">
        <w:rPr>
          <w:rFonts w:ascii="Times New Roman" w:hAnsi="Times New Roman"/>
        </w:rPr>
        <w:t>s</w:t>
      </w:r>
      <w:r w:rsidR="00F226DD">
        <w:rPr>
          <w:rFonts w:ascii="Times New Roman" w:hAnsi="Times New Roman"/>
        </w:rPr>
        <w:t xml:space="preserve"> </w:t>
      </w:r>
      <w:r w:rsidR="00E75B78">
        <w:rPr>
          <w:rFonts w:ascii="Times New Roman" w:hAnsi="Times New Roman"/>
        </w:rPr>
        <w:t xml:space="preserve">and </w:t>
      </w:r>
      <w:r>
        <w:rPr>
          <w:rFonts w:ascii="Times New Roman" w:hAnsi="Times New Roman"/>
        </w:rPr>
        <w:t>candidate</w:t>
      </w:r>
      <w:r w:rsidR="00E75B78">
        <w:rPr>
          <w:rFonts w:ascii="Times New Roman" w:hAnsi="Times New Roman"/>
        </w:rPr>
        <w:t>s?</w:t>
      </w:r>
      <w:r>
        <w:rPr>
          <w:rFonts w:ascii="Times New Roman" w:hAnsi="Times New Roman"/>
        </w:rPr>
        <w:t xml:space="preserve"> </w:t>
      </w:r>
      <w:r w:rsidR="00E75B78">
        <w:rPr>
          <w:rFonts w:ascii="Times New Roman" w:hAnsi="Times New Roman"/>
        </w:rPr>
        <w:t>Are</w:t>
      </w:r>
      <w:r>
        <w:rPr>
          <w:rFonts w:ascii="Times New Roman" w:hAnsi="Times New Roman"/>
        </w:rPr>
        <w:t xml:space="preserve"> </w:t>
      </w:r>
      <w:r w:rsidR="003073C5">
        <w:rPr>
          <w:rFonts w:ascii="Times New Roman" w:hAnsi="Times New Roman"/>
        </w:rPr>
        <w:t>donors, political action committees and non-profits like 401(c) 4’s and 527s circumventing disclosure requirements</w:t>
      </w:r>
      <w:r w:rsidR="00E75B78">
        <w:rPr>
          <w:rFonts w:ascii="Times New Roman" w:hAnsi="Times New Roman"/>
        </w:rPr>
        <w:t>?</w:t>
      </w:r>
      <w:r>
        <w:rPr>
          <w:rFonts w:ascii="Times New Roman" w:hAnsi="Times New Roman"/>
        </w:rPr>
        <w:t xml:space="preserve"> </w:t>
      </w:r>
      <w:r w:rsidR="00E75B78">
        <w:rPr>
          <w:rFonts w:ascii="Times New Roman" w:hAnsi="Times New Roman"/>
        </w:rPr>
        <w:t xml:space="preserve">These series of questions lead to </w:t>
      </w:r>
      <w:r w:rsidR="00F226DD">
        <w:rPr>
          <w:rFonts w:ascii="Times New Roman" w:hAnsi="Times New Roman"/>
        </w:rPr>
        <w:t>even bigger</w:t>
      </w:r>
      <w:r w:rsidR="00E75B78">
        <w:rPr>
          <w:rFonts w:ascii="Times New Roman" w:hAnsi="Times New Roman"/>
        </w:rPr>
        <w:t xml:space="preserve"> </w:t>
      </w:r>
      <w:r w:rsidR="00F226DD">
        <w:rPr>
          <w:rFonts w:ascii="Times New Roman" w:hAnsi="Times New Roman"/>
        </w:rPr>
        <w:t xml:space="preserve">discussions </w:t>
      </w:r>
      <w:r w:rsidR="00E75B78">
        <w:rPr>
          <w:rFonts w:ascii="Times New Roman" w:hAnsi="Times New Roman"/>
        </w:rPr>
        <w:t xml:space="preserve">such as: </w:t>
      </w:r>
      <w:r w:rsidR="00F226DD">
        <w:rPr>
          <w:rFonts w:ascii="Times New Roman" w:hAnsi="Times New Roman"/>
        </w:rPr>
        <w:t>are PACs</w:t>
      </w:r>
      <w:r w:rsidR="00E75B78">
        <w:rPr>
          <w:rFonts w:ascii="Times New Roman" w:hAnsi="Times New Roman"/>
        </w:rPr>
        <w:t xml:space="preserve"> making their presence felt in</w:t>
      </w:r>
      <w:r>
        <w:rPr>
          <w:rFonts w:ascii="Times New Roman" w:hAnsi="Times New Roman"/>
        </w:rPr>
        <w:t xml:space="preserve"> federal elections and </w:t>
      </w:r>
      <w:r w:rsidR="00E75B78">
        <w:rPr>
          <w:rFonts w:ascii="Times New Roman" w:hAnsi="Times New Roman"/>
        </w:rPr>
        <w:t xml:space="preserve">does their presence inhibit </w:t>
      </w:r>
      <w:r>
        <w:rPr>
          <w:rFonts w:ascii="Times New Roman" w:hAnsi="Times New Roman"/>
        </w:rPr>
        <w:t>our democratic electoral system? I want to explore all of these things and more in examining the effect of political action committees at the federal level in a post-</w:t>
      </w:r>
      <w:r w:rsidRPr="000C4050">
        <w:rPr>
          <w:rFonts w:ascii="Times New Roman" w:hAnsi="Times New Roman"/>
          <w:i/>
        </w:rPr>
        <w:t>Citizens United</w:t>
      </w:r>
      <w:r>
        <w:rPr>
          <w:rFonts w:ascii="Times New Roman" w:hAnsi="Times New Roman"/>
        </w:rPr>
        <w:t xml:space="preserve"> world.</w:t>
      </w:r>
    </w:p>
    <w:p w:rsidR="005E7671" w:rsidRDefault="005E7671" w:rsidP="005E7671">
      <w:pPr>
        <w:spacing w:line="480" w:lineRule="auto"/>
        <w:rPr>
          <w:rFonts w:ascii="Times New Roman" w:hAnsi="Times New Roman"/>
        </w:rPr>
      </w:pPr>
      <w:r>
        <w:rPr>
          <w:rFonts w:ascii="Times New Roman" w:hAnsi="Times New Roman"/>
        </w:rPr>
        <w:tab/>
        <w:t xml:space="preserve">When the Supreme Court in </w:t>
      </w:r>
      <w:r w:rsidRPr="00B86B89">
        <w:rPr>
          <w:rFonts w:ascii="Times New Roman" w:hAnsi="Times New Roman"/>
          <w:i/>
        </w:rPr>
        <w:t>Citizens</w:t>
      </w:r>
      <w:r>
        <w:rPr>
          <w:rFonts w:ascii="Times New Roman" w:hAnsi="Times New Roman"/>
        </w:rPr>
        <w:t xml:space="preserve"> and the Court of Appeals in </w:t>
      </w:r>
      <w:r w:rsidRPr="00B86B89">
        <w:rPr>
          <w:rFonts w:ascii="Times New Roman" w:hAnsi="Times New Roman"/>
          <w:i/>
        </w:rPr>
        <w:t>Speechnow</w:t>
      </w:r>
      <w:r>
        <w:rPr>
          <w:rFonts w:ascii="Times New Roman" w:hAnsi="Times New Roman"/>
        </w:rPr>
        <w:t xml:space="preserve"> made the decision to allow an unlimited amount of money to be donated to independent expenditure groups, they did so because they believed independent expenditures offered no threat to the government’s anti-corruption interest of preventing quid pro quo. I believe recent events surrounding Super PACs can lead one to question this belief. It’s important to look at how Super PACs are affecting politics and the impending Presidential election. The most obvious beneficiaries of the rulings and the actions by donors and Super PACs are the candidates themselves. Heading into next year’s November election, every major candidate in the GOP, as well as President Barack Obama, </w:t>
      </w:r>
      <w:r w:rsidR="0022339F">
        <w:rPr>
          <w:rFonts w:ascii="Times New Roman" w:hAnsi="Times New Roman"/>
        </w:rPr>
        <w:t>has</w:t>
      </w:r>
      <w:r>
        <w:rPr>
          <w:rFonts w:ascii="Times New Roman" w:hAnsi="Times New Roman"/>
        </w:rPr>
        <w:t xml:space="preserve"> aligned themselves with a Super PAC. The major Super PACs supporting GOP candidates are as followed: Restore Our Future, supporting Mitt Romney; Winning our Future, supporting Newt Gingrich; The Red, White, and Blue fund, supporting Rick Santorum; and Endorse Liberty, supporting Ron Paul. Interestingly enough, one of the biggest opponents of the </w:t>
      </w:r>
      <w:r w:rsidRPr="00B23E40">
        <w:rPr>
          <w:rFonts w:ascii="Times New Roman" w:hAnsi="Times New Roman"/>
          <w:i/>
        </w:rPr>
        <w:t>Citizens</w:t>
      </w:r>
      <w:r>
        <w:rPr>
          <w:rFonts w:ascii="Times New Roman" w:hAnsi="Times New Roman"/>
        </w:rPr>
        <w:t xml:space="preserve"> ruling was Barack Obama himself, stating shortly after the ruling, “This opens the floodgates for an unlimited amount of special interest money into our democracy, [this] gives the special interest lobbyists new leverage to spend millions on advertising to persuade elected officials to vote their way – or to punish those who don’t.”</w:t>
      </w:r>
      <w:r w:rsidR="0022339F">
        <w:rPr>
          <w:rStyle w:val="FootnoteReference"/>
          <w:rFonts w:ascii="Times New Roman" w:hAnsi="Times New Roman"/>
        </w:rPr>
        <w:footnoteReference w:customMarkFollows="1" w:id="63"/>
        <w:t>64</w:t>
      </w:r>
      <w:r>
        <w:rPr>
          <w:rFonts w:ascii="Times New Roman" w:hAnsi="Times New Roman"/>
        </w:rPr>
        <w:t xml:space="preserve"> However, he recently changed course by publicly endorsing Super PAC Priorities USA, a move that proved to be controversial after his public disdain over the </w:t>
      </w:r>
      <w:r w:rsidRPr="001C1C5B">
        <w:rPr>
          <w:rFonts w:ascii="Times New Roman" w:hAnsi="Times New Roman"/>
          <w:i/>
        </w:rPr>
        <w:t>Citizens</w:t>
      </w:r>
      <w:r>
        <w:rPr>
          <w:rFonts w:ascii="Times New Roman" w:hAnsi="Times New Roman"/>
        </w:rPr>
        <w:t xml:space="preserve"> ruling. Below is a chart</w:t>
      </w:r>
      <w:r w:rsidR="0022339F">
        <w:rPr>
          <w:rStyle w:val="FootnoteReference"/>
          <w:rFonts w:ascii="Times New Roman" w:hAnsi="Times New Roman"/>
        </w:rPr>
        <w:footnoteReference w:customMarkFollows="1" w:id="64"/>
        <w:t>65</w:t>
      </w:r>
      <w:r>
        <w:rPr>
          <w:rFonts w:ascii="Times New Roman" w:hAnsi="Times New Roman"/>
        </w:rPr>
        <w:t xml:space="preserve"> listing the five primary Super PACs endorsing the candidates I mentioned, how much money those Committees have raised, and the amount of money that’s been spent campaigning on behalf of or against another candidate. </w:t>
      </w:r>
    </w:p>
    <w:tbl>
      <w:tblPr>
        <w:tblStyle w:val="MediumGrid3-Accent3"/>
        <w:tblW w:w="0" w:type="auto"/>
        <w:tblInd w:w="-72" w:type="dxa"/>
        <w:tblLook w:val="0620"/>
      </w:tblPr>
      <w:tblGrid>
        <w:gridCol w:w="2182"/>
        <w:gridCol w:w="2183"/>
        <w:gridCol w:w="2182"/>
        <w:gridCol w:w="2183"/>
      </w:tblGrid>
      <w:tr w:rsidR="005E7671">
        <w:trPr>
          <w:cnfStyle w:val="100000000000"/>
          <w:trHeight w:val="568"/>
        </w:trPr>
        <w:tc>
          <w:tcPr>
            <w:tcW w:w="2182" w:type="dxa"/>
            <w:shd w:val="clear" w:color="auto" w:fill="00B050"/>
          </w:tcPr>
          <w:p w:rsidR="005E7671" w:rsidRPr="00F45C1C" w:rsidRDefault="005E7671" w:rsidP="00B24E02">
            <w:pPr>
              <w:jc w:val="center"/>
              <w:rPr>
                <w:sz w:val="28"/>
              </w:rPr>
            </w:pPr>
            <w:r w:rsidRPr="00F45C1C">
              <w:rPr>
                <w:sz w:val="28"/>
              </w:rPr>
              <w:t xml:space="preserve">SUPER PAC </w:t>
            </w:r>
          </w:p>
        </w:tc>
        <w:tc>
          <w:tcPr>
            <w:tcW w:w="2183" w:type="dxa"/>
            <w:shd w:val="clear" w:color="auto" w:fill="00B050"/>
          </w:tcPr>
          <w:p w:rsidR="005E7671" w:rsidRPr="00F45C1C" w:rsidRDefault="005E7671" w:rsidP="00B24E02">
            <w:pPr>
              <w:jc w:val="center"/>
              <w:rPr>
                <w:sz w:val="28"/>
              </w:rPr>
            </w:pPr>
            <w:r w:rsidRPr="00F45C1C">
              <w:rPr>
                <w:sz w:val="28"/>
              </w:rPr>
              <w:t>SUPPORTS</w:t>
            </w:r>
          </w:p>
        </w:tc>
        <w:tc>
          <w:tcPr>
            <w:tcW w:w="2182" w:type="dxa"/>
            <w:shd w:val="clear" w:color="auto" w:fill="00B050"/>
          </w:tcPr>
          <w:p w:rsidR="005E7671" w:rsidRPr="00F45C1C" w:rsidRDefault="005E7671" w:rsidP="00B24E02">
            <w:pPr>
              <w:jc w:val="center"/>
              <w:rPr>
                <w:sz w:val="28"/>
              </w:rPr>
            </w:pPr>
            <w:r w:rsidRPr="00F45C1C">
              <w:rPr>
                <w:sz w:val="28"/>
              </w:rPr>
              <w:t>$ RAISED</w:t>
            </w:r>
          </w:p>
        </w:tc>
        <w:tc>
          <w:tcPr>
            <w:tcW w:w="2183" w:type="dxa"/>
            <w:shd w:val="clear" w:color="auto" w:fill="00B050"/>
          </w:tcPr>
          <w:p w:rsidR="005E7671" w:rsidRDefault="005E7671" w:rsidP="00B24E02">
            <w:pPr>
              <w:jc w:val="center"/>
              <w:rPr>
                <w:sz w:val="28"/>
              </w:rPr>
            </w:pPr>
            <w:r w:rsidRPr="00F45C1C">
              <w:rPr>
                <w:sz w:val="28"/>
              </w:rPr>
              <w:t xml:space="preserve">$ spent on </w:t>
            </w:r>
          </w:p>
          <w:p w:rsidR="005E7671" w:rsidRPr="00F45C1C" w:rsidRDefault="005E7671" w:rsidP="00B24E02">
            <w:pPr>
              <w:jc w:val="center"/>
              <w:rPr>
                <w:sz w:val="28"/>
              </w:rPr>
            </w:pPr>
            <w:r>
              <w:rPr>
                <w:sz w:val="28"/>
              </w:rPr>
              <w:t>IND. Exp</w:t>
            </w:r>
          </w:p>
        </w:tc>
      </w:tr>
      <w:tr w:rsidR="005E7671">
        <w:trPr>
          <w:trHeight w:val="728"/>
        </w:trPr>
        <w:tc>
          <w:tcPr>
            <w:tcW w:w="2182" w:type="dxa"/>
          </w:tcPr>
          <w:p w:rsidR="005E7671" w:rsidRDefault="005E7671">
            <w:r>
              <w:t>Restore Our Future</w:t>
            </w:r>
          </w:p>
        </w:tc>
        <w:tc>
          <w:tcPr>
            <w:tcW w:w="2183" w:type="dxa"/>
          </w:tcPr>
          <w:p w:rsidR="005E7671" w:rsidRDefault="004C4998">
            <w:r>
              <w:t xml:space="preserve">Mitt Romney </w:t>
            </w:r>
          </w:p>
        </w:tc>
        <w:tc>
          <w:tcPr>
            <w:tcW w:w="2182" w:type="dxa"/>
          </w:tcPr>
          <w:p w:rsidR="005E7671" w:rsidRDefault="005E7671">
            <w:r>
              <w:t>$36,797,202</w:t>
            </w:r>
          </w:p>
        </w:tc>
        <w:tc>
          <w:tcPr>
            <w:tcW w:w="2183" w:type="dxa"/>
          </w:tcPr>
          <w:p w:rsidR="005E7671" w:rsidRDefault="005E7671">
            <w:r>
              <w:t>$33,768,405</w:t>
            </w:r>
          </w:p>
        </w:tc>
      </w:tr>
      <w:tr w:rsidR="005E7671">
        <w:trPr>
          <w:trHeight w:val="728"/>
        </w:trPr>
        <w:tc>
          <w:tcPr>
            <w:tcW w:w="2182" w:type="dxa"/>
          </w:tcPr>
          <w:p w:rsidR="005E7671" w:rsidRDefault="005E7671">
            <w:r>
              <w:t>Winning Our Future</w:t>
            </w:r>
          </w:p>
        </w:tc>
        <w:tc>
          <w:tcPr>
            <w:tcW w:w="2183" w:type="dxa"/>
          </w:tcPr>
          <w:p w:rsidR="005E7671" w:rsidRDefault="004C4998">
            <w:r>
              <w:t>Newt Gingrich</w:t>
            </w:r>
          </w:p>
        </w:tc>
        <w:tc>
          <w:tcPr>
            <w:tcW w:w="2182" w:type="dxa"/>
          </w:tcPr>
          <w:p w:rsidR="005E7671" w:rsidRDefault="005E7671">
            <w:r>
              <w:t>$13,114,797</w:t>
            </w:r>
          </w:p>
        </w:tc>
        <w:tc>
          <w:tcPr>
            <w:tcW w:w="2183" w:type="dxa"/>
          </w:tcPr>
          <w:p w:rsidR="005E7671" w:rsidRDefault="005E7671">
            <w:r>
              <w:t>$16,147,653</w:t>
            </w:r>
          </w:p>
        </w:tc>
      </w:tr>
      <w:tr w:rsidR="005E7671">
        <w:trPr>
          <w:trHeight w:val="728"/>
        </w:trPr>
        <w:tc>
          <w:tcPr>
            <w:tcW w:w="2182" w:type="dxa"/>
          </w:tcPr>
          <w:p w:rsidR="005E7671" w:rsidRDefault="005E7671">
            <w:r>
              <w:t>Red, White, and Blue</w:t>
            </w:r>
          </w:p>
        </w:tc>
        <w:tc>
          <w:tcPr>
            <w:tcW w:w="2183" w:type="dxa"/>
          </w:tcPr>
          <w:p w:rsidR="005E7671" w:rsidRDefault="005E7671">
            <w:r>
              <w:t>Rick Santorum</w:t>
            </w:r>
          </w:p>
        </w:tc>
        <w:tc>
          <w:tcPr>
            <w:tcW w:w="2182" w:type="dxa"/>
          </w:tcPr>
          <w:p w:rsidR="005E7671" w:rsidRDefault="005E7671">
            <w:r>
              <w:t>$2,817,675</w:t>
            </w:r>
          </w:p>
        </w:tc>
        <w:tc>
          <w:tcPr>
            <w:tcW w:w="2183" w:type="dxa"/>
          </w:tcPr>
          <w:p w:rsidR="005E7671" w:rsidRDefault="005E7671">
            <w:r>
              <w:t>$5,820,757</w:t>
            </w:r>
          </w:p>
        </w:tc>
      </w:tr>
      <w:tr w:rsidR="005E7671">
        <w:trPr>
          <w:trHeight w:val="788"/>
        </w:trPr>
        <w:tc>
          <w:tcPr>
            <w:tcW w:w="2182" w:type="dxa"/>
          </w:tcPr>
          <w:p w:rsidR="005E7671" w:rsidRDefault="005E7671">
            <w:r>
              <w:t>Endorse Liberty</w:t>
            </w:r>
          </w:p>
        </w:tc>
        <w:tc>
          <w:tcPr>
            <w:tcW w:w="2183" w:type="dxa"/>
          </w:tcPr>
          <w:p w:rsidR="005E7671" w:rsidRDefault="004C4998">
            <w:r>
              <w:t xml:space="preserve">Ron Paul </w:t>
            </w:r>
          </w:p>
        </w:tc>
        <w:tc>
          <w:tcPr>
            <w:tcW w:w="2182" w:type="dxa"/>
          </w:tcPr>
          <w:p w:rsidR="005E7671" w:rsidRDefault="005E7671">
            <w:r>
              <w:t>$3,396,997</w:t>
            </w:r>
          </w:p>
        </w:tc>
        <w:tc>
          <w:tcPr>
            <w:tcW w:w="2183" w:type="dxa"/>
          </w:tcPr>
          <w:p w:rsidR="005E7671" w:rsidRDefault="005E7671">
            <w:r>
              <w:t>$3,117,207</w:t>
            </w:r>
          </w:p>
        </w:tc>
      </w:tr>
      <w:tr w:rsidR="005E7671">
        <w:trPr>
          <w:trHeight w:val="788"/>
        </w:trPr>
        <w:tc>
          <w:tcPr>
            <w:tcW w:w="2182" w:type="dxa"/>
          </w:tcPr>
          <w:p w:rsidR="005E7671" w:rsidRDefault="005E7671">
            <w:r>
              <w:t>Priorities USA Action</w:t>
            </w:r>
          </w:p>
        </w:tc>
        <w:tc>
          <w:tcPr>
            <w:tcW w:w="2183" w:type="dxa"/>
          </w:tcPr>
          <w:p w:rsidR="005E7671" w:rsidRDefault="005E7671">
            <w:r>
              <w:t>Barack Obama</w:t>
            </w:r>
          </w:p>
        </w:tc>
        <w:tc>
          <w:tcPr>
            <w:tcW w:w="2182" w:type="dxa"/>
          </w:tcPr>
          <w:p w:rsidR="005E7671" w:rsidRDefault="005E7671">
            <w:r>
              <w:t>$4,459,431</w:t>
            </w:r>
          </w:p>
        </w:tc>
        <w:tc>
          <w:tcPr>
            <w:tcW w:w="2183" w:type="dxa"/>
          </w:tcPr>
          <w:p w:rsidR="005E7671" w:rsidRDefault="005E7671">
            <w:r>
              <w:t>$750,104</w:t>
            </w:r>
          </w:p>
        </w:tc>
      </w:tr>
    </w:tbl>
    <w:p w:rsidR="005E7671" w:rsidRPr="006A0FD9" w:rsidRDefault="005E7671" w:rsidP="005E7671">
      <w:pPr>
        <w:spacing w:line="480" w:lineRule="auto"/>
        <w:rPr>
          <w:rFonts w:ascii="Times New Roman" w:hAnsi="Times New Roman"/>
        </w:rPr>
      </w:pPr>
    </w:p>
    <w:p w:rsidR="005E7671" w:rsidRDefault="005E7671" w:rsidP="005E7671">
      <w:pPr>
        <w:spacing w:line="480" w:lineRule="auto"/>
        <w:rPr>
          <w:rFonts w:ascii="Times New Roman" w:hAnsi="Times New Roman"/>
        </w:rPr>
      </w:pPr>
      <w:r>
        <w:rPr>
          <w:rFonts w:ascii="Times New Roman" w:hAnsi="Times New Roman"/>
        </w:rPr>
        <w:t>These five Super PACS have raised a combined $60,586,102 and spent $59,604,126 on independent expenditures. These Super PACS and the money they’ve raised make up only a fraction of committees filed with the FEC and the money that has so far been raised in this election cycle. As of March’s FEC filing, there were 364 groups filed as Super PACs and they had raised $130,353,017 while also spending $75,113,928 in the 2012 election cycle.</w:t>
      </w:r>
      <w:r w:rsidR="0022339F">
        <w:rPr>
          <w:rStyle w:val="FootnoteReference"/>
          <w:rFonts w:ascii="Times New Roman" w:hAnsi="Times New Roman"/>
        </w:rPr>
        <w:footnoteReference w:customMarkFollows="1" w:id="65"/>
        <w:t>66</w:t>
      </w:r>
      <w:r>
        <w:rPr>
          <w:rFonts w:ascii="Times New Roman" w:hAnsi="Times New Roman"/>
        </w:rPr>
        <w:t xml:space="preserve"> This figure only looks to rise as the GOP race continues to move closer to the choosing of a clearly defined candidate. It’s hard to put that number into historical context, as the only data to refer to for comparison’s sake is the money raised and spent by Super PACs in the 2010 midterm elections, which occurred after the </w:t>
      </w:r>
      <w:r w:rsidRPr="00F25B7D">
        <w:rPr>
          <w:rFonts w:ascii="Times New Roman" w:hAnsi="Times New Roman"/>
          <w:i/>
        </w:rPr>
        <w:t>Citizens</w:t>
      </w:r>
      <w:r>
        <w:rPr>
          <w:rFonts w:ascii="Times New Roman" w:hAnsi="Times New Roman"/>
        </w:rPr>
        <w:t xml:space="preserve"> and </w:t>
      </w:r>
      <w:r w:rsidRPr="00F25B7D">
        <w:rPr>
          <w:rFonts w:ascii="Times New Roman" w:hAnsi="Times New Roman"/>
          <w:i/>
        </w:rPr>
        <w:t>SpeechNow</w:t>
      </w:r>
      <w:r>
        <w:rPr>
          <w:rFonts w:ascii="Times New Roman" w:hAnsi="Times New Roman"/>
        </w:rPr>
        <w:t xml:space="preserve"> rulings. However, looking at limited data provided by the Center for Responsive Politics, it’s clear the amount of independent expenditures and electioneering communications being raised are at a far greater rate than history’s ever seen before.</w:t>
      </w:r>
    </w:p>
    <w:p w:rsidR="0022339F" w:rsidRDefault="005E7671" w:rsidP="005E7671">
      <w:pPr>
        <w:spacing w:line="480" w:lineRule="auto"/>
        <w:rPr>
          <w:rFonts w:ascii="Times New Roman" w:hAnsi="Times New Roman"/>
        </w:rPr>
      </w:pPr>
      <w:r>
        <w:rPr>
          <w:rFonts w:ascii="Times New Roman" w:hAnsi="Times New Roman"/>
        </w:rPr>
        <w:tab/>
        <w:t>The data provided</w:t>
      </w:r>
      <w:r w:rsidR="004B1E56">
        <w:rPr>
          <w:rFonts w:ascii="Times New Roman" w:hAnsi="Times New Roman"/>
        </w:rPr>
        <w:t xml:space="preserve"> below</w:t>
      </w:r>
      <w:r>
        <w:rPr>
          <w:rFonts w:ascii="Times New Roman" w:hAnsi="Times New Roman"/>
        </w:rPr>
        <w:t xml:space="preserve"> marks outside spending through April 9</w:t>
      </w:r>
      <w:r w:rsidRPr="00560FE3">
        <w:rPr>
          <w:rFonts w:ascii="Times New Roman" w:hAnsi="Times New Roman"/>
          <w:vertAlign w:val="superscript"/>
        </w:rPr>
        <w:t>th</w:t>
      </w:r>
      <w:r>
        <w:rPr>
          <w:rFonts w:ascii="Times New Roman" w:hAnsi="Times New Roman"/>
        </w:rPr>
        <w:t xml:space="preserve"> of the election years of 2006, 2008, 2010, and 2012</w:t>
      </w:r>
      <w:r w:rsidR="004B1E56">
        <w:rPr>
          <w:rFonts w:ascii="Times New Roman" w:hAnsi="Times New Roman"/>
        </w:rPr>
        <w:t>.</w:t>
      </w:r>
      <w:r w:rsidR="0022339F">
        <w:rPr>
          <w:rStyle w:val="FootnoteReference"/>
          <w:rFonts w:ascii="Times New Roman" w:hAnsi="Times New Roman"/>
        </w:rPr>
        <w:footnoteReference w:customMarkFollows="1" w:id="66"/>
        <w:t>67</w:t>
      </w:r>
      <w:r>
        <w:rPr>
          <w:rFonts w:ascii="Times New Roman" w:hAnsi="Times New Roman"/>
        </w:rPr>
        <w:t xml:space="preserve"> This outside spending excludes candidate and party committee fundraising numbers. The reason I included years in which the Presidential election is not going on is to show how much outside spending has exponentially risen in federal elections, especially since the post-</w:t>
      </w:r>
      <w:r w:rsidRPr="00427ED7">
        <w:rPr>
          <w:rFonts w:ascii="Times New Roman" w:hAnsi="Times New Roman"/>
          <w:i/>
        </w:rPr>
        <w:t>Citizens United</w:t>
      </w:r>
      <w:r>
        <w:rPr>
          <w:rFonts w:ascii="Times New Roman" w:hAnsi="Times New Roman"/>
        </w:rPr>
        <w:t xml:space="preserve"> ruling.</w:t>
      </w:r>
    </w:p>
    <w:p w:rsidR="0022339F" w:rsidRDefault="0022339F" w:rsidP="005E7671">
      <w:pPr>
        <w:spacing w:line="480" w:lineRule="auto"/>
        <w:rPr>
          <w:rFonts w:ascii="Times New Roman" w:hAnsi="Times New Roman"/>
        </w:rPr>
      </w:pPr>
    </w:p>
    <w:p w:rsidR="0022339F" w:rsidRDefault="0022339F" w:rsidP="005E7671">
      <w:pPr>
        <w:spacing w:line="480" w:lineRule="auto"/>
        <w:rPr>
          <w:rFonts w:ascii="Times New Roman" w:hAnsi="Times New Roman"/>
        </w:rPr>
      </w:pPr>
    </w:p>
    <w:p w:rsidR="005E7671" w:rsidRDefault="005E7671" w:rsidP="005E7671">
      <w:pPr>
        <w:spacing w:line="480" w:lineRule="auto"/>
        <w:rPr>
          <w:rFonts w:ascii="Times New Roman" w:hAnsi="Times New Roman"/>
        </w:rPr>
      </w:pPr>
    </w:p>
    <w:tbl>
      <w:tblPr>
        <w:tblStyle w:val="MediumGrid1-Accent1"/>
        <w:tblW w:w="0" w:type="auto"/>
        <w:tblLook w:val="04A0"/>
      </w:tblPr>
      <w:tblGrid>
        <w:gridCol w:w="1923"/>
        <w:gridCol w:w="1734"/>
        <w:gridCol w:w="1733"/>
        <w:gridCol w:w="1733"/>
        <w:gridCol w:w="1733"/>
      </w:tblGrid>
      <w:tr w:rsidR="005E7671">
        <w:trPr>
          <w:cnfStyle w:val="100000000000"/>
          <w:trHeight w:val="720"/>
        </w:trPr>
        <w:tc>
          <w:tcPr>
            <w:cnfStyle w:val="001000000000"/>
            <w:tcW w:w="8856" w:type="dxa"/>
            <w:gridSpan w:val="5"/>
            <w:vAlign w:val="center"/>
          </w:tcPr>
          <w:p w:rsidR="005E7671" w:rsidRPr="00803967" w:rsidRDefault="005E7671" w:rsidP="00B24E02">
            <w:pPr>
              <w:jc w:val="center"/>
              <w:rPr>
                <w:color w:val="0000FF"/>
                <w:sz w:val="28"/>
              </w:rPr>
            </w:pPr>
            <w:r w:rsidRPr="00803967">
              <w:rPr>
                <w:color w:val="0000FF"/>
                <w:sz w:val="28"/>
              </w:rPr>
              <w:t>OUTSIDE SPENDING THROUGH APRIL 9</w:t>
            </w:r>
            <w:r w:rsidRPr="00803967">
              <w:rPr>
                <w:color w:val="0000FF"/>
                <w:sz w:val="28"/>
                <w:vertAlign w:val="superscript"/>
              </w:rPr>
              <w:t>TH</w:t>
            </w:r>
            <w:r w:rsidRPr="00803967">
              <w:rPr>
                <w:color w:val="0000FF"/>
                <w:sz w:val="28"/>
              </w:rPr>
              <w:t xml:space="preserve"> OF ELECTION YEAR</w:t>
            </w:r>
          </w:p>
        </w:tc>
      </w:tr>
      <w:tr w:rsidR="005E7671">
        <w:trPr>
          <w:cnfStyle w:val="000000100000"/>
          <w:trHeight w:val="430"/>
        </w:trPr>
        <w:tc>
          <w:tcPr>
            <w:cnfStyle w:val="001000000000"/>
            <w:tcW w:w="1923" w:type="dxa"/>
          </w:tcPr>
          <w:p w:rsidR="005E7671" w:rsidRDefault="005E7671" w:rsidP="00B24E02">
            <w:pPr>
              <w:jc w:val="center"/>
            </w:pPr>
            <w:r>
              <w:t>Year</w:t>
            </w:r>
          </w:p>
        </w:tc>
        <w:tc>
          <w:tcPr>
            <w:tcW w:w="1734" w:type="dxa"/>
          </w:tcPr>
          <w:p w:rsidR="005E7671" w:rsidRDefault="005E7671" w:rsidP="00B24E02">
            <w:pPr>
              <w:jc w:val="center"/>
              <w:cnfStyle w:val="000000100000"/>
            </w:pPr>
            <w:r>
              <w:t>2006</w:t>
            </w:r>
          </w:p>
        </w:tc>
        <w:tc>
          <w:tcPr>
            <w:tcW w:w="1733" w:type="dxa"/>
          </w:tcPr>
          <w:p w:rsidR="005E7671" w:rsidRDefault="005E7671" w:rsidP="00B24E02">
            <w:pPr>
              <w:jc w:val="center"/>
              <w:cnfStyle w:val="000000100000"/>
            </w:pPr>
            <w:r>
              <w:t>2008</w:t>
            </w:r>
          </w:p>
        </w:tc>
        <w:tc>
          <w:tcPr>
            <w:tcW w:w="1733" w:type="dxa"/>
          </w:tcPr>
          <w:p w:rsidR="005E7671" w:rsidRDefault="005E7671" w:rsidP="00B24E02">
            <w:pPr>
              <w:jc w:val="center"/>
              <w:cnfStyle w:val="000000100000"/>
            </w:pPr>
            <w:r>
              <w:t>2010</w:t>
            </w:r>
          </w:p>
        </w:tc>
        <w:tc>
          <w:tcPr>
            <w:tcW w:w="1733" w:type="dxa"/>
          </w:tcPr>
          <w:p w:rsidR="005E7671" w:rsidRDefault="005E7671" w:rsidP="00B24E02">
            <w:pPr>
              <w:jc w:val="center"/>
              <w:cnfStyle w:val="000000100000"/>
            </w:pPr>
            <w:r>
              <w:t>2012</w:t>
            </w:r>
          </w:p>
        </w:tc>
      </w:tr>
      <w:tr w:rsidR="005E7671">
        <w:trPr>
          <w:trHeight w:val="720"/>
        </w:trPr>
        <w:tc>
          <w:tcPr>
            <w:cnfStyle w:val="001000000000"/>
            <w:tcW w:w="1923" w:type="dxa"/>
            <w:vAlign w:val="center"/>
          </w:tcPr>
          <w:p w:rsidR="005E7671" w:rsidRDefault="005E7671" w:rsidP="00B24E02">
            <w:pPr>
              <w:jc w:val="center"/>
            </w:pPr>
            <w:r>
              <w:t>Independent</w:t>
            </w:r>
          </w:p>
          <w:p w:rsidR="005E7671" w:rsidRDefault="005E7671" w:rsidP="00B24E02">
            <w:pPr>
              <w:jc w:val="center"/>
            </w:pPr>
            <w:r>
              <w:t>Expenditures</w:t>
            </w:r>
          </w:p>
        </w:tc>
        <w:tc>
          <w:tcPr>
            <w:tcW w:w="1734" w:type="dxa"/>
            <w:vAlign w:val="center"/>
          </w:tcPr>
          <w:p w:rsidR="005E7671" w:rsidRDefault="005E7671" w:rsidP="00B24E02">
            <w:pPr>
              <w:jc w:val="center"/>
              <w:cnfStyle w:val="000000000000"/>
            </w:pPr>
            <w:r>
              <w:t>$1,725,268</w:t>
            </w:r>
          </w:p>
        </w:tc>
        <w:tc>
          <w:tcPr>
            <w:tcW w:w="1733" w:type="dxa"/>
            <w:vAlign w:val="center"/>
          </w:tcPr>
          <w:p w:rsidR="005E7671" w:rsidRDefault="005E7671" w:rsidP="00B24E02">
            <w:pPr>
              <w:jc w:val="center"/>
              <w:cnfStyle w:val="000000000000"/>
            </w:pPr>
            <w:r>
              <w:t>$23,337,391</w:t>
            </w:r>
          </w:p>
        </w:tc>
        <w:tc>
          <w:tcPr>
            <w:tcW w:w="1733" w:type="dxa"/>
            <w:vAlign w:val="center"/>
          </w:tcPr>
          <w:p w:rsidR="005E7671" w:rsidRDefault="005E7671" w:rsidP="00B24E02">
            <w:pPr>
              <w:jc w:val="center"/>
              <w:cnfStyle w:val="000000000000"/>
            </w:pPr>
            <w:r>
              <w:t>$15,393,102</w:t>
            </w:r>
          </w:p>
        </w:tc>
        <w:tc>
          <w:tcPr>
            <w:tcW w:w="1733" w:type="dxa"/>
            <w:vAlign w:val="center"/>
          </w:tcPr>
          <w:p w:rsidR="005E7671" w:rsidRDefault="005E7671" w:rsidP="00B24E02">
            <w:pPr>
              <w:jc w:val="center"/>
              <w:cnfStyle w:val="000000000000"/>
            </w:pPr>
            <w:r>
              <w:t>$93,545,491</w:t>
            </w:r>
          </w:p>
        </w:tc>
      </w:tr>
      <w:tr w:rsidR="005E7671">
        <w:trPr>
          <w:cnfStyle w:val="000000100000"/>
          <w:trHeight w:val="720"/>
        </w:trPr>
        <w:tc>
          <w:tcPr>
            <w:cnfStyle w:val="001000000000"/>
            <w:tcW w:w="1923" w:type="dxa"/>
            <w:vAlign w:val="center"/>
          </w:tcPr>
          <w:p w:rsidR="005E7671" w:rsidRDefault="005E7671" w:rsidP="00B24E02">
            <w:pPr>
              <w:jc w:val="center"/>
            </w:pPr>
            <w:r>
              <w:t>Electioneering</w:t>
            </w:r>
          </w:p>
          <w:p w:rsidR="005E7671" w:rsidRDefault="005E7671" w:rsidP="00B24E02">
            <w:pPr>
              <w:jc w:val="center"/>
            </w:pPr>
            <w:r>
              <w:t>Communications</w:t>
            </w:r>
          </w:p>
        </w:tc>
        <w:tc>
          <w:tcPr>
            <w:tcW w:w="1734" w:type="dxa"/>
            <w:vAlign w:val="center"/>
          </w:tcPr>
          <w:p w:rsidR="005E7671" w:rsidRDefault="005E7671" w:rsidP="00B24E02">
            <w:pPr>
              <w:jc w:val="center"/>
              <w:cnfStyle w:val="000000100000"/>
            </w:pPr>
            <w:r>
              <w:t>$466,200</w:t>
            </w:r>
          </w:p>
        </w:tc>
        <w:tc>
          <w:tcPr>
            <w:tcW w:w="1733" w:type="dxa"/>
            <w:vAlign w:val="center"/>
          </w:tcPr>
          <w:p w:rsidR="005E7671" w:rsidRDefault="005E7671" w:rsidP="00B24E02">
            <w:pPr>
              <w:jc w:val="center"/>
              <w:cnfStyle w:val="000000100000"/>
            </w:pPr>
            <w:r>
              <w:t>$8,809,647</w:t>
            </w:r>
          </w:p>
        </w:tc>
        <w:tc>
          <w:tcPr>
            <w:tcW w:w="1733" w:type="dxa"/>
            <w:vAlign w:val="center"/>
          </w:tcPr>
          <w:p w:rsidR="005E7671" w:rsidRDefault="005E7671" w:rsidP="00B24E02">
            <w:pPr>
              <w:jc w:val="center"/>
              <w:cnfStyle w:val="000000100000"/>
            </w:pPr>
            <w:r>
              <w:t>$3,129,614</w:t>
            </w:r>
          </w:p>
        </w:tc>
        <w:tc>
          <w:tcPr>
            <w:tcW w:w="1733" w:type="dxa"/>
            <w:vAlign w:val="center"/>
          </w:tcPr>
          <w:p w:rsidR="005E7671" w:rsidRDefault="005E7671" w:rsidP="00B24E02">
            <w:pPr>
              <w:jc w:val="center"/>
              <w:cnfStyle w:val="000000100000"/>
            </w:pPr>
            <w:r>
              <w:t>$4,704,660</w:t>
            </w:r>
          </w:p>
        </w:tc>
      </w:tr>
      <w:tr w:rsidR="005E7671">
        <w:trPr>
          <w:trHeight w:val="720"/>
        </w:trPr>
        <w:tc>
          <w:tcPr>
            <w:cnfStyle w:val="001000000000"/>
            <w:tcW w:w="1923" w:type="dxa"/>
            <w:vAlign w:val="center"/>
          </w:tcPr>
          <w:p w:rsidR="005E7671" w:rsidRDefault="005E7671" w:rsidP="00B24E02">
            <w:pPr>
              <w:jc w:val="center"/>
            </w:pPr>
            <w:r>
              <w:t>Communication</w:t>
            </w:r>
          </w:p>
          <w:p w:rsidR="005E7671" w:rsidRDefault="005E7671" w:rsidP="00B24E02">
            <w:pPr>
              <w:jc w:val="center"/>
            </w:pPr>
            <w:r>
              <w:t>Costs</w:t>
            </w:r>
          </w:p>
        </w:tc>
        <w:tc>
          <w:tcPr>
            <w:tcW w:w="1734" w:type="dxa"/>
            <w:vAlign w:val="center"/>
          </w:tcPr>
          <w:p w:rsidR="005E7671" w:rsidRDefault="005E7671" w:rsidP="00B24E02">
            <w:pPr>
              <w:jc w:val="center"/>
              <w:cnfStyle w:val="000000000000"/>
            </w:pPr>
            <w:r>
              <w:t>$168,256</w:t>
            </w:r>
          </w:p>
        </w:tc>
        <w:tc>
          <w:tcPr>
            <w:tcW w:w="1733" w:type="dxa"/>
            <w:vAlign w:val="center"/>
          </w:tcPr>
          <w:p w:rsidR="005E7671" w:rsidRDefault="005E7671" w:rsidP="00B24E02">
            <w:pPr>
              <w:jc w:val="center"/>
              <w:cnfStyle w:val="000000000000"/>
            </w:pPr>
            <w:r>
              <w:t>$11,976,076</w:t>
            </w:r>
          </w:p>
        </w:tc>
        <w:tc>
          <w:tcPr>
            <w:tcW w:w="1733" w:type="dxa"/>
            <w:vAlign w:val="center"/>
          </w:tcPr>
          <w:p w:rsidR="005E7671" w:rsidRDefault="005E7671" w:rsidP="00B24E02">
            <w:pPr>
              <w:jc w:val="center"/>
              <w:cnfStyle w:val="000000000000"/>
            </w:pPr>
            <w:r>
              <w:t>$499,495</w:t>
            </w:r>
          </w:p>
        </w:tc>
        <w:tc>
          <w:tcPr>
            <w:tcW w:w="1733" w:type="dxa"/>
            <w:vAlign w:val="center"/>
          </w:tcPr>
          <w:p w:rsidR="005E7671" w:rsidRDefault="005E7671" w:rsidP="00B24E02">
            <w:pPr>
              <w:jc w:val="center"/>
              <w:cnfStyle w:val="000000000000"/>
            </w:pPr>
            <w:r>
              <w:t>$88,989</w:t>
            </w:r>
          </w:p>
        </w:tc>
      </w:tr>
      <w:tr w:rsidR="005E7671">
        <w:trPr>
          <w:cnfStyle w:val="000000100000"/>
          <w:trHeight w:val="720"/>
        </w:trPr>
        <w:tc>
          <w:tcPr>
            <w:cnfStyle w:val="001000000000"/>
            <w:tcW w:w="1923" w:type="dxa"/>
            <w:vAlign w:val="center"/>
          </w:tcPr>
          <w:p w:rsidR="005E7671" w:rsidRDefault="005E7671" w:rsidP="00B24E02">
            <w:pPr>
              <w:jc w:val="center"/>
            </w:pPr>
            <w:r>
              <w:t>Total</w:t>
            </w:r>
          </w:p>
        </w:tc>
        <w:tc>
          <w:tcPr>
            <w:tcW w:w="1734" w:type="dxa"/>
            <w:vAlign w:val="center"/>
          </w:tcPr>
          <w:p w:rsidR="005E7671" w:rsidRDefault="005E7671" w:rsidP="00B24E02">
            <w:pPr>
              <w:jc w:val="center"/>
              <w:cnfStyle w:val="000000100000"/>
            </w:pPr>
            <w:r>
              <w:t>$2,359,724</w:t>
            </w:r>
          </w:p>
        </w:tc>
        <w:tc>
          <w:tcPr>
            <w:tcW w:w="1733" w:type="dxa"/>
            <w:vAlign w:val="center"/>
          </w:tcPr>
          <w:p w:rsidR="005E7671" w:rsidRDefault="005E7671" w:rsidP="00B24E02">
            <w:pPr>
              <w:jc w:val="center"/>
              <w:cnfStyle w:val="000000100000"/>
            </w:pPr>
            <w:r>
              <w:t>$44,123,114</w:t>
            </w:r>
          </w:p>
        </w:tc>
        <w:tc>
          <w:tcPr>
            <w:tcW w:w="1733" w:type="dxa"/>
            <w:vAlign w:val="center"/>
          </w:tcPr>
          <w:p w:rsidR="005E7671" w:rsidRDefault="005E7671" w:rsidP="00B24E02">
            <w:pPr>
              <w:jc w:val="center"/>
              <w:cnfStyle w:val="000000100000"/>
            </w:pPr>
            <w:r>
              <w:t>$19,022,211</w:t>
            </w:r>
          </w:p>
        </w:tc>
        <w:tc>
          <w:tcPr>
            <w:tcW w:w="1733" w:type="dxa"/>
            <w:vAlign w:val="center"/>
          </w:tcPr>
          <w:p w:rsidR="005E7671" w:rsidRDefault="005E7671" w:rsidP="00B24E02">
            <w:pPr>
              <w:jc w:val="center"/>
              <w:cnfStyle w:val="000000100000"/>
            </w:pPr>
            <w:r>
              <w:t>$98,339,140</w:t>
            </w:r>
          </w:p>
        </w:tc>
      </w:tr>
    </w:tbl>
    <w:p w:rsidR="005E7671" w:rsidRDefault="005E7671" w:rsidP="005E7671">
      <w:pPr>
        <w:spacing w:line="480" w:lineRule="auto"/>
        <w:rPr>
          <w:rFonts w:ascii="Times New Roman" w:hAnsi="Times New Roman"/>
        </w:rPr>
      </w:pPr>
    </w:p>
    <w:p w:rsidR="005E7671" w:rsidRDefault="005E7671" w:rsidP="005E7671">
      <w:pPr>
        <w:spacing w:line="480" w:lineRule="auto"/>
        <w:rPr>
          <w:rFonts w:ascii="Times New Roman" w:hAnsi="Times New Roman"/>
        </w:rPr>
      </w:pPr>
      <w:r>
        <w:rPr>
          <w:rFonts w:ascii="Times New Roman" w:hAnsi="Times New Roman"/>
        </w:rPr>
        <w:t xml:space="preserve">While the </w:t>
      </w:r>
      <w:r w:rsidR="009C5FCA">
        <w:rPr>
          <w:rFonts w:ascii="Times New Roman" w:hAnsi="Times New Roman"/>
        </w:rPr>
        <w:t xml:space="preserve">money raised in 2010 wasn’t as high because of the many months left preceding the midterm election, </w:t>
      </w:r>
      <w:r>
        <w:rPr>
          <w:rFonts w:ascii="Times New Roman" w:hAnsi="Times New Roman"/>
        </w:rPr>
        <w:t xml:space="preserve">almost every subcategory of outside spending so far in the 2012 cycle dwarfs the 2010 </w:t>
      </w:r>
      <w:r w:rsidR="00963467">
        <w:rPr>
          <w:rFonts w:ascii="Times New Roman" w:hAnsi="Times New Roman"/>
        </w:rPr>
        <w:t>cycle</w:t>
      </w:r>
      <w:r>
        <w:rPr>
          <w:rFonts w:ascii="Times New Roman" w:hAnsi="Times New Roman"/>
        </w:rPr>
        <w:t xml:space="preserve"> through April. This also doesn’t take into account factors like an undecided GOP race, midterm elections, and the potential for party majority in Congress. As all of these things draw near, the amount of outside spending is certain to go to unprecedented levels unlike anything our country has seen in campaign finance. As I continue to explore the effect of Super PACs, I want to examine some important details. I want to take a closer look at the Super PACs I listed in my chart by exploring the people running them, some of the largest donors to these PACs, and implications these have had on the </w:t>
      </w:r>
      <w:r w:rsidR="00963467">
        <w:rPr>
          <w:rFonts w:ascii="Times New Roman" w:hAnsi="Times New Roman"/>
        </w:rPr>
        <w:t>race for the Republican nomination for the Presidency</w:t>
      </w:r>
      <w:r>
        <w:rPr>
          <w:rFonts w:ascii="Times New Roman" w:hAnsi="Times New Roman"/>
        </w:rPr>
        <w:t>.</w:t>
      </w:r>
    </w:p>
    <w:p w:rsidR="005E7671" w:rsidRDefault="005E7671" w:rsidP="005E7671">
      <w:pPr>
        <w:spacing w:line="480" w:lineRule="auto"/>
        <w:ind w:firstLine="720"/>
        <w:rPr>
          <w:rFonts w:ascii="Times New Roman" w:hAnsi="Times New Roman"/>
        </w:rPr>
      </w:pPr>
      <w:r>
        <w:rPr>
          <w:rFonts w:ascii="Times New Roman" w:hAnsi="Times New Roman"/>
        </w:rPr>
        <w:t>One of the most interesting aspects about Super PACs roles in the Presidential election thus far are the men behind them and their relationship to specific candidates.  As I mentioned previously, the Court of Appeals ruling largely hinged on a level of incoordination clearly existing between a political action committee and the candidate it supported. This caveat is already being put to the test as many of the GOP candidates and President Obama have connections to the Super PACs supporting them in more ways than one. Friends, former colleagues, or in rare instances even family members sit atop powerful political action committees that play an integral role in helping a candidate get their message out to the American people. Mitt Romney made headlines by speaking at a Restore Our Future fundraising event</w:t>
      </w:r>
      <w:r w:rsidR="0022339F">
        <w:rPr>
          <w:rStyle w:val="FootnoteReference"/>
          <w:rFonts w:ascii="Times New Roman" w:hAnsi="Times New Roman"/>
        </w:rPr>
        <w:footnoteReference w:customMarkFollows="1" w:id="67"/>
        <w:t>68</w:t>
      </w:r>
      <w:r w:rsidR="00963467">
        <w:rPr>
          <w:rFonts w:ascii="Times New Roman" w:hAnsi="Times New Roman"/>
        </w:rPr>
        <w:t xml:space="preserve"> in July</w:t>
      </w:r>
      <w:r>
        <w:rPr>
          <w:rFonts w:ascii="Times New Roman" w:hAnsi="Times New Roman"/>
        </w:rPr>
        <w:t xml:space="preserve">, an act that the FEC deemed to be legal. It seems that the only unacceptable level of interaction between </w:t>
      </w:r>
      <w:r w:rsidR="00963467">
        <w:rPr>
          <w:rFonts w:ascii="Times New Roman" w:hAnsi="Times New Roman"/>
        </w:rPr>
        <w:t xml:space="preserve">a </w:t>
      </w:r>
      <w:r>
        <w:rPr>
          <w:rFonts w:ascii="Times New Roman" w:hAnsi="Times New Roman"/>
        </w:rPr>
        <w:t xml:space="preserve">candidate and </w:t>
      </w:r>
      <w:r w:rsidR="00963467">
        <w:rPr>
          <w:rFonts w:ascii="Times New Roman" w:hAnsi="Times New Roman"/>
        </w:rPr>
        <w:t xml:space="preserve">their Super </w:t>
      </w:r>
      <w:r>
        <w:rPr>
          <w:rFonts w:ascii="Times New Roman" w:hAnsi="Times New Roman"/>
        </w:rPr>
        <w:t>PAC is direct communication with one another, an action that seems extremely difficult to prove. Below is a chart explaining some of the key figures behind specific Super PACs and the relationship these men an</w:t>
      </w:r>
      <w:r w:rsidR="000A6605">
        <w:rPr>
          <w:rFonts w:ascii="Times New Roman" w:hAnsi="Times New Roman"/>
        </w:rPr>
        <w:t>d women have had to candidates.</w:t>
      </w:r>
      <w:r w:rsidR="0022339F">
        <w:rPr>
          <w:rStyle w:val="FootnoteReference"/>
          <w:rFonts w:ascii="Times New Roman" w:hAnsi="Times New Roman"/>
        </w:rPr>
        <w:footnoteReference w:customMarkFollows="1" w:id="68"/>
        <w:t>69</w:t>
      </w:r>
    </w:p>
    <w:p w:rsidR="005E7671" w:rsidRDefault="005E7671" w:rsidP="005E7671">
      <w:pPr>
        <w:spacing w:line="480" w:lineRule="auto"/>
        <w:rPr>
          <w:rFonts w:ascii="Times New Roman" w:hAnsi="Times New Roman"/>
        </w:rPr>
      </w:pPr>
    </w:p>
    <w:tbl>
      <w:tblPr>
        <w:tblStyle w:val="MediumShading1-Accent2"/>
        <w:tblpPr w:leftFromText="180" w:rightFromText="180" w:vertAnchor="text" w:horzAnchor="page" w:tblpX="1909" w:tblpY="-150"/>
        <w:tblW w:w="9018"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tblPr>
      <w:tblGrid>
        <w:gridCol w:w="2864"/>
        <w:gridCol w:w="1742"/>
        <w:gridCol w:w="4412"/>
      </w:tblGrid>
      <w:tr w:rsidR="005E7671" w:rsidRPr="00A62566">
        <w:trPr>
          <w:cnfStyle w:val="100000000000"/>
          <w:trHeight w:val="440"/>
        </w:trPr>
        <w:tc>
          <w:tcPr>
            <w:cnfStyle w:val="001000000000"/>
            <w:tcW w:w="9018" w:type="dxa"/>
            <w:gridSpan w:val="3"/>
          </w:tcPr>
          <w:p w:rsidR="005E7671" w:rsidRPr="00A62566" w:rsidRDefault="005E7671" w:rsidP="00B24E02">
            <w:pPr>
              <w:jc w:val="center"/>
              <w:rPr>
                <w:b w:val="0"/>
                <w:sz w:val="28"/>
              </w:rPr>
            </w:pPr>
            <w:r w:rsidRPr="00A62566">
              <w:rPr>
                <w:b w:val="0"/>
                <w:sz w:val="28"/>
              </w:rPr>
              <w:t>WHO’S RUNNING WHO??</w:t>
            </w:r>
          </w:p>
        </w:tc>
      </w:tr>
      <w:tr w:rsidR="005E7671" w:rsidRPr="00A62566">
        <w:trPr>
          <w:cnfStyle w:val="000000100000"/>
          <w:trHeight w:val="364"/>
        </w:trPr>
        <w:tc>
          <w:tcPr>
            <w:cnfStyle w:val="001000000000"/>
            <w:tcW w:w="2864" w:type="dxa"/>
            <w:tcBorders>
              <w:right w:val="none" w:sz="0" w:space="0" w:color="auto"/>
            </w:tcBorders>
          </w:tcPr>
          <w:p w:rsidR="005E7671" w:rsidRPr="00A62566" w:rsidRDefault="005E7671" w:rsidP="00B24E02">
            <w:pPr>
              <w:rPr>
                <w:b w:val="0"/>
              </w:rPr>
            </w:pPr>
            <w:r w:rsidRPr="00A62566">
              <w:rPr>
                <w:b w:val="0"/>
              </w:rPr>
              <w:t>SUPER PAC</w:t>
            </w:r>
          </w:p>
        </w:tc>
        <w:tc>
          <w:tcPr>
            <w:tcW w:w="1742" w:type="dxa"/>
            <w:tcBorders>
              <w:left w:val="none" w:sz="0" w:space="0" w:color="auto"/>
              <w:right w:val="none" w:sz="0" w:space="0" w:color="auto"/>
            </w:tcBorders>
          </w:tcPr>
          <w:p w:rsidR="005E7671" w:rsidRPr="00A62566" w:rsidRDefault="005E7671" w:rsidP="00B24E02">
            <w:pPr>
              <w:cnfStyle w:val="000000100000"/>
            </w:pPr>
            <w:r w:rsidRPr="00A62566">
              <w:t>CANDIDATE</w:t>
            </w:r>
          </w:p>
        </w:tc>
        <w:tc>
          <w:tcPr>
            <w:tcW w:w="4412" w:type="dxa"/>
            <w:tcBorders>
              <w:left w:val="none" w:sz="0" w:space="0" w:color="auto"/>
            </w:tcBorders>
          </w:tcPr>
          <w:p w:rsidR="005E7671" w:rsidRPr="00A62566" w:rsidRDefault="005E7671" w:rsidP="00B24E02">
            <w:pPr>
              <w:cnfStyle w:val="000000100000"/>
            </w:pPr>
            <w:r w:rsidRPr="00A62566">
              <w:t>MAJOR PLAYERS</w:t>
            </w:r>
          </w:p>
        </w:tc>
      </w:tr>
      <w:tr w:rsidR="005E7671" w:rsidRPr="00A62566">
        <w:trPr>
          <w:cnfStyle w:val="000000010000"/>
          <w:trHeight w:val="1358"/>
        </w:trPr>
        <w:tc>
          <w:tcPr>
            <w:cnfStyle w:val="001000000000"/>
            <w:tcW w:w="2864" w:type="dxa"/>
            <w:tcBorders>
              <w:right w:val="none" w:sz="0" w:space="0" w:color="auto"/>
            </w:tcBorders>
          </w:tcPr>
          <w:p w:rsidR="005E7671" w:rsidRPr="00A62566" w:rsidRDefault="005E7671" w:rsidP="00B24E02">
            <w:pPr>
              <w:rPr>
                <w:b w:val="0"/>
              </w:rPr>
            </w:pPr>
            <w:r w:rsidRPr="00A62566">
              <w:rPr>
                <w:b w:val="0"/>
              </w:rPr>
              <w:t>Restore Our Future</w:t>
            </w:r>
          </w:p>
        </w:tc>
        <w:tc>
          <w:tcPr>
            <w:tcW w:w="1742" w:type="dxa"/>
            <w:tcBorders>
              <w:left w:val="none" w:sz="0" w:space="0" w:color="auto"/>
              <w:right w:val="none" w:sz="0" w:space="0" w:color="auto"/>
            </w:tcBorders>
          </w:tcPr>
          <w:p w:rsidR="005E7671" w:rsidRPr="00A62566" w:rsidRDefault="005E7671" w:rsidP="00B24E02">
            <w:pPr>
              <w:cnfStyle w:val="000000010000"/>
            </w:pPr>
            <w:r w:rsidRPr="00A62566">
              <w:t>ROMNEY</w:t>
            </w:r>
          </w:p>
        </w:tc>
        <w:tc>
          <w:tcPr>
            <w:tcW w:w="4412" w:type="dxa"/>
            <w:tcBorders>
              <w:left w:val="none" w:sz="0" w:space="0" w:color="auto"/>
            </w:tcBorders>
          </w:tcPr>
          <w:p w:rsidR="005E7671" w:rsidRPr="00A62566" w:rsidRDefault="005E7671" w:rsidP="00B24E02">
            <w:pPr>
              <w:cnfStyle w:val="000000010000"/>
            </w:pPr>
            <w:r w:rsidRPr="00A62566">
              <w:t>CARL FORTI-Romney’s 2008 Campaign Director now one of the leading front-men for ROF</w:t>
            </w:r>
          </w:p>
          <w:p w:rsidR="005E7671" w:rsidRPr="00A62566" w:rsidRDefault="005E7671" w:rsidP="00B24E02">
            <w:pPr>
              <w:cnfStyle w:val="000000010000"/>
            </w:pPr>
          </w:p>
          <w:p w:rsidR="005E7671" w:rsidRPr="00A62566" w:rsidRDefault="005E7671" w:rsidP="00B24E02">
            <w:pPr>
              <w:cnfStyle w:val="000000010000"/>
            </w:pPr>
            <w:r w:rsidRPr="00A62566">
              <w:t>CHARLES SPIES-Romney’s 2008 general counsel, treasurer of ROF</w:t>
            </w:r>
          </w:p>
        </w:tc>
      </w:tr>
      <w:tr w:rsidR="005E7671" w:rsidRPr="00A62566">
        <w:trPr>
          <w:cnfStyle w:val="000000100000"/>
          <w:trHeight w:val="1538"/>
        </w:trPr>
        <w:tc>
          <w:tcPr>
            <w:cnfStyle w:val="001000000000"/>
            <w:tcW w:w="2864" w:type="dxa"/>
            <w:tcBorders>
              <w:right w:val="none" w:sz="0" w:space="0" w:color="auto"/>
            </w:tcBorders>
          </w:tcPr>
          <w:p w:rsidR="005E7671" w:rsidRPr="00A62566" w:rsidRDefault="005E7671" w:rsidP="00B24E02">
            <w:pPr>
              <w:rPr>
                <w:b w:val="0"/>
              </w:rPr>
            </w:pPr>
            <w:r w:rsidRPr="00A62566">
              <w:rPr>
                <w:b w:val="0"/>
              </w:rPr>
              <w:t>Priorities USA Action</w:t>
            </w:r>
          </w:p>
        </w:tc>
        <w:tc>
          <w:tcPr>
            <w:tcW w:w="1742" w:type="dxa"/>
            <w:tcBorders>
              <w:left w:val="none" w:sz="0" w:space="0" w:color="auto"/>
              <w:right w:val="none" w:sz="0" w:space="0" w:color="auto"/>
            </w:tcBorders>
          </w:tcPr>
          <w:p w:rsidR="005E7671" w:rsidRPr="00A62566" w:rsidRDefault="005E7671" w:rsidP="00B24E02">
            <w:pPr>
              <w:cnfStyle w:val="000000100000"/>
            </w:pPr>
            <w:r w:rsidRPr="00A62566">
              <w:t>OBAMA</w:t>
            </w:r>
          </w:p>
        </w:tc>
        <w:tc>
          <w:tcPr>
            <w:tcW w:w="4412" w:type="dxa"/>
            <w:tcBorders>
              <w:left w:val="none" w:sz="0" w:space="0" w:color="auto"/>
            </w:tcBorders>
          </w:tcPr>
          <w:p w:rsidR="005E7671" w:rsidRPr="00A62566" w:rsidRDefault="005E7671" w:rsidP="00B24E02">
            <w:pPr>
              <w:cnfStyle w:val="000000100000"/>
            </w:pPr>
            <w:r w:rsidRPr="00A62566">
              <w:t>SEAN SWEENEY- former OBAMA White House aide. Co-founder of PRIORITIES with</w:t>
            </w:r>
          </w:p>
          <w:p w:rsidR="005E7671" w:rsidRPr="00A62566" w:rsidRDefault="005E7671" w:rsidP="00B24E02">
            <w:pPr>
              <w:cnfStyle w:val="000000100000"/>
            </w:pPr>
          </w:p>
          <w:p w:rsidR="005E7671" w:rsidRPr="00A62566" w:rsidRDefault="005E7671" w:rsidP="00B24E02">
            <w:pPr>
              <w:cnfStyle w:val="000000100000"/>
            </w:pPr>
            <w:r w:rsidRPr="00A62566">
              <w:t>BILL BURTON- former White House deputy press secretary</w:t>
            </w:r>
          </w:p>
        </w:tc>
      </w:tr>
      <w:tr w:rsidR="005E7671" w:rsidRPr="00A62566">
        <w:trPr>
          <w:cnfStyle w:val="000000010000"/>
          <w:trHeight w:val="1363"/>
        </w:trPr>
        <w:tc>
          <w:tcPr>
            <w:cnfStyle w:val="001000000000"/>
            <w:tcW w:w="2864" w:type="dxa"/>
            <w:tcBorders>
              <w:right w:val="none" w:sz="0" w:space="0" w:color="auto"/>
            </w:tcBorders>
          </w:tcPr>
          <w:p w:rsidR="005E7671" w:rsidRPr="00A62566" w:rsidRDefault="005E7671" w:rsidP="00B24E02">
            <w:pPr>
              <w:rPr>
                <w:b w:val="0"/>
              </w:rPr>
            </w:pPr>
            <w:r w:rsidRPr="00A62566">
              <w:rPr>
                <w:b w:val="0"/>
              </w:rPr>
              <w:t>Winning Our Future</w:t>
            </w:r>
          </w:p>
        </w:tc>
        <w:tc>
          <w:tcPr>
            <w:tcW w:w="1742" w:type="dxa"/>
            <w:tcBorders>
              <w:left w:val="none" w:sz="0" w:space="0" w:color="auto"/>
              <w:right w:val="none" w:sz="0" w:space="0" w:color="auto"/>
            </w:tcBorders>
          </w:tcPr>
          <w:p w:rsidR="005E7671" w:rsidRPr="00A62566" w:rsidRDefault="005E7671" w:rsidP="00B24E02">
            <w:pPr>
              <w:cnfStyle w:val="000000010000"/>
            </w:pPr>
            <w:r w:rsidRPr="00A62566">
              <w:t>GINGRICH</w:t>
            </w:r>
          </w:p>
        </w:tc>
        <w:tc>
          <w:tcPr>
            <w:tcW w:w="4412" w:type="dxa"/>
            <w:tcBorders>
              <w:left w:val="none" w:sz="0" w:space="0" w:color="auto"/>
            </w:tcBorders>
          </w:tcPr>
          <w:p w:rsidR="005E7671" w:rsidRPr="00A62566" w:rsidRDefault="005E7671" w:rsidP="00B24E02">
            <w:pPr>
              <w:cnfStyle w:val="000000010000"/>
            </w:pPr>
            <w:r w:rsidRPr="00A62566">
              <w:t>RICK TYLER- former Gingrich campaign spokesperson, now face of WOF.</w:t>
            </w:r>
          </w:p>
          <w:p w:rsidR="005E7671" w:rsidRPr="00A62566" w:rsidRDefault="005E7671" w:rsidP="00B24E02">
            <w:pPr>
              <w:cnfStyle w:val="000000010000"/>
            </w:pPr>
          </w:p>
          <w:p w:rsidR="005E7671" w:rsidRPr="00A62566" w:rsidRDefault="005E7671" w:rsidP="00B24E02">
            <w:pPr>
              <w:cnfStyle w:val="000000010000"/>
            </w:pPr>
            <w:r w:rsidRPr="00A62566">
              <w:t>BECKY BURKETT-former Gingrich aide, started WOF</w:t>
            </w:r>
          </w:p>
        </w:tc>
      </w:tr>
      <w:tr w:rsidR="005E7671" w:rsidRPr="00A62566">
        <w:trPr>
          <w:cnfStyle w:val="000000100000"/>
          <w:trHeight w:val="607"/>
        </w:trPr>
        <w:tc>
          <w:tcPr>
            <w:cnfStyle w:val="001000000000"/>
            <w:tcW w:w="2864" w:type="dxa"/>
            <w:tcBorders>
              <w:right w:val="none" w:sz="0" w:space="0" w:color="auto"/>
            </w:tcBorders>
          </w:tcPr>
          <w:p w:rsidR="005E7671" w:rsidRPr="00A62566" w:rsidRDefault="005E7671" w:rsidP="00B24E02">
            <w:pPr>
              <w:rPr>
                <w:b w:val="0"/>
              </w:rPr>
            </w:pPr>
            <w:r w:rsidRPr="00A62566">
              <w:rPr>
                <w:b w:val="0"/>
              </w:rPr>
              <w:t>RED, WHITE, and BLUE</w:t>
            </w:r>
          </w:p>
        </w:tc>
        <w:tc>
          <w:tcPr>
            <w:tcW w:w="1742" w:type="dxa"/>
            <w:tcBorders>
              <w:left w:val="none" w:sz="0" w:space="0" w:color="auto"/>
              <w:right w:val="none" w:sz="0" w:space="0" w:color="auto"/>
            </w:tcBorders>
          </w:tcPr>
          <w:p w:rsidR="005E7671" w:rsidRPr="00A62566" w:rsidRDefault="005E7671" w:rsidP="00B24E02">
            <w:pPr>
              <w:cnfStyle w:val="000000100000"/>
            </w:pPr>
            <w:r w:rsidRPr="00A62566">
              <w:t>SANTORUM</w:t>
            </w:r>
          </w:p>
        </w:tc>
        <w:tc>
          <w:tcPr>
            <w:tcW w:w="4412" w:type="dxa"/>
            <w:tcBorders>
              <w:left w:val="none" w:sz="0" w:space="0" w:color="auto"/>
            </w:tcBorders>
          </w:tcPr>
          <w:p w:rsidR="005E7671" w:rsidRPr="00A62566" w:rsidRDefault="005E7671" w:rsidP="00B24E02">
            <w:pPr>
              <w:cnfStyle w:val="000000100000"/>
            </w:pPr>
            <w:r w:rsidRPr="00A62566">
              <w:t>NICK RYAN- former Santorum aide, founder of RW&amp;B.</w:t>
            </w:r>
          </w:p>
        </w:tc>
      </w:tr>
    </w:tbl>
    <w:p w:rsidR="004C4998" w:rsidRDefault="004C4998" w:rsidP="005E7671">
      <w:pPr>
        <w:spacing w:line="480" w:lineRule="auto"/>
        <w:rPr>
          <w:rFonts w:ascii="Times New Roman" w:hAnsi="Times New Roman"/>
        </w:rPr>
      </w:pPr>
    </w:p>
    <w:p w:rsidR="005E7671" w:rsidRDefault="005E7671" w:rsidP="005E7671">
      <w:pPr>
        <w:spacing w:line="480" w:lineRule="auto"/>
        <w:rPr>
          <w:rFonts w:ascii="Times New Roman" w:hAnsi="Times New Roman"/>
        </w:rPr>
      </w:pPr>
      <w:r>
        <w:rPr>
          <w:rFonts w:ascii="Times New Roman" w:hAnsi="Times New Roman"/>
        </w:rPr>
        <w:t xml:space="preserve">This close association between a candidate and the people running the PAC supporting that candidate raises serious implications. It allows the candidate to feel comfortable having someone do the dirty work of raising and spending money on electioneering communications that advance </w:t>
      </w:r>
      <w:r w:rsidR="00963467">
        <w:rPr>
          <w:rFonts w:ascii="Times New Roman" w:hAnsi="Times New Roman"/>
        </w:rPr>
        <w:t>their</w:t>
      </w:r>
      <w:r>
        <w:rPr>
          <w:rFonts w:ascii="Times New Roman" w:hAnsi="Times New Roman"/>
        </w:rPr>
        <w:t xml:space="preserve"> political message. </w:t>
      </w:r>
      <w:r w:rsidR="00A55E92">
        <w:rPr>
          <w:rFonts w:ascii="Times New Roman" w:hAnsi="Times New Roman"/>
        </w:rPr>
        <w:t>It is true that men and women have long been hired to raise and spend money in the political realm</w:t>
      </w:r>
      <w:r w:rsidR="00F226DD">
        <w:rPr>
          <w:rFonts w:ascii="Times New Roman" w:hAnsi="Times New Roman"/>
        </w:rPr>
        <w:t>. However,</w:t>
      </w:r>
      <w:r w:rsidR="00952062">
        <w:rPr>
          <w:rFonts w:ascii="Times New Roman" w:hAnsi="Times New Roman"/>
        </w:rPr>
        <w:t xml:space="preserve"> I see one notable</w:t>
      </w:r>
      <w:r w:rsidR="00A55E92">
        <w:rPr>
          <w:rFonts w:ascii="Times New Roman" w:hAnsi="Times New Roman"/>
        </w:rPr>
        <w:t xml:space="preserve"> difference </w:t>
      </w:r>
      <w:r w:rsidR="00F226DD">
        <w:rPr>
          <w:rFonts w:ascii="Times New Roman" w:hAnsi="Times New Roman"/>
        </w:rPr>
        <w:t>with</w:t>
      </w:r>
      <w:r w:rsidR="00A55E92">
        <w:rPr>
          <w:rFonts w:ascii="Times New Roman" w:hAnsi="Times New Roman"/>
        </w:rPr>
        <w:t xml:space="preserve"> Super PAC leaders </w:t>
      </w:r>
      <w:r w:rsidR="00F226DD">
        <w:rPr>
          <w:rFonts w:ascii="Times New Roman" w:hAnsi="Times New Roman"/>
        </w:rPr>
        <w:t xml:space="preserve">in this new era of campaign finance and people hired to raise </w:t>
      </w:r>
      <w:r w:rsidR="00952062">
        <w:rPr>
          <w:rFonts w:ascii="Times New Roman" w:hAnsi="Times New Roman"/>
        </w:rPr>
        <w:t>money by candidates or committees in the past</w:t>
      </w:r>
      <w:r w:rsidR="00A55E92">
        <w:rPr>
          <w:rFonts w:ascii="Times New Roman" w:hAnsi="Times New Roman"/>
        </w:rPr>
        <w:t>.</w:t>
      </w:r>
      <w:r w:rsidR="00952062">
        <w:rPr>
          <w:rFonts w:ascii="Times New Roman" w:hAnsi="Times New Roman"/>
        </w:rPr>
        <w:t xml:space="preserve"> The Super PAC vehicle and those driving are now more powerful than the candidate and his/her fundraising teams.</w:t>
      </w:r>
      <w:r w:rsidR="00A55E92">
        <w:rPr>
          <w:rFonts w:ascii="Times New Roman" w:hAnsi="Times New Roman"/>
        </w:rPr>
        <w:t xml:space="preserve"> </w:t>
      </w:r>
      <w:r>
        <w:rPr>
          <w:rFonts w:ascii="Times New Roman" w:hAnsi="Times New Roman"/>
        </w:rPr>
        <w:t>Rick Tyler and Carl Forti are two men that know what Newt Gingrich and Mitt Romney believe in and what their political ideologies are having worked with the candidates on previous campaigns.</w:t>
      </w:r>
      <w:r w:rsidR="00A55E92">
        <w:rPr>
          <w:rFonts w:ascii="Times New Roman" w:hAnsi="Times New Roman"/>
        </w:rPr>
        <w:t xml:space="preserve"> Why work for these two candidates directly when Mr. Forti or Mr. Tyler can have a much greater impact on political activity with a Super PAC?</w:t>
      </w:r>
      <w:r>
        <w:rPr>
          <w:rFonts w:ascii="Times New Roman" w:hAnsi="Times New Roman"/>
        </w:rPr>
        <w:t xml:space="preserve"> While many would view this as an advantage for the candidate to be able to sit back and watch a committee do their work for them, it can be argued that this could potentially have detrimental affects on the public’s perception of the candidate as well. If a candidate aligns his or herself too closely with a Super PAC and that PAC makes claims that are ultimately false or perceived in a negative light, there is a chance this negative perception could be transferred to the candidate.</w:t>
      </w:r>
      <w:r w:rsidR="0022339F">
        <w:rPr>
          <w:rStyle w:val="FootnoteReference"/>
          <w:rFonts w:ascii="Times New Roman" w:hAnsi="Times New Roman"/>
        </w:rPr>
        <w:footnoteReference w:customMarkFollows="1" w:id="69"/>
        <w:t>70</w:t>
      </w:r>
      <w:r>
        <w:rPr>
          <w:rFonts w:ascii="Times New Roman" w:hAnsi="Times New Roman"/>
        </w:rPr>
        <w:t xml:space="preserve"> This happened recently when one of Rick Santorum’s biggest Red, White, and Blue donors, Foster Friess, made controversial statements about birth control. Friess has contributed hundreds of thousands of dollars to Santorum’s super PAC and offered to continue donating as much money as the PAC needed to stay afloat in the GOP race. Santorum, when asked about Friess’s comments responded, “This is someone who is a supporter of mine, and I’m not responsible for every comment that a supporter of mine makes.” </w:t>
      </w:r>
      <w:r w:rsidR="0022339F">
        <w:rPr>
          <w:rStyle w:val="FootnoteReference"/>
          <w:rFonts w:ascii="Times New Roman" w:hAnsi="Times New Roman"/>
        </w:rPr>
        <w:footnoteReference w:customMarkFollows="1" w:id="70"/>
        <w:t>71</w:t>
      </w:r>
      <w:r>
        <w:rPr>
          <w:rFonts w:ascii="Times New Roman" w:hAnsi="Times New Roman"/>
        </w:rPr>
        <w:t xml:space="preserve"> He further remarked it was “not reflective of me or my record on this issue.” </w:t>
      </w:r>
    </w:p>
    <w:p w:rsidR="005E7671" w:rsidRDefault="005E7671" w:rsidP="005E7671">
      <w:pPr>
        <w:spacing w:line="480" w:lineRule="auto"/>
        <w:rPr>
          <w:rFonts w:ascii="Times New Roman" w:hAnsi="Times New Roman"/>
        </w:rPr>
      </w:pPr>
      <w:r>
        <w:rPr>
          <w:rFonts w:ascii="Times New Roman" w:hAnsi="Times New Roman"/>
        </w:rPr>
        <w:tab/>
        <w:t>I believe the line is being skirted too closely for the American people not to fear quid pro quo rising up out of the framework of super PACS and candidates. When a candidate like Rick Santorum is traveling the country with arguably his Super PAC’s biggest donor, Foster Friess, and Mr. Friess is introducing him at fundraising events, I think the average voter should feel uncomfortable over the possibility of future quid pro quo.</w:t>
      </w:r>
      <w:r w:rsidR="0022339F">
        <w:rPr>
          <w:rStyle w:val="FootnoteReference"/>
          <w:rFonts w:ascii="Times New Roman" w:hAnsi="Times New Roman"/>
        </w:rPr>
        <w:footnoteReference w:customMarkFollows="1" w:id="71"/>
        <w:t>72</w:t>
      </w:r>
      <w:r>
        <w:rPr>
          <w:rFonts w:ascii="Times New Roman" w:hAnsi="Times New Roman"/>
        </w:rPr>
        <w:t xml:space="preserve"> Also, FEC filings of recent Super PAC’s receipts have raised quid pro quo questions as well. For example, in the late January FEC filing of the Red, White, and Blue fund, receipts showed half a million dollars were spent paying a direct mail firm created by none other than Nick Ryan. Nick Ryan is a former Santorum aide and founder of the Red, White, and Blue Super PAC. “People who are raising the money are paying themselves with these funds, [something] I don’t think that’s appropriate,” said Dale Emmons, president of the American Association of Political Consultants.</w:t>
      </w:r>
      <w:r w:rsidR="00D5164B">
        <w:rPr>
          <w:rStyle w:val="FootnoteReference"/>
          <w:rFonts w:ascii="Times New Roman" w:hAnsi="Times New Roman"/>
        </w:rPr>
        <w:footnoteReference w:customMarkFollows="1" w:id="72"/>
        <w:t>73</w:t>
      </w:r>
      <w:r>
        <w:rPr>
          <w:rFonts w:ascii="Times New Roman" w:hAnsi="Times New Roman"/>
        </w:rPr>
        <w:t xml:space="preserve"> Other Super PACs receipts reveal interesting spending habits as well. Winning Our Future, the pro-Newt Gingrich Super PAC, paid the President of the committee, Becky Burkett, $206,000 in January for “executive management and fundraising services.”</w:t>
      </w:r>
      <w:r w:rsidR="00D5164B">
        <w:rPr>
          <w:rStyle w:val="FootnoteReference"/>
          <w:rFonts w:ascii="Times New Roman" w:hAnsi="Times New Roman"/>
        </w:rPr>
        <w:footnoteReference w:customMarkFollows="1" w:id="73"/>
        <w:t>74</w:t>
      </w:r>
      <w:r>
        <w:rPr>
          <w:rFonts w:ascii="Times New Roman" w:hAnsi="Times New Roman"/>
        </w:rPr>
        <w:t xml:space="preserve"> When asked about this, Winning our Future spokesperson Rick Tyler defended the Committee’s actions saying the payment was based on “fundraising successes” and that salaries of committee employees were determined by himself, Burkett, and managing director Gregg Phillips. This leaves an uneasy feeling in how transparent Super PACs really are even when disclo</w:t>
      </w:r>
      <w:r w:rsidR="00D5164B">
        <w:rPr>
          <w:rFonts w:ascii="Times New Roman" w:hAnsi="Times New Roman"/>
        </w:rPr>
        <w:t>sure requirements are mandated.</w:t>
      </w:r>
    </w:p>
    <w:p w:rsidR="005E7671" w:rsidRDefault="005E7671" w:rsidP="005E7671">
      <w:pPr>
        <w:spacing w:line="480" w:lineRule="auto"/>
        <w:rPr>
          <w:rFonts w:ascii="Times New Roman" w:hAnsi="Times New Roman"/>
        </w:rPr>
      </w:pPr>
      <w:r>
        <w:rPr>
          <w:rFonts w:ascii="Times New Roman" w:hAnsi="Times New Roman"/>
        </w:rPr>
        <w:tab/>
        <w:t>While PACs are raising millions of dollars and being operated by friends and former colleagues of candidates, Fred Wertheimer argues that, “Super PACs allow relatively few super-rich individuals to have greatly magnified and undue influence over the result of our elections.”</w:t>
      </w:r>
      <w:r w:rsidR="00D5164B">
        <w:rPr>
          <w:rStyle w:val="FootnoteReference"/>
          <w:rFonts w:ascii="Times New Roman" w:hAnsi="Times New Roman"/>
        </w:rPr>
        <w:footnoteReference w:customMarkFollows="1" w:id="74"/>
        <w:t>75</w:t>
      </w:r>
      <w:r>
        <w:rPr>
          <w:rFonts w:ascii="Times New Roman" w:hAnsi="Times New Roman"/>
        </w:rPr>
        <w:t xml:space="preserve"> </w:t>
      </w:r>
      <w:r w:rsidR="00380983">
        <w:rPr>
          <w:rFonts w:ascii="Times New Roman" w:hAnsi="Times New Roman"/>
        </w:rPr>
        <w:t>The man who is known as being “the country’s leading proponent of campa</w:t>
      </w:r>
      <w:r w:rsidR="006D4819">
        <w:rPr>
          <w:rFonts w:ascii="Times New Roman" w:hAnsi="Times New Roman"/>
        </w:rPr>
        <w:t>ign finance reform,</w:t>
      </w:r>
      <w:r w:rsidR="00D5164B">
        <w:rPr>
          <w:rStyle w:val="FootnoteReference"/>
          <w:rFonts w:ascii="Times New Roman" w:hAnsi="Times New Roman"/>
        </w:rPr>
        <w:footnoteReference w:customMarkFollows="1" w:id="75"/>
        <w:t>76</w:t>
      </w:r>
      <w:r w:rsidR="006D4819">
        <w:rPr>
          <w:rFonts w:ascii="Times New Roman" w:hAnsi="Times New Roman"/>
        </w:rPr>
        <w:t xml:space="preserve">” Wertheimer runs Democracy 21, one of the most well known watchdog groups that advocate on behalf of campaign finance reform. </w:t>
      </w:r>
      <w:r>
        <w:rPr>
          <w:rFonts w:ascii="Times New Roman" w:hAnsi="Times New Roman"/>
        </w:rPr>
        <w:t>Using data listed in a New York Times Article</w:t>
      </w:r>
      <w:r w:rsidR="00D5164B">
        <w:rPr>
          <w:rStyle w:val="FootnoteReference"/>
          <w:rFonts w:ascii="Times New Roman" w:hAnsi="Times New Roman"/>
        </w:rPr>
        <w:footnoteReference w:customMarkFollows="1" w:id="76"/>
        <w:t>77</w:t>
      </w:r>
      <w:r>
        <w:rPr>
          <w:rFonts w:ascii="Times New Roman" w:hAnsi="Times New Roman"/>
        </w:rPr>
        <w:t xml:space="preserve">, the chart below lists the five major Super PACs and their biggest donors. The data comes from the FEC filings released in January and offers a few interesting conclusions. </w:t>
      </w:r>
    </w:p>
    <w:tbl>
      <w:tblPr>
        <w:tblStyle w:val="DarkList-Accent1"/>
        <w:tblpPr w:leftFromText="180" w:rightFromText="180" w:vertAnchor="text" w:horzAnchor="page" w:tblpX="1189" w:tblpY="642"/>
        <w:tblW w:w="9726" w:type="dxa"/>
        <w:tblLook w:val="0420"/>
      </w:tblPr>
      <w:tblGrid>
        <w:gridCol w:w="2808"/>
        <w:gridCol w:w="2160"/>
        <w:gridCol w:w="4758"/>
      </w:tblGrid>
      <w:tr w:rsidR="00D5164B">
        <w:trPr>
          <w:cnfStyle w:val="100000000000"/>
          <w:trHeight w:val="450"/>
        </w:trPr>
        <w:tc>
          <w:tcPr>
            <w:tcW w:w="2808" w:type="dxa"/>
          </w:tcPr>
          <w:p w:rsidR="00D5164B" w:rsidRDefault="00D5164B" w:rsidP="00D5164B">
            <w:pPr>
              <w:jc w:val="center"/>
            </w:pPr>
            <w:r>
              <w:t>SUPER PAC</w:t>
            </w:r>
          </w:p>
        </w:tc>
        <w:tc>
          <w:tcPr>
            <w:tcW w:w="2160" w:type="dxa"/>
          </w:tcPr>
          <w:p w:rsidR="00D5164B" w:rsidRDefault="00D5164B" w:rsidP="00D5164B">
            <w:pPr>
              <w:jc w:val="center"/>
            </w:pPr>
            <w:r>
              <w:t>Percentage of “Large Donors”</w:t>
            </w:r>
          </w:p>
        </w:tc>
        <w:tc>
          <w:tcPr>
            <w:tcW w:w="4758" w:type="dxa"/>
          </w:tcPr>
          <w:p w:rsidR="00D5164B" w:rsidRDefault="00D5164B" w:rsidP="00D5164B">
            <w:pPr>
              <w:jc w:val="center"/>
            </w:pPr>
            <w:r>
              <w:t>Biggest Donors</w:t>
            </w:r>
          </w:p>
        </w:tc>
      </w:tr>
      <w:tr w:rsidR="00D5164B">
        <w:trPr>
          <w:cnfStyle w:val="000000100000"/>
          <w:trHeight w:val="873"/>
        </w:trPr>
        <w:tc>
          <w:tcPr>
            <w:tcW w:w="2808" w:type="dxa"/>
          </w:tcPr>
          <w:p w:rsidR="00D5164B" w:rsidRDefault="00D5164B" w:rsidP="00D5164B"/>
          <w:p w:rsidR="00D5164B" w:rsidRDefault="00D5164B" w:rsidP="00D5164B">
            <w:pPr>
              <w:jc w:val="center"/>
            </w:pPr>
            <w:r>
              <w:t>Restore our Future</w:t>
            </w:r>
          </w:p>
        </w:tc>
        <w:tc>
          <w:tcPr>
            <w:tcW w:w="2160" w:type="dxa"/>
          </w:tcPr>
          <w:p w:rsidR="00D5164B" w:rsidRDefault="00D5164B" w:rsidP="00D5164B">
            <w:pPr>
              <w:jc w:val="center"/>
            </w:pPr>
          </w:p>
          <w:p w:rsidR="00D5164B" w:rsidRDefault="00D5164B" w:rsidP="00D5164B">
            <w:pPr>
              <w:jc w:val="center"/>
            </w:pPr>
            <w:r>
              <w:t>97%</w:t>
            </w:r>
          </w:p>
        </w:tc>
        <w:tc>
          <w:tcPr>
            <w:tcW w:w="4758" w:type="dxa"/>
          </w:tcPr>
          <w:p w:rsidR="00D5164B" w:rsidRDefault="00D5164B" w:rsidP="00D5164B">
            <w:r>
              <w:t>Bob Perry- $4m from Houston homebuilder</w:t>
            </w:r>
          </w:p>
          <w:p w:rsidR="00D5164B" w:rsidRDefault="00D5164B" w:rsidP="00D5164B"/>
          <w:p w:rsidR="00D5164B" w:rsidRDefault="00D5164B" w:rsidP="00D5164B">
            <w:r>
              <w:t>Julian Robertson- $1.3m from Tiger Management founder</w:t>
            </w:r>
          </w:p>
        </w:tc>
      </w:tr>
      <w:tr w:rsidR="00D5164B">
        <w:trPr>
          <w:trHeight w:val="1080"/>
        </w:trPr>
        <w:tc>
          <w:tcPr>
            <w:tcW w:w="2808" w:type="dxa"/>
          </w:tcPr>
          <w:p w:rsidR="00D5164B" w:rsidRDefault="00D5164B" w:rsidP="00D5164B">
            <w:pPr>
              <w:jc w:val="center"/>
            </w:pPr>
          </w:p>
          <w:p w:rsidR="00D5164B" w:rsidRDefault="00D5164B" w:rsidP="00D5164B">
            <w:pPr>
              <w:jc w:val="center"/>
            </w:pPr>
            <w:r>
              <w:t>Winning Our Future</w:t>
            </w:r>
          </w:p>
        </w:tc>
        <w:tc>
          <w:tcPr>
            <w:tcW w:w="2160" w:type="dxa"/>
          </w:tcPr>
          <w:p w:rsidR="00D5164B" w:rsidRDefault="00D5164B" w:rsidP="00D5164B"/>
          <w:p w:rsidR="00D5164B" w:rsidRDefault="00D5164B" w:rsidP="00D5164B">
            <w:pPr>
              <w:jc w:val="center"/>
            </w:pPr>
            <w:r>
              <w:t>99%</w:t>
            </w:r>
          </w:p>
        </w:tc>
        <w:tc>
          <w:tcPr>
            <w:tcW w:w="4758" w:type="dxa"/>
          </w:tcPr>
          <w:p w:rsidR="00D5164B" w:rsidRDefault="00D5164B" w:rsidP="00D5164B"/>
          <w:p w:rsidR="00D5164B" w:rsidRDefault="00D5164B" w:rsidP="00D5164B">
            <w:r>
              <w:t>Sheldon and Miriam Adelson- $10m from billionaire Las Vegas casino moguls</w:t>
            </w:r>
          </w:p>
          <w:p w:rsidR="00D5164B" w:rsidRDefault="00D5164B" w:rsidP="00D5164B"/>
          <w:p w:rsidR="00D5164B" w:rsidRDefault="00D5164B" w:rsidP="00D5164B"/>
        </w:tc>
      </w:tr>
      <w:tr w:rsidR="00D5164B">
        <w:trPr>
          <w:cnfStyle w:val="000000100000"/>
          <w:trHeight w:val="1260"/>
        </w:trPr>
        <w:tc>
          <w:tcPr>
            <w:tcW w:w="2808" w:type="dxa"/>
          </w:tcPr>
          <w:p w:rsidR="00D5164B" w:rsidRDefault="00D5164B" w:rsidP="00D5164B"/>
          <w:p w:rsidR="00D5164B" w:rsidRDefault="00D5164B" w:rsidP="00D5164B">
            <w:pPr>
              <w:jc w:val="center"/>
            </w:pPr>
            <w:r>
              <w:t>Priorities USA Action</w:t>
            </w:r>
          </w:p>
        </w:tc>
        <w:tc>
          <w:tcPr>
            <w:tcW w:w="2160" w:type="dxa"/>
          </w:tcPr>
          <w:p w:rsidR="00D5164B" w:rsidRDefault="00D5164B" w:rsidP="00D5164B"/>
          <w:p w:rsidR="00D5164B" w:rsidRDefault="00D5164B" w:rsidP="00D5164B">
            <w:pPr>
              <w:jc w:val="center"/>
            </w:pPr>
            <w:r>
              <w:t>95%</w:t>
            </w:r>
          </w:p>
        </w:tc>
        <w:tc>
          <w:tcPr>
            <w:tcW w:w="4758" w:type="dxa"/>
          </w:tcPr>
          <w:p w:rsidR="00D5164B" w:rsidRDefault="00D5164B" w:rsidP="00D5164B">
            <w:r>
              <w:t xml:space="preserve">Jeffrey Katzenberg- $2m from </w:t>
            </w:r>
            <w:r w:rsidR="003073C5">
              <w:t>DreamWorks</w:t>
            </w:r>
            <w:r>
              <w:t xml:space="preserve"> Animation chief executive</w:t>
            </w:r>
          </w:p>
          <w:p w:rsidR="00D5164B" w:rsidRDefault="00D5164B" w:rsidP="00D5164B"/>
          <w:p w:rsidR="00D5164B" w:rsidRDefault="00D5164B" w:rsidP="00D5164B">
            <w:r>
              <w:t>Bill Maher- $1m from Hollywood comedian</w:t>
            </w:r>
          </w:p>
        </w:tc>
      </w:tr>
      <w:tr w:rsidR="00D5164B">
        <w:trPr>
          <w:trHeight w:val="900"/>
        </w:trPr>
        <w:tc>
          <w:tcPr>
            <w:tcW w:w="2808" w:type="dxa"/>
          </w:tcPr>
          <w:p w:rsidR="00D5164B" w:rsidRDefault="00D5164B" w:rsidP="00D5164B">
            <w:pPr>
              <w:jc w:val="center"/>
            </w:pPr>
          </w:p>
          <w:p w:rsidR="00D5164B" w:rsidRDefault="00D5164B" w:rsidP="00D5164B">
            <w:pPr>
              <w:jc w:val="center"/>
            </w:pPr>
            <w:r>
              <w:t>Red, White, and Blue Fund</w:t>
            </w:r>
          </w:p>
        </w:tc>
        <w:tc>
          <w:tcPr>
            <w:tcW w:w="2160" w:type="dxa"/>
          </w:tcPr>
          <w:p w:rsidR="00D5164B" w:rsidRDefault="00D5164B" w:rsidP="00D5164B"/>
          <w:p w:rsidR="00D5164B" w:rsidRDefault="00D5164B" w:rsidP="00D5164B">
            <w:pPr>
              <w:jc w:val="center"/>
            </w:pPr>
            <w:r>
              <w:t>94%</w:t>
            </w:r>
          </w:p>
        </w:tc>
        <w:tc>
          <w:tcPr>
            <w:tcW w:w="4758" w:type="dxa"/>
          </w:tcPr>
          <w:p w:rsidR="00D5164B" w:rsidRDefault="00D5164B" w:rsidP="00D5164B"/>
          <w:p w:rsidR="00D5164B" w:rsidRDefault="00D5164B" w:rsidP="00D5164B">
            <w:r>
              <w:t>Foster F. Friess- $1.6m from mutual fund manager</w:t>
            </w:r>
          </w:p>
          <w:p w:rsidR="00D5164B" w:rsidRDefault="00D5164B" w:rsidP="00D5164B"/>
        </w:tc>
      </w:tr>
      <w:tr w:rsidR="00D5164B">
        <w:trPr>
          <w:cnfStyle w:val="000000100000"/>
          <w:trHeight w:val="990"/>
        </w:trPr>
        <w:tc>
          <w:tcPr>
            <w:tcW w:w="2808" w:type="dxa"/>
          </w:tcPr>
          <w:p w:rsidR="00D5164B" w:rsidRDefault="00D5164B" w:rsidP="00D5164B">
            <w:pPr>
              <w:jc w:val="center"/>
            </w:pPr>
          </w:p>
          <w:p w:rsidR="00D5164B" w:rsidRDefault="00D5164B" w:rsidP="00D5164B">
            <w:pPr>
              <w:jc w:val="center"/>
            </w:pPr>
            <w:r>
              <w:t>Make Us Great Again</w:t>
            </w:r>
          </w:p>
        </w:tc>
        <w:tc>
          <w:tcPr>
            <w:tcW w:w="2160" w:type="dxa"/>
          </w:tcPr>
          <w:p w:rsidR="00D5164B" w:rsidRDefault="00D5164B" w:rsidP="00D5164B"/>
          <w:p w:rsidR="00D5164B" w:rsidRDefault="00D5164B" w:rsidP="00D5164B">
            <w:pPr>
              <w:jc w:val="center"/>
            </w:pPr>
            <w:r>
              <w:t>97%</w:t>
            </w:r>
          </w:p>
        </w:tc>
        <w:tc>
          <w:tcPr>
            <w:tcW w:w="4758" w:type="dxa"/>
          </w:tcPr>
          <w:p w:rsidR="00D5164B" w:rsidRDefault="00D5164B" w:rsidP="00D5164B"/>
          <w:p w:rsidR="00D5164B" w:rsidRDefault="00D5164B" w:rsidP="00D5164B">
            <w:r>
              <w:t>Contran Corporation- $1m from holding company owned by Harold Simmons</w:t>
            </w:r>
          </w:p>
        </w:tc>
      </w:tr>
    </w:tbl>
    <w:p w:rsidR="005E7671" w:rsidRDefault="005E7671" w:rsidP="005E7671">
      <w:pPr>
        <w:spacing w:line="480" w:lineRule="auto"/>
        <w:rPr>
          <w:rFonts w:ascii="Times New Roman" w:hAnsi="Times New Roman"/>
        </w:rPr>
      </w:pPr>
    </w:p>
    <w:p w:rsidR="005E7671" w:rsidRDefault="005E7671" w:rsidP="005E7671">
      <w:pPr>
        <w:spacing w:line="480" w:lineRule="auto"/>
        <w:rPr>
          <w:rFonts w:ascii="Times New Roman" w:hAnsi="Times New Roman"/>
        </w:rPr>
      </w:pPr>
      <w:r>
        <w:rPr>
          <w:rFonts w:ascii="Times New Roman" w:hAnsi="Times New Roman"/>
        </w:rPr>
        <w:tab/>
      </w:r>
    </w:p>
    <w:p w:rsidR="005E7671" w:rsidRDefault="005E7671" w:rsidP="005E7671">
      <w:pPr>
        <w:spacing w:line="480" w:lineRule="auto"/>
        <w:rPr>
          <w:rFonts w:ascii="Times New Roman" w:hAnsi="Times New Roman"/>
        </w:rPr>
      </w:pPr>
      <w:r>
        <w:rPr>
          <w:rFonts w:ascii="Times New Roman" w:hAnsi="Times New Roman"/>
        </w:rPr>
        <w:tab/>
        <w:t>First, the most interesting statistic is the percentage of large donors. Large donors are categorized as people whose donation exceeds $25,000.With every PAC receiving more than 90% of its donation in $25,000 or more donations, it’s easy to see why some people believe wealthy elitists are the only ones taking advantage of avenues that reflect undue influence over the electoral system. In the particular case of the GOP race, some political analysts believe that the backing of wealthy donors has allowed some candidates to stay in the race lo</w:t>
      </w:r>
      <w:r w:rsidR="00EA13EE">
        <w:rPr>
          <w:rFonts w:ascii="Times New Roman" w:hAnsi="Times New Roman"/>
        </w:rPr>
        <w:t>nger than they ordinarily would have in the pre-Super PAC era.</w:t>
      </w:r>
      <w:r>
        <w:rPr>
          <w:rFonts w:ascii="Times New Roman" w:hAnsi="Times New Roman"/>
        </w:rPr>
        <w:t xml:space="preserve"> This makes sense for a variety of reasons. The candidates no longer have to spend as much of their own money on the advancement of their political agenda because Super PACs now do that for them. When Sheldon and Miriam Adelson give Winning Our Future </w:t>
      </w:r>
      <w:r w:rsidR="00EA13EE">
        <w:rPr>
          <w:rFonts w:ascii="Times New Roman" w:hAnsi="Times New Roman"/>
        </w:rPr>
        <w:t xml:space="preserve">a </w:t>
      </w:r>
      <w:r>
        <w:rPr>
          <w:rFonts w:ascii="Times New Roman" w:hAnsi="Times New Roman"/>
        </w:rPr>
        <w:t>$10 million</w:t>
      </w:r>
      <w:r w:rsidR="00EA13EE">
        <w:rPr>
          <w:rFonts w:ascii="Times New Roman" w:hAnsi="Times New Roman"/>
        </w:rPr>
        <w:t xml:space="preserve"> dollar donation</w:t>
      </w:r>
      <w:r>
        <w:rPr>
          <w:rFonts w:ascii="Times New Roman" w:hAnsi="Times New Roman"/>
        </w:rPr>
        <w:t xml:space="preserve">, </w:t>
      </w:r>
      <w:r w:rsidR="00D5164B">
        <w:rPr>
          <w:rFonts w:ascii="Times New Roman" w:hAnsi="Times New Roman"/>
        </w:rPr>
        <w:t xml:space="preserve">it </w:t>
      </w:r>
      <w:r>
        <w:rPr>
          <w:rFonts w:ascii="Times New Roman" w:hAnsi="Times New Roman"/>
        </w:rPr>
        <w:t xml:space="preserve">allows Newt Gingrich less urgency in raising the necessary cash for competitive advantages like electioneering communications. As Mitt Romney’s lead in the race to acquire the 1,144 delegates needed to win the party nomination continues to increase, Newt Gingrich and Rick Santorum find themselves more dependent than ever on the cash their Super PACs are willing to spend on their behalf. If Sheldon Adelson or Foster Friess decide to stop giving money to </w:t>
      </w:r>
      <w:r w:rsidR="003073C5">
        <w:rPr>
          <w:rFonts w:ascii="Times New Roman" w:hAnsi="Times New Roman"/>
        </w:rPr>
        <w:t>Gingrich</w:t>
      </w:r>
      <w:r>
        <w:rPr>
          <w:rFonts w:ascii="Times New Roman" w:hAnsi="Times New Roman"/>
        </w:rPr>
        <w:t xml:space="preserve"> or Santorum Super PACs, that could spell doom for the candidates Presidential aspirations. It’s also interesting to note that of the three major GOP candidates, Mitt Romney’s Super PAC not only has raised the most money, but also has the most million dollar contributions. Restore our Future has had twelve different contributions of one million dollars each. Rick Santorum’s Red, White, and Blue fund has had three different one million dollar donations made to it, while Gingrich’s Winning Our Future has had two separate one million dollar donations.</w:t>
      </w:r>
      <w:r w:rsidR="00D5164B">
        <w:rPr>
          <w:rStyle w:val="FootnoteReference"/>
          <w:rFonts w:ascii="Times New Roman" w:hAnsi="Times New Roman"/>
        </w:rPr>
        <w:footnoteReference w:customMarkFollows="1" w:id="77"/>
        <w:t>78</w:t>
      </w:r>
      <w:r>
        <w:rPr>
          <w:rFonts w:ascii="Times New Roman" w:hAnsi="Times New Roman"/>
        </w:rPr>
        <w:t xml:space="preserve"> Once again this reinforces the idea that Super PACs are primarily a tool for the rich and their political voice to be heard. </w:t>
      </w:r>
    </w:p>
    <w:p w:rsidR="0070515F" w:rsidRDefault="005E7671" w:rsidP="005E7671">
      <w:pPr>
        <w:spacing w:line="480" w:lineRule="auto"/>
        <w:rPr>
          <w:rFonts w:ascii="Times New Roman" w:hAnsi="Times New Roman"/>
        </w:rPr>
      </w:pPr>
      <w:r>
        <w:rPr>
          <w:rFonts w:ascii="Times New Roman" w:hAnsi="Times New Roman"/>
        </w:rPr>
        <w:tab/>
        <w:t>While I believe the data reinforces the idea that the majority of Super PAC donations come from the wealthy, that doesn’t preclude anyone from creating their own Super PAC. It’s an easy and relative painstakingly free process. Just ask Stephen Colbert. Colbert, the host of the popular Comedy Central show, The Colbert Report, detailed how easy it is for one to form their own Super PAC while also shrouding the committee and its donors in a veil of secrecy. After filing a one-page letter to the FEC chronicling it’s intentions to raise and spend an unlimited amount of independent expenditures, Colbert’s Super PAC, entitled “Americans for a Better Tomorrow, Tomorrow,” quickly raised over one million in contributions.</w:t>
      </w:r>
      <w:r w:rsidR="00D5164B">
        <w:rPr>
          <w:rStyle w:val="FootnoteReference"/>
          <w:rFonts w:ascii="Times New Roman" w:hAnsi="Times New Roman"/>
        </w:rPr>
        <w:footnoteReference w:customMarkFollows="1" w:id="78"/>
        <w:t>79</w:t>
      </w:r>
      <w:r>
        <w:rPr>
          <w:rFonts w:ascii="Times New Roman" w:hAnsi="Times New Roman"/>
        </w:rPr>
        <w:t xml:space="preserve"> Colbert’s self-deprecating attempt at mocking the current FEC regulations gained him many laughs, but more importantly it showed Americans how inherently flawed the whole system was.  After submitting the one page report to the FEC and the FEC acknowledging its existence, a PAC then has to follow disclosure requirements when filing subsequent donor receipts with the FEC. Colbert showed how easily one could circumvent this problem through the creation of a 501(c) 4. A 501(c) 4 is a tax-exempt nonprofit organization founded upon the idea of promoting or furthering social welfare. These organizations have become commonplace in the world of political lobbying because of a nifty rule that allows the nonprofit to bypass disclosure requirements to the FEC as long as a few basic guidelines are followed. For example, 501(c)’s cannot participate in expressive advocacy or electioneering communications unless registered “specifically as independent expenditure or electioneering communication nonprofits, where they are subject to disclosure requirements.”</w:t>
      </w:r>
      <w:r w:rsidR="00EA13EE">
        <w:rPr>
          <w:rStyle w:val="FootnoteReference"/>
          <w:rFonts w:ascii="Times New Roman" w:hAnsi="Times New Roman"/>
        </w:rPr>
        <w:footnoteReference w:customMarkFollows="1" w:id="79"/>
        <w:t>80</w:t>
      </w:r>
      <w:r>
        <w:rPr>
          <w:rFonts w:ascii="Times New Roman" w:hAnsi="Times New Roman"/>
        </w:rPr>
        <w:t xml:space="preserve"> However, if 501 (c)’s are not clearly defined as independent expenditure or communication nonprofits, they do not have to publically disclose donor information to the IRS.</w:t>
      </w:r>
      <w:r w:rsidR="00EA13EE">
        <w:rPr>
          <w:rStyle w:val="FootnoteReference"/>
          <w:rFonts w:ascii="Times New Roman" w:hAnsi="Times New Roman"/>
        </w:rPr>
        <w:footnoteReference w:customMarkFollows="1" w:id="80"/>
        <w:t>81</w:t>
      </w:r>
      <w:r>
        <w:rPr>
          <w:rFonts w:ascii="Times New Roman" w:hAnsi="Times New Roman"/>
        </w:rPr>
        <w:t xml:space="preserve"> Therefore, as long as rules are followed donor information is exempt from public intrusion. Using this avenue, money can then be transferred from the 501(c) 4 to Super PACs so that the PAC can spend money on behalf of a candidate, and the lack of donor disclosure between the 501 and the FEC now applies to the PAC and the FEC. </w:t>
      </w:r>
    </w:p>
    <w:p w:rsidR="005E7671" w:rsidRDefault="005E7671" w:rsidP="0070515F">
      <w:pPr>
        <w:spacing w:line="480" w:lineRule="auto"/>
        <w:ind w:firstLine="720"/>
        <w:rPr>
          <w:rFonts w:ascii="Times New Roman" w:hAnsi="Times New Roman"/>
        </w:rPr>
      </w:pPr>
      <w:r>
        <w:rPr>
          <w:rFonts w:ascii="Times New Roman" w:hAnsi="Times New Roman"/>
        </w:rPr>
        <w:t>To me, the most troubling thing about the current framework of campaign finance is the potential for donor anonymity. In a study released by two advocacy groups, 6.4% of contributions to PACS since 2010 could not be traced to the original source.</w:t>
      </w:r>
      <w:r w:rsidR="00EA13EE">
        <w:rPr>
          <w:rStyle w:val="FootnoteReference"/>
          <w:rFonts w:ascii="Times New Roman" w:hAnsi="Times New Roman"/>
        </w:rPr>
        <w:footnoteReference w:customMarkFollows="1" w:id="81"/>
        <w:t>82</w:t>
      </w:r>
      <w:r>
        <w:rPr>
          <w:rFonts w:ascii="Times New Roman" w:hAnsi="Times New Roman"/>
        </w:rPr>
        <w:t xml:space="preserve"> Multiple incidents have already shown how prevalent the possibility for donor anonymity in the 2012 election cycle could really be. Mitt Romney’s Restore Our Future has twice come under fire for accepting donations shrouded with secrecy that left media outlets and the American public alike scrambling to trace the money to the correct source. In April, a one million dollar contribution was made to Restore Our Future from the corporation W Spann LLC. After </w:t>
      </w:r>
      <w:r w:rsidRPr="005F7184">
        <w:rPr>
          <w:rFonts w:ascii="Times New Roman" w:hAnsi="Times New Roman"/>
          <w:i/>
        </w:rPr>
        <w:t>NBC news</w:t>
      </w:r>
      <w:r>
        <w:rPr>
          <w:rFonts w:ascii="Times New Roman" w:hAnsi="Times New Roman"/>
        </w:rPr>
        <w:t xml:space="preserve"> journalists began investigating the donation, information revealed that the company was founded a month before giving the money and dissolved shortly thereafter.</w:t>
      </w:r>
      <w:r w:rsidR="00EA13EE">
        <w:rPr>
          <w:rStyle w:val="FootnoteReference"/>
          <w:rFonts w:ascii="Times New Roman" w:hAnsi="Times New Roman"/>
        </w:rPr>
        <w:footnoteReference w:customMarkFollows="1" w:id="82"/>
        <w:t>83</w:t>
      </w:r>
      <w:r>
        <w:rPr>
          <w:rFonts w:ascii="Times New Roman" w:hAnsi="Times New Roman"/>
        </w:rPr>
        <w:t xml:space="preserve"> The address of the company was listed as being located in a high-rise building in downtown Manhattan. The only problem was that no such company existed at address 590 Madison Avenue, 42</w:t>
      </w:r>
      <w:r w:rsidRPr="00C75BCA">
        <w:rPr>
          <w:rFonts w:ascii="Times New Roman" w:hAnsi="Times New Roman"/>
          <w:vertAlign w:val="superscript"/>
        </w:rPr>
        <w:t>nd</w:t>
      </w:r>
      <w:r>
        <w:rPr>
          <w:rFonts w:ascii="Times New Roman" w:hAnsi="Times New Roman"/>
        </w:rPr>
        <w:t xml:space="preserve"> floor. After Restore Our Future caught considerable flak for the donation, Edward Conard stepped forward as the donor. The former colleague of Romney’s worked with him at Bain Capital, a huge private equity investment firm Mitt Romney helped co-found in 1984. It was believed that Conard stepped forward after an exorbant amount of public pressure was placed upon Restore Our Future to disclose the true identity of the W Spann donation. Shortly after the FEC filings were released January 31</w:t>
      </w:r>
      <w:r w:rsidRPr="00D37550">
        <w:rPr>
          <w:rFonts w:ascii="Times New Roman" w:hAnsi="Times New Roman"/>
          <w:vertAlign w:val="superscript"/>
        </w:rPr>
        <w:t>st</w:t>
      </w:r>
      <w:r>
        <w:rPr>
          <w:rFonts w:ascii="Times New Roman" w:hAnsi="Times New Roman"/>
        </w:rPr>
        <w:t xml:space="preserve">, the </w:t>
      </w:r>
      <w:r w:rsidRPr="005F7184">
        <w:rPr>
          <w:rFonts w:ascii="Times New Roman" w:hAnsi="Times New Roman"/>
          <w:i/>
        </w:rPr>
        <w:t>New York Times</w:t>
      </w:r>
      <w:r>
        <w:rPr>
          <w:rFonts w:ascii="Times New Roman" w:hAnsi="Times New Roman"/>
        </w:rPr>
        <w:t xml:space="preserve"> blog, The Caucus, began combing over Super PAC records that involved a few mysterious donors. Many of the mysterious donations were made through limited liability companies that appeared to exist only on paper, much like W Spann LLC did.</w:t>
      </w:r>
      <w:r w:rsidR="00EA13EE">
        <w:rPr>
          <w:rStyle w:val="FootnoteReference"/>
          <w:rFonts w:ascii="Times New Roman" w:hAnsi="Times New Roman"/>
        </w:rPr>
        <w:footnoteReference w:customMarkFollows="1" w:id="83"/>
        <w:t>84</w:t>
      </w:r>
      <w:r>
        <w:rPr>
          <w:rFonts w:ascii="Times New Roman" w:hAnsi="Times New Roman"/>
        </w:rPr>
        <w:t xml:space="preserve"> One donation in particular made national headlines when The Caucus put out an ad asking readers to help them solve the mysterious donation from Glenbrook LLC.</w:t>
      </w:r>
      <w:r w:rsidR="00EA13EE">
        <w:rPr>
          <w:rStyle w:val="FootnoteReference"/>
          <w:rFonts w:ascii="Times New Roman" w:hAnsi="Times New Roman"/>
        </w:rPr>
        <w:footnoteReference w:customMarkFollows="1" w:id="84"/>
        <w:t>85</w:t>
      </w:r>
      <w:r>
        <w:rPr>
          <w:rFonts w:ascii="Times New Roman" w:hAnsi="Times New Roman"/>
        </w:rPr>
        <w:t xml:space="preserve"> The limited liability company based out of California had given a $250,000 donation to Restore Our Future in August. The address given by the company was to an office suit occupied by a public accounting firm called Seiler L.L.P. Four days after The Caucus put out a plea for help, the mystery was solved as Restore Our Future amended their filing for the $250,000 donation from Glenbrook LLC to two separate $125,000 donations from Jesse and Melinda Rogers.</w:t>
      </w:r>
      <w:r w:rsidR="00EA13EE">
        <w:rPr>
          <w:rStyle w:val="FootnoteReference"/>
          <w:rFonts w:ascii="Times New Roman" w:hAnsi="Times New Roman"/>
        </w:rPr>
        <w:footnoteReference w:customMarkFollows="1" w:id="85"/>
        <w:t>86</w:t>
      </w:r>
      <w:r>
        <w:rPr>
          <w:rFonts w:ascii="Times New Roman" w:hAnsi="Times New Roman"/>
        </w:rPr>
        <w:t xml:space="preserve"> It was discovered that Jesse Rogers was a former executive at Bain and Company. Mitt Romney had worked for Bain and Company before starting Bain Capital. He returned in the 1990s to help save the firm from financial collapse. Like the W Spann LLC donation, this once again raised the question why individuals were feeling the need to create “shell” companies to hide behind when participating in political advocacy? These corporations like W Spann and Glenbrook LLC exist for the sole purpose of being the curtain </w:t>
      </w:r>
      <w:r w:rsidR="00203B99">
        <w:rPr>
          <w:rFonts w:ascii="Times New Roman" w:hAnsi="Times New Roman"/>
        </w:rPr>
        <w:t>behind which donors hide.</w:t>
      </w:r>
    </w:p>
    <w:p w:rsidR="005E7671" w:rsidRDefault="005E7671" w:rsidP="005E7671">
      <w:pPr>
        <w:spacing w:line="480" w:lineRule="auto"/>
        <w:ind w:firstLine="720"/>
        <w:rPr>
          <w:rFonts w:ascii="Times New Roman" w:hAnsi="Times New Roman"/>
        </w:rPr>
      </w:pPr>
      <w:r>
        <w:rPr>
          <w:rFonts w:ascii="Times New Roman" w:hAnsi="Times New Roman"/>
        </w:rPr>
        <w:t>If it’s easier for wealthy people to create a phony corporation to hide their political activity, what is preventing foreign donations from joining the fray of United States elections? In a system of campaign finance that offers many methods of circumvention, money from overseas governments or companies serve as a legitimate concern to both FEC officials and the United States government. The prevention of political contributions and expenditures from foreign nationals has been a law since 1966</w:t>
      </w:r>
      <w:r w:rsidR="00EA13EE">
        <w:rPr>
          <w:rStyle w:val="FootnoteReference"/>
          <w:rFonts w:ascii="Times New Roman" w:hAnsi="Times New Roman"/>
        </w:rPr>
        <w:footnoteReference w:customMarkFollows="1" w:id="86"/>
        <w:t>87</w:t>
      </w:r>
      <w:r>
        <w:rPr>
          <w:rFonts w:ascii="Times New Roman" w:hAnsi="Times New Roman"/>
        </w:rPr>
        <w:t>, yet avenues like the money exchange between Super PACs and 501(c)4’s are making this almost impossible to monitor. Trevor Potter, head of the Campaign Legal Center and former chairmen of the FEC, was recently quoted as saying, “Clearly, it is more difficult to enforce the ban on foreign spending when the source of the money is not publicly disclosed.”</w:t>
      </w:r>
      <w:r w:rsidR="00EA13EE">
        <w:rPr>
          <w:rStyle w:val="FootnoteReference"/>
          <w:rFonts w:ascii="Times New Roman" w:hAnsi="Times New Roman"/>
        </w:rPr>
        <w:footnoteReference w:customMarkFollows="1" w:id="87"/>
        <w:t>88</w:t>
      </w:r>
      <w:r>
        <w:rPr>
          <w:rFonts w:ascii="Times New Roman" w:hAnsi="Times New Roman"/>
        </w:rPr>
        <w:t xml:space="preserve"> The 1966 law was reinforced by the Supreme Court in their January ruling of </w:t>
      </w:r>
      <w:r w:rsidRPr="0057272B">
        <w:rPr>
          <w:rFonts w:ascii="Times New Roman" w:hAnsi="Times New Roman"/>
          <w:i/>
        </w:rPr>
        <w:t>Bluman, et al., v. Federal Election Commission</w:t>
      </w:r>
      <w:r w:rsidR="00EA13EE">
        <w:rPr>
          <w:rStyle w:val="FootnoteReference"/>
          <w:rFonts w:ascii="Times New Roman" w:hAnsi="Times New Roman"/>
        </w:rPr>
        <w:footnoteReference w:customMarkFollows="1" w:id="88"/>
        <w:t>89</w:t>
      </w:r>
      <w:r>
        <w:rPr>
          <w:rFonts w:ascii="Times New Roman" w:hAnsi="Times New Roman"/>
        </w:rPr>
        <w:t>, nonetheless an incident of this nature has since proved danger does exist. In February, Rick Santorum’s Super PAC, The Red, White, and Blue Fund, publically admitted to returning a $50,000 donation that came from a foreign source.</w:t>
      </w:r>
      <w:r w:rsidR="00EA13EE">
        <w:rPr>
          <w:rStyle w:val="FootnoteReference"/>
          <w:rFonts w:ascii="Times New Roman" w:hAnsi="Times New Roman"/>
        </w:rPr>
        <w:footnoteReference w:customMarkFollows="1" w:id="89"/>
        <w:t>90</w:t>
      </w:r>
      <w:r>
        <w:rPr>
          <w:rFonts w:ascii="Times New Roman" w:hAnsi="Times New Roman"/>
        </w:rPr>
        <w:t xml:space="preserve"> The source was Liquid Capital Markets Ltd., a London based equity firm. Red, White and Blue Fund’s confusion lay within their belief that the donation was made from an American executive within the firm. It was their belief the money came out of this American executive’s pocket, whereas in actuality it came from the firm’s accounts. “The new reality presented by the decision in </w:t>
      </w:r>
      <w:r w:rsidRPr="00B340DD">
        <w:rPr>
          <w:rFonts w:ascii="Times New Roman" w:hAnsi="Times New Roman"/>
          <w:i/>
        </w:rPr>
        <w:t>Citizen United</w:t>
      </w:r>
      <w:r>
        <w:rPr>
          <w:rFonts w:ascii="Times New Roman" w:hAnsi="Times New Roman"/>
        </w:rPr>
        <w:t xml:space="preserve"> and the rise of the Super PACs raises concerns about the challenge of discovering such illegal activity [foreign contributions], said FEC commissioner Cynthia L. Bauerly.</w:t>
      </w:r>
      <w:r w:rsidR="00BB167C">
        <w:rPr>
          <w:rStyle w:val="FootnoteReference"/>
          <w:rFonts w:ascii="Times New Roman" w:hAnsi="Times New Roman"/>
        </w:rPr>
        <w:footnoteReference w:customMarkFollows="1" w:id="90"/>
        <w:t>91</w:t>
      </w:r>
      <w:r>
        <w:rPr>
          <w:rFonts w:ascii="Times New Roman" w:hAnsi="Times New Roman"/>
        </w:rPr>
        <w:t xml:space="preserve"> </w:t>
      </w:r>
    </w:p>
    <w:p w:rsidR="005E7671" w:rsidRDefault="005E7671" w:rsidP="005E7671">
      <w:pPr>
        <w:spacing w:line="480" w:lineRule="auto"/>
        <w:ind w:firstLine="720"/>
        <w:rPr>
          <w:rFonts w:ascii="Times New Roman" w:hAnsi="Times New Roman"/>
        </w:rPr>
      </w:pPr>
    </w:p>
    <w:p w:rsidR="005E7671" w:rsidRDefault="005E7671" w:rsidP="005E7671">
      <w:pPr>
        <w:spacing w:line="480" w:lineRule="auto"/>
        <w:rPr>
          <w:rFonts w:ascii="Times New Roman" w:hAnsi="Times New Roman"/>
          <w:b/>
        </w:rPr>
      </w:pPr>
      <w:r w:rsidRPr="00D45835">
        <w:rPr>
          <w:rFonts w:ascii="Times New Roman" w:hAnsi="Times New Roman"/>
          <w:b/>
        </w:rPr>
        <w:t>ARE SUPER PACS REALLY TO BLAME?</w:t>
      </w:r>
    </w:p>
    <w:p w:rsidR="004C4998" w:rsidRDefault="005E7671" w:rsidP="005E7671">
      <w:pPr>
        <w:spacing w:line="480" w:lineRule="auto"/>
        <w:rPr>
          <w:rFonts w:ascii="Times New Roman" w:hAnsi="Times New Roman"/>
        </w:rPr>
      </w:pPr>
      <w:r>
        <w:rPr>
          <w:rFonts w:ascii="Times New Roman" w:hAnsi="Times New Roman"/>
          <w:b/>
        </w:rPr>
        <w:tab/>
      </w:r>
      <w:r>
        <w:rPr>
          <w:rFonts w:ascii="Times New Roman" w:hAnsi="Times New Roman"/>
        </w:rPr>
        <w:t xml:space="preserve">As Super PACs take middle stage amid the chaos of election season, one of the biggest arguments between campaign finance pundits is whether or not Super PACs are to blame for the host of problems that </w:t>
      </w:r>
      <w:r w:rsidR="00CD39B9">
        <w:rPr>
          <w:rFonts w:ascii="Times New Roman" w:hAnsi="Times New Roman"/>
        </w:rPr>
        <w:t>pervade</w:t>
      </w:r>
      <w:r>
        <w:rPr>
          <w:rFonts w:ascii="Times New Roman" w:hAnsi="Times New Roman"/>
        </w:rPr>
        <w:t xml:space="preserve"> the campaign finance world. As legal analyst Dan Abrams has explained</w:t>
      </w:r>
      <w:r w:rsidR="00BB167C">
        <w:rPr>
          <w:rStyle w:val="FootnoteReference"/>
          <w:rFonts w:ascii="Times New Roman" w:hAnsi="Times New Roman"/>
        </w:rPr>
        <w:footnoteReference w:customMarkFollows="1" w:id="91"/>
        <w:t>92</w:t>
      </w:r>
      <w:r>
        <w:rPr>
          <w:rFonts w:ascii="Times New Roman" w:hAnsi="Times New Roman"/>
        </w:rPr>
        <w:t xml:space="preserve">, individuals have been able to spend unlimited amounts of money on behalf of candidates since </w:t>
      </w:r>
      <w:r w:rsidRPr="00D45835">
        <w:rPr>
          <w:rFonts w:ascii="Times New Roman" w:hAnsi="Times New Roman"/>
          <w:i/>
        </w:rPr>
        <w:t>Buckley v. Valeo</w:t>
      </w:r>
      <w:r>
        <w:rPr>
          <w:rFonts w:ascii="Times New Roman" w:hAnsi="Times New Roman"/>
        </w:rPr>
        <w:t>. It’s also true that before Super PACs existed, 527 organizations had the capability of accepting an unlimited amount of contributions from individuals, labor unions, and corporations alike.</w:t>
      </w:r>
      <w:r>
        <w:rPr>
          <w:rFonts w:ascii="Times New Roman" w:hAnsi="Times New Roman"/>
        </w:rPr>
        <w:tab/>
      </w:r>
    </w:p>
    <w:p w:rsidR="005E7671" w:rsidRDefault="005E7671" w:rsidP="004C4998">
      <w:pPr>
        <w:spacing w:line="480" w:lineRule="auto"/>
        <w:ind w:firstLine="720"/>
        <w:rPr>
          <w:rFonts w:ascii="Times New Roman" w:hAnsi="Times New Roman"/>
        </w:rPr>
      </w:pPr>
      <w:r>
        <w:rPr>
          <w:rFonts w:ascii="Times New Roman" w:hAnsi="Times New Roman"/>
        </w:rPr>
        <w:t xml:space="preserve">If individuals have always raised money and 527s have influenced elections with stealth and FEC circumvention, why are Super PACs such a big deal? To begin, individuals spending an unlimited amount of their own money in the past had to be done so directly. It could not be given to the proper conduit because limitations existed on all of them (party committees, candidate, and political action committees). Therefore, it was highly unlikely that individuals were willing to contribute both the time and the effort afforded to seeing huge amounts of their money spent on political advocacy. This is where Super PACs have played such a prominent role. They provide the perfect outlet for individuals to see their money spent for them without doing anything </w:t>
      </w:r>
      <w:r w:rsidR="00CD39B9">
        <w:rPr>
          <w:rFonts w:ascii="Times New Roman" w:hAnsi="Times New Roman"/>
        </w:rPr>
        <w:t>more than</w:t>
      </w:r>
      <w:r>
        <w:rPr>
          <w:rFonts w:ascii="Times New Roman" w:hAnsi="Times New Roman"/>
        </w:rPr>
        <w:t xml:space="preserve"> writing a dollar amount on a check bearing their name. While 527s catered to this same principle, they did so with a few stricter guidelines than the ones that pertain to Super PACs. Whereas Super PACs have no restrictions preventing them from expressively advocating for the election or defeat of a candidate, 527s are limited to engaging in issue advocacy only</w:t>
      </w:r>
      <w:r w:rsidR="003E298D">
        <w:rPr>
          <w:rFonts w:ascii="Times New Roman" w:hAnsi="Times New Roman"/>
        </w:rPr>
        <w:t xml:space="preserve">. This prevents them from expressively saying </w:t>
      </w:r>
      <w:r w:rsidR="003073C5">
        <w:rPr>
          <w:rFonts w:ascii="Times New Roman" w:hAnsi="Times New Roman"/>
        </w:rPr>
        <w:t>whom</w:t>
      </w:r>
      <w:r w:rsidR="003E298D">
        <w:rPr>
          <w:rFonts w:ascii="Times New Roman" w:hAnsi="Times New Roman"/>
        </w:rPr>
        <w:t xml:space="preserve"> a voter should vote for or against</w:t>
      </w:r>
      <w:r>
        <w:rPr>
          <w:rFonts w:ascii="Times New Roman" w:hAnsi="Times New Roman"/>
        </w:rPr>
        <w:t>. While it’s fair to argue that issue advocacy has the capability of being done as effectively as expressive advocacy, the creation of 527s also require a little bit more work than Super PACs. As Stephen Colbert has proved, the creation of a Super PAC is probably the easiest method for spending o</w:t>
      </w:r>
      <w:r w:rsidR="00025F02">
        <w:rPr>
          <w:rFonts w:ascii="Times New Roman" w:hAnsi="Times New Roman"/>
        </w:rPr>
        <w:t>ther people’s hard-</w:t>
      </w:r>
      <w:r>
        <w:rPr>
          <w:rFonts w:ascii="Times New Roman" w:hAnsi="Times New Roman"/>
        </w:rPr>
        <w:t xml:space="preserve">earned money on the electoral process. While Super PACs are still in an infancy stage, the Supreme Court and the Court of Appeals have left little room for their method of raising and spending money to be deemed illegal barring a complete overturn. </w:t>
      </w:r>
    </w:p>
    <w:p w:rsidR="005E7671" w:rsidRDefault="005E7671" w:rsidP="005E7671">
      <w:pPr>
        <w:spacing w:line="480" w:lineRule="auto"/>
        <w:rPr>
          <w:rFonts w:ascii="Times New Roman" w:hAnsi="Times New Roman"/>
        </w:rPr>
      </w:pPr>
      <w:r>
        <w:rPr>
          <w:rFonts w:ascii="Times New Roman" w:hAnsi="Times New Roman"/>
        </w:rPr>
        <w:tab/>
        <w:t xml:space="preserve">Therefore, I believe the answer to whether Super PACs are the ones to blame for the current state of disarray in campaign finance is a yes and no. The evolution of soft money and in particular non-profit organizations like 501(c)4’s and 527s have substantially contributed to the unprecedented levels of spending we see today. However, it was </w:t>
      </w:r>
      <w:r w:rsidRPr="00314DA4">
        <w:rPr>
          <w:rFonts w:ascii="Times New Roman" w:hAnsi="Times New Roman"/>
          <w:i/>
        </w:rPr>
        <w:t>Citizens United</w:t>
      </w:r>
      <w:r>
        <w:rPr>
          <w:rFonts w:ascii="Times New Roman" w:hAnsi="Times New Roman"/>
          <w:i/>
        </w:rPr>
        <w:t xml:space="preserve"> </w:t>
      </w:r>
      <w:r>
        <w:rPr>
          <w:rFonts w:ascii="Times New Roman" w:hAnsi="Times New Roman"/>
        </w:rPr>
        <w:t xml:space="preserve">and </w:t>
      </w:r>
      <w:r w:rsidRPr="00314DA4">
        <w:rPr>
          <w:rFonts w:ascii="Times New Roman" w:hAnsi="Times New Roman"/>
          <w:i/>
        </w:rPr>
        <w:t>Speechnow.org</w:t>
      </w:r>
      <w:r>
        <w:rPr>
          <w:rFonts w:ascii="Times New Roman" w:hAnsi="Times New Roman"/>
          <w:i/>
        </w:rPr>
        <w:t xml:space="preserve"> </w:t>
      </w:r>
      <w:r>
        <w:rPr>
          <w:rFonts w:ascii="Times New Roman" w:hAnsi="Times New Roman"/>
        </w:rPr>
        <w:t xml:space="preserve">that took spending to a whole new level and made it easy for a </w:t>
      </w:r>
      <w:r w:rsidR="003E298D">
        <w:rPr>
          <w:rFonts w:ascii="Times New Roman" w:hAnsi="Times New Roman"/>
        </w:rPr>
        <w:t xml:space="preserve">wealthy person to make their money and/or </w:t>
      </w:r>
      <w:r>
        <w:rPr>
          <w:rFonts w:ascii="Times New Roman" w:hAnsi="Times New Roman"/>
        </w:rPr>
        <w:t xml:space="preserve">voice be heard. Electioneering communications are bombarding the average voter like never before and Super PACs seem to be an extension of a candidate as their influence runs deep in television, on radio, and in </w:t>
      </w:r>
      <w:r w:rsidR="003E298D">
        <w:rPr>
          <w:rFonts w:ascii="Times New Roman" w:hAnsi="Times New Roman"/>
        </w:rPr>
        <w:t xml:space="preserve">campaign </w:t>
      </w:r>
      <w:r>
        <w:rPr>
          <w:rFonts w:ascii="Times New Roman" w:hAnsi="Times New Roman"/>
        </w:rPr>
        <w:t>bank accounts. With a rise in spending, political coordination, donor anonymity, and the threat of influence outside of the American sphere, where does this leave what appears to be a broken system of campaign finance?</w:t>
      </w:r>
    </w:p>
    <w:p w:rsidR="005E7671" w:rsidRDefault="005E7671" w:rsidP="005E7671">
      <w:pPr>
        <w:spacing w:line="480" w:lineRule="auto"/>
        <w:rPr>
          <w:rFonts w:ascii="Times New Roman" w:hAnsi="Times New Roman"/>
        </w:rPr>
      </w:pPr>
    </w:p>
    <w:p w:rsidR="005E7671" w:rsidRDefault="005E7671" w:rsidP="005E7671">
      <w:pPr>
        <w:spacing w:line="480" w:lineRule="auto"/>
        <w:rPr>
          <w:rFonts w:ascii="Times New Roman" w:hAnsi="Times New Roman"/>
          <w:b/>
        </w:rPr>
      </w:pPr>
    </w:p>
    <w:p w:rsidR="005E7671" w:rsidRDefault="005E7671" w:rsidP="005E7671">
      <w:pPr>
        <w:spacing w:line="480" w:lineRule="auto"/>
        <w:rPr>
          <w:rFonts w:ascii="Times New Roman" w:hAnsi="Times New Roman"/>
          <w:b/>
        </w:rPr>
      </w:pPr>
      <w:r w:rsidRPr="00314DA4">
        <w:rPr>
          <w:rFonts w:ascii="Times New Roman" w:hAnsi="Times New Roman"/>
          <w:b/>
        </w:rPr>
        <w:t>CONCLUSION</w:t>
      </w:r>
      <w:r>
        <w:rPr>
          <w:rFonts w:ascii="Times New Roman" w:hAnsi="Times New Roman"/>
          <w:b/>
        </w:rPr>
        <w:t>: PROPOSED SOLUTIONS TO REFORMING CAMPAIGN FINANCE</w:t>
      </w:r>
    </w:p>
    <w:p w:rsidR="00C140F1" w:rsidRDefault="005E7671" w:rsidP="005E7671">
      <w:pPr>
        <w:spacing w:line="480" w:lineRule="auto"/>
        <w:rPr>
          <w:rFonts w:ascii="Times New Roman" w:hAnsi="Times New Roman"/>
        </w:rPr>
      </w:pPr>
      <w:r>
        <w:rPr>
          <w:rFonts w:ascii="Times New Roman" w:hAnsi="Times New Roman"/>
          <w:b/>
        </w:rPr>
        <w:tab/>
      </w:r>
      <w:r w:rsidR="003E298D">
        <w:rPr>
          <w:rFonts w:ascii="Times New Roman" w:hAnsi="Times New Roman"/>
        </w:rPr>
        <w:t xml:space="preserve">How likely is it that the Supreme Court would reverse their decision-making </w:t>
      </w:r>
      <w:r>
        <w:rPr>
          <w:rFonts w:ascii="Times New Roman" w:hAnsi="Times New Roman"/>
        </w:rPr>
        <w:t xml:space="preserve">in future proceedings </w:t>
      </w:r>
      <w:r w:rsidR="003E298D">
        <w:rPr>
          <w:rFonts w:ascii="Times New Roman" w:hAnsi="Times New Roman"/>
        </w:rPr>
        <w:t xml:space="preserve">involving unlimited donor independent expenditures or Super PACs? While I consider myself by no means an expert on the Supreme Court’s thought process, I think it would be difficult for a future Court comprised of different Justices to overturn the precedent that has been established in </w:t>
      </w:r>
      <w:r w:rsidR="003E298D" w:rsidRPr="003E298D">
        <w:rPr>
          <w:rFonts w:ascii="Times New Roman" w:hAnsi="Times New Roman"/>
          <w:i/>
        </w:rPr>
        <w:t>Citizens</w:t>
      </w:r>
      <w:r w:rsidR="003E298D">
        <w:rPr>
          <w:rFonts w:ascii="Times New Roman" w:hAnsi="Times New Roman"/>
        </w:rPr>
        <w:t xml:space="preserve">. At the heart of </w:t>
      </w:r>
      <w:r w:rsidR="003E298D" w:rsidRPr="003E298D">
        <w:rPr>
          <w:rFonts w:ascii="Times New Roman" w:hAnsi="Times New Roman"/>
          <w:i/>
        </w:rPr>
        <w:t>Citizens</w:t>
      </w:r>
      <w:r w:rsidR="00C140F1">
        <w:rPr>
          <w:rFonts w:ascii="Times New Roman" w:hAnsi="Times New Roman"/>
        </w:rPr>
        <w:t xml:space="preserve"> is a</w:t>
      </w:r>
      <w:r w:rsidR="003E298D">
        <w:rPr>
          <w:rFonts w:ascii="Times New Roman" w:hAnsi="Times New Roman"/>
        </w:rPr>
        <w:t xml:space="preserve"> fundamental </w:t>
      </w:r>
      <w:r w:rsidR="00C140F1">
        <w:rPr>
          <w:rFonts w:ascii="Times New Roman" w:hAnsi="Times New Roman"/>
        </w:rPr>
        <w:t>First Amendment freedom of speech issue</w:t>
      </w:r>
      <w:r w:rsidR="003E298D">
        <w:rPr>
          <w:rFonts w:ascii="Times New Roman" w:hAnsi="Times New Roman"/>
        </w:rPr>
        <w:t>. As Justice Kennedy</w:t>
      </w:r>
      <w:r w:rsidR="00C140F1">
        <w:rPr>
          <w:rFonts w:ascii="Times New Roman" w:hAnsi="Times New Roman"/>
        </w:rPr>
        <w:t xml:space="preserve"> says in his majority opinion, “The First Amendment underwrites the freedom to experiment and to create in the realm of thought and speech, [and] Citizens must be free to use new forms, and new forums, for the expression of ideas.”</w:t>
      </w:r>
      <w:r w:rsidR="00BB167C">
        <w:rPr>
          <w:rStyle w:val="FootnoteReference"/>
          <w:rFonts w:ascii="Times New Roman" w:hAnsi="Times New Roman"/>
        </w:rPr>
        <w:footnoteReference w:customMarkFollows="1" w:id="92"/>
        <w:t>93</w:t>
      </w:r>
      <w:r w:rsidR="00C140F1">
        <w:rPr>
          <w:rFonts w:ascii="Times New Roman" w:hAnsi="Times New Roman"/>
        </w:rPr>
        <w:t xml:space="preserve"> </w:t>
      </w:r>
      <w:r w:rsidR="003E298D">
        <w:rPr>
          <w:rFonts w:ascii="Times New Roman" w:hAnsi="Times New Roman"/>
        </w:rPr>
        <w:t xml:space="preserve">The current Supreme Court believes that </w:t>
      </w:r>
      <w:r w:rsidR="00C140F1">
        <w:rPr>
          <w:rFonts w:ascii="Times New Roman" w:hAnsi="Times New Roman"/>
        </w:rPr>
        <w:t xml:space="preserve">the freedom of speech cannot justifiably be chilled by something such as independent expenditures because independent expenditures do not constitute a substantial enough threat to political corruption. </w:t>
      </w:r>
      <w:r w:rsidR="001A6218">
        <w:rPr>
          <w:rFonts w:ascii="Times New Roman" w:hAnsi="Times New Roman"/>
        </w:rPr>
        <w:t xml:space="preserve">A future Court will have to prove otherwise if </w:t>
      </w:r>
      <w:r w:rsidR="001A6218" w:rsidRPr="001A6218">
        <w:rPr>
          <w:rFonts w:ascii="Times New Roman" w:hAnsi="Times New Roman"/>
          <w:i/>
        </w:rPr>
        <w:t>Citizens</w:t>
      </w:r>
      <w:r w:rsidR="001A6218">
        <w:rPr>
          <w:rFonts w:ascii="Times New Roman" w:hAnsi="Times New Roman"/>
        </w:rPr>
        <w:t xml:space="preserve"> is to be overturned. </w:t>
      </w:r>
      <w:r w:rsidR="00C140F1">
        <w:rPr>
          <w:rFonts w:ascii="Times New Roman" w:hAnsi="Times New Roman"/>
        </w:rPr>
        <w:t>I don’t believe the Court understood the ramificatio</w:t>
      </w:r>
      <w:r w:rsidR="001A6218">
        <w:rPr>
          <w:rFonts w:ascii="Times New Roman" w:hAnsi="Times New Roman"/>
        </w:rPr>
        <w:t xml:space="preserve">ns their decision would have in regards to </w:t>
      </w:r>
      <w:r w:rsidR="00C140F1">
        <w:rPr>
          <w:rFonts w:ascii="Times New Roman" w:hAnsi="Times New Roman"/>
        </w:rPr>
        <w:t xml:space="preserve">PACs. It will be interesting to see if the overabundance of political activity Super PACs have engaged in during this election cycle will create enough of a stir </w:t>
      </w:r>
      <w:r w:rsidR="001A6218">
        <w:rPr>
          <w:rFonts w:ascii="Times New Roman" w:hAnsi="Times New Roman"/>
        </w:rPr>
        <w:t>to eventually</w:t>
      </w:r>
      <w:r w:rsidR="00C140F1">
        <w:rPr>
          <w:rFonts w:ascii="Times New Roman" w:hAnsi="Times New Roman"/>
        </w:rPr>
        <w:t xml:space="preserve"> </w:t>
      </w:r>
      <w:r w:rsidR="001A6218">
        <w:rPr>
          <w:rFonts w:ascii="Times New Roman" w:hAnsi="Times New Roman"/>
        </w:rPr>
        <w:t>bring them before the Supreme Court.</w:t>
      </w:r>
    </w:p>
    <w:p w:rsidR="005E7671" w:rsidRDefault="00C140F1" w:rsidP="00C140F1">
      <w:pPr>
        <w:spacing w:line="480" w:lineRule="auto"/>
        <w:ind w:firstLine="720"/>
        <w:rPr>
          <w:rFonts w:ascii="Times New Roman" w:hAnsi="Times New Roman"/>
        </w:rPr>
      </w:pPr>
      <w:r>
        <w:rPr>
          <w:rFonts w:ascii="Times New Roman" w:hAnsi="Times New Roman"/>
        </w:rPr>
        <w:t xml:space="preserve">Even though, barring an unlikely reversal, groups will continue to have influence on political elections, it’s important to explore </w:t>
      </w:r>
      <w:r w:rsidR="001A6012">
        <w:rPr>
          <w:rFonts w:ascii="Times New Roman" w:hAnsi="Times New Roman"/>
        </w:rPr>
        <w:t xml:space="preserve">potential safety measures that could be </w:t>
      </w:r>
      <w:proofErr w:type="spellStart"/>
      <w:r w:rsidR="001A6218">
        <w:rPr>
          <w:rFonts w:ascii="Times New Roman" w:hAnsi="Times New Roman"/>
        </w:rPr>
        <w:t>utlized</w:t>
      </w:r>
      <w:proofErr w:type="spellEnd"/>
      <w:r w:rsidR="001A6012">
        <w:rPr>
          <w:rFonts w:ascii="Times New Roman" w:hAnsi="Times New Roman"/>
        </w:rPr>
        <w:t xml:space="preserve"> to limit problems like donor anonymity and potential PAC-candidate coordination</w:t>
      </w:r>
      <w:r w:rsidR="005E7671">
        <w:rPr>
          <w:rFonts w:ascii="Times New Roman" w:hAnsi="Times New Roman"/>
        </w:rPr>
        <w:t>. One possible solution is the recently introduced Disclose Act of 2012 or the “Disclosure of Information on Spending Campaign Leads to Open and Secure Elections of 2012.”</w:t>
      </w:r>
      <w:r w:rsidR="00BB167C">
        <w:rPr>
          <w:rStyle w:val="FootnoteReference"/>
          <w:rFonts w:ascii="Times New Roman" w:hAnsi="Times New Roman"/>
        </w:rPr>
        <w:footnoteReference w:customMarkFollows="1" w:id="93"/>
        <w:t>94</w:t>
      </w:r>
      <w:r w:rsidR="005E7671">
        <w:rPr>
          <w:rFonts w:ascii="Times New Roman" w:hAnsi="Times New Roman"/>
        </w:rPr>
        <w:t xml:space="preserve"> Already introduced in the House of Representatives, the Disclose Act of 2012 was recently brought before the Senate Rules Committee. The House and Senate Disclose bills have minor differences. Both bills call for a much greater sense of transparency in outside spending. The Act introduced in the House hopes to achieve this goal through a variety of regulations.</w:t>
      </w:r>
      <w:r w:rsidR="00BB167C">
        <w:rPr>
          <w:rStyle w:val="FootnoteReference"/>
          <w:rFonts w:ascii="Times New Roman" w:hAnsi="Times New Roman"/>
        </w:rPr>
        <w:footnoteReference w:customMarkFollows="1" w:id="94"/>
        <w:t>95</w:t>
      </w:r>
      <w:r w:rsidR="005E7671">
        <w:rPr>
          <w:rFonts w:ascii="Times New Roman" w:hAnsi="Times New Roman"/>
        </w:rPr>
        <w:t xml:space="preserve"> The first is a call for enhancing public disclosure, which the Act proposes to achieve through ways like requiring outside spending groups such as corporations, committees, or individuals to report a donation in excess of $10,000 to the FEC. This would help the FEC monitor interactions between non-profit organizations and Super PACs, as well as provide an easier way to keep an eye on what individuals are giving and to whom they are giving to.  The second important aspect of the Act is the desire to see corporations and outside spending groups standing by their ad</w:t>
      </w:r>
      <w:r w:rsidR="00737EB6">
        <w:rPr>
          <w:rFonts w:ascii="Times New Roman" w:hAnsi="Times New Roman"/>
        </w:rPr>
        <w:t>vertisements</w:t>
      </w:r>
      <w:r w:rsidR="005E7671">
        <w:rPr>
          <w:rFonts w:ascii="Times New Roman" w:hAnsi="Times New Roman"/>
        </w:rPr>
        <w:t xml:space="preserve">. If Priorities USA puts out an ad attacking Republican candidate Mitt Romney, it is expected to “approve of the message” being </w:t>
      </w:r>
      <w:r w:rsidR="00737EB6">
        <w:rPr>
          <w:rFonts w:ascii="Times New Roman" w:hAnsi="Times New Roman"/>
        </w:rPr>
        <w:t>included</w:t>
      </w:r>
      <w:r w:rsidR="005E7671">
        <w:rPr>
          <w:rFonts w:ascii="Times New Roman" w:hAnsi="Times New Roman"/>
        </w:rPr>
        <w:t xml:space="preserve"> in the ad. This guideline doesn’t exclude individuals classified as key donors as well. If one of the biggest donors like Sheldon Adelson wants to continue to contribute to Newt Gingrich, the Act would require his name to be disclosed to the American public in electioneering advertisements. From the corporate and labor union perspective, the Act calls for shareholder and member interests to be met through full disclosure of campaign-related expenditures. Going a step further, the Act also demands that companies and labor organizations provide a link to their political spending on corporate and union websites. If enacted, it would allow ordinary citizens to see where corporations/labor unions were spending money in the political sphere in a much more convenient and painstakingly free process. This would potentially eliminate phony shell corporations like Glenbrook LLC and W Spann LLC. The idea is to cut down on the paper trail that’s littering the campaign finance landscape, where </w:t>
      </w:r>
      <w:r w:rsidR="005E7671" w:rsidRPr="00404163">
        <w:rPr>
          <w:rFonts w:ascii="Times New Roman" w:hAnsi="Times New Roman"/>
          <w:i/>
        </w:rPr>
        <w:t>New York Times</w:t>
      </w:r>
      <w:r w:rsidR="005E7671">
        <w:rPr>
          <w:rFonts w:ascii="Times New Roman" w:hAnsi="Times New Roman"/>
        </w:rPr>
        <w:t xml:space="preserve"> writers are left to expose to the public questionable outside spending habits. Finally, the last major aspect of the bill calls for lobbyists to disclose outside spending habits in conjunction with their lobbying activities. </w:t>
      </w:r>
    </w:p>
    <w:p w:rsidR="005E7671" w:rsidRDefault="005E7671" w:rsidP="005E7671">
      <w:pPr>
        <w:spacing w:line="480" w:lineRule="auto"/>
        <w:rPr>
          <w:rFonts w:ascii="Times New Roman" w:hAnsi="Times New Roman"/>
        </w:rPr>
      </w:pPr>
      <w:r>
        <w:rPr>
          <w:rFonts w:ascii="Times New Roman" w:hAnsi="Times New Roman"/>
        </w:rPr>
        <w:tab/>
        <w:t xml:space="preserve">The Disclose Act and many of its principles were first envisioned shortly after the </w:t>
      </w:r>
      <w:r w:rsidRPr="002002D4">
        <w:rPr>
          <w:rFonts w:ascii="Times New Roman" w:hAnsi="Times New Roman"/>
          <w:i/>
        </w:rPr>
        <w:t>Citizens United</w:t>
      </w:r>
      <w:r>
        <w:rPr>
          <w:rFonts w:ascii="Times New Roman" w:hAnsi="Times New Roman"/>
        </w:rPr>
        <w:t xml:space="preserve"> ruling.  United States </w:t>
      </w:r>
      <w:r w:rsidR="009E7249">
        <w:rPr>
          <w:rFonts w:ascii="Times New Roman" w:hAnsi="Times New Roman"/>
        </w:rPr>
        <w:t>Representative</w:t>
      </w:r>
      <w:r>
        <w:rPr>
          <w:rFonts w:ascii="Times New Roman" w:hAnsi="Times New Roman"/>
        </w:rPr>
        <w:t xml:space="preserve"> Chris Van Hollen</w:t>
      </w:r>
      <w:r w:rsidR="00737EB6">
        <w:rPr>
          <w:rFonts w:ascii="Times New Roman" w:hAnsi="Times New Roman"/>
        </w:rPr>
        <w:t xml:space="preserve"> (D, M</w:t>
      </w:r>
      <w:r w:rsidR="009E7249">
        <w:rPr>
          <w:rFonts w:ascii="Times New Roman" w:hAnsi="Times New Roman"/>
        </w:rPr>
        <w:t>aryland)</w:t>
      </w:r>
      <w:r>
        <w:rPr>
          <w:rFonts w:ascii="Times New Roman" w:hAnsi="Times New Roman"/>
        </w:rPr>
        <w:t xml:space="preserve"> and </w:t>
      </w:r>
      <w:r w:rsidR="009E7249">
        <w:rPr>
          <w:rFonts w:ascii="Times New Roman" w:hAnsi="Times New Roman"/>
        </w:rPr>
        <w:t xml:space="preserve">Senator </w:t>
      </w:r>
      <w:r>
        <w:rPr>
          <w:rFonts w:ascii="Times New Roman" w:hAnsi="Times New Roman"/>
        </w:rPr>
        <w:t>Charles Schumer</w:t>
      </w:r>
      <w:r w:rsidR="009E7249">
        <w:rPr>
          <w:rFonts w:ascii="Times New Roman" w:hAnsi="Times New Roman"/>
        </w:rPr>
        <w:t xml:space="preserve"> (D, New York)</w:t>
      </w:r>
      <w:r>
        <w:rPr>
          <w:rFonts w:ascii="Times New Roman" w:hAnsi="Times New Roman"/>
        </w:rPr>
        <w:t xml:space="preserve"> were the faces behind the Disclose Act as Van Hollen introduced it to the House</w:t>
      </w:r>
      <w:r w:rsidR="00BB167C">
        <w:rPr>
          <w:rStyle w:val="FootnoteReference"/>
          <w:rFonts w:ascii="Times New Roman" w:hAnsi="Times New Roman"/>
        </w:rPr>
        <w:footnoteReference w:customMarkFollows="1" w:id="95"/>
        <w:t>96</w:t>
      </w:r>
      <w:r>
        <w:rPr>
          <w:rFonts w:ascii="Times New Roman" w:hAnsi="Times New Roman"/>
        </w:rPr>
        <w:t xml:space="preserve"> and Schumer to the Senate</w:t>
      </w:r>
      <w:r w:rsidR="00771024">
        <w:rPr>
          <w:rFonts w:ascii="Times New Roman" w:hAnsi="Times New Roman"/>
        </w:rPr>
        <w:t>.</w:t>
      </w:r>
      <w:r w:rsidR="00BB167C">
        <w:rPr>
          <w:rStyle w:val="FootnoteReference"/>
          <w:rFonts w:ascii="Times New Roman" w:hAnsi="Times New Roman"/>
        </w:rPr>
        <w:footnoteReference w:customMarkFollows="1" w:id="96"/>
        <w:t>97</w:t>
      </w:r>
      <w:r>
        <w:rPr>
          <w:rFonts w:ascii="Times New Roman" w:hAnsi="Times New Roman"/>
        </w:rPr>
        <w:t xml:space="preserve"> In April of 2010, the Disclose Act of 2010 was introduced and by June had passed</w:t>
      </w:r>
      <w:r w:rsidR="009E7249">
        <w:rPr>
          <w:rFonts w:ascii="Times New Roman" w:hAnsi="Times New Roman"/>
        </w:rPr>
        <w:t xml:space="preserve"> in the House</w:t>
      </w:r>
      <w:r>
        <w:rPr>
          <w:rFonts w:ascii="Times New Roman" w:hAnsi="Times New Roman"/>
        </w:rPr>
        <w:t xml:space="preserve">. By July, Senate Majority Leader Harry Reid invoked cloture for the bill to be voted on in the Senate. The required mandate of 60 supporting senators fell short when the final tally was fifty-seven to forty-one. </w:t>
      </w:r>
      <w:r w:rsidR="009E7249">
        <w:rPr>
          <w:rFonts w:ascii="Times New Roman" w:hAnsi="Times New Roman"/>
        </w:rPr>
        <w:t xml:space="preserve">Senator </w:t>
      </w:r>
      <w:r>
        <w:rPr>
          <w:rFonts w:ascii="Times New Roman" w:hAnsi="Times New Roman"/>
        </w:rPr>
        <w:t xml:space="preserve">Reid switched his vote from a yes to a no </w:t>
      </w:r>
      <w:r w:rsidR="00B00284">
        <w:rPr>
          <w:rFonts w:ascii="Times New Roman" w:hAnsi="Times New Roman"/>
        </w:rPr>
        <w:t>to preserve his right to bring back the bill in a motion for reconsideration</w:t>
      </w:r>
      <w:r>
        <w:rPr>
          <w:rFonts w:ascii="Times New Roman" w:hAnsi="Times New Roman"/>
        </w:rPr>
        <w:t>. A few months later, the bill r</w:t>
      </w:r>
      <w:r w:rsidR="001A6218">
        <w:rPr>
          <w:rFonts w:ascii="Times New Roman" w:hAnsi="Times New Roman"/>
        </w:rPr>
        <w:t>eappeared before the Senate resulting in the same outcome</w:t>
      </w:r>
      <w:r>
        <w:rPr>
          <w:rFonts w:ascii="Times New Roman" w:hAnsi="Times New Roman"/>
        </w:rPr>
        <w:t xml:space="preserve">. The final vote was 59-39 as no Republicans offered to put their support behind the bill. Two years later, Senator Sheldon Whitehouse is now backing the modified bill as it appears once again before the Senate.  </w:t>
      </w:r>
    </w:p>
    <w:p w:rsidR="005E7671" w:rsidRDefault="005E7671" w:rsidP="005E7671">
      <w:pPr>
        <w:spacing w:line="480" w:lineRule="auto"/>
        <w:rPr>
          <w:rFonts w:ascii="Times New Roman" w:hAnsi="Times New Roman"/>
        </w:rPr>
      </w:pPr>
      <w:r>
        <w:rPr>
          <w:rFonts w:ascii="Times New Roman" w:hAnsi="Times New Roman"/>
        </w:rPr>
        <w:tab/>
        <w:t>The disagreement between the two pa</w:t>
      </w:r>
      <w:r w:rsidR="00B00284">
        <w:rPr>
          <w:rFonts w:ascii="Times New Roman" w:hAnsi="Times New Roman"/>
        </w:rPr>
        <w:t>rties seems to be over the c</w:t>
      </w:r>
      <w:r>
        <w:rPr>
          <w:rFonts w:ascii="Times New Roman" w:hAnsi="Times New Roman"/>
        </w:rPr>
        <w:t xml:space="preserve">onstitutionality of the bill. Republicans see it as an infringement upon one’s First Amendment rights while Democrats believe it’s a necessary safeguard against the ever-increasing risk of corruption in campaign spending. Republicans also see it as a desperate attempt by Democrats to minimize damage that will come from negative electioneering communications and longer, more-drawn out campaign battles. </w:t>
      </w:r>
      <w:r w:rsidR="0094464D">
        <w:rPr>
          <w:rFonts w:ascii="Times New Roman" w:hAnsi="Times New Roman"/>
        </w:rPr>
        <w:t xml:space="preserve">While Republicans long cried for transparency in federal elections, </w:t>
      </w:r>
      <w:r w:rsidR="00035A89">
        <w:rPr>
          <w:rFonts w:ascii="Times New Roman" w:hAnsi="Times New Roman"/>
        </w:rPr>
        <w:t>c</w:t>
      </w:r>
      <w:r w:rsidR="0094464D">
        <w:rPr>
          <w:rFonts w:ascii="Times New Roman" w:hAnsi="Times New Roman"/>
        </w:rPr>
        <w:t xml:space="preserve">onservative groups like </w:t>
      </w:r>
      <w:r w:rsidR="00035A89">
        <w:rPr>
          <w:rFonts w:ascii="Times New Roman" w:hAnsi="Times New Roman"/>
        </w:rPr>
        <w:t xml:space="preserve">Karl Rove’s American Crossroads have cashed in as deep-pocketed Republicans have given millions of dollars to PACs. Meanwhile, the traditional Democratic opponents </w:t>
      </w:r>
      <w:r w:rsidR="001A6218">
        <w:rPr>
          <w:rFonts w:ascii="Times New Roman" w:hAnsi="Times New Roman"/>
        </w:rPr>
        <w:t>long against</w:t>
      </w:r>
      <w:r w:rsidR="00035A89">
        <w:rPr>
          <w:rFonts w:ascii="Times New Roman" w:hAnsi="Times New Roman"/>
        </w:rPr>
        <w:t xml:space="preserve"> harsher disclosure requirements now find themselves scrambling to level the playing field</w:t>
      </w:r>
      <w:r w:rsidR="001A6218">
        <w:rPr>
          <w:rFonts w:ascii="Times New Roman" w:hAnsi="Times New Roman"/>
        </w:rPr>
        <w:t>.</w:t>
      </w:r>
      <w:r w:rsidR="00035A89">
        <w:rPr>
          <w:rFonts w:ascii="Times New Roman" w:hAnsi="Times New Roman"/>
        </w:rPr>
        <w:t xml:space="preserve"> </w:t>
      </w:r>
    </w:p>
    <w:p w:rsidR="005E7671" w:rsidRPr="00A74B32" w:rsidRDefault="005E7671" w:rsidP="003073C5">
      <w:pPr>
        <w:spacing w:line="480" w:lineRule="auto"/>
        <w:rPr>
          <w:rFonts w:ascii="Times New Roman" w:hAnsi="Times New Roman"/>
        </w:rPr>
      </w:pPr>
      <w:r>
        <w:rPr>
          <w:rFonts w:ascii="Times New Roman" w:hAnsi="Times New Roman"/>
        </w:rPr>
        <w:tab/>
        <w:t xml:space="preserve">The amount of outside spending and the avenues through which unidentifiable money can infiltrate the electoral system is a real threat to democracy. As Super PACs continue to gain power, the average voter’s ability to critically assess political candidates and their messages becomes more and more difficult. While money has and always will be a large part of being elected to political office, the erosion of the two basic principles of contribution limits and disclosure requirements have left campaign finance in need of reform more than ever. </w:t>
      </w:r>
      <w:r w:rsidR="0058424E">
        <w:rPr>
          <w:rFonts w:ascii="Times New Roman" w:hAnsi="Times New Roman"/>
        </w:rPr>
        <w:t>By</w:t>
      </w:r>
      <w:r>
        <w:rPr>
          <w:rFonts w:ascii="Times New Roman" w:hAnsi="Times New Roman"/>
        </w:rPr>
        <w:t xml:space="preserve"> understanding how </w:t>
      </w:r>
      <w:r w:rsidRPr="00CC2776">
        <w:rPr>
          <w:rFonts w:ascii="Times New Roman" w:hAnsi="Times New Roman"/>
          <w:i/>
        </w:rPr>
        <w:t>Citizens United</w:t>
      </w:r>
      <w:r>
        <w:rPr>
          <w:rFonts w:ascii="Times New Roman" w:hAnsi="Times New Roman"/>
        </w:rPr>
        <w:t xml:space="preserve"> and cases like </w:t>
      </w:r>
      <w:r w:rsidRPr="00CC2776">
        <w:rPr>
          <w:rFonts w:ascii="Times New Roman" w:hAnsi="Times New Roman"/>
          <w:i/>
        </w:rPr>
        <w:t>Speechnow</w:t>
      </w:r>
      <w:r>
        <w:rPr>
          <w:rFonts w:ascii="Times New Roman" w:hAnsi="Times New Roman"/>
          <w:i/>
        </w:rPr>
        <w:t xml:space="preserve"> </w:t>
      </w:r>
      <w:r>
        <w:rPr>
          <w:rFonts w:ascii="Times New Roman" w:hAnsi="Times New Roman"/>
        </w:rPr>
        <w:t xml:space="preserve">have changed the </w:t>
      </w:r>
      <w:r w:rsidR="00374991">
        <w:rPr>
          <w:rFonts w:ascii="Times New Roman" w:hAnsi="Times New Roman"/>
        </w:rPr>
        <w:t>dynamics</w:t>
      </w:r>
      <w:r>
        <w:rPr>
          <w:rFonts w:ascii="Times New Roman" w:hAnsi="Times New Roman"/>
        </w:rPr>
        <w:t xml:space="preserve"> of </w:t>
      </w:r>
      <w:r w:rsidR="00374991">
        <w:rPr>
          <w:rFonts w:ascii="Times New Roman" w:hAnsi="Times New Roman"/>
        </w:rPr>
        <w:t>fundraising for political candidates</w:t>
      </w:r>
      <w:r>
        <w:rPr>
          <w:rFonts w:ascii="Times New Roman" w:hAnsi="Times New Roman"/>
        </w:rPr>
        <w:t xml:space="preserve">, it is my hope that people will be better equipped to handle the overabundance of undue influence that cloud our country’s electoral </w:t>
      </w:r>
      <w:r w:rsidR="00B30557">
        <w:rPr>
          <w:rFonts w:ascii="Times New Roman" w:hAnsi="Times New Roman"/>
        </w:rPr>
        <w:t xml:space="preserve">process. </w:t>
      </w:r>
      <w:r w:rsidR="0058424E">
        <w:rPr>
          <w:rFonts w:ascii="Times New Roman" w:hAnsi="Times New Roman"/>
        </w:rPr>
        <w:t xml:space="preserve">In order for that understanding to be put to good use, it’s up to the government to help citizens cast a light on the shadowy sources that are helping fund the election of public officials. </w:t>
      </w:r>
      <w:r w:rsidR="001A6218">
        <w:rPr>
          <w:rFonts w:ascii="Times New Roman" w:hAnsi="Times New Roman"/>
        </w:rPr>
        <w:t xml:space="preserve">I believe the </w:t>
      </w:r>
      <w:r w:rsidR="00374D60">
        <w:rPr>
          <w:rFonts w:ascii="Times New Roman" w:hAnsi="Times New Roman"/>
        </w:rPr>
        <w:t xml:space="preserve">Disclose Act would go a long way towards making that possible. </w:t>
      </w:r>
    </w:p>
    <w:p w:rsidR="004306C9" w:rsidRDefault="004306C9" w:rsidP="00B0301F">
      <w:pPr>
        <w:spacing w:line="480" w:lineRule="auto"/>
        <w:rPr>
          <w:rFonts w:ascii="Times New Roman" w:hAnsi="Times New Roman"/>
        </w:rPr>
      </w:pPr>
    </w:p>
    <w:p w:rsidR="00BB1942" w:rsidRPr="007935FA" w:rsidRDefault="00BB1942" w:rsidP="00B0301F">
      <w:pPr>
        <w:spacing w:line="480" w:lineRule="auto"/>
        <w:rPr>
          <w:rFonts w:ascii="Times New Roman" w:hAnsi="Times New Roman"/>
        </w:rPr>
      </w:pPr>
    </w:p>
    <w:sectPr w:rsidR="00BB1942" w:rsidRPr="007935FA" w:rsidSect="00BB194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entury Schoolbook">
    <w:panose1 w:val="020406040505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id="0">
    <w:p w:rsidR="001A6218" w:rsidRPr="00437B82" w:rsidRDefault="001A6218" w:rsidP="00437B82">
      <w:pPr>
        <w:pStyle w:val="FootnoteText"/>
        <w:rPr>
          <w:rFonts w:ascii="Times New Roman" w:hAnsi="Times New Roman"/>
          <w:sz w:val="20"/>
        </w:rPr>
      </w:pPr>
      <w:r>
        <w:rPr>
          <w:rStyle w:val="FootnoteReference"/>
        </w:rPr>
        <w:footnoteRef/>
      </w:r>
      <w:r>
        <w:t xml:space="preserve"> </w:t>
      </w:r>
      <w:r w:rsidRPr="00437B82">
        <w:rPr>
          <w:rFonts w:ascii="Times New Roman" w:hAnsi="Times New Roman"/>
          <w:smallCaps/>
          <w:sz w:val="20"/>
        </w:rPr>
        <w:t xml:space="preserve">Fec, </w:t>
      </w:r>
      <w:r>
        <w:rPr>
          <w:rFonts w:ascii="Times New Roman" w:hAnsi="Times New Roman"/>
          <w:i/>
          <w:sz w:val="20"/>
        </w:rPr>
        <w:t>Introduction</w:t>
      </w:r>
      <w:r>
        <w:rPr>
          <w:rFonts w:ascii="Times New Roman" w:hAnsi="Times New Roman"/>
          <w:sz w:val="20"/>
        </w:rPr>
        <w:t>,</w:t>
      </w:r>
      <w:r>
        <w:rPr>
          <w:rFonts w:ascii="Times New Roman" w:hAnsi="Times New Roman"/>
          <w:smallCaps/>
          <w:sz w:val="20"/>
        </w:rPr>
        <w:t xml:space="preserve"> the Fec and the Federal Campaign Finance Law</w:t>
      </w:r>
      <w:r w:rsidRPr="00437B82">
        <w:rPr>
          <w:rFonts w:ascii="Times New Roman" w:hAnsi="Times New Roman"/>
          <w:smallCaps/>
          <w:sz w:val="20"/>
        </w:rPr>
        <w:t xml:space="preserve">, http://www.fec.gov/pages/brochures/fecfeca.shtml#Introduction </w:t>
      </w:r>
      <w:r w:rsidRPr="00437B82">
        <w:rPr>
          <w:rFonts w:ascii="Times New Roman" w:hAnsi="Times New Roman"/>
          <w:sz w:val="20"/>
        </w:rPr>
        <w:t xml:space="preserve">(last visited </w:t>
      </w:r>
      <w:r w:rsidRPr="00437B82">
        <w:rPr>
          <w:rFonts w:ascii="Times New Roman" w:hAnsi="Times New Roman"/>
          <w:smallCaps/>
          <w:sz w:val="20"/>
        </w:rPr>
        <w:t>Jan.</w:t>
      </w:r>
      <w:r w:rsidRPr="00437B82">
        <w:rPr>
          <w:rFonts w:ascii="Times New Roman" w:hAnsi="Times New Roman"/>
          <w:sz w:val="20"/>
        </w:rPr>
        <w:t xml:space="preserve"> 20, 2012).</w:t>
      </w:r>
    </w:p>
    <w:p w:rsidR="001A6218" w:rsidRPr="005E7671" w:rsidRDefault="001A6218">
      <w:pPr>
        <w:pStyle w:val="FootnoteText"/>
        <w:rPr>
          <w:rFonts w:ascii="Times New Roman" w:hAnsi="Times New Roman"/>
          <w:sz w:val="20"/>
        </w:rPr>
      </w:pPr>
    </w:p>
  </w:footnote>
  <w:footnote w:id="1">
    <w:p w:rsidR="001A6218" w:rsidRPr="0064214C" w:rsidRDefault="001A6218">
      <w:pPr>
        <w:pStyle w:val="FootnoteText"/>
        <w:rPr>
          <w:rFonts w:ascii="Times New Roman" w:hAnsi="Times New Roman"/>
          <w:sz w:val="20"/>
        </w:rPr>
      </w:pPr>
      <w:r>
        <w:rPr>
          <w:rStyle w:val="FootnoteReference"/>
        </w:rPr>
        <w:t>2</w:t>
      </w:r>
      <w:r w:rsidRPr="0064214C">
        <w:rPr>
          <w:rFonts w:ascii="Times New Roman" w:hAnsi="Times New Roman"/>
          <w:sz w:val="20"/>
        </w:rPr>
        <w:t xml:space="preserve"> </w:t>
      </w:r>
      <w:r w:rsidRPr="0064214C">
        <w:rPr>
          <w:rFonts w:ascii="Times New Roman" w:hAnsi="Times New Roman"/>
          <w:i/>
          <w:sz w:val="20"/>
        </w:rPr>
        <w:t>Citizens United, Inc. v. Federal Election Comm’n</w:t>
      </w:r>
      <w:r w:rsidRPr="0064214C">
        <w:rPr>
          <w:rFonts w:ascii="Times New Roman" w:hAnsi="Times New Roman"/>
          <w:sz w:val="20"/>
        </w:rPr>
        <w:t>, 588 U.S. --- (2010), 130 S. Ct. 876, 122 L.Ed. 2d 415.</w:t>
      </w:r>
    </w:p>
  </w:footnote>
  <w:footnote w:id="2">
    <w:p w:rsidR="001A6218" w:rsidRDefault="001A6218">
      <w:pPr>
        <w:pStyle w:val="FootnoteText"/>
      </w:pPr>
      <w:r>
        <w:rPr>
          <w:rStyle w:val="FootnoteReference"/>
        </w:rPr>
        <w:t>3</w:t>
      </w:r>
      <w:r>
        <w:t xml:space="preserve"> </w:t>
      </w:r>
      <w:r>
        <w:rPr>
          <w:rFonts w:ascii="Times New Roman" w:hAnsi="Times New Roman"/>
          <w:sz w:val="20"/>
        </w:rPr>
        <w:t>18 U.S.C. § 610 (originally enacted 1907, 34 Stat. 864)</w:t>
      </w:r>
    </w:p>
  </w:footnote>
  <w:footnote w:id="3">
    <w:p w:rsidR="001A6218" w:rsidRPr="00EC1449" w:rsidRDefault="001A6218">
      <w:pPr>
        <w:pStyle w:val="FootnoteText"/>
        <w:rPr>
          <w:rFonts w:ascii="Times New Roman" w:hAnsi="Times New Roman"/>
          <w:sz w:val="20"/>
        </w:rPr>
      </w:pPr>
      <w:r>
        <w:rPr>
          <w:rStyle w:val="FootnoteReference"/>
        </w:rPr>
        <w:t>4</w:t>
      </w:r>
      <w:r>
        <w:t xml:space="preserve"> </w:t>
      </w:r>
      <w:r>
        <w:rPr>
          <w:rFonts w:ascii="Times New Roman" w:hAnsi="Times New Roman"/>
          <w:smallCaps/>
          <w:sz w:val="20"/>
        </w:rPr>
        <w:t>C</w:t>
      </w:r>
      <w:r>
        <w:rPr>
          <w:rFonts w:ascii="Times New Roman" w:hAnsi="Times New Roman"/>
          <w:sz w:val="20"/>
        </w:rPr>
        <w:t xml:space="preserve">ongress Watch Division, 12 </w:t>
      </w:r>
      <w:r>
        <w:rPr>
          <w:rFonts w:ascii="Times New Roman" w:hAnsi="Times New Roman"/>
          <w:i/>
          <w:sz w:val="20"/>
        </w:rPr>
        <w:t>Months After</w:t>
      </w:r>
      <w:r>
        <w:rPr>
          <w:rFonts w:ascii="Times New Roman" w:hAnsi="Times New Roman"/>
          <w:smallCaps/>
          <w:sz w:val="20"/>
        </w:rPr>
        <w:t>, Public Citizen (2011).</w:t>
      </w:r>
      <w:r>
        <w:rPr>
          <w:rFonts w:ascii="Times New Roman" w:hAnsi="Times New Roman"/>
          <w:sz w:val="20"/>
        </w:rPr>
        <w:t xml:space="preserve"> </w:t>
      </w:r>
      <w:r w:rsidRPr="00EC1449">
        <w:rPr>
          <w:rFonts w:ascii="Times New Roman" w:hAnsi="Times New Roman"/>
          <w:sz w:val="20"/>
        </w:rPr>
        <w:t xml:space="preserve">It’s important to note that the Tillman Act was the initial establishment of the precedent that individuals had more leeway than corporations in influencing political campaigns, an issue that would later come to light in </w:t>
      </w:r>
      <w:r w:rsidRPr="00EC1449">
        <w:rPr>
          <w:rFonts w:ascii="Times New Roman" w:hAnsi="Times New Roman"/>
          <w:i/>
          <w:sz w:val="20"/>
        </w:rPr>
        <w:t>Citizens</w:t>
      </w:r>
      <w:r w:rsidRPr="00EC1449">
        <w:rPr>
          <w:rFonts w:ascii="Times New Roman" w:hAnsi="Times New Roman"/>
          <w:sz w:val="20"/>
        </w:rPr>
        <w:t xml:space="preserve"> when corporations were defined as individual entities.</w:t>
      </w:r>
    </w:p>
  </w:footnote>
  <w:footnote w:id="4">
    <w:p w:rsidR="001A6218" w:rsidRPr="00B911FF" w:rsidRDefault="001A6218">
      <w:pPr>
        <w:pStyle w:val="FootnoteText"/>
        <w:rPr>
          <w:rFonts w:ascii="Times New Roman" w:hAnsi="Times New Roman"/>
          <w:sz w:val="20"/>
        </w:rPr>
      </w:pPr>
      <w:r>
        <w:rPr>
          <w:rStyle w:val="FootnoteReference"/>
        </w:rPr>
        <w:t>5</w:t>
      </w:r>
      <w:r>
        <w:t xml:space="preserve"> </w:t>
      </w:r>
      <w:r>
        <w:rPr>
          <w:rFonts w:ascii="Times New Roman" w:hAnsi="Times New Roman"/>
          <w:i/>
          <w:sz w:val="20"/>
        </w:rPr>
        <w:t>Supra</w:t>
      </w:r>
      <w:r>
        <w:rPr>
          <w:rFonts w:ascii="Times New Roman" w:hAnsi="Times New Roman"/>
          <w:sz w:val="20"/>
        </w:rPr>
        <w:t xml:space="preserve"> 3. Act was later incorporated into the Federal Corrupt Practices Act of 1925. </w:t>
      </w:r>
    </w:p>
  </w:footnote>
  <w:footnote w:id="5">
    <w:p w:rsidR="001A6218" w:rsidRPr="007C0D26" w:rsidRDefault="001A6218">
      <w:pPr>
        <w:pStyle w:val="FootnoteText"/>
        <w:rPr>
          <w:rFonts w:ascii="Times New Roman" w:hAnsi="Times New Roman"/>
          <w:smallCaps/>
          <w:sz w:val="20"/>
        </w:rPr>
      </w:pPr>
      <w:r>
        <w:rPr>
          <w:rStyle w:val="FootnoteReference"/>
        </w:rPr>
        <w:t>6</w:t>
      </w:r>
      <w:r>
        <w:t xml:space="preserve"> </w:t>
      </w:r>
      <w:r w:rsidRPr="009A17F6">
        <w:rPr>
          <w:rFonts w:ascii="Times New Roman" w:hAnsi="Times New Roman"/>
          <w:i/>
          <w:sz w:val="20"/>
        </w:rPr>
        <w:t>See</w:t>
      </w:r>
      <w:r>
        <w:rPr>
          <w:rFonts w:ascii="Times New Roman" w:hAnsi="Times New Roman"/>
          <w:sz w:val="20"/>
        </w:rPr>
        <w:t xml:space="preserve"> Adam Winkler, </w:t>
      </w:r>
      <w:r>
        <w:rPr>
          <w:rFonts w:ascii="Times New Roman" w:hAnsi="Times New Roman"/>
          <w:i/>
          <w:sz w:val="20"/>
        </w:rPr>
        <w:t>Other People’s Money; Corporations, Agency Costs, and Campaign Finance Law,</w:t>
      </w:r>
      <w:r>
        <w:rPr>
          <w:rFonts w:ascii="Times New Roman" w:hAnsi="Times New Roman"/>
          <w:sz w:val="20"/>
        </w:rPr>
        <w:t xml:space="preserve"> 92 </w:t>
      </w:r>
      <w:r>
        <w:rPr>
          <w:rFonts w:ascii="Times New Roman" w:hAnsi="Times New Roman"/>
          <w:smallCaps/>
          <w:sz w:val="20"/>
        </w:rPr>
        <w:t xml:space="preserve">Geo. L.J. 871, 871 (2004). </w:t>
      </w:r>
    </w:p>
  </w:footnote>
  <w:footnote w:id="6">
    <w:p w:rsidR="001A6218" w:rsidRPr="006E0A50" w:rsidRDefault="001A6218">
      <w:pPr>
        <w:pStyle w:val="FootnoteText"/>
        <w:rPr>
          <w:rFonts w:ascii="Times New Roman" w:hAnsi="Times New Roman"/>
          <w:sz w:val="20"/>
        </w:rPr>
      </w:pPr>
      <w:r>
        <w:rPr>
          <w:rStyle w:val="FootnoteReference"/>
        </w:rPr>
        <w:t>7</w:t>
      </w:r>
      <w:r>
        <w:t xml:space="preserve"> </w:t>
      </w:r>
      <w:r>
        <w:rPr>
          <w:rFonts w:ascii="Times New Roman" w:hAnsi="Times New Roman"/>
          <w:smallCaps/>
          <w:sz w:val="20"/>
        </w:rPr>
        <w:t xml:space="preserve">Fec, Appendix 4, </w:t>
      </w:r>
      <w:hyperlink r:id="rId1" w:history="1">
        <w:r w:rsidRPr="00B07B2A">
          <w:rPr>
            <w:rStyle w:val="Hyperlink"/>
            <w:rFonts w:ascii="Times New Roman" w:hAnsi="Times New Roman"/>
            <w:sz w:val="20"/>
          </w:rPr>
          <w:t>http://www.fec.gov/info/appfour.htm</w:t>
        </w:r>
      </w:hyperlink>
      <w:r>
        <w:rPr>
          <w:rFonts w:ascii="Times New Roman" w:hAnsi="Times New Roman"/>
          <w:sz w:val="20"/>
        </w:rPr>
        <w:t xml:space="preserve"> (last visited </w:t>
      </w:r>
      <w:r>
        <w:rPr>
          <w:rFonts w:ascii="Times New Roman" w:hAnsi="Times New Roman"/>
          <w:smallCaps/>
          <w:sz w:val="20"/>
        </w:rPr>
        <w:t>Jan.</w:t>
      </w:r>
      <w:r>
        <w:rPr>
          <w:rFonts w:ascii="Times New Roman" w:hAnsi="Times New Roman"/>
          <w:sz w:val="20"/>
        </w:rPr>
        <w:t xml:space="preserve"> 20, 2012).</w:t>
      </w:r>
    </w:p>
  </w:footnote>
  <w:footnote w:id="7">
    <w:p w:rsidR="001A6218" w:rsidRPr="009B7CF9" w:rsidRDefault="001A6218">
      <w:pPr>
        <w:pStyle w:val="FootnoteText"/>
        <w:rPr>
          <w:rFonts w:ascii="Times New Roman" w:hAnsi="Times New Roman"/>
          <w:sz w:val="20"/>
        </w:rPr>
      </w:pPr>
      <w:r>
        <w:rPr>
          <w:rStyle w:val="FootnoteReference"/>
        </w:rPr>
        <w:t>8</w:t>
      </w:r>
      <w:r>
        <w:t xml:space="preserve"> </w:t>
      </w:r>
      <w:r>
        <w:rPr>
          <w:rFonts w:ascii="Times New Roman" w:hAnsi="Times New Roman"/>
          <w:smallCaps/>
          <w:sz w:val="20"/>
        </w:rPr>
        <w:t>CQ Press, Congressional Quarterly, Inc.</w:t>
      </w:r>
      <w:r>
        <w:rPr>
          <w:rFonts w:ascii="Times New Roman" w:hAnsi="Times New Roman"/>
          <w:sz w:val="20"/>
        </w:rPr>
        <w:t xml:space="preserve">, </w:t>
      </w:r>
      <w:r>
        <w:rPr>
          <w:rFonts w:ascii="Times New Roman" w:hAnsi="Times New Roman"/>
          <w:smallCaps/>
          <w:sz w:val="20"/>
        </w:rPr>
        <w:t>Interest</w:t>
      </w:r>
      <w:r w:rsidRPr="006E0A50">
        <w:rPr>
          <w:rFonts w:ascii="Times New Roman" w:hAnsi="Times New Roman"/>
          <w:smallCaps/>
          <w:sz w:val="20"/>
        </w:rPr>
        <w:t xml:space="preserve"> Group Politics</w:t>
      </w:r>
      <w:r>
        <w:rPr>
          <w:rFonts w:ascii="Times New Roman" w:hAnsi="Times New Roman"/>
          <w:smallCaps/>
          <w:sz w:val="20"/>
        </w:rPr>
        <w:t>, (</w:t>
      </w:r>
      <w:r>
        <w:rPr>
          <w:rFonts w:ascii="Times New Roman" w:hAnsi="Times New Roman"/>
          <w:sz w:val="20"/>
        </w:rPr>
        <w:t xml:space="preserve">Allan J. Cigler &amp; Burdett A. Loomis eds., </w:t>
      </w:r>
      <w:r>
        <w:rPr>
          <w:rFonts w:ascii="Times New Roman" w:hAnsi="Times New Roman"/>
          <w:smallCaps/>
          <w:sz w:val="20"/>
        </w:rPr>
        <w:t>7</w:t>
      </w:r>
      <w:r w:rsidRPr="006E0A50">
        <w:rPr>
          <w:rFonts w:ascii="Times New Roman" w:hAnsi="Times New Roman"/>
          <w:smallCaps/>
          <w:sz w:val="20"/>
          <w:vertAlign w:val="superscript"/>
        </w:rPr>
        <w:t>th</w:t>
      </w:r>
      <w:r>
        <w:rPr>
          <w:rFonts w:ascii="Times New Roman" w:hAnsi="Times New Roman"/>
          <w:smallCaps/>
          <w:sz w:val="20"/>
        </w:rPr>
        <w:t xml:space="preserve"> </w:t>
      </w:r>
      <w:r>
        <w:rPr>
          <w:rFonts w:ascii="Times New Roman" w:hAnsi="Times New Roman"/>
          <w:sz w:val="20"/>
        </w:rPr>
        <w:t xml:space="preserve">ed. 2007). As Chapter 8 of </w:t>
      </w:r>
      <w:r w:rsidRPr="009B7CF9">
        <w:rPr>
          <w:rFonts w:ascii="Times New Roman" w:hAnsi="Times New Roman"/>
          <w:i/>
          <w:sz w:val="20"/>
        </w:rPr>
        <w:t>Interest Group Politics</w:t>
      </w:r>
      <w:r>
        <w:rPr>
          <w:rFonts w:ascii="Times New Roman" w:hAnsi="Times New Roman"/>
          <w:sz w:val="20"/>
        </w:rPr>
        <w:t xml:space="preserve"> points out, PACs were later legally legitimized into federal law through the Federal Election Campaign Act of 1971.</w:t>
      </w:r>
    </w:p>
  </w:footnote>
  <w:footnote w:id="8">
    <w:p w:rsidR="001A6218" w:rsidRPr="00EE6BF0" w:rsidRDefault="001A6218">
      <w:pPr>
        <w:pStyle w:val="FootnoteText"/>
        <w:rPr>
          <w:rFonts w:ascii="Times New Roman" w:hAnsi="Times New Roman"/>
          <w:sz w:val="20"/>
        </w:rPr>
      </w:pPr>
      <w:r>
        <w:rPr>
          <w:rStyle w:val="FootnoteReference"/>
        </w:rPr>
        <w:t>9</w:t>
      </w:r>
      <w:r>
        <w:t xml:space="preserve"> </w:t>
      </w:r>
      <w:r w:rsidRPr="007076AC">
        <w:rPr>
          <w:rFonts w:ascii="Times New Roman" w:hAnsi="Times New Roman"/>
          <w:i/>
          <w:sz w:val="20"/>
        </w:rPr>
        <w:t>Supra</w:t>
      </w:r>
      <w:r>
        <w:rPr>
          <w:rFonts w:ascii="Times New Roman" w:hAnsi="Times New Roman"/>
          <w:sz w:val="20"/>
        </w:rPr>
        <w:t xml:space="preserve"> at 7.</w:t>
      </w:r>
    </w:p>
  </w:footnote>
  <w:footnote w:id="9">
    <w:p w:rsidR="001A6218" w:rsidRPr="00E575A9" w:rsidRDefault="001A6218">
      <w:pPr>
        <w:pStyle w:val="FootnoteText"/>
        <w:rPr>
          <w:rFonts w:ascii="Times New Roman" w:hAnsi="Times New Roman"/>
          <w:smallCaps/>
          <w:sz w:val="20"/>
        </w:rPr>
      </w:pPr>
      <w:r>
        <w:rPr>
          <w:rStyle w:val="FootnoteReference"/>
        </w:rPr>
        <w:t>10</w:t>
      </w:r>
      <w:r>
        <w:t xml:space="preserve"> </w:t>
      </w:r>
      <w:r>
        <w:rPr>
          <w:rFonts w:ascii="Times New Roman" w:hAnsi="Times New Roman"/>
          <w:smallCaps/>
          <w:sz w:val="20"/>
        </w:rPr>
        <w:t xml:space="preserve">Fec, </w:t>
      </w:r>
      <w:r>
        <w:rPr>
          <w:rFonts w:ascii="Times New Roman" w:hAnsi="Times New Roman"/>
          <w:i/>
          <w:sz w:val="20"/>
        </w:rPr>
        <w:t xml:space="preserve">FEC Mission and History, </w:t>
      </w:r>
      <w:r>
        <w:rPr>
          <w:rFonts w:ascii="Times New Roman" w:hAnsi="Times New Roman"/>
          <w:smallCaps/>
          <w:sz w:val="20"/>
        </w:rPr>
        <w:t xml:space="preserve">About the FEC, </w:t>
      </w:r>
      <w:hyperlink r:id="rId2" w:history="1">
        <w:r w:rsidRPr="00B07B2A">
          <w:rPr>
            <w:rStyle w:val="Hyperlink"/>
            <w:rFonts w:ascii="Times New Roman" w:hAnsi="Times New Roman"/>
            <w:sz w:val="20"/>
          </w:rPr>
          <w:t>http://www.fec.gov/info/mssion.shtml</w:t>
        </w:r>
      </w:hyperlink>
      <w:r>
        <w:rPr>
          <w:rFonts w:ascii="Times New Roman" w:hAnsi="Times New Roman"/>
          <w:sz w:val="20"/>
        </w:rPr>
        <w:t xml:space="preserve"> (last visited </w:t>
      </w:r>
      <w:r>
        <w:rPr>
          <w:rFonts w:ascii="Times New Roman" w:hAnsi="Times New Roman"/>
          <w:smallCaps/>
          <w:sz w:val="20"/>
        </w:rPr>
        <w:t>Jan. 20, 2012).</w:t>
      </w:r>
    </w:p>
  </w:footnote>
  <w:footnote w:id="10">
    <w:p w:rsidR="001A6218" w:rsidRPr="007076AC" w:rsidRDefault="001A6218">
      <w:pPr>
        <w:pStyle w:val="FootnoteText"/>
        <w:rPr>
          <w:rFonts w:ascii="Times New Roman" w:hAnsi="Times New Roman"/>
          <w:sz w:val="20"/>
        </w:rPr>
      </w:pPr>
      <w:r>
        <w:rPr>
          <w:rStyle w:val="FootnoteReference"/>
        </w:rPr>
        <w:t>11</w:t>
      </w:r>
      <w:r>
        <w:t xml:space="preserve"> </w:t>
      </w:r>
      <w:r w:rsidRPr="00991C0F">
        <w:rPr>
          <w:rFonts w:ascii="Times New Roman" w:hAnsi="Times New Roman"/>
          <w:i/>
          <w:sz w:val="20"/>
        </w:rPr>
        <w:t>Buckley v.</w:t>
      </w:r>
      <w:r>
        <w:rPr>
          <w:rFonts w:ascii="Times New Roman" w:hAnsi="Times New Roman"/>
          <w:sz w:val="20"/>
        </w:rPr>
        <w:t xml:space="preserve"> </w:t>
      </w:r>
      <w:r>
        <w:rPr>
          <w:rFonts w:ascii="Times New Roman" w:hAnsi="Times New Roman"/>
          <w:i/>
          <w:sz w:val="20"/>
        </w:rPr>
        <w:t>Valeo</w:t>
      </w:r>
      <w:r>
        <w:rPr>
          <w:rFonts w:ascii="Times New Roman" w:hAnsi="Times New Roman"/>
          <w:sz w:val="20"/>
        </w:rPr>
        <w:t xml:space="preserve"> 424 U.S. 1 (1976). </w:t>
      </w:r>
    </w:p>
  </w:footnote>
  <w:footnote w:id="11">
    <w:p w:rsidR="001A6218" w:rsidRDefault="001A6218">
      <w:pPr>
        <w:pStyle w:val="FootnoteText"/>
      </w:pPr>
      <w:r>
        <w:rPr>
          <w:rStyle w:val="FootnoteReference"/>
        </w:rPr>
        <w:t>12</w:t>
      </w:r>
      <w:r>
        <w:t xml:space="preserve"> </w:t>
      </w:r>
      <w:r>
        <w:rPr>
          <w:rFonts w:ascii="Times New Roman" w:hAnsi="Times New Roman"/>
          <w:sz w:val="20"/>
        </w:rPr>
        <w:t xml:space="preserve">Federal Elections Campaign Act, Pub. L. 93-443, </w:t>
      </w:r>
      <w:r w:rsidRPr="001F2242">
        <w:rPr>
          <w:rFonts w:ascii="Times New Roman" w:hAnsi="Times New Roman"/>
          <w:sz w:val="20"/>
        </w:rPr>
        <w:t>88 Stat. 1263 (1974).</w:t>
      </w:r>
    </w:p>
  </w:footnote>
  <w:footnote w:id="12">
    <w:p w:rsidR="001A6218" w:rsidRPr="002D06A1" w:rsidRDefault="001A6218">
      <w:pPr>
        <w:pStyle w:val="FootnoteText"/>
        <w:rPr>
          <w:rFonts w:ascii="Times New Roman" w:hAnsi="Times New Roman"/>
          <w:sz w:val="20"/>
        </w:rPr>
      </w:pPr>
      <w:r>
        <w:rPr>
          <w:rStyle w:val="FootnoteReference"/>
        </w:rPr>
        <w:t>13</w:t>
      </w:r>
      <w:r>
        <w:t xml:space="preserve"> </w:t>
      </w:r>
      <w:r>
        <w:rPr>
          <w:rFonts w:ascii="Times New Roman" w:hAnsi="Times New Roman"/>
          <w:smallCaps/>
          <w:sz w:val="20"/>
        </w:rPr>
        <w:t xml:space="preserve">Fec, </w:t>
      </w:r>
      <w:r>
        <w:rPr>
          <w:rFonts w:ascii="Times New Roman" w:hAnsi="Times New Roman"/>
          <w:i/>
          <w:sz w:val="20"/>
        </w:rPr>
        <w:t xml:space="preserve">Court Case Abstracts, </w:t>
      </w:r>
      <w:r>
        <w:rPr>
          <w:rFonts w:ascii="Times New Roman" w:hAnsi="Times New Roman"/>
          <w:smallCaps/>
          <w:sz w:val="20"/>
        </w:rPr>
        <w:t>Litigation (J</w:t>
      </w:r>
      <w:r>
        <w:rPr>
          <w:rFonts w:ascii="Times New Roman" w:hAnsi="Times New Roman"/>
          <w:sz w:val="20"/>
        </w:rPr>
        <w:t xml:space="preserve">an. 25, 2012), </w:t>
      </w:r>
      <w:hyperlink r:id="rId3" w:anchor="buckley" w:history="1">
        <w:r w:rsidRPr="00155502">
          <w:rPr>
            <w:rStyle w:val="Hyperlink"/>
            <w:rFonts w:ascii="Times New Roman" w:hAnsi="Times New Roman"/>
            <w:sz w:val="20"/>
          </w:rPr>
          <w:t>http://www.fec.gov/law/litigation_CCA_B.shtml#buckley</w:t>
        </w:r>
      </w:hyperlink>
      <w:r>
        <w:rPr>
          <w:rFonts w:ascii="Times New Roman" w:hAnsi="Times New Roman"/>
          <w:sz w:val="20"/>
        </w:rPr>
        <w:t xml:space="preserve">. The Secretary of the Senate, Francis Valeo, and the Clerk of the House were designated non-voting, </w:t>
      </w:r>
      <w:r w:rsidRPr="002D06A1">
        <w:rPr>
          <w:rFonts w:ascii="Times New Roman" w:hAnsi="Times New Roman"/>
          <w:i/>
          <w:sz w:val="20"/>
        </w:rPr>
        <w:t>ex officio</w:t>
      </w:r>
      <w:r>
        <w:rPr>
          <w:rFonts w:ascii="Times New Roman" w:hAnsi="Times New Roman"/>
          <w:i/>
          <w:sz w:val="20"/>
        </w:rPr>
        <w:t xml:space="preserve"> </w:t>
      </w:r>
      <w:r>
        <w:rPr>
          <w:rFonts w:ascii="Times New Roman" w:hAnsi="Times New Roman"/>
          <w:sz w:val="20"/>
        </w:rPr>
        <w:t xml:space="preserve">Commissioners of the FEC. They had this right because of the FECA amendments 88 Stat. 1263 (1974) that thereby designated someone as commissioner of the FEC stemming from their position within Congress. </w:t>
      </w:r>
    </w:p>
  </w:footnote>
  <w:footnote w:id="13">
    <w:p w:rsidR="001A6218" w:rsidRPr="008C6D31" w:rsidRDefault="001A6218">
      <w:pPr>
        <w:pStyle w:val="FootnoteText"/>
        <w:rPr>
          <w:rFonts w:ascii="Times New Roman" w:hAnsi="Times New Roman"/>
          <w:sz w:val="20"/>
        </w:rPr>
      </w:pPr>
      <w:r>
        <w:rPr>
          <w:rStyle w:val="FootnoteReference"/>
        </w:rPr>
        <w:t>14</w:t>
      </w:r>
      <w:r>
        <w:rPr>
          <w:rFonts w:ascii="Times New Roman" w:hAnsi="Times New Roman"/>
          <w:sz w:val="20"/>
        </w:rPr>
        <w:t xml:space="preserve"> </w:t>
      </w:r>
      <w:r w:rsidRPr="008C6D31">
        <w:rPr>
          <w:rFonts w:ascii="Times New Roman" w:hAnsi="Times New Roman"/>
          <w:sz w:val="20"/>
        </w:rPr>
        <w:t>2 U</w:t>
      </w:r>
      <w:r>
        <w:rPr>
          <w:rFonts w:ascii="Times New Roman" w:hAnsi="Times New Roman"/>
          <w:sz w:val="20"/>
        </w:rPr>
        <w:t>.</w:t>
      </w:r>
      <w:r w:rsidRPr="008C6D31">
        <w:rPr>
          <w:rFonts w:ascii="Times New Roman" w:hAnsi="Times New Roman"/>
          <w:sz w:val="20"/>
        </w:rPr>
        <w:t>S</w:t>
      </w:r>
      <w:r>
        <w:rPr>
          <w:rFonts w:ascii="Times New Roman" w:hAnsi="Times New Roman"/>
          <w:sz w:val="20"/>
        </w:rPr>
        <w:t>.</w:t>
      </w:r>
      <w:r w:rsidRPr="008C6D31">
        <w:rPr>
          <w:rFonts w:ascii="Times New Roman" w:hAnsi="Times New Roman"/>
          <w:sz w:val="20"/>
        </w:rPr>
        <w:t>C</w:t>
      </w:r>
      <w:r>
        <w:rPr>
          <w:rFonts w:ascii="Times New Roman" w:hAnsi="Times New Roman"/>
          <w:sz w:val="20"/>
        </w:rPr>
        <w:t>.</w:t>
      </w:r>
      <w:r w:rsidRPr="008C6D31">
        <w:rPr>
          <w:rFonts w:ascii="Times New Roman" w:hAnsi="Times New Roman"/>
          <w:sz w:val="20"/>
        </w:rPr>
        <w:t xml:space="preserve"> §441a</w:t>
      </w:r>
      <w:r>
        <w:rPr>
          <w:rFonts w:ascii="Times New Roman" w:hAnsi="Times New Roman"/>
          <w:sz w:val="20"/>
        </w:rPr>
        <w:t xml:space="preserve"> (2011).</w:t>
      </w:r>
    </w:p>
  </w:footnote>
  <w:footnote w:id="14">
    <w:p w:rsidR="001A6218" w:rsidRPr="008C6D31" w:rsidRDefault="001A6218">
      <w:pPr>
        <w:pStyle w:val="FootnoteText"/>
        <w:rPr>
          <w:rFonts w:ascii="Times New Roman" w:hAnsi="Times New Roman"/>
          <w:sz w:val="20"/>
        </w:rPr>
      </w:pPr>
      <w:r>
        <w:rPr>
          <w:rStyle w:val="FootnoteReference"/>
        </w:rPr>
        <w:t>15</w:t>
      </w:r>
      <w:r>
        <w:t xml:space="preserve"> </w:t>
      </w:r>
      <w:r>
        <w:rPr>
          <w:rFonts w:ascii="Times New Roman" w:hAnsi="Times New Roman"/>
          <w:sz w:val="20"/>
        </w:rPr>
        <w:t xml:space="preserve">2 U.S.C. </w:t>
      </w:r>
      <w:r w:rsidRPr="008C6D31">
        <w:rPr>
          <w:rFonts w:ascii="Times New Roman" w:hAnsi="Times New Roman"/>
          <w:sz w:val="20"/>
        </w:rPr>
        <w:t>§</w:t>
      </w:r>
      <w:r>
        <w:rPr>
          <w:rFonts w:ascii="Times New Roman" w:hAnsi="Times New Roman"/>
          <w:sz w:val="20"/>
        </w:rPr>
        <w:t>434 (2011).</w:t>
      </w:r>
    </w:p>
  </w:footnote>
  <w:footnote w:id="15">
    <w:p w:rsidR="001A6218" w:rsidRPr="00BE3B78" w:rsidRDefault="001A6218">
      <w:pPr>
        <w:pStyle w:val="FootnoteText"/>
        <w:rPr>
          <w:rFonts w:ascii="Times New Roman" w:hAnsi="Times New Roman"/>
          <w:sz w:val="20"/>
        </w:rPr>
      </w:pPr>
      <w:r>
        <w:rPr>
          <w:rStyle w:val="FootnoteReference"/>
        </w:rPr>
        <w:t>16</w:t>
      </w:r>
      <w:r>
        <w:t xml:space="preserve"> </w:t>
      </w:r>
      <w:r>
        <w:rPr>
          <w:rFonts w:ascii="Times New Roman" w:hAnsi="Times New Roman"/>
          <w:sz w:val="20"/>
        </w:rPr>
        <w:t>I.R.C. §9001-9042 (2011).</w:t>
      </w:r>
    </w:p>
  </w:footnote>
  <w:footnote w:id="16">
    <w:p w:rsidR="001A6218" w:rsidRPr="00BE3B78" w:rsidRDefault="001A6218">
      <w:pPr>
        <w:pStyle w:val="FootnoteText"/>
        <w:rPr>
          <w:rFonts w:ascii="Times New Roman" w:hAnsi="Times New Roman"/>
          <w:sz w:val="20"/>
        </w:rPr>
      </w:pPr>
      <w:r>
        <w:rPr>
          <w:rStyle w:val="FootnoteReference"/>
        </w:rPr>
        <w:t>17</w:t>
      </w:r>
      <w:r>
        <w:t xml:space="preserve"> </w:t>
      </w:r>
      <w:r>
        <w:rPr>
          <w:rFonts w:ascii="Times New Roman" w:hAnsi="Times New Roman"/>
          <w:sz w:val="20"/>
        </w:rPr>
        <w:t>Formerly 2 U.S.C. §437 c(a) (1)(A-C))</w:t>
      </w:r>
    </w:p>
  </w:footnote>
  <w:footnote w:id="17">
    <w:p w:rsidR="001A6218" w:rsidRPr="008C6D31" w:rsidRDefault="001A6218">
      <w:pPr>
        <w:pStyle w:val="FootnoteText"/>
        <w:rPr>
          <w:rFonts w:ascii="Times New Roman" w:hAnsi="Times New Roman"/>
          <w:sz w:val="20"/>
        </w:rPr>
      </w:pPr>
      <w:r>
        <w:rPr>
          <w:rStyle w:val="FootnoteReference"/>
        </w:rPr>
        <w:t>18</w:t>
      </w:r>
      <w:r>
        <w:t xml:space="preserve"> </w:t>
      </w:r>
      <w:r w:rsidRPr="00BE3B78">
        <w:rPr>
          <w:rFonts w:ascii="Times New Roman" w:hAnsi="Times New Roman"/>
          <w:i/>
          <w:sz w:val="20"/>
        </w:rPr>
        <w:t>Valeo</w:t>
      </w:r>
      <w:r>
        <w:rPr>
          <w:rFonts w:ascii="Times New Roman" w:hAnsi="Times New Roman"/>
          <w:sz w:val="20"/>
        </w:rPr>
        <w:t xml:space="preserve"> 424 US at 46 (1976).</w:t>
      </w:r>
    </w:p>
  </w:footnote>
  <w:footnote w:id="18">
    <w:p w:rsidR="001A6218" w:rsidRPr="00CE464B" w:rsidRDefault="001A6218">
      <w:pPr>
        <w:pStyle w:val="FootnoteText"/>
        <w:rPr>
          <w:rFonts w:ascii="Times New Roman" w:hAnsi="Times New Roman"/>
          <w:sz w:val="20"/>
        </w:rPr>
      </w:pPr>
      <w:r>
        <w:rPr>
          <w:rStyle w:val="FootnoteReference"/>
        </w:rPr>
        <w:t>19</w:t>
      </w:r>
      <w:r>
        <w:t xml:space="preserve"> </w:t>
      </w:r>
      <w:r>
        <w:rPr>
          <w:rFonts w:ascii="Times New Roman" w:hAnsi="Times New Roman"/>
          <w:i/>
          <w:sz w:val="20"/>
        </w:rPr>
        <w:t>Id.</w:t>
      </w:r>
      <w:r>
        <w:rPr>
          <w:rFonts w:ascii="Times New Roman" w:hAnsi="Times New Roman"/>
          <w:sz w:val="20"/>
        </w:rPr>
        <w:t xml:space="preserve"> at 143</w:t>
      </w:r>
    </w:p>
  </w:footnote>
  <w:footnote w:id="19">
    <w:p w:rsidR="001A6218" w:rsidRDefault="001A6218">
      <w:pPr>
        <w:pStyle w:val="FootnoteText"/>
      </w:pPr>
      <w:r>
        <w:rPr>
          <w:rStyle w:val="FootnoteReference"/>
        </w:rPr>
        <w:t>20</w:t>
      </w:r>
      <w:r>
        <w:t xml:space="preserve"> </w:t>
      </w:r>
      <w:r>
        <w:rPr>
          <w:rFonts w:ascii="Times New Roman" w:hAnsi="Times New Roman"/>
          <w:i/>
          <w:sz w:val="20"/>
        </w:rPr>
        <w:t>Id.</w:t>
      </w:r>
    </w:p>
  </w:footnote>
  <w:footnote w:id="20">
    <w:p w:rsidR="001A6218" w:rsidRDefault="001A6218">
      <w:pPr>
        <w:pStyle w:val="FootnoteText"/>
      </w:pPr>
      <w:r>
        <w:rPr>
          <w:rStyle w:val="FootnoteReference"/>
        </w:rPr>
        <w:t>21</w:t>
      </w:r>
      <w:r>
        <w:t xml:space="preserve"> </w:t>
      </w:r>
      <w:r>
        <w:rPr>
          <w:rFonts w:ascii="Times New Roman" w:hAnsi="Times New Roman"/>
          <w:i/>
          <w:sz w:val="20"/>
        </w:rPr>
        <w:t xml:space="preserve">Supra </w:t>
      </w:r>
      <w:r>
        <w:rPr>
          <w:rFonts w:ascii="Times New Roman" w:hAnsi="Times New Roman"/>
          <w:sz w:val="20"/>
        </w:rPr>
        <w:t>note 8 at 185.</w:t>
      </w:r>
    </w:p>
  </w:footnote>
  <w:footnote w:id="21">
    <w:p w:rsidR="001A6218" w:rsidRDefault="001A6218">
      <w:pPr>
        <w:pStyle w:val="FootnoteText"/>
      </w:pPr>
      <w:r>
        <w:rPr>
          <w:rStyle w:val="FootnoteReference"/>
        </w:rPr>
        <w:t>22</w:t>
      </w:r>
      <w:r>
        <w:t xml:space="preserve"> </w:t>
      </w:r>
      <w:r w:rsidRPr="001E6100">
        <w:rPr>
          <w:rStyle w:val="Emphasis"/>
          <w:rFonts w:ascii="Times New Roman" w:hAnsi="Times New Roman"/>
          <w:sz w:val="20"/>
        </w:rPr>
        <w:t>FEC v. Massachusetts Citizens for Life, Inc.</w:t>
      </w:r>
      <w:r w:rsidRPr="001E6100">
        <w:rPr>
          <w:rFonts w:ascii="Times New Roman" w:hAnsi="Times New Roman"/>
          <w:sz w:val="20"/>
        </w:rPr>
        <w:t>, 589 F. Supp. 646 (D. Mass. 1984), aff'd, 769 F.2d 13 (1st Cir. 1985), aff'd, 479 U.S. 238 (1986).</w:t>
      </w:r>
    </w:p>
  </w:footnote>
  <w:footnote w:id="22">
    <w:p w:rsidR="001A6218" w:rsidRPr="00090922" w:rsidRDefault="001A6218">
      <w:pPr>
        <w:pStyle w:val="FootnoteText"/>
      </w:pPr>
      <w:r>
        <w:rPr>
          <w:rStyle w:val="FootnoteReference"/>
        </w:rPr>
        <w:t>23</w:t>
      </w:r>
      <w:r>
        <w:t xml:space="preserve"> </w:t>
      </w:r>
      <w:r>
        <w:rPr>
          <w:rFonts w:ascii="Times New Roman" w:hAnsi="Times New Roman"/>
          <w:smallCaps/>
          <w:sz w:val="20"/>
        </w:rPr>
        <w:t xml:space="preserve">Fec, </w:t>
      </w:r>
      <w:r>
        <w:rPr>
          <w:rFonts w:ascii="Times New Roman" w:hAnsi="Times New Roman"/>
          <w:i/>
          <w:sz w:val="20"/>
        </w:rPr>
        <w:t xml:space="preserve">Court Case Abstracts, </w:t>
      </w:r>
      <w:r>
        <w:rPr>
          <w:rFonts w:ascii="Times New Roman" w:hAnsi="Times New Roman"/>
          <w:smallCaps/>
          <w:sz w:val="20"/>
        </w:rPr>
        <w:t>Litigation (J</w:t>
      </w:r>
      <w:r>
        <w:rPr>
          <w:rFonts w:ascii="Times New Roman" w:hAnsi="Times New Roman"/>
          <w:sz w:val="20"/>
        </w:rPr>
        <w:t xml:space="preserve">an. 25, 2012), </w:t>
      </w:r>
      <w:hyperlink r:id="rId4" w:anchor="fec_mcfl" w:history="1">
        <w:r w:rsidRPr="00155502">
          <w:rPr>
            <w:rStyle w:val="Hyperlink"/>
            <w:rFonts w:ascii="Times New Roman" w:hAnsi="Times New Roman"/>
            <w:sz w:val="20"/>
          </w:rPr>
          <w:t>http://www.fec.gov/law/litigation_CCA_FEC_K.shtml#fec_mcfl</w:t>
        </w:r>
      </w:hyperlink>
      <w:r>
        <w:rPr>
          <w:rFonts w:ascii="Times New Roman" w:hAnsi="Times New Roman"/>
          <w:sz w:val="20"/>
        </w:rPr>
        <w:t xml:space="preserve"> </w:t>
      </w:r>
    </w:p>
  </w:footnote>
  <w:footnote w:id="23">
    <w:p w:rsidR="001A6218" w:rsidRDefault="001A6218">
      <w:pPr>
        <w:pStyle w:val="FootnoteText"/>
      </w:pPr>
      <w:r>
        <w:rPr>
          <w:rStyle w:val="FootnoteReference"/>
        </w:rPr>
        <w:t>24</w:t>
      </w:r>
      <w:r>
        <w:t xml:space="preserve"> </w:t>
      </w:r>
      <w:r w:rsidRPr="00EF1AD5">
        <w:rPr>
          <w:rFonts w:ascii="Times New Roman" w:hAnsi="Times New Roman"/>
          <w:i/>
          <w:sz w:val="20"/>
        </w:rPr>
        <w:t>Supra</w:t>
      </w:r>
      <w:r>
        <w:rPr>
          <w:rFonts w:ascii="Times New Roman" w:hAnsi="Times New Roman"/>
          <w:sz w:val="20"/>
        </w:rPr>
        <w:t xml:space="preserve"> note 21</w:t>
      </w:r>
    </w:p>
  </w:footnote>
  <w:footnote w:id="24">
    <w:p w:rsidR="001A6218" w:rsidRDefault="001A6218">
      <w:pPr>
        <w:pStyle w:val="FootnoteText"/>
      </w:pPr>
      <w:r>
        <w:rPr>
          <w:rStyle w:val="FootnoteReference"/>
        </w:rPr>
        <w:t>25</w:t>
      </w:r>
      <w:r>
        <w:t xml:space="preserve"> </w:t>
      </w:r>
      <w:r>
        <w:rPr>
          <w:rFonts w:ascii="Times New Roman" w:hAnsi="Times New Roman"/>
          <w:sz w:val="20"/>
        </w:rPr>
        <w:t xml:space="preserve">The court record refers to </w:t>
      </w:r>
      <w:r w:rsidRPr="005F62A4">
        <w:rPr>
          <w:rFonts w:ascii="Times New Roman" w:hAnsi="Times New Roman"/>
          <w:sz w:val="20"/>
        </w:rPr>
        <w:t>§441b</w:t>
      </w:r>
      <w:r>
        <w:rPr>
          <w:rFonts w:ascii="Times New Roman" w:hAnsi="Times New Roman"/>
          <w:sz w:val="20"/>
        </w:rPr>
        <w:t>(1) as § 316 of the FECA. §316 later evolved into 2 U.S.C. §441b</w:t>
      </w:r>
      <w:r w:rsidRPr="005F62A4">
        <w:rPr>
          <w:rFonts w:ascii="Times New Roman" w:hAnsi="Times New Roman"/>
          <w:sz w:val="20"/>
        </w:rPr>
        <w:t xml:space="preserve">. </w:t>
      </w:r>
      <w:r>
        <w:rPr>
          <w:rFonts w:ascii="Times New Roman" w:hAnsi="Times New Roman"/>
          <w:sz w:val="20"/>
        </w:rPr>
        <w:t>The exact wording of 441b defines labor organization as, “</w:t>
      </w:r>
      <w:r w:rsidRPr="00731A0B">
        <w:rPr>
          <w:rStyle w:val="ptext-2"/>
          <w:rFonts w:ascii="Times New Roman" w:hAnsi="Times New Roman"/>
          <w:sz w:val="20"/>
        </w:rPr>
        <w:t>any organization of any kind, or any agency or employee representation committee or plan, in which employees participate and which exists for the purpose, in whole or in part, of dealing with employers concerning grievances, labor disputes, wages, rates of pay, hours of em</w:t>
      </w:r>
      <w:r>
        <w:rPr>
          <w:rStyle w:val="ptext-2"/>
          <w:rFonts w:ascii="Times New Roman" w:hAnsi="Times New Roman"/>
          <w:sz w:val="20"/>
        </w:rPr>
        <w:t xml:space="preserve">ployment, or conditions of work.” Therefore, the FEC believed Massachusetts Citizens for Life, Inc to fall under this category. </w:t>
      </w:r>
    </w:p>
  </w:footnote>
  <w:footnote w:id="25">
    <w:p w:rsidR="001A6218" w:rsidRPr="001D7AAC" w:rsidRDefault="001A6218">
      <w:pPr>
        <w:pStyle w:val="FootnoteText"/>
        <w:rPr>
          <w:rFonts w:ascii="Times New Roman" w:hAnsi="Times New Roman"/>
          <w:sz w:val="20"/>
        </w:rPr>
      </w:pPr>
      <w:r>
        <w:rPr>
          <w:rStyle w:val="FootnoteReference"/>
        </w:rPr>
        <w:t>26</w:t>
      </w:r>
      <w:r w:rsidRPr="00EF1AD5">
        <w:rPr>
          <w:rStyle w:val="Emphasis"/>
          <w:rFonts w:ascii="Times New Roman" w:hAnsi="Times New Roman"/>
          <w:sz w:val="20"/>
        </w:rPr>
        <w:t xml:space="preserve"> </w:t>
      </w:r>
      <w:r w:rsidRPr="001E6100">
        <w:rPr>
          <w:rStyle w:val="Emphasis"/>
          <w:rFonts w:ascii="Times New Roman" w:hAnsi="Times New Roman"/>
          <w:sz w:val="20"/>
        </w:rPr>
        <w:t>Massachusetts Citizens for Life, Inc.</w:t>
      </w:r>
      <w:r w:rsidRPr="001E6100">
        <w:rPr>
          <w:rFonts w:ascii="Times New Roman" w:hAnsi="Times New Roman"/>
          <w:sz w:val="20"/>
        </w:rPr>
        <w:t>,</w:t>
      </w:r>
      <w:r>
        <w:rPr>
          <w:rStyle w:val="enumbell"/>
          <w:rFonts w:ascii="Times New Roman" w:hAnsi="Times New Roman"/>
          <w:sz w:val="20"/>
        </w:rPr>
        <w:t xml:space="preserve"> 479 U.S. at 238 (1986). 2 U.S.C.</w:t>
      </w:r>
      <w:r w:rsidRPr="005F62A4">
        <w:rPr>
          <w:rFonts w:ascii="Times New Roman" w:hAnsi="Times New Roman"/>
          <w:sz w:val="20"/>
        </w:rPr>
        <w:t>§</w:t>
      </w:r>
      <w:r>
        <w:rPr>
          <w:rFonts w:ascii="Times New Roman" w:hAnsi="Times New Roman"/>
          <w:sz w:val="20"/>
        </w:rPr>
        <w:t xml:space="preserve"> </w:t>
      </w:r>
      <w:r w:rsidRPr="005F62A4">
        <w:rPr>
          <w:rFonts w:ascii="Times New Roman" w:hAnsi="Times New Roman"/>
          <w:sz w:val="20"/>
        </w:rPr>
        <w:t>44</w:t>
      </w:r>
      <w:r>
        <w:rPr>
          <w:rFonts w:ascii="Times New Roman" w:hAnsi="Times New Roman"/>
          <w:sz w:val="20"/>
        </w:rPr>
        <w:t>1b (2) (2011) defines 441b (2) as follows: “</w:t>
      </w:r>
      <w:r w:rsidRPr="001D7AAC">
        <w:rPr>
          <w:rStyle w:val="ptext-2"/>
          <w:rFonts w:ascii="Times New Roman" w:hAnsi="Times New Roman"/>
          <w:sz w:val="20"/>
        </w:rPr>
        <w:t xml:space="preserve">For purposes of this section and section </w:t>
      </w:r>
      <w:hyperlink r:id="rId5" w:history="1">
        <w:r w:rsidRPr="001D7AAC">
          <w:rPr>
            <w:rStyle w:val="Hyperlink"/>
            <w:rFonts w:ascii="Times New Roman" w:hAnsi="Times New Roman"/>
            <w:sz w:val="20"/>
          </w:rPr>
          <w:t>79l</w:t>
        </w:r>
      </w:hyperlink>
      <w:r w:rsidRPr="001D7AAC">
        <w:rPr>
          <w:rStyle w:val="ptext-2"/>
          <w:rFonts w:ascii="Times New Roman" w:hAnsi="Times New Roman"/>
          <w:sz w:val="20"/>
        </w:rPr>
        <w:t xml:space="preserve"> </w:t>
      </w:r>
      <w:hyperlink r:id="rId6" w:anchor="h" w:history="1">
        <w:r w:rsidRPr="001D7AAC">
          <w:rPr>
            <w:rStyle w:val="Hyperlink"/>
            <w:rFonts w:ascii="Times New Roman" w:hAnsi="Times New Roman"/>
            <w:sz w:val="20"/>
          </w:rPr>
          <w:t>(h)</w:t>
        </w:r>
      </w:hyperlink>
      <w:r w:rsidRPr="001D7AAC">
        <w:rPr>
          <w:rStyle w:val="ptext-2"/>
          <w:rFonts w:ascii="Times New Roman" w:hAnsi="Times New Roman"/>
          <w:sz w:val="20"/>
        </w:rPr>
        <w:t xml:space="preserve"> of title </w:t>
      </w:r>
      <w:hyperlink r:id="rId7" w:history="1">
        <w:r w:rsidRPr="001D7AAC">
          <w:rPr>
            <w:rStyle w:val="Hyperlink"/>
            <w:rFonts w:ascii="Times New Roman" w:hAnsi="Times New Roman"/>
            <w:sz w:val="20"/>
          </w:rPr>
          <w:t>15</w:t>
        </w:r>
      </w:hyperlink>
      <w:r w:rsidRPr="001D7AAC">
        <w:rPr>
          <w:rStyle w:val="ptext-2"/>
          <w:rFonts w:ascii="Times New Roman" w:hAnsi="Times New Roman"/>
          <w:sz w:val="20"/>
        </w:rPr>
        <w:t>,</w:t>
      </w:r>
      <w:hyperlink r:id="rId8" w:anchor="FN-1" w:history="1">
        <w:r w:rsidRPr="001D7AAC">
          <w:rPr>
            <w:rStyle w:val="Hyperlink"/>
            <w:rFonts w:ascii="Times New Roman" w:hAnsi="Times New Roman"/>
            <w:sz w:val="20"/>
          </w:rPr>
          <w:t>[1]</w:t>
        </w:r>
      </w:hyperlink>
      <w:r w:rsidRPr="001D7AAC">
        <w:rPr>
          <w:rStyle w:val="ptext-2"/>
          <w:rFonts w:ascii="Times New Roman" w:hAnsi="Times New Roman"/>
          <w:sz w:val="20"/>
        </w:rPr>
        <w:t xml:space="preserve"> the term “contribution or expenditure” includes a contribution or expenditure, as those terms are defined in section </w:t>
      </w:r>
      <w:hyperlink r:id="rId9" w:history="1">
        <w:r w:rsidRPr="001D7AAC">
          <w:rPr>
            <w:rStyle w:val="Hyperlink"/>
            <w:rFonts w:ascii="Times New Roman" w:hAnsi="Times New Roman"/>
            <w:sz w:val="20"/>
          </w:rPr>
          <w:t>431</w:t>
        </w:r>
      </w:hyperlink>
      <w:r w:rsidRPr="001D7AAC">
        <w:rPr>
          <w:rStyle w:val="ptext-2"/>
          <w:rFonts w:ascii="Times New Roman" w:hAnsi="Times New Roman"/>
          <w:sz w:val="20"/>
        </w:rPr>
        <w:t xml:space="preserve"> of this title, and also includes any direct or indirect payment, distribution, loan, advance, deposit, or gift of money, or any services, or anything of value (except a loan of money by a national or State bank made in accordance with the applicable banking laws and regulations and in the ordinary course of business) to any candidate, campaign committee, or political party or organization, in connection with any election to any of the offices referred to in this section or for any applicable electioneering communication</w:t>
      </w:r>
      <w:r>
        <w:rPr>
          <w:rStyle w:val="ptext-2"/>
          <w:rFonts w:ascii="Times New Roman" w:hAnsi="Times New Roman"/>
          <w:sz w:val="20"/>
        </w:rPr>
        <w:t>…”</w:t>
      </w:r>
    </w:p>
  </w:footnote>
  <w:footnote w:id="26">
    <w:p w:rsidR="001A6218" w:rsidRPr="00B24E02" w:rsidRDefault="001A6218">
      <w:pPr>
        <w:pStyle w:val="FootnoteText"/>
        <w:rPr>
          <w:rFonts w:ascii="Times New Roman" w:hAnsi="Times New Roman"/>
          <w:sz w:val="20"/>
        </w:rPr>
      </w:pPr>
      <w:r>
        <w:rPr>
          <w:rStyle w:val="FootnoteReference"/>
        </w:rPr>
        <w:t>27</w:t>
      </w:r>
      <w:r>
        <w:t xml:space="preserve"> </w:t>
      </w:r>
      <w:r>
        <w:rPr>
          <w:rFonts w:ascii="Times New Roman" w:hAnsi="Times New Roman"/>
          <w:sz w:val="20"/>
        </w:rPr>
        <w:t>Essentially, the two basic challenges made by plaintiffs to the Supreme Court are an as applied challenge and a facial challenge. As applied is usually considered the better choice because it seeks the invalidation of a law in regards to how it applies to the client’s case, whereas a facial challenge seeks the invalidation of a law in every instance.</w:t>
      </w:r>
    </w:p>
  </w:footnote>
  <w:footnote w:id="27">
    <w:p w:rsidR="001A6218" w:rsidRPr="00560B79" w:rsidRDefault="001A6218" w:rsidP="00996E12">
      <w:pPr>
        <w:pStyle w:val="FootnoteText"/>
        <w:rPr>
          <w:rFonts w:ascii="Times New Roman" w:hAnsi="Times New Roman"/>
          <w:sz w:val="20"/>
        </w:rPr>
      </w:pPr>
      <w:r>
        <w:rPr>
          <w:rStyle w:val="FootnoteReference"/>
        </w:rPr>
        <w:t>28</w:t>
      </w:r>
      <w:r>
        <w:t xml:space="preserve"> </w:t>
      </w:r>
      <w:r w:rsidRPr="001E6100">
        <w:rPr>
          <w:rStyle w:val="Emphasis"/>
          <w:rFonts w:ascii="Times New Roman" w:hAnsi="Times New Roman"/>
          <w:sz w:val="20"/>
        </w:rPr>
        <w:t>Massachusetts Citizens for Life, Inc.</w:t>
      </w:r>
      <w:r w:rsidRPr="001E6100">
        <w:rPr>
          <w:rFonts w:ascii="Times New Roman" w:hAnsi="Times New Roman"/>
          <w:sz w:val="20"/>
        </w:rPr>
        <w:t>,</w:t>
      </w:r>
      <w:r>
        <w:rPr>
          <w:rStyle w:val="enumbell"/>
          <w:rFonts w:ascii="Times New Roman" w:hAnsi="Times New Roman"/>
          <w:sz w:val="20"/>
        </w:rPr>
        <w:t xml:space="preserve"> 479 U.S. at</w:t>
      </w:r>
      <w:r>
        <w:rPr>
          <w:rFonts w:ascii="Times New Roman" w:hAnsi="Times New Roman"/>
          <w:sz w:val="20"/>
        </w:rPr>
        <w:t xml:space="preserve"> 263 (1986). </w:t>
      </w:r>
    </w:p>
  </w:footnote>
  <w:footnote w:id="28">
    <w:p w:rsidR="001A6218" w:rsidRPr="003E2B1C" w:rsidRDefault="001A6218">
      <w:pPr>
        <w:pStyle w:val="FootnoteText"/>
        <w:rPr>
          <w:rFonts w:ascii="Times New Roman" w:hAnsi="Times New Roman"/>
          <w:sz w:val="20"/>
        </w:rPr>
      </w:pPr>
      <w:r>
        <w:rPr>
          <w:rStyle w:val="FootnoteReference"/>
        </w:rPr>
        <w:t>29</w:t>
      </w:r>
      <w:r>
        <w:t xml:space="preserve"> </w:t>
      </w:r>
      <w:r>
        <w:rPr>
          <w:rFonts w:ascii="Times New Roman" w:hAnsi="Times New Roman"/>
          <w:sz w:val="20"/>
        </w:rPr>
        <w:t>The MCFL exemption allows nonprofit corporations to ignore federal electioneering communication restrictions because of its lack of shareholders and the understanding it wont accept contributions from for-profit corporations or unions.</w:t>
      </w:r>
    </w:p>
  </w:footnote>
  <w:footnote w:id="29">
    <w:p w:rsidR="001A6218" w:rsidRPr="007569C9" w:rsidRDefault="001A6218">
      <w:pPr>
        <w:pStyle w:val="FootnoteText"/>
        <w:rPr>
          <w:rFonts w:ascii="Times New Roman" w:hAnsi="Times New Roman"/>
          <w:sz w:val="20"/>
        </w:rPr>
      </w:pPr>
      <w:r>
        <w:rPr>
          <w:rStyle w:val="FootnoteReference"/>
        </w:rPr>
        <w:t>30</w:t>
      </w:r>
      <w:r>
        <w:t xml:space="preserve"> </w:t>
      </w:r>
      <w:r>
        <w:rPr>
          <w:rFonts w:ascii="Times New Roman" w:hAnsi="Times New Roman"/>
          <w:sz w:val="20"/>
        </w:rPr>
        <w:t xml:space="preserve">It’s important to note that the Court discussed issue advocacy through MCFL’s illegal usage of specific words like “vote for.” Citing conclusions previously reached by the Court in </w:t>
      </w:r>
      <w:r w:rsidRPr="007569C9">
        <w:rPr>
          <w:rFonts w:ascii="Times New Roman" w:hAnsi="Times New Roman"/>
          <w:i/>
          <w:sz w:val="20"/>
        </w:rPr>
        <w:t>Buckley</w:t>
      </w:r>
      <w:r>
        <w:rPr>
          <w:rFonts w:ascii="Times New Roman" w:hAnsi="Times New Roman"/>
          <w:i/>
          <w:sz w:val="20"/>
        </w:rPr>
        <w:t xml:space="preserve">, </w:t>
      </w:r>
      <w:r>
        <w:rPr>
          <w:rFonts w:ascii="Times New Roman" w:hAnsi="Times New Roman"/>
          <w:sz w:val="20"/>
        </w:rPr>
        <w:t>Justice Brennan concluded that MCFL’s pamphlet constituted prohibited expenditures</w:t>
      </w:r>
      <w:r>
        <w:rPr>
          <w:rFonts w:ascii="Times New Roman" w:hAnsi="Times New Roman"/>
          <w:i/>
          <w:sz w:val="20"/>
        </w:rPr>
        <w:t xml:space="preserve">. </w:t>
      </w:r>
      <w:r>
        <w:rPr>
          <w:rFonts w:ascii="Times New Roman" w:hAnsi="Times New Roman"/>
          <w:sz w:val="20"/>
        </w:rPr>
        <w:t xml:space="preserve">These key issue advocacy words would later play a prominent role in the </w:t>
      </w:r>
      <w:r w:rsidRPr="007569C9">
        <w:rPr>
          <w:rFonts w:ascii="Times New Roman" w:hAnsi="Times New Roman"/>
          <w:i/>
          <w:sz w:val="20"/>
        </w:rPr>
        <w:t>Citizens United</w:t>
      </w:r>
      <w:r>
        <w:rPr>
          <w:rFonts w:ascii="Times New Roman" w:hAnsi="Times New Roman"/>
          <w:sz w:val="20"/>
        </w:rPr>
        <w:t xml:space="preserve"> ruling.</w:t>
      </w:r>
    </w:p>
  </w:footnote>
  <w:footnote w:id="30">
    <w:p w:rsidR="001A6218" w:rsidRPr="0017045E" w:rsidRDefault="001A6218">
      <w:pPr>
        <w:pStyle w:val="FootnoteText"/>
        <w:rPr>
          <w:rFonts w:ascii="Times New Roman" w:hAnsi="Times New Roman"/>
          <w:sz w:val="20"/>
        </w:rPr>
      </w:pPr>
      <w:r>
        <w:rPr>
          <w:rStyle w:val="FootnoteReference"/>
        </w:rPr>
        <w:t>31</w:t>
      </w:r>
      <w:r>
        <w:t xml:space="preserve"> </w:t>
      </w:r>
      <w:r w:rsidRPr="001E6100">
        <w:rPr>
          <w:rStyle w:val="Emphasis"/>
          <w:rFonts w:ascii="Times New Roman" w:hAnsi="Times New Roman"/>
          <w:sz w:val="20"/>
        </w:rPr>
        <w:t>Massachusetts Citizens for Life, Inc.</w:t>
      </w:r>
      <w:r w:rsidRPr="001E6100">
        <w:rPr>
          <w:rFonts w:ascii="Times New Roman" w:hAnsi="Times New Roman"/>
          <w:sz w:val="20"/>
        </w:rPr>
        <w:t>,</w:t>
      </w:r>
      <w:r>
        <w:rPr>
          <w:rStyle w:val="enumbell"/>
          <w:rFonts w:ascii="Times New Roman" w:hAnsi="Times New Roman"/>
          <w:sz w:val="20"/>
        </w:rPr>
        <w:t xml:space="preserve"> 479 U.S. at 257 (1986). </w:t>
      </w:r>
    </w:p>
  </w:footnote>
  <w:footnote w:id="31">
    <w:p w:rsidR="001A6218" w:rsidRPr="00D83DFD" w:rsidRDefault="001A6218" w:rsidP="00D83DFD">
      <w:pPr>
        <w:widowControl w:val="0"/>
        <w:autoSpaceDE w:val="0"/>
        <w:autoSpaceDN w:val="0"/>
        <w:adjustRightInd w:val="0"/>
        <w:spacing w:after="0"/>
        <w:rPr>
          <w:rFonts w:ascii="Times New Roman" w:hAnsi="Times New Roman" w:cs="Times New Roman"/>
        </w:rPr>
      </w:pPr>
      <w:r>
        <w:rPr>
          <w:rStyle w:val="FootnoteReference"/>
        </w:rPr>
        <w:t>32</w:t>
      </w:r>
      <w:r>
        <w:t xml:space="preserve"> </w:t>
      </w:r>
      <w:r w:rsidRPr="00D83DFD">
        <w:rPr>
          <w:rFonts w:ascii="Times New Roman" w:hAnsi="Times New Roman" w:cs="Times New Roman"/>
          <w:i/>
          <w:sz w:val="20"/>
          <w:szCs w:val="25"/>
        </w:rPr>
        <w:t>Austin v. Michigan Chamber of Commerce</w:t>
      </w:r>
      <w:r w:rsidRPr="00D83DFD">
        <w:rPr>
          <w:rFonts w:ascii="Times New Roman" w:hAnsi="Times New Roman" w:cs="Times New Roman"/>
          <w:sz w:val="20"/>
        </w:rPr>
        <w:t>, 494 U.S. 652</w:t>
      </w:r>
      <w:r>
        <w:rPr>
          <w:rFonts w:ascii="Times New Roman" w:hAnsi="Times New Roman" w:cs="Times New Roman"/>
          <w:sz w:val="20"/>
        </w:rPr>
        <w:t xml:space="preserve">, </w:t>
      </w:r>
      <w:r w:rsidRPr="00D83DFD">
        <w:rPr>
          <w:rFonts w:ascii="Times New Roman" w:hAnsi="Times New Roman" w:cs="Times New Roman"/>
          <w:sz w:val="20"/>
        </w:rPr>
        <w:t>(1990)</w:t>
      </w:r>
      <w:r>
        <w:rPr>
          <w:rFonts w:ascii="Times New Roman" w:hAnsi="Times New Roman" w:cs="Times New Roman"/>
          <w:sz w:val="20"/>
        </w:rPr>
        <w:t>.</w:t>
      </w:r>
    </w:p>
  </w:footnote>
  <w:footnote w:id="32">
    <w:p w:rsidR="001A6218" w:rsidRPr="00777F8B" w:rsidRDefault="001A6218">
      <w:pPr>
        <w:pStyle w:val="FootnoteText"/>
        <w:rPr>
          <w:rFonts w:ascii="Times New Roman" w:hAnsi="Times New Roman"/>
          <w:sz w:val="20"/>
        </w:rPr>
      </w:pPr>
      <w:r>
        <w:rPr>
          <w:rStyle w:val="FootnoteReference"/>
        </w:rPr>
        <w:t>33</w:t>
      </w:r>
      <w:r>
        <w:t xml:space="preserve"> </w:t>
      </w:r>
      <w:r>
        <w:rPr>
          <w:rFonts w:ascii="Times New Roman" w:hAnsi="Times New Roman"/>
          <w:sz w:val="20"/>
        </w:rPr>
        <w:t xml:space="preserve">Prescott M. Lassman, </w:t>
      </w:r>
      <w:r w:rsidRPr="00777F8B">
        <w:rPr>
          <w:rFonts w:ascii="Times New Roman" w:hAnsi="Times New Roman"/>
          <w:i/>
          <w:sz w:val="20"/>
        </w:rPr>
        <w:t>Breaching the Fortress Walls: Corporate Political Speech and Austin</w:t>
      </w:r>
      <w:r>
        <w:rPr>
          <w:rFonts w:ascii="Times New Roman" w:hAnsi="Times New Roman"/>
          <w:i/>
          <w:sz w:val="20"/>
        </w:rPr>
        <w:t xml:space="preserve"> v. Michigan Chamber of Commerce, </w:t>
      </w:r>
      <w:r>
        <w:rPr>
          <w:rFonts w:ascii="Times New Roman" w:hAnsi="Times New Roman"/>
          <w:sz w:val="20"/>
        </w:rPr>
        <w:t xml:space="preserve">78 </w:t>
      </w:r>
      <w:r>
        <w:rPr>
          <w:rFonts w:ascii="Times New Roman" w:hAnsi="Times New Roman"/>
          <w:smallCaps/>
          <w:sz w:val="20"/>
        </w:rPr>
        <w:t>Va</w:t>
      </w:r>
      <w:r>
        <w:rPr>
          <w:rFonts w:ascii="Times New Roman" w:hAnsi="Times New Roman"/>
          <w:sz w:val="20"/>
        </w:rPr>
        <w:t xml:space="preserve"> L.R</w:t>
      </w:r>
      <w:r>
        <w:rPr>
          <w:rFonts w:ascii="Times New Roman" w:hAnsi="Times New Roman"/>
          <w:smallCaps/>
          <w:sz w:val="20"/>
        </w:rPr>
        <w:t>ev</w:t>
      </w:r>
      <w:r>
        <w:rPr>
          <w:rFonts w:ascii="Times New Roman" w:hAnsi="Times New Roman"/>
          <w:sz w:val="20"/>
        </w:rPr>
        <w:t>. 759-792, (1992)</w:t>
      </w:r>
    </w:p>
  </w:footnote>
  <w:footnote w:id="33">
    <w:p w:rsidR="001A6218" w:rsidRPr="00D62D2F" w:rsidRDefault="001A6218">
      <w:pPr>
        <w:pStyle w:val="FootnoteText"/>
        <w:rPr>
          <w:rFonts w:ascii="Times New Roman" w:hAnsi="Times New Roman"/>
          <w:bCs/>
          <w:sz w:val="20"/>
          <w:szCs w:val="18"/>
        </w:rPr>
      </w:pPr>
      <w:r>
        <w:rPr>
          <w:rStyle w:val="FootnoteReference"/>
        </w:rPr>
        <w:t>34</w:t>
      </w:r>
      <w:r>
        <w:t xml:space="preserve"> </w:t>
      </w:r>
      <w:r w:rsidRPr="00AE0D09">
        <w:rPr>
          <w:rFonts w:ascii="Times New Roman" w:hAnsi="Times New Roman"/>
          <w:bCs/>
          <w:sz w:val="20"/>
          <w:szCs w:val="18"/>
        </w:rPr>
        <w:t>Mich. Comp. Laws Ann. 169.</w:t>
      </w:r>
      <w:r>
        <w:rPr>
          <w:rFonts w:ascii="Times New Roman" w:hAnsi="Times New Roman"/>
          <w:bCs/>
          <w:sz w:val="20"/>
          <w:szCs w:val="18"/>
        </w:rPr>
        <w:t>254-.255. (1976)</w:t>
      </w:r>
    </w:p>
  </w:footnote>
  <w:footnote w:id="34">
    <w:p w:rsidR="001A6218" w:rsidRDefault="001A6218" w:rsidP="00D62D2F">
      <w:pPr>
        <w:widowControl w:val="0"/>
        <w:autoSpaceDE w:val="0"/>
        <w:autoSpaceDN w:val="0"/>
        <w:adjustRightInd w:val="0"/>
        <w:spacing w:after="0"/>
        <w:rPr>
          <w:rFonts w:ascii="Times New Roman" w:hAnsi="Times New Roman" w:cs="Times New Roman"/>
          <w:sz w:val="20"/>
          <w:szCs w:val="20"/>
        </w:rPr>
      </w:pPr>
      <w:r>
        <w:rPr>
          <w:rStyle w:val="FootnoteReference"/>
        </w:rPr>
        <w:t>35</w:t>
      </w:r>
      <w:r>
        <w:t xml:space="preserve"> </w:t>
      </w:r>
      <w:r w:rsidRPr="00D62D2F">
        <w:rPr>
          <w:rFonts w:ascii="Times New Roman" w:hAnsi="Times New Roman"/>
          <w:i/>
          <w:sz w:val="20"/>
        </w:rPr>
        <w:t>Id.</w:t>
      </w:r>
      <w:r>
        <w:rPr>
          <w:rFonts w:ascii="Times New Roman" w:hAnsi="Times New Roman"/>
          <w:sz w:val="20"/>
        </w:rPr>
        <w:t>, .254 Sec. 54(1), which states “</w:t>
      </w:r>
      <w:r>
        <w:rPr>
          <w:rFonts w:ascii="Times New Roman" w:hAnsi="Times New Roman" w:cs="Times New Roman"/>
          <w:sz w:val="20"/>
          <w:szCs w:val="20"/>
        </w:rPr>
        <w:t>a corporation, joint stock company, domestic dependent</w:t>
      </w:r>
    </w:p>
    <w:p w:rsidR="001A6218" w:rsidRDefault="001A6218" w:rsidP="00D62D2F">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sovereign, or labor organization shall not make a contribution or expenditure or provide volunteer personal</w:t>
      </w:r>
    </w:p>
    <w:p w:rsidR="001A6218" w:rsidRPr="00D62D2F" w:rsidRDefault="001A6218" w:rsidP="00D62D2F">
      <w:pPr>
        <w:pStyle w:val="FootnoteText"/>
        <w:rPr>
          <w:rFonts w:ascii="Times New Roman" w:hAnsi="Times New Roman"/>
          <w:sz w:val="20"/>
        </w:rPr>
      </w:pPr>
      <w:r>
        <w:rPr>
          <w:rFonts w:ascii="Times New Roman" w:hAnsi="Times New Roman" w:cs="Times New Roman"/>
          <w:sz w:val="20"/>
          <w:szCs w:val="20"/>
        </w:rPr>
        <w:t xml:space="preserve">services that are excluded from the definition of a contribution pursuant to section 4(3)(a).” </w:t>
      </w:r>
    </w:p>
  </w:footnote>
  <w:footnote w:id="35">
    <w:p w:rsidR="001A6218" w:rsidRPr="005A15CF" w:rsidRDefault="001A6218">
      <w:pPr>
        <w:pStyle w:val="FootnoteText"/>
        <w:rPr>
          <w:rFonts w:ascii="Times New Roman" w:hAnsi="Times New Roman"/>
          <w:sz w:val="20"/>
        </w:rPr>
      </w:pPr>
      <w:r>
        <w:rPr>
          <w:rStyle w:val="FootnoteReference"/>
        </w:rPr>
        <w:t>36</w:t>
      </w:r>
      <w:r>
        <w:t xml:space="preserve"> </w:t>
      </w:r>
      <w:r w:rsidRPr="00D83DFD">
        <w:rPr>
          <w:rFonts w:ascii="Times New Roman" w:hAnsi="Times New Roman" w:cs="Times New Roman"/>
          <w:i/>
          <w:sz w:val="20"/>
          <w:szCs w:val="25"/>
        </w:rPr>
        <w:t>Michigan Chamber of Commerce</w:t>
      </w:r>
      <w:r w:rsidRPr="00D83DFD">
        <w:rPr>
          <w:rFonts w:ascii="Times New Roman" w:hAnsi="Times New Roman" w:cs="Times New Roman"/>
          <w:sz w:val="20"/>
        </w:rPr>
        <w:t xml:space="preserve">, 494 U.S. </w:t>
      </w:r>
      <w:r>
        <w:rPr>
          <w:rFonts w:ascii="Times New Roman" w:hAnsi="Times New Roman" w:cs="Times New Roman"/>
          <w:sz w:val="20"/>
        </w:rPr>
        <w:t xml:space="preserve">at 680 </w:t>
      </w:r>
      <w:r w:rsidRPr="00D83DFD">
        <w:rPr>
          <w:rFonts w:ascii="Times New Roman" w:hAnsi="Times New Roman" w:cs="Times New Roman"/>
          <w:sz w:val="20"/>
        </w:rPr>
        <w:t>(1990)</w:t>
      </w:r>
      <w:r>
        <w:rPr>
          <w:rFonts w:ascii="Times New Roman" w:hAnsi="Times New Roman" w:cs="Times New Roman"/>
          <w:sz w:val="20"/>
        </w:rPr>
        <w:t>.</w:t>
      </w:r>
    </w:p>
  </w:footnote>
  <w:footnote w:id="36">
    <w:p w:rsidR="001A6218" w:rsidRPr="00D83DFD" w:rsidRDefault="001A6218">
      <w:pPr>
        <w:pStyle w:val="FootnoteText"/>
        <w:rPr>
          <w:rFonts w:ascii="Times New Roman" w:hAnsi="Times New Roman"/>
          <w:sz w:val="20"/>
        </w:rPr>
      </w:pPr>
      <w:r>
        <w:rPr>
          <w:rStyle w:val="FootnoteReference"/>
        </w:rPr>
        <w:t>37</w:t>
      </w:r>
      <w:r>
        <w:t xml:space="preserve"> </w:t>
      </w:r>
      <w:r>
        <w:rPr>
          <w:rFonts w:ascii="Times New Roman" w:hAnsi="Times New Roman" w:cs="Times New Roman"/>
          <w:i/>
          <w:sz w:val="20"/>
          <w:szCs w:val="25"/>
        </w:rPr>
        <w:t xml:space="preserve">Id. </w:t>
      </w:r>
      <w:r w:rsidRPr="00AE3CF5">
        <w:rPr>
          <w:rFonts w:ascii="Times New Roman" w:hAnsi="Times New Roman" w:cs="Times New Roman"/>
          <w:sz w:val="20"/>
          <w:szCs w:val="25"/>
        </w:rPr>
        <w:t>at 666</w:t>
      </w:r>
      <w:r>
        <w:rPr>
          <w:rFonts w:ascii="Times New Roman" w:hAnsi="Times New Roman" w:cs="Times New Roman"/>
          <w:sz w:val="20"/>
          <w:szCs w:val="25"/>
        </w:rPr>
        <w:t xml:space="preserve">. </w:t>
      </w:r>
    </w:p>
  </w:footnote>
  <w:footnote w:id="37">
    <w:p w:rsidR="001A6218" w:rsidRPr="001255DF" w:rsidRDefault="001A6218">
      <w:pPr>
        <w:pStyle w:val="FootnoteText"/>
        <w:rPr>
          <w:rFonts w:ascii="Times New Roman" w:hAnsi="Times New Roman"/>
          <w:sz w:val="20"/>
        </w:rPr>
      </w:pPr>
      <w:r>
        <w:rPr>
          <w:rStyle w:val="FootnoteReference"/>
        </w:rPr>
        <w:t>38</w:t>
      </w:r>
      <w:r>
        <w:t xml:space="preserve"> </w:t>
      </w:r>
      <w:r>
        <w:rPr>
          <w:rFonts w:ascii="Times New Roman" w:hAnsi="Times New Roman"/>
          <w:i/>
          <w:sz w:val="20"/>
        </w:rPr>
        <w:t xml:space="preserve">Id. </w:t>
      </w:r>
      <w:r w:rsidRPr="001255DF">
        <w:rPr>
          <w:rFonts w:ascii="Times New Roman" w:hAnsi="Times New Roman"/>
          <w:sz w:val="20"/>
        </w:rPr>
        <w:t>at 660</w:t>
      </w:r>
      <w:r>
        <w:rPr>
          <w:rFonts w:ascii="Times New Roman" w:hAnsi="Times New Roman"/>
          <w:sz w:val="20"/>
        </w:rPr>
        <w:t xml:space="preserve">. </w:t>
      </w:r>
      <w:r>
        <w:rPr>
          <w:rFonts w:ascii="Times New Roman" w:hAnsi="Times New Roman"/>
          <w:i/>
          <w:sz w:val="20"/>
        </w:rPr>
        <w:t xml:space="preserve">Supra note </w:t>
      </w:r>
      <w:r>
        <w:rPr>
          <w:rFonts w:ascii="Times New Roman" w:hAnsi="Times New Roman"/>
          <w:sz w:val="20"/>
        </w:rPr>
        <w:t xml:space="preserve">33 at 779. The court chose to address campaign corruption of the “corrosive and distorting effect of aggregations of wealth” as opposed to an issue that seemed to clearly outline the topic of “whether corporate expenditures pose a danger to quid pro quo corruption in candidate elections.” Previous precedent served to hallmark financial corruption as quid pro quo. </w:t>
      </w:r>
    </w:p>
  </w:footnote>
  <w:footnote w:id="38">
    <w:p w:rsidR="001A6218" w:rsidRPr="0057587D" w:rsidRDefault="001A6218" w:rsidP="0057587D">
      <w:pPr>
        <w:widowControl w:val="0"/>
        <w:autoSpaceDE w:val="0"/>
        <w:autoSpaceDN w:val="0"/>
        <w:adjustRightInd w:val="0"/>
        <w:spacing w:after="0"/>
        <w:rPr>
          <w:rFonts w:ascii="Times New Roman" w:hAnsi="Times New Roman" w:cs="Times New Roman"/>
          <w:sz w:val="20"/>
          <w:szCs w:val="36"/>
        </w:rPr>
      </w:pPr>
      <w:r>
        <w:rPr>
          <w:rStyle w:val="FootnoteReference"/>
        </w:rPr>
        <w:t>39</w:t>
      </w:r>
      <w:r>
        <w:t xml:space="preserve"> </w:t>
      </w:r>
      <w:r>
        <w:rPr>
          <w:rFonts w:ascii="Times New Roman" w:hAnsi="Times New Roman"/>
          <w:sz w:val="20"/>
        </w:rPr>
        <w:t xml:space="preserve">Paul S. Herrnson, </w:t>
      </w:r>
      <w:r w:rsidRPr="0057587D">
        <w:rPr>
          <w:rFonts w:ascii="Times New Roman" w:hAnsi="Times New Roman" w:cs="Times New Roman"/>
          <w:i/>
          <w:sz w:val="20"/>
          <w:szCs w:val="36"/>
        </w:rPr>
        <w:t>The Bipartisan Campaign Reform Act and Congressional Elections</w:t>
      </w:r>
      <w:r>
        <w:rPr>
          <w:rFonts w:ascii="Times New Roman" w:hAnsi="Times New Roman" w:cs="Times New Roman"/>
          <w:i/>
          <w:sz w:val="20"/>
          <w:szCs w:val="36"/>
        </w:rPr>
        <w:t xml:space="preserve"> </w:t>
      </w:r>
      <w:r w:rsidRPr="0057587D">
        <w:t xml:space="preserve">” </w:t>
      </w:r>
      <w:r w:rsidRPr="0057587D">
        <w:rPr>
          <w:rFonts w:ascii="Times New Roman" w:hAnsi="Times New Roman"/>
          <w:sz w:val="20"/>
        </w:rPr>
        <w:t xml:space="preserve">in Lawrence C. Dodd and Bruce I. Oppenheimer, eds. </w:t>
      </w:r>
      <w:r w:rsidRPr="0057587D">
        <w:rPr>
          <w:rStyle w:val="Emphasis"/>
          <w:rFonts w:ascii="Times New Roman" w:hAnsi="Times New Roman"/>
          <w:color w:val="0000FF"/>
          <w:sz w:val="20"/>
          <w:u w:val="single"/>
        </w:rPr>
        <w:t>Congress Reconsidered,</w:t>
      </w:r>
      <w:r w:rsidRPr="0057587D">
        <w:rPr>
          <w:rFonts w:ascii="Times New Roman" w:hAnsi="Times New Roman"/>
          <w:sz w:val="20"/>
        </w:rPr>
        <w:t xml:space="preserve"> 8th ed., (CQ Press, 2005), 107-135.</w:t>
      </w:r>
      <w:r w:rsidRPr="0057587D">
        <w:t xml:space="preserve"> </w:t>
      </w:r>
    </w:p>
  </w:footnote>
  <w:footnote w:id="39">
    <w:p w:rsidR="001A6218" w:rsidRPr="0099670F" w:rsidRDefault="001A6218">
      <w:pPr>
        <w:pStyle w:val="FootnoteText"/>
        <w:rPr>
          <w:rFonts w:ascii="Times New Roman" w:hAnsi="Times New Roman"/>
          <w:sz w:val="20"/>
        </w:rPr>
      </w:pPr>
      <w:r>
        <w:rPr>
          <w:rStyle w:val="FootnoteReference"/>
        </w:rPr>
        <w:t>40</w:t>
      </w:r>
      <w:r>
        <w:t xml:space="preserve"> </w:t>
      </w:r>
      <w:r w:rsidRPr="0099670F">
        <w:rPr>
          <w:rFonts w:ascii="Times New Roman" w:hAnsi="Times New Roman"/>
          <w:i/>
          <w:sz w:val="20"/>
        </w:rPr>
        <w:t>FEC v. Christian Action Coalition</w:t>
      </w:r>
      <w:r>
        <w:rPr>
          <w:rFonts w:ascii="Times New Roman" w:hAnsi="Times New Roman"/>
          <w:sz w:val="20"/>
        </w:rPr>
        <w:t xml:space="preserve">, 894 F. Supp. 946 (W.D. Va., 1995). </w:t>
      </w:r>
    </w:p>
  </w:footnote>
  <w:footnote w:id="40">
    <w:p w:rsidR="001A6218" w:rsidRPr="00222B99" w:rsidRDefault="001A6218">
      <w:pPr>
        <w:pStyle w:val="FootnoteText"/>
        <w:rPr>
          <w:rFonts w:ascii="Times New Roman" w:hAnsi="Times New Roman"/>
          <w:sz w:val="20"/>
        </w:rPr>
      </w:pPr>
      <w:r>
        <w:rPr>
          <w:rStyle w:val="FootnoteReference"/>
        </w:rPr>
        <w:t>41</w:t>
      </w:r>
      <w:r>
        <w:t xml:space="preserve"> </w:t>
      </w:r>
      <w:r w:rsidRPr="00222B99">
        <w:rPr>
          <w:rFonts w:ascii="Times New Roman" w:hAnsi="Times New Roman"/>
          <w:i/>
          <w:sz w:val="20"/>
        </w:rPr>
        <w:t>Supra</w:t>
      </w:r>
      <w:r>
        <w:rPr>
          <w:rFonts w:ascii="Times New Roman" w:hAnsi="Times New Roman"/>
          <w:sz w:val="20"/>
        </w:rPr>
        <w:t xml:space="preserve"> note 8 at 197.</w:t>
      </w:r>
    </w:p>
  </w:footnote>
  <w:footnote w:id="41">
    <w:p w:rsidR="001A6218" w:rsidRPr="005176AB" w:rsidRDefault="001A6218">
      <w:pPr>
        <w:pStyle w:val="FootnoteText"/>
        <w:rPr>
          <w:rFonts w:ascii="Times New Roman" w:hAnsi="Times New Roman"/>
          <w:sz w:val="20"/>
        </w:rPr>
      </w:pPr>
      <w:r>
        <w:rPr>
          <w:rStyle w:val="FootnoteReference"/>
        </w:rPr>
        <w:t>42</w:t>
      </w:r>
      <w:r>
        <w:t xml:space="preserve"> </w:t>
      </w:r>
      <w:r>
        <w:rPr>
          <w:rFonts w:ascii="Times New Roman" w:hAnsi="Times New Roman"/>
          <w:i/>
          <w:sz w:val="20"/>
        </w:rPr>
        <w:t>Id.</w:t>
      </w:r>
      <w:r>
        <w:rPr>
          <w:rFonts w:ascii="Times New Roman" w:hAnsi="Times New Roman"/>
          <w:sz w:val="20"/>
        </w:rPr>
        <w:t xml:space="preserve"> </w:t>
      </w:r>
    </w:p>
  </w:footnote>
  <w:footnote w:id="42">
    <w:p w:rsidR="001A6218" w:rsidRPr="008228D7" w:rsidRDefault="001A6218">
      <w:pPr>
        <w:pStyle w:val="FootnoteText"/>
        <w:rPr>
          <w:rFonts w:ascii="Times New Roman" w:hAnsi="Times New Roman"/>
          <w:i/>
          <w:sz w:val="20"/>
        </w:rPr>
      </w:pPr>
      <w:r>
        <w:rPr>
          <w:rStyle w:val="FootnoteReference"/>
        </w:rPr>
        <w:t>43</w:t>
      </w:r>
      <w:r>
        <w:t xml:space="preserve"> </w:t>
      </w:r>
      <w:r>
        <w:rPr>
          <w:rFonts w:ascii="Times New Roman" w:hAnsi="Times New Roman"/>
          <w:i/>
          <w:sz w:val="20"/>
        </w:rPr>
        <w:t>Id.</w:t>
      </w:r>
    </w:p>
  </w:footnote>
  <w:footnote w:id="43">
    <w:p w:rsidR="001A6218" w:rsidRPr="002F6A5F" w:rsidRDefault="001A6218">
      <w:pPr>
        <w:pStyle w:val="FootnoteText"/>
        <w:rPr>
          <w:rFonts w:ascii="Times New Roman" w:hAnsi="Times New Roman"/>
          <w:sz w:val="20"/>
        </w:rPr>
      </w:pPr>
      <w:r>
        <w:rPr>
          <w:rStyle w:val="FootnoteReference"/>
        </w:rPr>
        <w:t>44</w:t>
      </w:r>
      <w:r w:rsidRPr="00AE3CF5">
        <w:t xml:space="preserve"> </w:t>
      </w:r>
      <w:r w:rsidRPr="00AE3CF5">
        <w:rPr>
          <w:rFonts w:ascii="Times New Roman" w:hAnsi="Times New Roman"/>
          <w:sz w:val="20"/>
        </w:rPr>
        <w:t>Pub.L. 107-155, 116 Stat. 81, enacted March 27, 2002, H.R. 2356</w:t>
      </w:r>
      <w:r>
        <w:t xml:space="preserve"> </w:t>
      </w:r>
      <w:r>
        <w:rPr>
          <w:rFonts w:ascii="Times New Roman" w:hAnsi="Times New Roman"/>
          <w:sz w:val="20"/>
        </w:rPr>
        <w:t xml:space="preserve">“The Act had three major components: a ban on soft money, increased contribution limits, and restrictions on issue advocacy advertising,” as Paul S. Herrnson explains in his article, “Bipartisan Campaign Reform Act and Congressional Elections.” </w:t>
      </w:r>
    </w:p>
  </w:footnote>
  <w:footnote w:id="44">
    <w:p w:rsidR="001A6218" w:rsidRPr="00EB2605" w:rsidRDefault="001A6218">
      <w:pPr>
        <w:pStyle w:val="FootnoteText"/>
        <w:rPr>
          <w:rFonts w:ascii="Times New Roman" w:hAnsi="Times New Roman"/>
          <w:sz w:val="20"/>
        </w:rPr>
      </w:pPr>
      <w:r>
        <w:rPr>
          <w:rStyle w:val="FootnoteReference"/>
        </w:rPr>
        <w:t>45</w:t>
      </w:r>
      <w:r>
        <w:t xml:space="preserve"> </w:t>
      </w:r>
      <w:r>
        <w:rPr>
          <w:rFonts w:ascii="Times New Roman" w:hAnsi="Times New Roman"/>
          <w:i/>
          <w:sz w:val="20"/>
        </w:rPr>
        <w:t>McConnell v. FEC,</w:t>
      </w:r>
      <w:r>
        <w:rPr>
          <w:rFonts w:ascii="Times New Roman" w:hAnsi="Times New Roman"/>
          <w:sz w:val="20"/>
        </w:rPr>
        <w:t xml:space="preserve"> 540 U.S. 93 (2003).</w:t>
      </w:r>
    </w:p>
  </w:footnote>
  <w:footnote w:id="45">
    <w:p w:rsidR="001A6218" w:rsidRPr="00BA73C0" w:rsidRDefault="001A6218">
      <w:pPr>
        <w:pStyle w:val="FootnoteText"/>
        <w:rPr>
          <w:rFonts w:ascii="Times New Roman" w:hAnsi="Times New Roman"/>
          <w:sz w:val="20"/>
        </w:rPr>
      </w:pPr>
      <w:r>
        <w:rPr>
          <w:rStyle w:val="FootnoteReference"/>
        </w:rPr>
        <w:t>46</w:t>
      </w:r>
      <w:r>
        <w:t xml:space="preserve"> </w:t>
      </w:r>
      <w:r>
        <w:rPr>
          <w:rFonts w:ascii="Times New Roman" w:hAnsi="Times New Roman"/>
          <w:smallCaps/>
          <w:sz w:val="20"/>
        </w:rPr>
        <w:t>The Brennan Center for Justice, Money, Politics, and the Constitution: Beyond Citizens United 3 (</w:t>
      </w:r>
      <w:r>
        <w:rPr>
          <w:rFonts w:ascii="Times New Roman" w:hAnsi="Times New Roman"/>
          <w:sz w:val="20"/>
        </w:rPr>
        <w:t>Monica Youn, 2011).</w:t>
      </w:r>
    </w:p>
  </w:footnote>
  <w:footnote w:id="46">
    <w:p w:rsidR="001A6218" w:rsidRPr="00BA73C0" w:rsidRDefault="001A6218">
      <w:pPr>
        <w:pStyle w:val="FootnoteText"/>
        <w:rPr>
          <w:rFonts w:ascii="Times New Roman" w:hAnsi="Times New Roman"/>
          <w:sz w:val="20"/>
        </w:rPr>
      </w:pPr>
      <w:r>
        <w:rPr>
          <w:rStyle w:val="FootnoteReference"/>
        </w:rPr>
        <w:t>47</w:t>
      </w:r>
      <w:r>
        <w:t xml:space="preserve"> </w:t>
      </w:r>
      <w:r w:rsidRPr="00BA73C0">
        <w:rPr>
          <w:rFonts w:ascii="Times New Roman" w:hAnsi="Times New Roman"/>
          <w:i/>
          <w:sz w:val="20"/>
        </w:rPr>
        <w:t>Id.</w:t>
      </w:r>
      <w:r>
        <w:rPr>
          <w:rFonts w:ascii="Times New Roman" w:hAnsi="Times New Roman"/>
          <w:sz w:val="20"/>
        </w:rPr>
        <w:t xml:space="preserve"> at 31.</w:t>
      </w:r>
    </w:p>
  </w:footnote>
  <w:footnote w:id="47">
    <w:p w:rsidR="001A6218" w:rsidRDefault="001A6218" w:rsidP="00B0301F">
      <w:pPr>
        <w:pStyle w:val="FootnoteText"/>
        <w:rPr>
          <w:rFonts w:ascii="Times New Roman" w:hAnsi="Times New Roman"/>
          <w:sz w:val="20"/>
        </w:rPr>
      </w:pPr>
      <w:r>
        <w:rPr>
          <w:rStyle w:val="FootnoteReference"/>
        </w:rPr>
        <w:t>48</w:t>
      </w:r>
      <w:r>
        <w:t xml:space="preserve"> </w:t>
      </w:r>
      <w:r w:rsidRPr="0064214C">
        <w:rPr>
          <w:rFonts w:ascii="Times New Roman" w:hAnsi="Times New Roman"/>
          <w:i/>
          <w:sz w:val="20"/>
        </w:rPr>
        <w:t>Citizens United, Inc. v. Federal Election Comm’n</w:t>
      </w:r>
      <w:r>
        <w:rPr>
          <w:rFonts w:ascii="Times New Roman" w:hAnsi="Times New Roman"/>
          <w:sz w:val="20"/>
        </w:rPr>
        <w:t>, 588 U.S. 1, 2 (2010).</w:t>
      </w:r>
    </w:p>
    <w:p w:rsidR="001A6218" w:rsidRPr="00F43AAF" w:rsidRDefault="001A6218" w:rsidP="00B0301F">
      <w:pPr>
        <w:pStyle w:val="FootnoteText"/>
        <w:rPr>
          <w:sz w:val="20"/>
        </w:rPr>
      </w:pPr>
    </w:p>
  </w:footnote>
  <w:footnote w:id="48">
    <w:p w:rsidR="001A6218" w:rsidRPr="00F8317C" w:rsidRDefault="001A6218" w:rsidP="00B0301F">
      <w:pPr>
        <w:pStyle w:val="FootnoteText"/>
        <w:rPr>
          <w:rFonts w:ascii="Times New Roman" w:hAnsi="Times New Roman"/>
          <w:sz w:val="20"/>
        </w:rPr>
      </w:pPr>
      <w:r>
        <w:rPr>
          <w:rStyle w:val="FootnoteReference"/>
        </w:rPr>
        <w:t>49</w:t>
      </w:r>
      <w:r>
        <w:t xml:space="preserve"> </w:t>
      </w:r>
      <w:r w:rsidRPr="00F8317C">
        <w:rPr>
          <w:rFonts w:ascii="Times New Roman" w:hAnsi="Times New Roman"/>
          <w:i/>
          <w:sz w:val="20"/>
        </w:rPr>
        <w:t>Id.</w:t>
      </w:r>
      <w:r>
        <w:rPr>
          <w:rFonts w:ascii="Times New Roman" w:hAnsi="Times New Roman"/>
          <w:i/>
          <w:sz w:val="20"/>
        </w:rPr>
        <w:t xml:space="preserve"> </w:t>
      </w:r>
      <w:r>
        <w:rPr>
          <w:rFonts w:ascii="Times New Roman" w:hAnsi="Times New Roman"/>
          <w:sz w:val="20"/>
        </w:rPr>
        <w:t>at 12.</w:t>
      </w:r>
    </w:p>
  </w:footnote>
  <w:footnote w:id="49">
    <w:p w:rsidR="001A6218" w:rsidRPr="00F822CB" w:rsidRDefault="001A6218" w:rsidP="00B0301F">
      <w:pPr>
        <w:pStyle w:val="FootnoteText"/>
        <w:rPr>
          <w:rFonts w:ascii="Times New Roman" w:hAnsi="Times New Roman"/>
          <w:sz w:val="20"/>
        </w:rPr>
      </w:pPr>
      <w:r>
        <w:rPr>
          <w:rStyle w:val="FootnoteReference"/>
        </w:rPr>
        <w:t>50</w:t>
      </w:r>
      <w:r>
        <w:t xml:space="preserve"> </w:t>
      </w:r>
      <w:r>
        <w:rPr>
          <w:rFonts w:ascii="Times New Roman" w:hAnsi="Times New Roman"/>
          <w:sz w:val="20"/>
        </w:rPr>
        <w:t xml:space="preserve">What made this interesting was that Citizens used the basis of a facial challenge in the District Court proceedings, yet when the case reached the Supreme Court they decided to instead change tactics and challenge 441(b) through an as applied. This was in large part at the Court’s encouragement. </w:t>
      </w:r>
    </w:p>
  </w:footnote>
  <w:footnote w:id="50">
    <w:p w:rsidR="001A6218" w:rsidRPr="005419CB" w:rsidRDefault="001A6218" w:rsidP="00B0301F">
      <w:pPr>
        <w:pStyle w:val="CM15"/>
        <w:spacing w:line="240" w:lineRule="auto"/>
        <w:jc w:val="both"/>
        <w:rPr>
          <w:rFonts w:ascii="Times New Roman" w:hAnsi="Times New Roman" w:cs="Century Schoolbook"/>
          <w:color w:val="000000"/>
          <w:sz w:val="20"/>
        </w:rPr>
      </w:pPr>
      <w:r>
        <w:rPr>
          <w:rStyle w:val="FootnoteReference"/>
          <w:rFonts w:asciiTheme="minorHAnsi" w:hAnsiTheme="minorHAnsi" w:cstheme="minorBidi"/>
        </w:rPr>
        <w:t>51</w:t>
      </w:r>
      <w:r>
        <w:t xml:space="preserve"> </w:t>
      </w:r>
      <w:r>
        <w:rPr>
          <w:rFonts w:ascii="Times New Roman" w:hAnsi="Times New Roman"/>
          <w:sz w:val="20"/>
        </w:rPr>
        <w:t xml:space="preserve">See </w:t>
      </w:r>
      <w:r>
        <w:rPr>
          <w:rFonts w:ascii="Times New Roman" w:hAnsi="Times New Roman"/>
          <w:i/>
          <w:sz w:val="20"/>
        </w:rPr>
        <w:t>FEC</w:t>
      </w:r>
      <w:r>
        <w:rPr>
          <w:rFonts w:ascii="Times New Roman" w:hAnsi="Times New Roman"/>
          <w:sz w:val="20"/>
        </w:rPr>
        <w:t xml:space="preserve">, 588 U.S. at 21. Justice Roberts also cited </w:t>
      </w:r>
      <w:r w:rsidRPr="005419CB">
        <w:rPr>
          <w:rFonts w:ascii="Times New Roman" w:hAnsi="Times New Roman" w:cs="Century Schoolbook"/>
          <w:color w:val="000000"/>
          <w:sz w:val="20"/>
        </w:rPr>
        <w:t>Fallon, As-Applied and Facial Challenges and Third-Party Standing, 113 Harv.</w:t>
      </w:r>
      <w:r>
        <w:rPr>
          <w:rFonts w:ascii="Times New Roman" w:hAnsi="Times New Roman" w:cs="Century Schoolbook"/>
          <w:color w:val="000000"/>
          <w:sz w:val="20"/>
        </w:rPr>
        <w:t xml:space="preserve"> </w:t>
      </w:r>
      <w:r w:rsidRPr="005419CB">
        <w:rPr>
          <w:rFonts w:ascii="Times New Roman" w:hAnsi="Times New Roman" w:cs="Century Schoolbook"/>
          <w:color w:val="000000"/>
          <w:sz w:val="20"/>
          <w:szCs w:val="22"/>
        </w:rPr>
        <w:t>L. Rev. 1321, 1339 (2000)</w:t>
      </w:r>
      <w:r>
        <w:rPr>
          <w:rFonts w:ascii="Times New Roman" w:hAnsi="Times New Roman" w:cs="Century Schoolbook"/>
          <w:color w:val="000000"/>
          <w:sz w:val="20"/>
          <w:szCs w:val="22"/>
        </w:rPr>
        <w:t xml:space="preserve"> in further justifying court’s discretion of instructing appropriate response by quoting Fallon, “Once a case is brought, no general categorical line bars a court from making broader pronouncements of invalidity in properly ‘as-applied’ cases” at 1327-1328.</w:t>
      </w:r>
    </w:p>
  </w:footnote>
  <w:footnote w:id="51">
    <w:p w:rsidR="001A6218" w:rsidRDefault="001A6218" w:rsidP="000C7D9D">
      <w:pPr>
        <w:pStyle w:val="FootnoteText"/>
        <w:rPr>
          <w:rFonts w:ascii="Times New Roman" w:hAnsi="Times New Roman"/>
          <w:sz w:val="20"/>
        </w:rPr>
      </w:pPr>
      <w:r>
        <w:rPr>
          <w:rStyle w:val="FootnoteReference"/>
        </w:rPr>
        <w:t>52</w:t>
      </w:r>
      <w:r>
        <w:t xml:space="preserve"> </w:t>
      </w:r>
      <w:r>
        <w:rPr>
          <w:rFonts w:ascii="Times New Roman" w:hAnsi="Times New Roman"/>
          <w:sz w:val="20"/>
        </w:rPr>
        <w:t xml:space="preserve">Buckley, 424 U.S. at 47. </w:t>
      </w:r>
    </w:p>
    <w:p w:rsidR="001A6218" w:rsidRPr="004B2A2F" w:rsidRDefault="001A6218" w:rsidP="000C7D9D">
      <w:pPr>
        <w:pStyle w:val="FootnoteText"/>
        <w:rPr>
          <w:rFonts w:ascii="Times New Roman" w:hAnsi="Times New Roman"/>
          <w:sz w:val="20"/>
        </w:rPr>
      </w:pPr>
    </w:p>
  </w:footnote>
  <w:footnote w:id="52">
    <w:p w:rsidR="001A6218" w:rsidRPr="00F77045" w:rsidRDefault="001A6218" w:rsidP="000C7D9D">
      <w:pPr>
        <w:pStyle w:val="FootnoteText"/>
        <w:rPr>
          <w:rFonts w:ascii="Times New Roman" w:hAnsi="Times New Roman"/>
          <w:sz w:val="20"/>
        </w:rPr>
      </w:pPr>
      <w:r>
        <w:rPr>
          <w:rStyle w:val="FootnoteReference"/>
        </w:rPr>
        <w:t>53</w:t>
      </w:r>
      <w:r>
        <w:t xml:space="preserve"> </w:t>
      </w:r>
      <w:r>
        <w:rPr>
          <w:rFonts w:ascii="Times New Roman" w:hAnsi="Times New Roman"/>
          <w:i/>
          <w:sz w:val="20"/>
        </w:rPr>
        <w:t>FEC</w:t>
      </w:r>
      <w:r>
        <w:rPr>
          <w:rFonts w:ascii="Times New Roman" w:hAnsi="Times New Roman"/>
          <w:sz w:val="20"/>
        </w:rPr>
        <w:t xml:space="preserve"> 558 U.S. at 57</w:t>
      </w:r>
    </w:p>
  </w:footnote>
  <w:footnote w:id="53">
    <w:p w:rsidR="001A6218" w:rsidRPr="00371203" w:rsidRDefault="001A6218" w:rsidP="000C7D9D">
      <w:pPr>
        <w:pStyle w:val="FootnoteText"/>
        <w:rPr>
          <w:rFonts w:ascii="Times New Roman" w:hAnsi="Times New Roman"/>
          <w:sz w:val="20"/>
        </w:rPr>
      </w:pPr>
      <w:r>
        <w:rPr>
          <w:rStyle w:val="FootnoteReference"/>
        </w:rPr>
        <w:t>54</w:t>
      </w:r>
      <w:r w:rsidRPr="00133F49">
        <w:rPr>
          <w:rFonts w:ascii="Times New Roman" w:hAnsi="Times New Roman"/>
          <w:sz w:val="20"/>
        </w:rPr>
        <w:t xml:space="preserve"> </w:t>
      </w:r>
      <w:r>
        <w:rPr>
          <w:rFonts w:ascii="Times New Roman" w:hAnsi="Times New Roman"/>
          <w:i/>
          <w:sz w:val="20"/>
        </w:rPr>
        <w:t xml:space="preserve">Id. </w:t>
      </w:r>
      <w:r>
        <w:rPr>
          <w:rFonts w:ascii="Times New Roman" w:hAnsi="Times New Roman"/>
          <w:sz w:val="20"/>
        </w:rPr>
        <w:t>at 50.</w:t>
      </w:r>
    </w:p>
  </w:footnote>
  <w:footnote w:id="54">
    <w:p w:rsidR="001A6218" w:rsidRPr="00371203" w:rsidRDefault="001A6218" w:rsidP="000C7D9D">
      <w:pPr>
        <w:pStyle w:val="FootnoteText"/>
        <w:rPr>
          <w:rFonts w:ascii="Times New Roman" w:hAnsi="Times New Roman"/>
          <w:sz w:val="20"/>
        </w:rPr>
      </w:pPr>
      <w:r>
        <w:rPr>
          <w:rStyle w:val="FootnoteReference"/>
        </w:rPr>
        <w:t>55</w:t>
      </w:r>
      <w:r>
        <w:t xml:space="preserve"> </w:t>
      </w:r>
      <w:r w:rsidRPr="00F77045">
        <w:rPr>
          <w:rFonts w:ascii="Times New Roman" w:hAnsi="Times New Roman"/>
          <w:i/>
          <w:smallCaps/>
          <w:sz w:val="20"/>
        </w:rPr>
        <w:t>I</w:t>
      </w:r>
      <w:r>
        <w:rPr>
          <w:rFonts w:ascii="Times New Roman" w:hAnsi="Times New Roman"/>
          <w:i/>
          <w:sz w:val="20"/>
        </w:rPr>
        <w:t xml:space="preserve">d. </w:t>
      </w:r>
      <w:r>
        <w:rPr>
          <w:sz w:val="20"/>
        </w:rPr>
        <w:t>at 49.</w:t>
      </w:r>
    </w:p>
  </w:footnote>
  <w:footnote w:id="55">
    <w:p w:rsidR="001A6218" w:rsidRPr="00FC58A0" w:rsidRDefault="001A6218">
      <w:pPr>
        <w:pStyle w:val="FootnoteText"/>
        <w:rPr>
          <w:rFonts w:ascii="Times New Roman" w:hAnsi="Times New Roman"/>
          <w:sz w:val="20"/>
        </w:rPr>
      </w:pPr>
      <w:r>
        <w:rPr>
          <w:rStyle w:val="FootnoteReference"/>
        </w:rPr>
        <w:t>56</w:t>
      </w:r>
      <w:r>
        <w:t xml:space="preserve"> </w:t>
      </w:r>
      <w:r>
        <w:rPr>
          <w:rFonts w:ascii="Times New Roman" w:hAnsi="Times New Roman"/>
          <w:sz w:val="20"/>
        </w:rPr>
        <w:t xml:space="preserve"> As Burt Neuborne explains in his article, “</w:t>
      </w:r>
      <w:r w:rsidRPr="007B4BDC">
        <w:rPr>
          <w:rFonts w:ascii="Times New Roman" w:hAnsi="Times New Roman"/>
          <w:i/>
          <w:sz w:val="20"/>
        </w:rPr>
        <w:t>An Accidental Democracy Built by Judges</w:t>
      </w:r>
      <w:r>
        <w:rPr>
          <w:rFonts w:ascii="Times New Roman" w:hAnsi="Times New Roman"/>
          <w:sz w:val="20"/>
        </w:rPr>
        <w:t xml:space="preserve">,” it’s ironic that the Court came to this conclusion a hundred years after Hale v. Henkel, 201 U.S. 43, 69-70 (1906) defined for-profit corporations to fall outside the realm rights protected to human beings, like the Fifth Amendment self-incrimination clause. </w:t>
      </w:r>
    </w:p>
  </w:footnote>
  <w:footnote w:id="56">
    <w:p w:rsidR="001A6218" w:rsidRPr="001418A5" w:rsidRDefault="001A6218" w:rsidP="005E7671">
      <w:pPr>
        <w:pStyle w:val="FootnoteText"/>
        <w:rPr>
          <w:sz w:val="20"/>
        </w:rPr>
      </w:pPr>
      <w:r>
        <w:rPr>
          <w:rStyle w:val="FootnoteReference"/>
        </w:rPr>
        <w:t>57</w:t>
      </w:r>
      <w:r>
        <w:t xml:space="preserve"> </w:t>
      </w:r>
      <w:r w:rsidRPr="001F6DC7">
        <w:rPr>
          <w:rFonts w:ascii="Times New Roman" w:hAnsi="Times New Roman"/>
          <w:sz w:val="20"/>
        </w:rPr>
        <w:t>2 U.S.C. §</w:t>
      </w:r>
      <w:r>
        <w:rPr>
          <w:rFonts w:ascii="Times New Roman" w:hAnsi="Times New Roman"/>
          <w:sz w:val="20"/>
        </w:rPr>
        <w:t xml:space="preserve"> </w:t>
      </w:r>
      <w:r w:rsidRPr="001F6DC7">
        <w:rPr>
          <w:rFonts w:ascii="Times New Roman" w:hAnsi="Times New Roman"/>
          <w:sz w:val="20"/>
        </w:rPr>
        <w:t>441a(a)(1)(C)</w:t>
      </w:r>
    </w:p>
  </w:footnote>
  <w:footnote w:id="57">
    <w:p w:rsidR="001A6218" w:rsidRDefault="001A6218" w:rsidP="004C4998">
      <w:pPr>
        <w:pStyle w:val="FootnoteText"/>
      </w:pPr>
      <w:r>
        <w:rPr>
          <w:rStyle w:val="FootnoteReference"/>
        </w:rPr>
        <w:t>58</w:t>
      </w:r>
      <w:r>
        <w:t xml:space="preserve"> </w:t>
      </w:r>
      <w:r>
        <w:rPr>
          <w:rFonts w:ascii="Times New Roman" w:hAnsi="Times New Roman"/>
          <w:sz w:val="20"/>
        </w:rPr>
        <w:t xml:space="preserve">Diana Dwyre, </w:t>
      </w:r>
      <w:r>
        <w:rPr>
          <w:rFonts w:ascii="Times New Roman" w:hAnsi="Times New Roman"/>
          <w:i/>
          <w:sz w:val="20"/>
        </w:rPr>
        <w:t xml:space="preserve">527s: The New Bad Guys of Campaign Finance, in </w:t>
      </w:r>
      <w:r>
        <w:rPr>
          <w:rFonts w:ascii="Times New Roman" w:hAnsi="Times New Roman"/>
          <w:smallCaps/>
          <w:sz w:val="20"/>
        </w:rPr>
        <w:t>Interest Group Politics 212</w:t>
      </w:r>
      <w:r>
        <w:rPr>
          <w:rFonts w:ascii="Times New Roman" w:hAnsi="Times New Roman"/>
          <w:sz w:val="20"/>
        </w:rPr>
        <w:t xml:space="preserve"> (Allan J. Cigler &amp; Burdette A. Loomis eds., 2007). </w:t>
      </w:r>
    </w:p>
  </w:footnote>
  <w:footnote w:id="58">
    <w:p w:rsidR="001A6218" w:rsidRDefault="001A6218" w:rsidP="004C4998">
      <w:pPr>
        <w:pStyle w:val="FootnoteText"/>
      </w:pPr>
      <w:r>
        <w:rPr>
          <w:rStyle w:val="FootnoteReference"/>
        </w:rPr>
        <w:t>59</w:t>
      </w:r>
      <w:r>
        <w:t xml:space="preserve"> </w:t>
      </w:r>
      <w:r w:rsidRPr="005C0166">
        <w:rPr>
          <w:rFonts w:ascii="Times New Roman" w:hAnsi="Times New Roman"/>
          <w:i/>
          <w:sz w:val="20"/>
        </w:rPr>
        <w:t>Id.</w:t>
      </w:r>
      <w:r>
        <w:rPr>
          <w:rFonts w:ascii="Times New Roman" w:hAnsi="Times New Roman"/>
          <w:sz w:val="20"/>
        </w:rPr>
        <w:t xml:space="preserve"> at 84</w:t>
      </w:r>
    </w:p>
  </w:footnote>
  <w:footnote w:id="59">
    <w:p w:rsidR="001A6218" w:rsidRDefault="001A6218" w:rsidP="005E7671">
      <w:pPr>
        <w:pStyle w:val="FootnoteText"/>
      </w:pPr>
      <w:r>
        <w:rPr>
          <w:rStyle w:val="FootnoteReference"/>
        </w:rPr>
        <w:t>60</w:t>
      </w:r>
      <w:r w:rsidRPr="00720EFF">
        <w:t xml:space="preserve"> </w:t>
      </w:r>
      <w:r w:rsidRPr="00F77045">
        <w:rPr>
          <w:rFonts w:ascii="Times New Roman" w:hAnsi="Times New Roman"/>
          <w:i/>
          <w:sz w:val="20"/>
        </w:rPr>
        <w:t>SpeechNow.org v Federal Election Commission</w:t>
      </w:r>
      <w:r>
        <w:rPr>
          <w:rFonts w:ascii="Times New Roman" w:hAnsi="Times New Roman"/>
          <w:sz w:val="20"/>
        </w:rPr>
        <w:t>, No. 1:08-cv-00248-JR, 2010 U.S. App., at 13 (WestLaw).</w:t>
      </w:r>
    </w:p>
  </w:footnote>
  <w:footnote w:id="60">
    <w:p w:rsidR="001A6218" w:rsidRDefault="001A6218" w:rsidP="005E7671">
      <w:pPr>
        <w:pStyle w:val="FootnoteText"/>
      </w:pPr>
      <w:r>
        <w:rPr>
          <w:rStyle w:val="FootnoteReference"/>
        </w:rPr>
        <w:t>61</w:t>
      </w:r>
      <w:r>
        <w:t xml:space="preserve"> </w:t>
      </w:r>
      <w:r w:rsidRPr="00DE408A">
        <w:rPr>
          <w:sz w:val="20"/>
        </w:rPr>
        <w:t>Regulations that mandate an individual’s contribution to a PAC as being no greater than $5,000</w:t>
      </w:r>
      <w:r>
        <w:rPr>
          <w:sz w:val="20"/>
        </w:rPr>
        <w:t xml:space="preserve"> and an individual’s total contributions to all PACS being greater than $69,900 biennially. </w:t>
      </w:r>
    </w:p>
  </w:footnote>
  <w:footnote w:id="61">
    <w:p w:rsidR="001A6218" w:rsidRDefault="001A6218" w:rsidP="0022339F">
      <w:pPr>
        <w:pStyle w:val="FootnoteText"/>
      </w:pPr>
      <w:r>
        <w:rPr>
          <w:rStyle w:val="FootnoteReference"/>
        </w:rPr>
        <w:t>62</w:t>
      </w:r>
      <w:r>
        <w:t xml:space="preserve"> </w:t>
      </w:r>
      <w:r>
        <w:rPr>
          <w:rFonts w:ascii="Times New Roman" w:hAnsi="Times New Roman"/>
          <w:i/>
          <w:sz w:val="20"/>
        </w:rPr>
        <w:t xml:space="preserve">Federal Election Commission, </w:t>
      </w:r>
      <w:r>
        <w:rPr>
          <w:rFonts w:ascii="Times New Roman" w:hAnsi="Times New Roman"/>
          <w:sz w:val="20"/>
        </w:rPr>
        <w:t>2010 U.S. App., at 14 (WestLaw).</w:t>
      </w:r>
    </w:p>
    <w:p w:rsidR="001A6218" w:rsidRPr="0022339F" w:rsidRDefault="001A6218" w:rsidP="005E7671">
      <w:pPr>
        <w:pStyle w:val="FootnoteText"/>
        <w:rPr>
          <w:rFonts w:ascii="Times New Roman" w:hAnsi="Times New Roman"/>
          <w:i/>
        </w:rPr>
      </w:pPr>
    </w:p>
  </w:footnote>
  <w:footnote w:id="62">
    <w:p w:rsidR="001A6218" w:rsidRDefault="001A6218" w:rsidP="0022339F">
      <w:pPr>
        <w:pStyle w:val="FootnoteText"/>
      </w:pPr>
      <w:r>
        <w:rPr>
          <w:rStyle w:val="FootnoteReference"/>
        </w:rPr>
        <w:t>63</w:t>
      </w:r>
      <w:r>
        <w:t xml:space="preserve"> </w:t>
      </w:r>
      <w:r>
        <w:rPr>
          <w:rFonts w:ascii="Times New Roman" w:hAnsi="Times New Roman"/>
          <w:i/>
          <w:sz w:val="20"/>
        </w:rPr>
        <w:t xml:space="preserve">Federal Election Commission </w:t>
      </w:r>
      <w:r>
        <w:rPr>
          <w:rFonts w:ascii="Times New Roman" w:hAnsi="Times New Roman"/>
          <w:sz w:val="20"/>
        </w:rPr>
        <w:t>2010 U.S. App., at 20 (WestLaw).</w:t>
      </w:r>
    </w:p>
    <w:p w:rsidR="001A6218" w:rsidRPr="00606A50" w:rsidRDefault="001A6218" w:rsidP="005E7671">
      <w:pPr>
        <w:pStyle w:val="FootnoteText"/>
        <w:rPr>
          <w:rFonts w:ascii="Times New Roman" w:hAnsi="Times New Roman"/>
          <w:sz w:val="20"/>
        </w:rPr>
      </w:pPr>
    </w:p>
  </w:footnote>
  <w:footnote w:id="63">
    <w:p w:rsidR="001A6218" w:rsidRDefault="001A6218" w:rsidP="005E7671">
      <w:pPr>
        <w:pStyle w:val="FootnoteText"/>
      </w:pPr>
      <w:r>
        <w:rPr>
          <w:rStyle w:val="FootnoteReference"/>
        </w:rPr>
        <w:t>64</w:t>
      </w:r>
      <w:r>
        <w:t xml:space="preserve"> </w:t>
      </w:r>
      <w:r>
        <w:rPr>
          <w:rFonts w:ascii="Times New Roman" w:hAnsi="Times New Roman"/>
          <w:sz w:val="20"/>
        </w:rPr>
        <w:t xml:space="preserve">President Barack Obama, Weekly Address, </w:t>
      </w:r>
      <w:r>
        <w:rPr>
          <w:rFonts w:ascii="Times New Roman" w:hAnsi="Times New Roman"/>
          <w:smallCaps/>
          <w:sz w:val="20"/>
        </w:rPr>
        <w:t>The White House (</w:t>
      </w:r>
      <w:r>
        <w:rPr>
          <w:rFonts w:ascii="Times New Roman" w:hAnsi="Times New Roman"/>
          <w:sz w:val="20"/>
        </w:rPr>
        <w:t xml:space="preserve">Jan. 23, 2010), </w:t>
      </w:r>
      <w:r w:rsidRPr="00F25B7D">
        <w:rPr>
          <w:rFonts w:ascii="Times New Roman" w:hAnsi="Times New Roman"/>
          <w:sz w:val="20"/>
        </w:rPr>
        <w:t>http://www.whitehouse.gov/the-press-office/weekly-address-president-obama-vows-continue-standing-special-interests-behalf-amer</w:t>
      </w:r>
      <w:r>
        <w:rPr>
          <w:rFonts w:ascii="Times New Roman" w:hAnsi="Times New Roman"/>
          <w:sz w:val="20"/>
        </w:rPr>
        <w:t xml:space="preserve">. The President went on to say it infringed upon our democratic process. </w:t>
      </w:r>
    </w:p>
  </w:footnote>
  <w:footnote w:id="64">
    <w:p w:rsidR="001A6218" w:rsidRPr="00F45C1C" w:rsidRDefault="001A6218" w:rsidP="005E7671">
      <w:pPr>
        <w:pStyle w:val="FootnoteText"/>
        <w:rPr>
          <w:rFonts w:ascii="Times New Roman" w:hAnsi="Times New Roman"/>
          <w:sz w:val="20"/>
        </w:rPr>
      </w:pPr>
      <w:r>
        <w:rPr>
          <w:rStyle w:val="FootnoteReference"/>
        </w:rPr>
        <w:t>65</w:t>
      </w:r>
      <w:r>
        <w:t xml:space="preserve"> </w:t>
      </w:r>
      <w:r>
        <w:rPr>
          <w:rFonts w:ascii="Times New Roman" w:hAnsi="Times New Roman"/>
          <w:sz w:val="20"/>
        </w:rPr>
        <w:t xml:space="preserve">This information comes from the Center for Responsive Politics, otherwise known as opensecrets.org. They study FEC filings that detail the money being raised and spent by Super PACS. All information in this graph comes from filings made at the beginning of March. </w:t>
      </w:r>
    </w:p>
  </w:footnote>
  <w:footnote w:id="65">
    <w:p w:rsidR="001A6218" w:rsidRDefault="001A6218" w:rsidP="005E7671">
      <w:pPr>
        <w:pStyle w:val="FootnoteText"/>
        <w:rPr>
          <w:rFonts w:ascii="Times New Roman" w:hAnsi="Times New Roman"/>
          <w:sz w:val="20"/>
        </w:rPr>
      </w:pPr>
      <w:r>
        <w:rPr>
          <w:rStyle w:val="FootnoteReference"/>
        </w:rPr>
        <w:t>66</w:t>
      </w:r>
      <w:r>
        <w:t xml:space="preserve"> </w:t>
      </w:r>
      <w:r>
        <w:rPr>
          <w:rFonts w:ascii="Times New Roman" w:hAnsi="Times New Roman"/>
          <w:sz w:val="20"/>
        </w:rPr>
        <w:t xml:space="preserve">Data comes from opensecrets.org. </w:t>
      </w:r>
    </w:p>
    <w:p w:rsidR="001A6218" w:rsidRPr="00F25B7D" w:rsidRDefault="001A6218" w:rsidP="005E7671">
      <w:pPr>
        <w:pStyle w:val="FootnoteText"/>
        <w:rPr>
          <w:rFonts w:ascii="Times New Roman" w:hAnsi="Times New Roman"/>
          <w:sz w:val="20"/>
        </w:rPr>
      </w:pPr>
      <w:r>
        <w:rPr>
          <w:rFonts w:ascii="Times New Roman" w:hAnsi="Times New Roman"/>
          <w:sz w:val="20"/>
        </w:rPr>
        <w:t xml:space="preserve">OpenSecrets.org, </w:t>
      </w:r>
      <w:r>
        <w:rPr>
          <w:rFonts w:ascii="Times New Roman" w:hAnsi="Times New Roman"/>
          <w:smallCaps/>
          <w:sz w:val="20"/>
        </w:rPr>
        <w:t xml:space="preserve">Super Pacs </w:t>
      </w:r>
      <w:r>
        <w:rPr>
          <w:rFonts w:ascii="Times New Roman" w:hAnsi="Times New Roman"/>
          <w:sz w:val="20"/>
        </w:rPr>
        <w:t xml:space="preserve">(Mar. 25, 2011, 10:50 PM), </w:t>
      </w:r>
      <w:r w:rsidRPr="00F25B7D">
        <w:rPr>
          <w:rFonts w:ascii="Times New Roman" w:hAnsi="Times New Roman"/>
          <w:sz w:val="20"/>
        </w:rPr>
        <w:t>http://www.opensecrets.org/pacs/superpacs.php?cycle=2012</w:t>
      </w:r>
      <w:r>
        <w:rPr>
          <w:rFonts w:ascii="Times New Roman" w:hAnsi="Times New Roman"/>
          <w:sz w:val="20"/>
        </w:rPr>
        <w:t>.</w:t>
      </w:r>
    </w:p>
  </w:footnote>
  <w:footnote w:id="66">
    <w:p w:rsidR="001A6218" w:rsidRDefault="001A6218">
      <w:pPr>
        <w:pStyle w:val="FootnoteText"/>
        <w:rPr>
          <w:rFonts w:ascii="Times New Roman" w:hAnsi="Times New Roman"/>
          <w:sz w:val="20"/>
        </w:rPr>
      </w:pPr>
      <w:r>
        <w:rPr>
          <w:rStyle w:val="FootnoteReference"/>
        </w:rPr>
        <w:t>67</w:t>
      </w:r>
      <w:r>
        <w:t xml:space="preserve"> </w:t>
      </w:r>
      <w:r>
        <w:rPr>
          <w:rFonts w:ascii="Times New Roman" w:hAnsi="Times New Roman"/>
          <w:sz w:val="20"/>
        </w:rPr>
        <w:t xml:space="preserve">OpenSecrets.org, </w:t>
      </w:r>
      <w:r>
        <w:rPr>
          <w:rFonts w:ascii="Times New Roman" w:hAnsi="Times New Roman"/>
          <w:i/>
          <w:sz w:val="20"/>
        </w:rPr>
        <w:t>Outside Spending Through April 9</w:t>
      </w:r>
      <w:r w:rsidRPr="009C5FCA">
        <w:rPr>
          <w:rFonts w:ascii="Times New Roman" w:hAnsi="Times New Roman"/>
          <w:i/>
          <w:sz w:val="20"/>
          <w:vertAlign w:val="superscript"/>
        </w:rPr>
        <w:t>th</w:t>
      </w:r>
      <w:r>
        <w:rPr>
          <w:rFonts w:ascii="Times New Roman" w:hAnsi="Times New Roman"/>
          <w:i/>
          <w:sz w:val="20"/>
        </w:rPr>
        <w:t xml:space="preserve"> of Election Year, Excluding Party Committees, </w:t>
      </w:r>
      <w:r>
        <w:rPr>
          <w:rFonts w:ascii="Times New Roman" w:hAnsi="Times New Roman"/>
          <w:smallCaps/>
          <w:sz w:val="20"/>
        </w:rPr>
        <w:t>Outside Spending (</w:t>
      </w:r>
      <w:r>
        <w:rPr>
          <w:rFonts w:ascii="Times New Roman" w:hAnsi="Times New Roman"/>
          <w:sz w:val="20"/>
        </w:rPr>
        <w:t xml:space="preserve">Apr. 9, 2012 1:45 PM), </w:t>
      </w:r>
      <w:hyperlink r:id="rId10" w:anchor="viewpt" w:history="1">
        <w:r w:rsidRPr="00155502">
          <w:rPr>
            <w:rStyle w:val="Hyperlink"/>
            <w:rFonts w:ascii="Times New Roman" w:hAnsi="Times New Roman"/>
            <w:sz w:val="20"/>
          </w:rPr>
          <w:t>http://www.opensecrets.org/outsidespending/index.php?cycle=2012&amp;view=Y&amp;chart=N#viewpt</w:t>
        </w:r>
      </w:hyperlink>
      <w:r>
        <w:rPr>
          <w:rFonts w:ascii="Times New Roman" w:hAnsi="Times New Roman"/>
          <w:sz w:val="20"/>
        </w:rPr>
        <w:t xml:space="preserve">. </w:t>
      </w:r>
    </w:p>
    <w:p w:rsidR="001A6218" w:rsidRPr="009C5FCA" w:rsidRDefault="001A6218">
      <w:pPr>
        <w:pStyle w:val="FootnoteText"/>
        <w:rPr>
          <w:rFonts w:ascii="Times New Roman" w:hAnsi="Times New Roman"/>
          <w:sz w:val="20"/>
        </w:rPr>
      </w:pPr>
      <w:r>
        <w:rPr>
          <w:rFonts w:ascii="Times New Roman" w:hAnsi="Times New Roman"/>
          <w:sz w:val="20"/>
        </w:rPr>
        <w:t xml:space="preserve">This data is updated daily, so the numbers will be bigger than the ones listed above. </w:t>
      </w:r>
    </w:p>
  </w:footnote>
  <w:footnote w:id="67">
    <w:p w:rsidR="001A6218" w:rsidRPr="00963467" w:rsidRDefault="001A6218" w:rsidP="005E7671">
      <w:pPr>
        <w:pStyle w:val="FootnoteText"/>
        <w:rPr>
          <w:rFonts w:ascii="Times New Roman" w:hAnsi="Times New Roman"/>
          <w:sz w:val="20"/>
        </w:rPr>
      </w:pPr>
      <w:r>
        <w:rPr>
          <w:rStyle w:val="FootnoteReference"/>
        </w:rPr>
        <w:t>68</w:t>
      </w:r>
      <w:r>
        <w:t xml:space="preserve"> </w:t>
      </w:r>
      <w:r>
        <w:rPr>
          <w:rFonts w:ascii="Times New Roman" w:hAnsi="Times New Roman"/>
          <w:sz w:val="20"/>
        </w:rPr>
        <w:t xml:space="preserve">Scott Conroy, </w:t>
      </w:r>
      <w:r>
        <w:rPr>
          <w:rFonts w:ascii="Times New Roman" w:hAnsi="Times New Roman"/>
          <w:i/>
          <w:sz w:val="20"/>
        </w:rPr>
        <w:t xml:space="preserve">Obama, Romney Getting Cozier with Super PACs, </w:t>
      </w:r>
      <w:r>
        <w:rPr>
          <w:rFonts w:ascii="Times New Roman" w:hAnsi="Times New Roman"/>
          <w:smallCaps/>
          <w:sz w:val="20"/>
        </w:rPr>
        <w:t>CBSNEWS (</w:t>
      </w:r>
      <w:r>
        <w:rPr>
          <w:rFonts w:ascii="Times New Roman" w:hAnsi="Times New Roman"/>
          <w:sz w:val="20"/>
        </w:rPr>
        <w:t xml:space="preserve">Feb. 14, 2012), </w:t>
      </w:r>
      <w:r w:rsidRPr="00963467">
        <w:rPr>
          <w:rFonts w:ascii="Times New Roman" w:hAnsi="Times New Roman"/>
          <w:sz w:val="20"/>
        </w:rPr>
        <w:t>http://www.cbsnews.com/8301-503544_162-57377525-503544/obama-romney-getting-cozier-with-super-pacs/</w:t>
      </w:r>
    </w:p>
    <w:p w:rsidR="001A6218" w:rsidRDefault="001A6218" w:rsidP="005E7671">
      <w:pPr>
        <w:pStyle w:val="FootnoteText"/>
      </w:pPr>
    </w:p>
    <w:p w:rsidR="001A6218" w:rsidRDefault="001A6218" w:rsidP="005E7671">
      <w:pPr>
        <w:pStyle w:val="FootnoteText"/>
      </w:pPr>
    </w:p>
    <w:p w:rsidR="001A6218" w:rsidRPr="004605A0" w:rsidRDefault="001A6218" w:rsidP="005E7671">
      <w:pPr>
        <w:pStyle w:val="FootnoteText"/>
        <w:rPr>
          <w:rFonts w:ascii="Times New Roman" w:hAnsi="Times New Roman"/>
          <w:sz w:val="20"/>
        </w:rPr>
      </w:pPr>
    </w:p>
  </w:footnote>
  <w:footnote w:id="68">
    <w:p w:rsidR="001A6218" w:rsidRDefault="001A6218">
      <w:pPr>
        <w:pStyle w:val="FootnoteText"/>
        <w:rPr>
          <w:rFonts w:ascii="Times New Roman" w:hAnsi="Times New Roman"/>
          <w:sz w:val="20"/>
        </w:rPr>
      </w:pPr>
      <w:r>
        <w:rPr>
          <w:rStyle w:val="FootnoteReference"/>
        </w:rPr>
        <w:t>69</w:t>
      </w:r>
      <w:r>
        <w:t xml:space="preserve"> </w:t>
      </w:r>
      <w:r>
        <w:rPr>
          <w:rFonts w:ascii="Times New Roman" w:hAnsi="Times New Roman"/>
          <w:sz w:val="20"/>
        </w:rPr>
        <w:t xml:space="preserve">Andy Kroll, </w:t>
      </w:r>
      <w:r>
        <w:rPr>
          <w:rFonts w:ascii="Times New Roman" w:hAnsi="Times New Roman"/>
          <w:i/>
          <w:sz w:val="20"/>
        </w:rPr>
        <w:t xml:space="preserve">Candidates and the Totally Unrelated Super-PACs That Love Them, </w:t>
      </w:r>
      <w:r>
        <w:rPr>
          <w:rFonts w:ascii="Times New Roman" w:hAnsi="Times New Roman"/>
          <w:smallCaps/>
          <w:sz w:val="20"/>
        </w:rPr>
        <w:t>Mother Jones</w:t>
      </w:r>
      <w:r>
        <w:rPr>
          <w:rFonts w:ascii="Times New Roman" w:hAnsi="Times New Roman"/>
          <w:sz w:val="20"/>
        </w:rPr>
        <w:t xml:space="preserve"> </w:t>
      </w:r>
    </w:p>
    <w:p w:rsidR="001A6218" w:rsidRPr="000A6605" w:rsidRDefault="001A6218">
      <w:pPr>
        <w:pStyle w:val="FootnoteText"/>
        <w:rPr>
          <w:rFonts w:ascii="Times New Roman" w:hAnsi="Times New Roman"/>
          <w:sz w:val="20"/>
        </w:rPr>
      </w:pPr>
      <w:r>
        <w:rPr>
          <w:rFonts w:ascii="Times New Roman" w:hAnsi="Times New Roman"/>
          <w:sz w:val="20"/>
        </w:rPr>
        <w:t xml:space="preserve">  (Jan.  20, 2012), </w:t>
      </w:r>
      <w:hyperlink r:id="rId11" w:history="1">
        <w:r w:rsidRPr="00155502">
          <w:rPr>
            <w:rStyle w:val="Hyperlink"/>
            <w:rFonts w:ascii="Times New Roman" w:hAnsi="Times New Roman"/>
            <w:sz w:val="20"/>
          </w:rPr>
          <w:t>http://motherjones.com/mojo/2012/01/stephen-colbert-citizens-united-super-pac</w:t>
        </w:r>
      </w:hyperlink>
      <w:r>
        <w:rPr>
          <w:rFonts w:ascii="Times New Roman" w:hAnsi="Times New Roman"/>
          <w:sz w:val="20"/>
        </w:rPr>
        <w:t xml:space="preserve">. </w:t>
      </w:r>
    </w:p>
  </w:footnote>
  <w:footnote w:id="69">
    <w:p w:rsidR="001A6218" w:rsidRPr="002C5358" w:rsidRDefault="001A6218" w:rsidP="005E7671">
      <w:pPr>
        <w:pStyle w:val="FootnoteText"/>
        <w:rPr>
          <w:rFonts w:ascii="Times New Roman" w:hAnsi="Times New Roman"/>
          <w:sz w:val="20"/>
        </w:rPr>
      </w:pPr>
      <w:r>
        <w:rPr>
          <w:rStyle w:val="FootnoteReference"/>
        </w:rPr>
        <w:t>70</w:t>
      </w:r>
      <w:r>
        <w:t xml:space="preserve"> </w:t>
      </w:r>
      <w:r>
        <w:rPr>
          <w:rFonts w:ascii="Times New Roman" w:hAnsi="Times New Roman"/>
          <w:sz w:val="20"/>
        </w:rPr>
        <w:t xml:space="preserve">Romney was criticized when Restore Our Future ran an ad attacking Newt Gingrich that contained inaccurate statements involving Gingrich’s voting record with Nancy Pelosi. When media uncovered this, many blamed Romney for allowing Restore Our Future to run the ad. One can argue he was not at fault when he has no control over what is said in advertisements and who runs them. </w:t>
      </w:r>
    </w:p>
  </w:footnote>
  <w:footnote w:id="70">
    <w:p w:rsidR="001A6218" w:rsidRDefault="001A6218" w:rsidP="005E7671">
      <w:pPr>
        <w:pStyle w:val="FootnoteText"/>
      </w:pPr>
      <w:r>
        <w:rPr>
          <w:rStyle w:val="FootnoteReference"/>
        </w:rPr>
        <w:t>71</w:t>
      </w:r>
      <w:r>
        <w:t xml:space="preserve"> </w:t>
      </w:r>
      <w:r>
        <w:rPr>
          <w:rFonts w:ascii="Times New Roman" w:hAnsi="Times New Roman"/>
          <w:sz w:val="20"/>
        </w:rPr>
        <w:t xml:space="preserve">Tim Mak, </w:t>
      </w:r>
      <w:r>
        <w:rPr>
          <w:rFonts w:ascii="Times New Roman" w:hAnsi="Times New Roman"/>
          <w:i/>
          <w:sz w:val="20"/>
        </w:rPr>
        <w:t xml:space="preserve">Rick Santorum Disavows Foster Friess’ Comments, </w:t>
      </w:r>
      <w:r>
        <w:rPr>
          <w:rFonts w:ascii="Times New Roman" w:hAnsi="Times New Roman"/>
          <w:smallCaps/>
          <w:sz w:val="20"/>
        </w:rPr>
        <w:t>Politico (</w:t>
      </w:r>
      <w:r>
        <w:rPr>
          <w:rFonts w:ascii="Times New Roman" w:hAnsi="Times New Roman"/>
          <w:sz w:val="20"/>
        </w:rPr>
        <w:t xml:space="preserve">Feb. 17, 2012), </w:t>
      </w:r>
      <w:hyperlink r:id="rId12" w:history="1">
        <w:r w:rsidRPr="00155502">
          <w:rPr>
            <w:rStyle w:val="Hyperlink"/>
            <w:rFonts w:ascii="Times New Roman" w:hAnsi="Times New Roman"/>
            <w:sz w:val="20"/>
          </w:rPr>
          <w:t>http://www.politico.com/news/stories/0212/73020.html</w:t>
        </w:r>
      </w:hyperlink>
      <w:r>
        <w:rPr>
          <w:rFonts w:ascii="Times New Roman" w:hAnsi="Times New Roman"/>
          <w:sz w:val="20"/>
        </w:rPr>
        <w:t xml:space="preserve">. </w:t>
      </w:r>
    </w:p>
  </w:footnote>
  <w:footnote w:id="71">
    <w:p w:rsidR="001A6218" w:rsidRDefault="001A6218" w:rsidP="005E7671">
      <w:pPr>
        <w:pStyle w:val="FootnoteText"/>
        <w:rPr>
          <w:rFonts w:ascii="Times New Roman" w:hAnsi="Times New Roman"/>
          <w:sz w:val="20"/>
        </w:rPr>
      </w:pPr>
      <w:r>
        <w:rPr>
          <w:rStyle w:val="FootnoteReference"/>
        </w:rPr>
        <w:t>72</w:t>
      </w:r>
      <w:r>
        <w:t xml:space="preserve"> </w:t>
      </w:r>
      <w:r>
        <w:rPr>
          <w:rFonts w:ascii="Times New Roman" w:hAnsi="Times New Roman"/>
          <w:sz w:val="20"/>
        </w:rPr>
        <w:t xml:space="preserve">Friess even introduced Santorum at the Conservative Political Action Conference in Washington. </w:t>
      </w:r>
    </w:p>
    <w:p w:rsidR="001A6218" w:rsidRPr="00917C08" w:rsidRDefault="001A6218" w:rsidP="005E7671">
      <w:pPr>
        <w:pStyle w:val="FootnoteText"/>
        <w:rPr>
          <w:rFonts w:ascii="Times New Roman" w:hAnsi="Times New Roman"/>
          <w:sz w:val="20"/>
        </w:rPr>
      </w:pPr>
      <w:r>
        <w:rPr>
          <w:rFonts w:ascii="Times New Roman" w:hAnsi="Times New Roman"/>
          <w:sz w:val="20"/>
        </w:rPr>
        <w:t xml:space="preserve">Jennifer Rubin, </w:t>
      </w:r>
      <w:r>
        <w:rPr>
          <w:rFonts w:ascii="Times New Roman" w:hAnsi="Times New Roman"/>
          <w:i/>
          <w:sz w:val="20"/>
        </w:rPr>
        <w:t xml:space="preserve">Meet Foster Friess, Rick Santorum’s Super PAC Patron, </w:t>
      </w:r>
      <w:r>
        <w:rPr>
          <w:rFonts w:ascii="Times New Roman" w:hAnsi="Times New Roman"/>
          <w:smallCaps/>
          <w:sz w:val="20"/>
        </w:rPr>
        <w:t>Washington Post Opinions, (</w:t>
      </w:r>
      <w:r>
        <w:rPr>
          <w:rFonts w:ascii="Times New Roman" w:hAnsi="Times New Roman"/>
          <w:sz w:val="20"/>
        </w:rPr>
        <w:t xml:space="preserve">Feb. 13, 2012), </w:t>
      </w:r>
      <w:hyperlink r:id="rId13" w:history="1">
        <w:r w:rsidRPr="00155502">
          <w:rPr>
            <w:rStyle w:val="Hyperlink"/>
            <w:rFonts w:ascii="Times New Roman" w:hAnsi="Times New Roman"/>
            <w:sz w:val="20"/>
          </w:rPr>
          <w:t>http://www.washingtonpost.com/blogs/right-turn/post/meet-foster-friess-rick-santorums-super-pac-patron/2012/02/11/gIQAJgZO9Q_blog.html</w:t>
        </w:r>
      </w:hyperlink>
      <w:r>
        <w:rPr>
          <w:rFonts w:ascii="Times New Roman" w:hAnsi="Times New Roman"/>
          <w:sz w:val="20"/>
        </w:rPr>
        <w:t xml:space="preserve">. </w:t>
      </w:r>
    </w:p>
  </w:footnote>
  <w:footnote w:id="72">
    <w:p w:rsidR="001A6218" w:rsidRDefault="001A6218" w:rsidP="005E7671">
      <w:pPr>
        <w:pStyle w:val="FootnoteText"/>
      </w:pPr>
      <w:r>
        <w:rPr>
          <w:rStyle w:val="FootnoteReference"/>
        </w:rPr>
        <w:t>73</w:t>
      </w:r>
      <w:r>
        <w:t xml:space="preserve"> </w:t>
      </w:r>
      <w:r>
        <w:rPr>
          <w:rFonts w:ascii="Times New Roman" w:hAnsi="Times New Roman"/>
          <w:sz w:val="20"/>
        </w:rPr>
        <w:t xml:space="preserve">Melanie Mason &amp; Matea Gold, </w:t>
      </w:r>
      <w:r>
        <w:rPr>
          <w:rFonts w:ascii="Times New Roman" w:hAnsi="Times New Roman"/>
          <w:i/>
          <w:sz w:val="20"/>
        </w:rPr>
        <w:t xml:space="preserve">‘Super PAC’ Leaders Profit From Lack of Oversight, </w:t>
      </w:r>
      <w:r>
        <w:rPr>
          <w:rFonts w:ascii="Times New Roman" w:hAnsi="Times New Roman"/>
          <w:smallCaps/>
          <w:sz w:val="20"/>
        </w:rPr>
        <w:t>L.A. Times, (</w:t>
      </w:r>
      <w:r>
        <w:rPr>
          <w:rFonts w:ascii="Times New Roman" w:hAnsi="Times New Roman"/>
          <w:sz w:val="20"/>
        </w:rPr>
        <w:t xml:space="preserve">Feb. 22, 2012), </w:t>
      </w:r>
      <w:r w:rsidRPr="0079540F">
        <w:rPr>
          <w:rFonts w:ascii="Times New Roman" w:hAnsi="Times New Roman"/>
          <w:sz w:val="20"/>
        </w:rPr>
        <w:t>http://articles.latimes.com/2012/feb/22/nation/la-na-superpac-spending-20120223</w:t>
      </w:r>
    </w:p>
  </w:footnote>
  <w:footnote w:id="73">
    <w:p w:rsidR="001A6218" w:rsidRPr="00380983" w:rsidRDefault="001A6218" w:rsidP="005E7671">
      <w:pPr>
        <w:pStyle w:val="FootnoteText"/>
        <w:rPr>
          <w:rFonts w:ascii="Times New Roman" w:hAnsi="Times New Roman"/>
          <w:sz w:val="20"/>
        </w:rPr>
      </w:pPr>
      <w:r>
        <w:rPr>
          <w:rStyle w:val="FootnoteReference"/>
        </w:rPr>
        <w:t>74</w:t>
      </w:r>
      <w:r>
        <w:t xml:space="preserve"> </w:t>
      </w:r>
      <w:r>
        <w:rPr>
          <w:rFonts w:ascii="Times New Roman" w:hAnsi="Times New Roman"/>
          <w:i/>
          <w:sz w:val="20"/>
        </w:rPr>
        <w:t xml:space="preserve">Id. </w:t>
      </w:r>
    </w:p>
  </w:footnote>
  <w:footnote w:id="74">
    <w:p w:rsidR="001A6218" w:rsidRPr="006C26AD" w:rsidRDefault="001A6218" w:rsidP="005E7671">
      <w:pPr>
        <w:pStyle w:val="FootnoteText"/>
        <w:rPr>
          <w:rFonts w:ascii="Times New Roman" w:hAnsi="Times New Roman"/>
          <w:sz w:val="20"/>
        </w:rPr>
      </w:pPr>
      <w:r>
        <w:rPr>
          <w:rStyle w:val="FootnoteReference"/>
        </w:rPr>
        <w:t>75</w:t>
      </w:r>
      <w:r>
        <w:t xml:space="preserve"> </w:t>
      </w:r>
      <w:r>
        <w:rPr>
          <w:rFonts w:ascii="Times New Roman" w:hAnsi="Times New Roman"/>
          <w:sz w:val="20"/>
        </w:rPr>
        <w:t xml:space="preserve">Fred Wertheimer, </w:t>
      </w:r>
      <w:r>
        <w:rPr>
          <w:rFonts w:ascii="Times New Roman" w:hAnsi="Times New Roman"/>
          <w:i/>
          <w:sz w:val="20"/>
        </w:rPr>
        <w:t>Super PACs a Disaster for Democracy</w:t>
      </w:r>
      <w:r>
        <w:rPr>
          <w:rFonts w:ascii="Times New Roman" w:hAnsi="Times New Roman"/>
          <w:sz w:val="20"/>
        </w:rPr>
        <w:t xml:space="preserve">, </w:t>
      </w:r>
      <w:r>
        <w:rPr>
          <w:rFonts w:ascii="Times New Roman" w:hAnsi="Times New Roman"/>
          <w:smallCaps/>
          <w:sz w:val="20"/>
        </w:rPr>
        <w:t>CNN Opinion (</w:t>
      </w:r>
      <w:r>
        <w:rPr>
          <w:rFonts w:ascii="Times New Roman" w:hAnsi="Times New Roman"/>
          <w:sz w:val="20"/>
        </w:rPr>
        <w:t xml:space="preserve">Feb. 15, 2012), </w:t>
      </w:r>
      <w:hyperlink r:id="rId14" w:history="1">
        <w:r w:rsidRPr="00155502">
          <w:rPr>
            <w:rStyle w:val="Hyperlink"/>
            <w:rFonts w:ascii="Times New Roman" w:hAnsi="Times New Roman"/>
            <w:sz w:val="20"/>
          </w:rPr>
          <w:t>http://www.cnn.com/2012/02/15/opinion/wertheimer-super-pacs/index.html</w:t>
        </w:r>
      </w:hyperlink>
      <w:r>
        <w:rPr>
          <w:rFonts w:ascii="Times New Roman" w:hAnsi="Times New Roman"/>
          <w:sz w:val="20"/>
        </w:rPr>
        <w:t xml:space="preserve">.  </w:t>
      </w:r>
    </w:p>
  </w:footnote>
  <w:footnote w:id="75">
    <w:p w:rsidR="001A6218" w:rsidRPr="006D4819" w:rsidRDefault="001A6218">
      <w:pPr>
        <w:pStyle w:val="FootnoteText"/>
        <w:rPr>
          <w:rFonts w:ascii="Times New Roman" w:hAnsi="Times New Roman"/>
          <w:sz w:val="20"/>
        </w:rPr>
      </w:pPr>
      <w:r>
        <w:rPr>
          <w:rStyle w:val="FootnoteReference"/>
        </w:rPr>
        <w:t>76</w:t>
      </w:r>
      <w:r>
        <w:t xml:space="preserve"> </w:t>
      </w:r>
      <w:r>
        <w:rPr>
          <w:rFonts w:ascii="Times New Roman" w:hAnsi="Times New Roman"/>
          <w:i/>
          <w:sz w:val="20"/>
        </w:rPr>
        <w:t>New York Times</w:t>
      </w:r>
      <w:r>
        <w:rPr>
          <w:rFonts w:ascii="Times New Roman" w:hAnsi="Times New Roman"/>
          <w:sz w:val="20"/>
        </w:rPr>
        <w:t xml:space="preserve"> said this about Fred Wertheimer. He’s also been called “a godfather of the campaign finance reform movement” by </w:t>
      </w:r>
      <w:r w:rsidRPr="00DA2797">
        <w:rPr>
          <w:rFonts w:ascii="Times New Roman" w:hAnsi="Times New Roman"/>
          <w:i/>
          <w:sz w:val="20"/>
        </w:rPr>
        <w:t>Time</w:t>
      </w:r>
      <w:r>
        <w:rPr>
          <w:rFonts w:ascii="Times New Roman" w:hAnsi="Times New Roman"/>
          <w:sz w:val="20"/>
        </w:rPr>
        <w:t xml:space="preserve"> magazine.</w:t>
      </w:r>
    </w:p>
  </w:footnote>
  <w:footnote w:id="76">
    <w:p w:rsidR="001A6218" w:rsidRPr="006D4819" w:rsidRDefault="001A6218" w:rsidP="005E7671">
      <w:pPr>
        <w:pStyle w:val="FootnoteText"/>
        <w:rPr>
          <w:rFonts w:ascii="Times New Roman" w:hAnsi="Times New Roman"/>
          <w:sz w:val="20"/>
        </w:rPr>
      </w:pPr>
      <w:r>
        <w:rPr>
          <w:rStyle w:val="FootnoteReference"/>
        </w:rPr>
        <w:t>77</w:t>
      </w:r>
      <w:r>
        <w:t xml:space="preserve"> </w:t>
      </w:r>
      <w:r>
        <w:rPr>
          <w:rFonts w:ascii="Times New Roman" w:hAnsi="Times New Roman"/>
          <w:smallCaps/>
          <w:sz w:val="20"/>
        </w:rPr>
        <w:t>New York Times,</w:t>
      </w:r>
      <w:r>
        <w:rPr>
          <w:rFonts w:ascii="Times New Roman" w:hAnsi="Times New Roman"/>
          <w:sz w:val="20"/>
        </w:rPr>
        <w:t xml:space="preserve"> </w:t>
      </w:r>
      <w:r>
        <w:rPr>
          <w:rFonts w:ascii="Times New Roman" w:hAnsi="Times New Roman"/>
          <w:i/>
          <w:sz w:val="20"/>
        </w:rPr>
        <w:t xml:space="preserve">Who’s Financing the “Super PACs”, </w:t>
      </w:r>
      <w:r>
        <w:rPr>
          <w:rFonts w:ascii="Times New Roman" w:hAnsi="Times New Roman"/>
          <w:smallCaps/>
          <w:sz w:val="20"/>
        </w:rPr>
        <w:t>Politics</w:t>
      </w:r>
      <w:r>
        <w:rPr>
          <w:rFonts w:ascii="Times New Roman" w:hAnsi="Times New Roman"/>
          <w:sz w:val="20"/>
        </w:rPr>
        <w:t xml:space="preserve"> (updated Mar. 26, 2012), </w:t>
      </w:r>
      <w:hyperlink r:id="rId15" w:history="1">
        <w:r w:rsidRPr="00155502">
          <w:rPr>
            <w:rStyle w:val="Hyperlink"/>
            <w:rFonts w:ascii="Times New Roman" w:hAnsi="Times New Roman"/>
            <w:sz w:val="20"/>
          </w:rPr>
          <w:t>http://www.nytimes.com/interactive/2012/01/31/us/politics/super-pac-donors.html?ref=politics</w:t>
        </w:r>
      </w:hyperlink>
      <w:r>
        <w:rPr>
          <w:rFonts w:ascii="Times New Roman" w:hAnsi="Times New Roman"/>
          <w:sz w:val="20"/>
        </w:rPr>
        <w:t xml:space="preserve">. </w:t>
      </w:r>
    </w:p>
  </w:footnote>
  <w:footnote w:id="77">
    <w:p w:rsidR="001A6218" w:rsidRDefault="001A6218" w:rsidP="005E7671">
      <w:pPr>
        <w:pStyle w:val="FootnoteText"/>
      </w:pPr>
      <w:r>
        <w:rPr>
          <w:rStyle w:val="FootnoteReference"/>
        </w:rPr>
        <w:t>78</w:t>
      </w:r>
      <w:r>
        <w:t xml:space="preserve"> </w:t>
      </w:r>
      <w:r>
        <w:rPr>
          <w:rFonts w:ascii="Times New Roman" w:hAnsi="Times New Roman"/>
          <w:sz w:val="20"/>
        </w:rPr>
        <w:t xml:space="preserve">Phil Hirschkorn, </w:t>
      </w:r>
      <w:r>
        <w:rPr>
          <w:rFonts w:ascii="Times New Roman" w:hAnsi="Times New Roman"/>
          <w:i/>
          <w:sz w:val="20"/>
        </w:rPr>
        <w:t>Super PAC Donors by the Numbers,</w:t>
      </w:r>
      <w:r>
        <w:rPr>
          <w:rFonts w:ascii="Times New Roman" w:hAnsi="Times New Roman"/>
          <w:sz w:val="20"/>
        </w:rPr>
        <w:t xml:space="preserve"> </w:t>
      </w:r>
      <w:r>
        <w:rPr>
          <w:rFonts w:ascii="Times New Roman" w:hAnsi="Times New Roman"/>
          <w:smallCaps/>
          <w:sz w:val="20"/>
        </w:rPr>
        <w:t>CBSNews Political Hotsheet</w:t>
      </w:r>
      <w:r>
        <w:t xml:space="preserve"> </w:t>
      </w:r>
      <w:r>
        <w:rPr>
          <w:rFonts w:ascii="Times New Roman" w:hAnsi="Times New Roman"/>
          <w:sz w:val="20"/>
        </w:rPr>
        <w:t xml:space="preserve">(Mar. 22, 2012), </w:t>
      </w:r>
      <w:hyperlink r:id="rId16" w:history="1">
        <w:r w:rsidRPr="00155502">
          <w:rPr>
            <w:rStyle w:val="Hyperlink"/>
            <w:rFonts w:ascii="Times New Roman" w:hAnsi="Times New Roman"/>
            <w:sz w:val="20"/>
          </w:rPr>
          <w:t>http://www.cbsnews.com/8301-503544_162-57402073-503544/super-pac-donors-by-the-numbers/</w:t>
        </w:r>
      </w:hyperlink>
      <w:r>
        <w:rPr>
          <w:rFonts w:ascii="Times New Roman" w:hAnsi="Times New Roman"/>
          <w:sz w:val="20"/>
        </w:rPr>
        <w:t xml:space="preserve">. </w:t>
      </w:r>
    </w:p>
  </w:footnote>
  <w:footnote w:id="78">
    <w:p w:rsidR="001A6218" w:rsidRPr="00612063" w:rsidRDefault="001A6218" w:rsidP="005E7671">
      <w:pPr>
        <w:pStyle w:val="FootnoteText"/>
        <w:rPr>
          <w:rFonts w:ascii="Times New Roman" w:hAnsi="Times New Roman"/>
          <w:sz w:val="20"/>
        </w:rPr>
      </w:pPr>
      <w:r>
        <w:rPr>
          <w:rStyle w:val="FootnoteReference"/>
        </w:rPr>
        <w:t>79</w:t>
      </w:r>
      <w:r w:rsidRPr="00CE03C2">
        <w:t xml:space="preserve"> </w:t>
      </w:r>
      <w:r>
        <w:rPr>
          <w:rFonts w:ascii="Times New Roman" w:hAnsi="Times New Roman"/>
          <w:sz w:val="20"/>
        </w:rPr>
        <w:t xml:space="preserve">Sarah Maslin Nir, </w:t>
      </w:r>
      <w:r>
        <w:rPr>
          <w:rFonts w:ascii="Times New Roman" w:hAnsi="Times New Roman"/>
          <w:i/>
          <w:sz w:val="20"/>
        </w:rPr>
        <w:t xml:space="preserve">Colbert’s Super PAC Raises More Than $1 Million, </w:t>
      </w:r>
      <w:r>
        <w:rPr>
          <w:rFonts w:ascii="Times New Roman" w:hAnsi="Times New Roman"/>
          <w:smallCaps/>
          <w:sz w:val="20"/>
        </w:rPr>
        <w:t>N.Y. Times The Caucus (J</w:t>
      </w:r>
      <w:r>
        <w:rPr>
          <w:rFonts w:ascii="Times New Roman" w:hAnsi="Times New Roman"/>
          <w:sz w:val="20"/>
        </w:rPr>
        <w:t>an 31, 2012),</w:t>
      </w:r>
      <w:r>
        <w:t xml:space="preserve"> </w:t>
      </w:r>
      <w:hyperlink r:id="rId17" w:history="1">
        <w:r w:rsidRPr="00155502">
          <w:rPr>
            <w:rStyle w:val="Hyperlink"/>
            <w:rFonts w:ascii="Times New Roman" w:hAnsi="Times New Roman"/>
            <w:sz w:val="20"/>
          </w:rPr>
          <w:t>http://thecaucus.blogs.nytimes.com/2012/01/31/colberts-super-pac-raises-more-than-1-million-dollars/</w:t>
        </w:r>
      </w:hyperlink>
      <w:r>
        <w:rPr>
          <w:rFonts w:ascii="Times New Roman" w:hAnsi="Times New Roman"/>
          <w:sz w:val="20"/>
        </w:rPr>
        <w:t xml:space="preserve">. </w:t>
      </w:r>
    </w:p>
  </w:footnote>
  <w:footnote w:id="79">
    <w:p w:rsidR="001A6218" w:rsidRPr="0070515F" w:rsidRDefault="001A6218" w:rsidP="005E7671">
      <w:pPr>
        <w:pStyle w:val="FootnoteText"/>
        <w:rPr>
          <w:rFonts w:ascii="Times New Roman" w:hAnsi="Times New Roman"/>
          <w:sz w:val="20"/>
        </w:rPr>
      </w:pPr>
      <w:r>
        <w:rPr>
          <w:rStyle w:val="FootnoteReference"/>
        </w:rPr>
        <w:t>80</w:t>
      </w:r>
      <w:r>
        <w:t xml:space="preserve"> </w:t>
      </w:r>
      <w:r>
        <w:rPr>
          <w:rFonts w:ascii="Times New Roman" w:hAnsi="Times New Roman"/>
          <w:smallCaps/>
          <w:sz w:val="20"/>
        </w:rPr>
        <w:t xml:space="preserve">Congress Watch, Public Citizen, </w:t>
      </w:r>
      <w:r>
        <w:rPr>
          <w:rFonts w:ascii="Times New Roman" w:hAnsi="Times New Roman"/>
          <w:i/>
          <w:sz w:val="20"/>
        </w:rPr>
        <w:t xml:space="preserve">Permissible Political Activities of PACs and Non-Profit Organizations Under Federal Campaign Finance and Tax Laws </w:t>
      </w:r>
      <w:r>
        <w:rPr>
          <w:rFonts w:ascii="Times New Roman" w:hAnsi="Times New Roman"/>
          <w:sz w:val="20"/>
        </w:rPr>
        <w:t>(2004).</w:t>
      </w:r>
    </w:p>
  </w:footnote>
  <w:footnote w:id="80">
    <w:p w:rsidR="001A6218" w:rsidRPr="005C5093" w:rsidRDefault="001A6218" w:rsidP="005E7671">
      <w:pPr>
        <w:pStyle w:val="FootnoteText"/>
        <w:rPr>
          <w:rFonts w:ascii="Times New Roman" w:hAnsi="Times New Roman"/>
          <w:sz w:val="20"/>
        </w:rPr>
      </w:pPr>
      <w:r>
        <w:rPr>
          <w:rStyle w:val="FootnoteReference"/>
        </w:rPr>
        <w:t>81</w:t>
      </w:r>
      <w:r>
        <w:t xml:space="preserve"> </w:t>
      </w:r>
      <w:r>
        <w:rPr>
          <w:rFonts w:ascii="Times New Roman" w:hAnsi="Times New Roman"/>
          <w:i/>
          <w:sz w:val="20"/>
        </w:rPr>
        <w:t>Id</w:t>
      </w:r>
      <w:r>
        <w:rPr>
          <w:rFonts w:ascii="Times New Roman" w:hAnsi="Times New Roman"/>
          <w:sz w:val="20"/>
        </w:rPr>
        <w:t xml:space="preserve">. The donations are disclosed to the IRS, but these are not open to public records. </w:t>
      </w:r>
    </w:p>
  </w:footnote>
  <w:footnote w:id="81">
    <w:p w:rsidR="001A6218" w:rsidRPr="00890AFE" w:rsidRDefault="001A6218" w:rsidP="005E7671">
      <w:pPr>
        <w:pStyle w:val="FootnoteText"/>
        <w:rPr>
          <w:rFonts w:ascii="Times New Roman" w:hAnsi="Times New Roman"/>
          <w:sz w:val="20"/>
        </w:rPr>
      </w:pPr>
      <w:r>
        <w:rPr>
          <w:rStyle w:val="FootnoteReference"/>
        </w:rPr>
        <w:t>82</w:t>
      </w:r>
      <w:r>
        <w:t xml:space="preserve"> </w:t>
      </w:r>
      <w:r>
        <w:rPr>
          <w:rFonts w:ascii="Times New Roman" w:hAnsi="Times New Roman"/>
          <w:sz w:val="20"/>
        </w:rPr>
        <w:t xml:space="preserve">Blair Bowie &amp; Adam Lioz, </w:t>
      </w:r>
      <w:r w:rsidRPr="00203B99">
        <w:rPr>
          <w:rFonts w:ascii="Times New Roman" w:hAnsi="Times New Roman"/>
          <w:smallCaps/>
          <w:sz w:val="20"/>
        </w:rPr>
        <w:t>Auctioneering Democracy: The Rise of Super PACs &amp; the 2012 Election</w:t>
      </w:r>
      <w:r>
        <w:rPr>
          <w:rFonts w:ascii="Times New Roman" w:hAnsi="Times New Roman"/>
          <w:sz w:val="20"/>
        </w:rPr>
        <w:t xml:space="preserve"> 6 (</w:t>
      </w:r>
      <w:r>
        <w:rPr>
          <w:rFonts w:ascii="Times New Roman" w:hAnsi="Times New Roman" w:cs="Times New Roman"/>
          <w:sz w:val="20"/>
          <w:szCs w:val="20"/>
        </w:rPr>
        <w:t xml:space="preserve">Dēmos &amp; U.S. PIRG eds., 2012). </w:t>
      </w:r>
    </w:p>
  </w:footnote>
  <w:footnote w:id="82">
    <w:p w:rsidR="001A6218" w:rsidRPr="00E010C9" w:rsidRDefault="001A6218" w:rsidP="005E7671">
      <w:pPr>
        <w:pStyle w:val="FootnoteText"/>
        <w:rPr>
          <w:rFonts w:ascii="Times New Roman" w:hAnsi="Times New Roman"/>
          <w:sz w:val="20"/>
        </w:rPr>
      </w:pPr>
      <w:r>
        <w:rPr>
          <w:rStyle w:val="FootnoteReference"/>
        </w:rPr>
        <w:t>83</w:t>
      </w:r>
      <w:r>
        <w:t xml:space="preserve"> </w:t>
      </w:r>
      <w:r>
        <w:rPr>
          <w:rFonts w:ascii="Times New Roman" w:hAnsi="Times New Roman"/>
          <w:sz w:val="20"/>
        </w:rPr>
        <w:t xml:space="preserve">Michael Isikoff, </w:t>
      </w:r>
      <w:r>
        <w:rPr>
          <w:rFonts w:ascii="Times New Roman" w:hAnsi="Times New Roman"/>
          <w:i/>
          <w:sz w:val="20"/>
        </w:rPr>
        <w:t xml:space="preserve">Mystery Million-Dollar Donor Revealed, </w:t>
      </w:r>
      <w:r>
        <w:rPr>
          <w:rFonts w:ascii="Times New Roman" w:hAnsi="Times New Roman"/>
          <w:smallCaps/>
          <w:sz w:val="20"/>
        </w:rPr>
        <w:t>NBC News</w:t>
      </w:r>
      <w:r>
        <w:t xml:space="preserve"> </w:t>
      </w:r>
      <w:r>
        <w:rPr>
          <w:rFonts w:ascii="Times New Roman" w:hAnsi="Times New Roman"/>
          <w:sz w:val="20"/>
        </w:rPr>
        <w:t xml:space="preserve">(Aug. 6, 2011), </w:t>
      </w:r>
      <w:hyperlink r:id="rId18" w:history="1">
        <w:r w:rsidRPr="008F3CE3">
          <w:rPr>
            <w:rStyle w:val="Hyperlink"/>
            <w:rFonts w:ascii="Times New Roman" w:hAnsi="Times New Roman"/>
            <w:sz w:val="20"/>
          </w:rPr>
          <w:t>http://www.msnbc.msn.com/id/44046063/ns/politics/</w:t>
        </w:r>
      </w:hyperlink>
      <w:r>
        <w:rPr>
          <w:rFonts w:ascii="Times New Roman" w:hAnsi="Times New Roman"/>
          <w:sz w:val="20"/>
        </w:rPr>
        <w:t xml:space="preserve">. </w:t>
      </w:r>
    </w:p>
  </w:footnote>
  <w:footnote w:id="83">
    <w:p w:rsidR="001A6218" w:rsidRDefault="001A6218" w:rsidP="005E7671">
      <w:pPr>
        <w:pStyle w:val="FootnoteText"/>
      </w:pPr>
      <w:r>
        <w:rPr>
          <w:rStyle w:val="FootnoteReference"/>
        </w:rPr>
        <w:t>84</w:t>
      </w:r>
      <w:r>
        <w:t xml:space="preserve"> </w:t>
      </w:r>
      <w:r>
        <w:rPr>
          <w:rFonts w:ascii="Times New Roman" w:hAnsi="Times New Roman"/>
          <w:sz w:val="20"/>
        </w:rPr>
        <w:t xml:space="preserve">Gloria Shur Bilchik, </w:t>
      </w:r>
      <w:r>
        <w:rPr>
          <w:rFonts w:ascii="Times New Roman" w:hAnsi="Times New Roman"/>
          <w:i/>
          <w:sz w:val="20"/>
        </w:rPr>
        <w:t xml:space="preserve">Crowdsourcing Helps Solve the Super PAC Funding Puzzle, </w:t>
      </w:r>
      <w:r>
        <w:rPr>
          <w:rFonts w:ascii="Times New Roman" w:hAnsi="Times New Roman"/>
          <w:smallCaps/>
          <w:sz w:val="20"/>
        </w:rPr>
        <w:t>Ocassional Planet (</w:t>
      </w:r>
      <w:r>
        <w:rPr>
          <w:rFonts w:ascii="Times New Roman" w:hAnsi="Times New Roman"/>
          <w:sz w:val="20"/>
        </w:rPr>
        <w:t xml:space="preserve">Feb. 10, 2012), </w:t>
      </w:r>
      <w:hyperlink r:id="rId19" w:history="1">
        <w:r w:rsidRPr="008F3CE3">
          <w:rPr>
            <w:rStyle w:val="Hyperlink"/>
            <w:rFonts w:ascii="Times New Roman" w:hAnsi="Times New Roman"/>
            <w:sz w:val="20"/>
          </w:rPr>
          <w:t>http://www.occasionalplanet.org/2012/02/10/crowdsourcing-helps-solve-the-super-pac-funding-puzzle/</w:t>
        </w:r>
      </w:hyperlink>
      <w:r>
        <w:rPr>
          <w:rFonts w:ascii="Times New Roman" w:hAnsi="Times New Roman"/>
          <w:sz w:val="20"/>
        </w:rPr>
        <w:t xml:space="preserve">. </w:t>
      </w:r>
    </w:p>
  </w:footnote>
  <w:footnote w:id="84">
    <w:p w:rsidR="001A6218" w:rsidRDefault="001A6218" w:rsidP="005E7671">
      <w:pPr>
        <w:pStyle w:val="FootnoteText"/>
      </w:pPr>
      <w:r>
        <w:rPr>
          <w:rStyle w:val="FootnoteReference"/>
        </w:rPr>
        <w:t>85</w:t>
      </w:r>
      <w:r>
        <w:t xml:space="preserve"> </w:t>
      </w:r>
      <w:r>
        <w:rPr>
          <w:rFonts w:ascii="Times New Roman" w:hAnsi="Times New Roman"/>
          <w:sz w:val="20"/>
        </w:rPr>
        <w:t xml:space="preserve">Michael Luo, </w:t>
      </w:r>
      <w:r>
        <w:rPr>
          <w:rFonts w:ascii="Times New Roman" w:hAnsi="Times New Roman"/>
          <w:i/>
          <w:sz w:val="20"/>
        </w:rPr>
        <w:t xml:space="preserve">Readers: Help Us Discover a Secret Donor, </w:t>
      </w:r>
      <w:r>
        <w:rPr>
          <w:rFonts w:ascii="Times New Roman" w:hAnsi="Times New Roman"/>
          <w:smallCaps/>
          <w:sz w:val="20"/>
        </w:rPr>
        <w:t>N.Y. Times The Caucus (</w:t>
      </w:r>
      <w:r>
        <w:rPr>
          <w:rFonts w:ascii="Times New Roman" w:hAnsi="Times New Roman"/>
          <w:sz w:val="20"/>
        </w:rPr>
        <w:t xml:space="preserve">Feb. 3, 2012), </w:t>
      </w:r>
      <w:hyperlink r:id="rId20" w:history="1">
        <w:r w:rsidRPr="008F3CE3">
          <w:rPr>
            <w:rStyle w:val="Hyperlink"/>
            <w:rFonts w:ascii="Times New Roman" w:hAnsi="Times New Roman"/>
            <w:sz w:val="20"/>
          </w:rPr>
          <w:t>http://thecaucus.blogs.nytimes.com/2012/02/03/a-crowdsourcing-experiment-help-us-discover-a-secret-donor/</w:t>
        </w:r>
      </w:hyperlink>
      <w:r>
        <w:rPr>
          <w:rFonts w:ascii="Times New Roman" w:hAnsi="Times New Roman"/>
          <w:sz w:val="20"/>
        </w:rPr>
        <w:t xml:space="preserve">. </w:t>
      </w:r>
    </w:p>
  </w:footnote>
  <w:footnote w:id="85">
    <w:p w:rsidR="001A6218" w:rsidRDefault="001A6218" w:rsidP="005E7671">
      <w:pPr>
        <w:pStyle w:val="FootnoteText"/>
      </w:pPr>
      <w:r>
        <w:rPr>
          <w:rStyle w:val="FootnoteReference"/>
        </w:rPr>
        <w:t>86</w:t>
      </w:r>
      <w:r>
        <w:t xml:space="preserve"> </w:t>
      </w:r>
      <w:r>
        <w:rPr>
          <w:rFonts w:ascii="Times New Roman" w:hAnsi="Times New Roman"/>
          <w:sz w:val="20"/>
        </w:rPr>
        <w:t xml:space="preserve">Michael Luo, </w:t>
      </w:r>
      <w:r>
        <w:rPr>
          <w:rFonts w:ascii="Times New Roman" w:hAnsi="Times New Roman"/>
          <w:i/>
          <w:sz w:val="20"/>
        </w:rPr>
        <w:t xml:space="preserve">A Secret Donor Revealed, </w:t>
      </w:r>
      <w:r>
        <w:rPr>
          <w:rFonts w:ascii="Times New Roman" w:hAnsi="Times New Roman"/>
          <w:smallCaps/>
          <w:sz w:val="20"/>
        </w:rPr>
        <w:t>N.Y. Times The Caucus (</w:t>
      </w:r>
      <w:r>
        <w:rPr>
          <w:rFonts w:ascii="Times New Roman" w:hAnsi="Times New Roman"/>
          <w:sz w:val="20"/>
        </w:rPr>
        <w:t xml:space="preserve">Feb. 7, 2012), </w:t>
      </w:r>
      <w:hyperlink r:id="rId21" w:history="1">
        <w:r w:rsidRPr="008F3CE3">
          <w:rPr>
            <w:rStyle w:val="Hyperlink"/>
            <w:rFonts w:ascii="Times New Roman" w:hAnsi="Times New Roman"/>
            <w:sz w:val="20"/>
          </w:rPr>
          <w:t>http://thecaucus.blogs.nytimes.com/tag/glenbrook/</w:t>
        </w:r>
      </w:hyperlink>
      <w:r>
        <w:rPr>
          <w:rFonts w:ascii="Times New Roman" w:hAnsi="Times New Roman"/>
          <w:sz w:val="20"/>
        </w:rPr>
        <w:t xml:space="preserve">. </w:t>
      </w:r>
    </w:p>
  </w:footnote>
  <w:footnote w:id="86">
    <w:p w:rsidR="001A6218" w:rsidRPr="0031751E" w:rsidRDefault="001A6218" w:rsidP="005E7671">
      <w:pPr>
        <w:pStyle w:val="FootnoteText"/>
        <w:rPr>
          <w:rFonts w:ascii="Times New Roman" w:hAnsi="Times New Roman"/>
          <w:i/>
          <w:sz w:val="20"/>
        </w:rPr>
      </w:pPr>
      <w:r>
        <w:rPr>
          <w:rStyle w:val="FootnoteReference"/>
        </w:rPr>
        <w:t>87</w:t>
      </w:r>
      <w:r>
        <w:t xml:space="preserve"> </w:t>
      </w:r>
      <w:r>
        <w:rPr>
          <w:rFonts w:ascii="Times New Roman" w:hAnsi="Times New Roman"/>
          <w:sz w:val="20"/>
        </w:rPr>
        <w:t xml:space="preserve">This was an amendment to the Foreign Agents Registration Act (FARA) 22 U.S.C. § 611 </w:t>
      </w:r>
      <w:r>
        <w:rPr>
          <w:rFonts w:ascii="Times New Roman" w:hAnsi="Times New Roman"/>
          <w:i/>
          <w:sz w:val="20"/>
        </w:rPr>
        <w:t>et seq.</w:t>
      </w:r>
    </w:p>
    <w:p w:rsidR="001A6218" w:rsidRDefault="001A6218" w:rsidP="005E7671">
      <w:pPr>
        <w:pStyle w:val="FootnoteText"/>
      </w:pPr>
      <w:r>
        <w:rPr>
          <w:rFonts w:ascii="Times New Roman" w:hAnsi="Times New Roman"/>
          <w:smallCaps/>
          <w:sz w:val="20"/>
        </w:rPr>
        <w:t xml:space="preserve">FEC, </w:t>
      </w:r>
      <w:r>
        <w:rPr>
          <w:rFonts w:ascii="Times New Roman" w:hAnsi="Times New Roman"/>
          <w:i/>
          <w:sz w:val="20"/>
        </w:rPr>
        <w:t xml:space="preserve">Introduction, </w:t>
      </w:r>
      <w:r>
        <w:rPr>
          <w:rFonts w:ascii="Times New Roman" w:hAnsi="Times New Roman"/>
          <w:i/>
          <w:smallCaps/>
          <w:sz w:val="20"/>
        </w:rPr>
        <w:t xml:space="preserve">Foreign Nationals </w:t>
      </w:r>
      <w:r>
        <w:rPr>
          <w:rFonts w:ascii="Times New Roman" w:hAnsi="Times New Roman"/>
          <w:sz w:val="20"/>
        </w:rPr>
        <w:t xml:space="preserve">(Mar. 24, 2012) </w:t>
      </w:r>
      <w:hyperlink r:id="rId22" w:history="1">
        <w:r w:rsidRPr="008F3CE3">
          <w:rPr>
            <w:rStyle w:val="Hyperlink"/>
            <w:rFonts w:ascii="Times New Roman" w:hAnsi="Times New Roman"/>
            <w:sz w:val="20"/>
          </w:rPr>
          <w:t>http://usgovinfo.about.com/gi/o.htm?zi=1/XJ&amp;zTi=1&amp;sdn=usgovinfo&amp;cdn=newsissues&amp;tm=24&amp;f=00&amp;su=p284.13.342.ip_&amp;tt=2&amp;bt=0&amp;bts=0&amp;zu=http%3A//www.fec.gov/pages/brochures/foreign.shtml</w:t>
        </w:r>
      </w:hyperlink>
      <w:r>
        <w:rPr>
          <w:rFonts w:ascii="Times New Roman" w:hAnsi="Times New Roman"/>
          <w:sz w:val="20"/>
        </w:rPr>
        <w:t xml:space="preserve">. </w:t>
      </w:r>
    </w:p>
  </w:footnote>
  <w:footnote w:id="87">
    <w:p w:rsidR="001A6218" w:rsidRPr="00132290" w:rsidRDefault="001A6218" w:rsidP="005E7671">
      <w:pPr>
        <w:pStyle w:val="FootnoteText"/>
        <w:rPr>
          <w:rFonts w:ascii="Times New Roman" w:hAnsi="Times New Roman"/>
          <w:sz w:val="20"/>
        </w:rPr>
      </w:pPr>
      <w:r>
        <w:rPr>
          <w:rStyle w:val="FootnoteReference"/>
        </w:rPr>
        <w:t>88</w:t>
      </w:r>
      <w:r>
        <w:rPr>
          <w:rFonts w:ascii="Times New Roman" w:hAnsi="Times New Roman"/>
          <w:sz w:val="20"/>
        </w:rPr>
        <w:t xml:space="preserve"> Stephen Braun, </w:t>
      </w:r>
      <w:r>
        <w:rPr>
          <w:rFonts w:ascii="Times New Roman" w:hAnsi="Times New Roman"/>
          <w:i/>
          <w:sz w:val="20"/>
        </w:rPr>
        <w:t>Super PAC Foreign Donations A Risk in 2012 Presidential Election,</w:t>
      </w:r>
      <w:r>
        <w:rPr>
          <w:rFonts w:ascii="Times New Roman" w:hAnsi="Times New Roman"/>
          <w:smallCaps/>
          <w:sz w:val="20"/>
        </w:rPr>
        <w:t xml:space="preserve">Politics </w:t>
      </w:r>
      <w:r>
        <w:rPr>
          <w:rFonts w:ascii="Times New Roman" w:hAnsi="Times New Roman"/>
          <w:sz w:val="20"/>
        </w:rPr>
        <w:t>(Feb 2, 2012),</w:t>
      </w:r>
      <w:r w:rsidRPr="0042657F">
        <w:rPr>
          <w:rFonts w:ascii="Times New Roman" w:hAnsi="Times New Roman"/>
          <w:sz w:val="20"/>
        </w:rPr>
        <w:t xml:space="preserve"> </w:t>
      </w:r>
      <w:hyperlink r:id="rId23" w:history="1">
        <w:r w:rsidRPr="0023280B">
          <w:rPr>
            <w:rStyle w:val="Hyperlink"/>
            <w:rFonts w:ascii="Times New Roman" w:hAnsi="Times New Roman"/>
            <w:sz w:val="20"/>
          </w:rPr>
          <w:t>http://www.huffingtonpost.com/2012/02/10/super-pac-donations_n_1267750.html</w:t>
        </w:r>
      </w:hyperlink>
      <w:r>
        <w:t xml:space="preserve">. </w:t>
      </w:r>
    </w:p>
  </w:footnote>
  <w:footnote w:id="88">
    <w:p w:rsidR="001A6218" w:rsidRDefault="001A6218">
      <w:pPr>
        <w:pStyle w:val="FootnoteText"/>
      </w:pPr>
      <w:r>
        <w:rPr>
          <w:rStyle w:val="FootnoteReference"/>
        </w:rPr>
        <w:t>89</w:t>
      </w:r>
      <w:r>
        <w:t xml:space="preserve"> </w:t>
      </w:r>
      <w:r>
        <w:rPr>
          <w:rFonts w:ascii="Times New Roman" w:hAnsi="Times New Roman"/>
          <w:i/>
          <w:sz w:val="20"/>
        </w:rPr>
        <w:t xml:space="preserve">Bluman et al. v. Federal Election Commission </w:t>
      </w:r>
      <w:r>
        <w:rPr>
          <w:rFonts w:ascii="Times New Roman" w:hAnsi="Times New Roman"/>
          <w:sz w:val="20"/>
        </w:rPr>
        <w:t>565 U.S. (2012). Foreign individuals living in the United States believed it to be unconstitutional that they were banned from the participation in giving independent expenditures. Court disagreed.</w:t>
      </w:r>
    </w:p>
  </w:footnote>
  <w:footnote w:id="89">
    <w:p w:rsidR="001A6218" w:rsidRDefault="001A6218" w:rsidP="005E7671">
      <w:pPr>
        <w:pStyle w:val="FootnoteText"/>
      </w:pPr>
      <w:r>
        <w:rPr>
          <w:rStyle w:val="FootnoteReference"/>
        </w:rPr>
        <w:t>90</w:t>
      </w:r>
      <w:r>
        <w:t xml:space="preserve"> </w:t>
      </w:r>
      <w:r>
        <w:rPr>
          <w:rFonts w:ascii="Times New Roman" w:hAnsi="Times New Roman"/>
          <w:smallCaps/>
          <w:sz w:val="20"/>
        </w:rPr>
        <w:t xml:space="preserve">Associated Press, </w:t>
      </w:r>
      <w:r>
        <w:rPr>
          <w:rFonts w:ascii="Times New Roman" w:hAnsi="Times New Roman"/>
          <w:i/>
          <w:sz w:val="20"/>
        </w:rPr>
        <w:t xml:space="preserve">Santorum ‘Super’ PAC Returned Big Foreign Donation, </w:t>
      </w:r>
      <w:r>
        <w:rPr>
          <w:rFonts w:ascii="Times New Roman" w:hAnsi="Times New Roman"/>
          <w:smallCaps/>
          <w:sz w:val="20"/>
        </w:rPr>
        <w:t>NBC Politics (</w:t>
      </w:r>
      <w:r>
        <w:rPr>
          <w:rFonts w:ascii="Times New Roman" w:hAnsi="Times New Roman"/>
          <w:sz w:val="20"/>
        </w:rPr>
        <w:t xml:space="preserve">Feb. 21, 2012), </w:t>
      </w:r>
      <w:hyperlink r:id="rId24" w:history="1">
        <w:r w:rsidRPr="008F3CE3">
          <w:rPr>
            <w:rStyle w:val="Hyperlink"/>
            <w:rFonts w:ascii="Times New Roman" w:hAnsi="Times New Roman"/>
            <w:sz w:val="20"/>
          </w:rPr>
          <w:t>http://nbcpolitics.msnbc.msn.com/_news/2012/02/21/10468987-santorum-super-pac-returned-big-foreign-donation</w:t>
        </w:r>
      </w:hyperlink>
      <w:r>
        <w:rPr>
          <w:rFonts w:ascii="Times New Roman" w:hAnsi="Times New Roman"/>
          <w:sz w:val="20"/>
        </w:rPr>
        <w:t xml:space="preserve">. </w:t>
      </w:r>
    </w:p>
  </w:footnote>
  <w:footnote w:id="90">
    <w:p w:rsidR="001A6218" w:rsidRPr="00046C67" w:rsidRDefault="001A6218" w:rsidP="005E7671">
      <w:pPr>
        <w:pStyle w:val="FootnoteText"/>
        <w:rPr>
          <w:rFonts w:ascii="Times New Roman" w:hAnsi="Times New Roman"/>
          <w:sz w:val="20"/>
        </w:rPr>
      </w:pPr>
      <w:r>
        <w:rPr>
          <w:rStyle w:val="FootnoteReference"/>
        </w:rPr>
        <w:t>91</w:t>
      </w:r>
      <w:r>
        <w:t xml:space="preserve"> </w:t>
      </w:r>
      <w:r w:rsidRPr="00046C67">
        <w:rPr>
          <w:rFonts w:ascii="Times New Roman" w:hAnsi="Times New Roman"/>
          <w:i/>
          <w:sz w:val="20"/>
        </w:rPr>
        <w:t>Supra</w:t>
      </w:r>
      <w:r>
        <w:rPr>
          <w:rFonts w:ascii="Times New Roman" w:hAnsi="Times New Roman"/>
          <w:i/>
          <w:sz w:val="20"/>
        </w:rPr>
        <w:t xml:space="preserve"> </w:t>
      </w:r>
      <w:r>
        <w:rPr>
          <w:rFonts w:ascii="Times New Roman" w:hAnsi="Times New Roman"/>
          <w:sz w:val="20"/>
        </w:rPr>
        <w:t>88</w:t>
      </w:r>
    </w:p>
  </w:footnote>
  <w:footnote w:id="91">
    <w:p w:rsidR="001A6218" w:rsidRDefault="001A6218" w:rsidP="005E7671">
      <w:pPr>
        <w:pStyle w:val="FootnoteText"/>
      </w:pPr>
      <w:r>
        <w:rPr>
          <w:rStyle w:val="FootnoteReference"/>
        </w:rPr>
        <w:t>92</w:t>
      </w:r>
      <w:r>
        <w:rPr>
          <w:rFonts w:ascii="Times New Roman" w:hAnsi="Times New Roman"/>
          <w:sz w:val="20"/>
        </w:rPr>
        <w:t xml:space="preserve"> Dan Abrams, </w:t>
      </w:r>
      <w:r>
        <w:rPr>
          <w:rFonts w:ascii="Times New Roman" w:hAnsi="Times New Roman"/>
          <w:i/>
          <w:sz w:val="20"/>
        </w:rPr>
        <w:t xml:space="preserve">The Media’s Shameful, Inexcusable Distortion of the Supreme Court’s Citizens United Decision, </w:t>
      </w:r>
      <w:r>
        <w:rPr>
          <w:rFonts w:ascii="Times New Roman" w:hAnsi="Times New Roman"/>
          <w:smallCaps/>
          <w:sz w:val="20"/>
        </w:rPr>
        <w:t>Columnists (</w:t>
      </w:r>
      <w:r>
        <w:rPr>
          <w:rFonts w:ascii="Times New Roman" w:hAnsi="Times New Roman"/>
          <w:sz w:val="20"/>
        </w:rPr>
        <w:t>Feb. 8, 2012),</w:t>
      </w:r>
      <w:r>
        <w:t xml:space="preserve"> </w:t>
      </w:r>
      <w:hyperlink r:id="rId25" w:history="1">
        <w:r w:rsidRPr="008F3CE3">
          <w:rPr>
            <w:rStyle w:val="Hyperlink"/>
            <w:rFonts w:ascii="Times New Roman" w:hAnsi="Times New Roman"/>
            <w:sz w:val="20"/>
          </w:rPr>
          <w:t>http://www.mediaite.com/online/the-medias-shameful-inexcusable-distortion-of-the-supreme-courts-citizens-united-decision/</w:t>
        </w:r>
      </w:hyperlink>
      <w:r>
        <w:rPr>
          <w:rFonts w:ascii="Times New Roman" w:hAnsi="Times New Roman"/>
          <w:sz w:val="20"/>
        </w:rPr>
        <w:t xml:space="preserve">. </w:t>
      </w:r>
    </w:p>
  </w:footnote>
  <w:footnote w:id="92">
    <w:p w:rsidR="001A6218" w:rsidRPr="00C140F1" w:rsidRDefault="001A6218">
      <w:pPr>
        <w:pStyle w:val="FootnoteText"/>
        <w:rPr>
          <w:rFonts w:ascii="Times New Roman" w:hAnsi="Times New Roman"/>
          <w:sz w:val="20"/>
        </w:rPr>
      </w:pPr>
      <w:r>
        <w:rPr>
          <w:rStyle w:val="FootnoteReference"/>
        </w:rPr>
        <w:t>93</w:t>
      </w:r>
      <w:r>
        <w:t xml:space="preserve"> </w:t>
      </w:r>
      <w:r w:rsidRPr="00C140F1">
        <w:rPr>
          <w:rFonts w:ascii="Times New Roman" w:hAnsi="Times New Roman"/>
          <w:i/>
          <w:sz w:val="20"/>
        </w:rPr>
        <w:t>FEC</w:t>
      </w:r>
      <w:r>
        <w:rPr>
          <w:rFonts w:ascii="Times New Roman" w:hAnsi="Times New Roman"/>
          <w:i/>
          <w:sz w:val="20"/>
        </w:rPr>
        <w:t xml:space="preserve"> </w:t>
      </w:r>
      <w:r>
        <w:rPr>
          <w:rFonts w:ascii="Times New Roman" w:hAnsi="Times New Roman"/>
          <w:sz w:val="20"/>
        </w:rPr>
        <w:t xml:space="preserve">588 U.S. at 57 (2010). </w:t>
      </w:r>
    </w:p>
  </w:footnote>
  <w:footnote w:id="93">
    <w:p w:rsidR="001A6218" w:rsidRDefault="001A6218" w:rsidP="005E7671">
      <w:pPr>
        <w:pStyle w:val="FootnoteText"/>
      </w:pPr>
      <w:r>
        <w:rPr>
          <w:rStyle w:val="FootnoteReference"/>
        </w:rPr>
        <w:t>94</w:t>
      </w:r>
      <w:r>
        <w:t xml:space="preserve"> </w:t>
      </w:r>
      <w:r w:rsidRPr="005D03EF">
        <w:rPr>
          <w:rFonts w:ascii="Times New Roman" w:hAnsi="Times New Roman"/>
          <w:sz w:val="20"/>
        </w:rPr>
        <w:t xml:space="preserve">Disclose Act </w:t>
      </w:r>
      <w:r>
        <w:rPr>
          <w:rFonts w:ascii="Times New Roman" w:hAnsi="Times New Roman"/>
          <w:sz w:val="20"/>
        </w:rPr>
        <w:t xml:space="preserve">of 2012: H.R.4010 or S.2219. </w:t>
      </w:r>
    </w:p>
  </w:footnote>
  <w:footnote w:id="94">
    <w:p w:rsidR="001A6218" w:rsidRDefault="001A6218" w:rsidP="005E7671">
      <w:pPr>
        <w:pStyle w:val="FootnoteText"/>
        <w:rPr>
          <w:rFonts w:ascii="Times New Roman" w:hAnsi="Times New Roman"/>
          <w:sz w:val="20"/>
        </w:rPr>
      </w:pPr>
      <w:r>
        <w:rPr>
          <w:rStyle w:val="FootnoteReference"/>
        </w:rPr>
        <w:t>95</w:t>
      </w:r>
      <w:r>
        <w:t xml:space="preserve"> </w:t>
      </w:r>
      <w:r w:rsidRPr="00D25FC2">
        <w:rPr>
          <w:rFonts w:ascii="Times New Roman" w:hAnsi="Times New Roman"/>
          <w:sz w:val="20"/>
        </w:rPr>
        <w:t xml:space="preserve">The four key aspects I outline are summarized on the Democracy 21 website. </w:t>
      </w:r>
    </w:p>
    <w:p w:rsidR="001A6218" w:rsidRDefault="001A6218" w:rsidP="005E7671">
      <w:pPr>
        <w:pStyle w:val="FootnoteText"/>
      </w:pPr>
      <w:r>
        <w:rPr>
          <w:rFonts w:ascii="Times New Roman" w:hAnsi="Times New Roman"/>
          <w:smallCaps/>
          <w:sz w:val="20"/>
        </w:rPr>
        <w:t>Democracy 21,</w:t>
      </w:r>
      <w:r>
        <w:rPr>
          <w:rFonts w:ascii="Times New Roman" w:hAnsi="Times New Roman"/>
          <w:sz w:val="20"/>
        </w:rPr>
        <w:t xml:space="preserve"> </w:t>
      </w:r>
      <w:r>
        <w:rPr>
          <w:rFonts w:ascii="Times New Roman" w:hAnsi="Times New Roman"/>
          <w:i/>
          <w:sz w:val="20"/>
        </w:rPr>
        <w:t xml:space="preserve">Summary of Disclose Act 2012 </w:t>
      </w:r>
      <w:r>
        <w:rPr>
          <w:rFonts w:ascii="Times New Roman" w:hAnsi="Times New Roman"/>
          <w:sz w:val="20"/>
        </w:rPr>
        <w:t xml:space="preserve">(Feb. 9, 2012), </w:t>
      </w:r>
      <w:hyperlink r:id="rId26" w:history="1">
        <w:r w:rsidRPr="008F3CE3">
          <w:rPr>
            <w:rStyle w:val="Hyperlink"/>
            <w:rFonts w:ascii="Times New Roman" w:hAnsi="Times New Roman"/>
            <w:sz w:val="20"/>
          </w:rPr>
          <w:t>http://www.democracy21.org/index.asp?Type=B_PR&amp;SEC={91FCB139-CC82-4DDD-AE4E-3A81E6427C7F}&amp;DE={CF4AA209-3429-4D5E-91CF-8BE015E5C89F</w:t>
        </w:r>
      </w:hyperlink>
      <w:r w:rsidRPr="00D25FC2">
        <w:rPr>
          <w:rFonts w:ascii="Times New Roman" w:hAnsi="Times New Roman"/>
          <w:sz w:val="20"/>
        </w:rPr>
        <w:t>}</w:t>
      </w:r>
      <w:r>
        <w:rPr>
          <w:rFonts w:ascii="Times New Roman" w:hAnsi="Times New Roman"/>
          <w:sz w:val="20"/>
        </w:rPr>
        <w:t xml:space="preserve">. </w:t>
      </w:r>
    </w:p>
  </w:footnote>
  <w:footnote w:id="95">
    <w:p w:rsidR="001A6218" w:rsidRPr="004F16B7" w:rsidRDefault="001A6218" w:rsidP="005E7671">
      <w:pPr>
        <w:pStyle w:val="FootnoteText"/>
        <w:rPr>
          <w:rFonts w:ascii="Times New Roman" w:hAnsi="Times New Roman"/>
          <w:sz w:val="20"/>
        </w:rPr>
      </w:pPr>
      <w:r>
        <w:rPr>
          <w:rStyle w:val="FootnoteReference"/>
        </w:rPr>
        <w:t>96</w:t>
      </w:r>
      <w:r>
        <w:t xml:space="preserve"> </w:t>
      </w:r>
      <w:r>
        <w:rPr>
          <w:rFonts w:ascii="Times New Roman" w:hAnsi="Times New Roman"/>
          <w:sz w:val="20"/>
        </w:rPr>
        <w:t>H.R. 5175</w:t>
      </w:r>
    </w:p>
  </w:footnote>
  <w:footnote w:id="96">
    <w:p w:rsidR="001A6218" w:rsidRPr="004F16B7" w:rsidRDefault="001A6218" w:rsidP="005E7671">
      <w:pPr>
        <w:pStyle w:val="FootnoteText"/>
        <w:rPr>
          <w:rFonts w:ascii="Times New Roman" w:hAnsi="Times New Roman"/>
          <w:sz w:val="20"/>
        </w:rPr>
      </w:pPr>
      <w:r>
        <w:rPr>
          <w:rStyle w:val="FootnoteReference"/>
        </w:rPr>
        <w:t>97</w:t>
      </w:r>
      <w:r>
        <w:t xml:space="preserve"> </w:t>
      </w:r>
      <w:r>
        <w:rPr>
          <w:rFonts w:ascii="Times New Roman" w:hAnsi="Times New Roman"/>
          <w:sz w:val="20"/>
        </w:rPr>
        <w:t>S. 3628</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revisionView w:markup="0"/>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BB1942"/>
    <w:rsid w:val="00023089"/>
    <w:rsid w:val="00025F02"/>
    <w:rsid w:val="00035A89"/>
    <w:rsid w:val="00046C67"/>
    <w:rsid w:val="00076E58"/>
    <w:rsid w:val="00086A34"/>
    <w:rsid w:val="00090922"/>
    <w:rsid w:val="000A28FA"/>
    <w:rsid w:val="000A6605"/>
    <w:rsid w:val="000A6FB3"/>
    <w:rsid w:val="000A7888"/>
    <w:rsid w:val="000B4F5C"/>
    <w:rsid w:val="000C7D9D"/>
    <w:rsid w:val="000D18AA"/>
    <w:rsid w:val="000D2172"/>
    <w:rsid w:val="000D449A"/>
    <w:rsid w:val="000E5C3E"/>
    <w:rsid w:val="001036BA"/>
    <w:rsid w:val="001221B9"/>
    <w:rsid w:val="001255DF"/>
    <w:rsid w:val="0012602B"/>
    <w:rsid w:val="001270AA"/>
    <w:rsid w:val="00133F49"/>
    <w:rsid w:val="00153B1C"/>
    <w:rsid w:val="0017045E"/>
    <w:rsid w:val="00180BBD"/>
    <w:rsid w:val="00191338"/>
    <w:rsid w:val="001A6012"/>
    <w:rsid w:val="001A6218"/>
    <w:rsid w:val="001B3C32"/>
    <w:rsid w:val="001C7A88"/>
    <w:rsid w:val="001D7AAC"/>
    <w:rsid w:val="001E5038"/>
    <w:rsid w:val="001E6100"/>
    <w:rsid w:val="001E6E0D"/>
    <w:rsid w:val="001F2242"/>
    <w:rsid w:val="001F3040"/>
    <w:rsid w:val="001F5FD2"/>
    <w:rsid w:val="001F6DC7"/>
    <w:rsid w:val="00203B99"/>
    <w:rsid w:val="002106A6"/>
    <w:rsid w:val="00222B99"/>
    <w:rsid w:val="0022339F"/>
    <w:rsid w:val="00294FDB"/>
    <w:rsid w:val="00296985"/>
    <w:rsid w:val="002D06A1"/>
    <w:rsid w:val="002E3EF9"/>
    <w:rsid w:val="002F281E"/>
    <w:rsid w:val="002F6A5F"/>
    <w:rsid w:val="003073C5"/>
    <w:rsid w:val="00307514"/>
    <w:rsid w:val="00314356"/>
    <w:rsid w:val="0031751E"/>
    <w:rsid w:val="00320D5B"/>
    <w:rsid w:val="003307B1"/>
    <w:rsid w:val="0035626A"/>
    <w:rsid w:val="00374991"/>
    <w:rsid w:val="00374D60"/>
    <w:rsid w:val="00380983"/>
    <w:rsid w:val="003A1C71"/>
    <w:rsid w:val="003B2190"/>
    <w:rsid w:val="003C1B2F"/>
    <w:rsid w:val="003C2176"/>
    <w:rsid w:val="003E298D"/>
    <w:rsid w:val="003E2B1C"/>
    <w:rsid w:val="003F114E"/>
    <w:rsid w:val="003F6779"/>
    <w:rsid w:val="003F79E8"/>
    <w:rsid w:val="00423ABB"/>
    <w:rsid w:val="00430303"/>
    <w:rsid w:val="004306C9"/>
    <w:rsid w:val="004307BA"/>
    <w:rsid w:val="00437B82"/>
    <w:rsid w:val="0045462D"/>
    <w:rsid w:val="0049008D"/>
    <w:rsid w:val="004A7911"/>
    <w:rsid w:val="004B1E56"/>
    <w:rsid w:val="004C3FB0"/>
    <w:rsid w:val="004C4998"/>
    <w:rsid w:val="004C6B11"/>
    <w:rsid w:val="004E0316"/>
    <w:rsid w:val="00503E82"/>
    <w:rsid w:val="005176AB"/>
    <w:rsid w:val="00541EDB"/>
    <w:rsid w:val="00560B79"/>
    <w:rsid w:val="005678BB"/>
    <w:rsid w:val="0057587D"/>
    <w:rsid w:val="0058424E"/>
    <w:rsid w:val="00591272"/>
    <w:rsid w:val="005A15CF"/>
    <w:rsid w:val="005A1A0D"/>
    <w:rsid w:val="005B39BF"/>
    <w:rsid w:val="005C0166"/>
    <w:rsid w:val="005C16A2"/>
    <w:rsid w:val="005C6003"/>
    <w:rsid w:val="005E7671"/>
    <w:rsid w:val="005F184F"/>
    <w:rsid w:val="005F62A4"/>
    <w:rsid w:val="00621048"/>
    <w:rsid w:val="0064214C"/>
    <w:rsid w:val="00670921"/>
    <w:rsid w:val="006819B2"/>
    <w:rsid w:val="00681D47"/>
    <w:rsid w:val="00684F98"/>
    <w:rsid w:val="00687252"/>
    <w:rsid w:val="0069158C"/>
    <w:rsid w:val="006D0C05"/>
    <w:rsid w:val="006D4819"/>
    <w:rsid w:val="006E0A50"/>
    <w:rsid w:val="0070515F"/>
    <w:rsid w:val="007076AC"/>
    <w:rsid w:val="007215AF"/>
    <w:rsid w:val="00724B37"/>
    <w:rsid w:val="00731A0B"/>
    <w:rsid w:val="00736049"/>
    <w:rsid w:val="00737EB6"/>
    <w:rsid w:val="007569C9"/>
    <w:rsid w:val="00771024"/>
    <w:rsid w:val="00772B40"/>
    <w:rsid w:val="00777F8B"/>
    <w:rsid w:val="007935FA"/>
    <w:rsid w:val="007A15D0"/>
    <w:rsid w:val="007B4BDC"/>
    <w:rsid w:val="007B7167"/>
    <w:rsid w:val="007C0D26"/>
    <w:rsid w:val="007C5E8F"/>
    <w:rsid w:val="007D5A97"/>
    <w:rsid w:val="007E6753"/>
    <w:rsid w:val="007E6A5E"/>
    <w:rsid w:val="007F269A"/>
    <w:rsid w:val="007F5EBD"/>
    <w:rsid w:val="008228D7"/>
    <w:rsid w:val="00823C7F"/>
    <w:rsid w:val="00835EDF"/>
    <w:rsid w:val="008616CF"/>
    <w:rsid w:val="00863C55"/>
    <w:rsid w:val="0087781B"/>
    <w:rsid w:val="00880BAE"/>
    <w:rsid w:val="0089219A"/>
    <w:rsid w:val="008A274C"/>
    <w:rsid w:val="008B2824"/>
    <w:rsid w:val="008B6C18"/>
    <w:rsid w:val="008C2530"/>
    <w:rsid w:val="008C6D31"/>
    <w:rsid w:val="008D0A76"/>
    <w:rsid w:val="008D22D8"/>
    <w:rsid w:val="008D3C8D"/>
    <w:rsid w:val="008F26BD"/>
    <w:rsid w:val="00922435"/>
    <w:rsid w:val="0094464D"/>
    <w:rsid w:val="00952062"/>
    <w:rsid w:val="00963467"/>
    <w:rsid w:val="00970877"/>
    <w:rsid w:val="009751EA"/>
    <w:rsid w:val="00984FCA"/>
    <w:rsid w:val="00990EBF"/>
    <w:rsid w:val="00991C0F"/>
    <w:rsid w:val="0099670F"/>
    <w:rsid w:val="00996E12"/>
    <w:rsid w:val="009A17F6"/>
    <w:rsid w:val="009B7CF9"/>
    <w:rsid w:val="009C0854"/>
    <w:rsid w:val="009C1872"/>
    <w:rsid w:val="009C419E"/>
    <w:rsid w:val="009C5FCA"/>
    <w:rsid w:val="009E7249"/>
    <w:rsid w:val="009F6866"/>
    <w:rsid w:val="00A24457"/>
    <w:rsid w:val="00A47FFA"/>
    <w:rsid w:val="00A55E92"/>
    <w:rsid w:val="00A60321"/>
    <w:rsid w:val="00A73765"/>
    <w:rsid w:val="00AB60F7"/>
    <w:rsid w:val="00AC3835"/>
    <w:rsid w:val="00AC3E19"/>
    <w:rsid w:val="00AE0D09"/>
    <w:rsid w:val="00AE3CF5"/>
    <w:rsid w:val="00AF1AE8"/>
    <w:rsid w:val="00B00284"/>
    <w:rsid w:val="00B0301F"/>
    <w:rsid w:val="00B126C2"/>
    <w:rsid w:val="00B139E0"/>
    <w:rsid w:val="00B13F94"/>
    <w:rsid w:val="00B14A24"/>
    <w:rsid w:val="00B24E02"/>
    <w:rsid w:val="00B30557"/>
    <w:rsid w:val="00B473A4"/>
    <w:rsid w:val="00B527CA"/>
    <w:rsid w:val="00B568E2"/>
    <w:rsid w:val="00B639D4"/>
    <w:rsid w:val="00B82916"/>
    <w:rsid w:val="00B911FF"/>
    <w:rsid w:val="00B9700F"/>
    <w:rsid w:val="00BA73C0"/>
    <w:rsid w:val="00BB167C"/>
    <w:rsid w:val="00BB1942"/>
    <w:rsid w:val="00BD5BB3"/>
    <w:rsid w:val="00BE1AE5"/>
    <w:rsid w:val="00BE3B78"/>
    <w:rsid w:val="00BF3A14"/>
    <w:rsid w:val="00C00FB9"/>
    <w:rsid w:val="00C140F1"/>
    <w:rsid w:val="00C66829"/>
    <w:rsid w:val="00C7029B"/>
    <w:rsid w:val="00CA6A72"/>
    <w:rsid w:val="00CC4A1F"/>
    <w:rsid w:val="00CD39B9"/>
    <w:rsid w:val="00CD41A1"/>
    <w:rsid w:val="00CE03C2"/>
    <w:rsid w:val="00CE464B"/>
    <w:rsid w:val="00D15ECA"/>
    <w:rsid w:val="00D20799"/>
    <w:rsid w:val="00D34D14"/>
    <w:rsid w:val="00D403D2"/>
    <w:rsid w:val="00D446D6"/>
    <w:rsid w:val="00D5164B"/>
    <w:rsid w:val="00D62D2F"/>
    <w:rsid w:val="00D70E8C"/>
    <w:rsid w:val="00D768B7"/>
    <w:rsid w:val="00D83DFD"/>
    <w:rsid w:val="00D905CC"/>
    <w:rsid w:val="00D92487"/>
    <w:rsid w:val="00DA02F0"/>
    <w:rsid w:val="00DA2797"/>
    <w:rsid w:val="00DA510D"/>
    <w:rsid w:val="00DE3841"/>
    <w:rsid w:val="00DE6B21"/>
    <w:rsid w:val="00E575A9"/>
    <w:rsid w:val="00E61BDF"/>
    <w:rsid w:val="00E7510A"/>
    <w:rsid w:val="00E75B78"/>
    <w:rsid w:val="00E820A8"/>
    <w:rsid w:val="00EA13EE"/>
    <w:rsid w:val="00EB2605"/>
    <w:rsid w:val="00EC1449"/>
    <w:rsid w:val="00ED31D3"/>
    <w:rsid w:val="00EE6BF0"/>
    <w:rsid w:val="00EF1AD5"/>
    <w:rsid w:val="00F02B26"/>
    <w:rsid w:val="00F11FCA"/>
    <w:rsid w:val="00F226DD"/>
    <w:rsid w:val="00F31BF3"/>
    <w:rsid w:val="00F407F2"/>
    <w:rsid w:val="00F440C6"/>
    <w:rsid w:val="00F45796"/>
    <w:rsid w:val="00F562EE"/>
    <w:rsid w:val="00F77045"/>
    <w:rsid w:val="00F8317C"/>
    <w:rsid w:val="00FB4DDA"/>
    <w:rsid w:val="00FC1DEB"/>
    <w:rsid w:val="00FC58A0"/>
    <w:rsid w:val="00FE1272"/>
    <w:rsid w:val="00FE1930"/>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D413C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BalloonText">
    <w:name w:val="Balloon Text"/>
    <w:basedOn w:val="Normal"/>
    <w:link w:val="BalloonTextChar1"/>
    <w:uiPriority w:val="99"/>
    <w:semiHidden/>
    <w:unhideWhenUsed/>
    <w:rsid w:val="003F710C"/>
    <w:rPr>
      <w:rFonts w:ascii="Lucida Grande" w:hAnsi="Lucida Grande"/>
      <w:sz w:val="18"/>
      <w:szCs w:val="18"/>
    </w:rPr>
  </w:style>
  <w:style w:type="character" w:customStyle="1" w:styleId="BalloonTextChar">
    <w:name w:val="Balloon Text Char"/>
    <w:basedOn w:val="DefaultParagraphFont"/>
    <w:link w:val="BalloonText"/>
    <w:uiPriority w:val="99"/>
    <w:semiHidden/>
    <w:rsid w:val="00DA747E"/>
    <w:rPr>
      <w:rFonts w:ascii="Lucida Grande" w:hAnsi="Lucida Grande"/>
      <w:sz w:val="18"/>
      <w:szCs w:val="18"/>
    </w:rPr>
  </w:style>
  <w:style w:type="character" w:customStyle="1" w:styleId="BalloonTextChar1">
    <w:name w:val="Balloon Text Char1"/>
    <w:basedOn w:val="DefaultParagraphFont"/>
    <w:link w:val="BalloonText"/>
    <w:uiPriority w:val="99"/>
    <w:semiHidden/>
    <w:rsid w:val="003F710C"/>
    <w:rPr>
      <w:rFonts w:ascii="Lucida Grande" w:hAnsi="Lucida Grande"/>
      <w:sz w:val="18"/>
      <w:szCs w:val="18"/>
    </w:rPr>
  </w:style>
  <w:style w:type="paragraph" w:styleId="FootnoteText">
    <w:name w:val="footnote text"/>
    <w:basedOn w:val="Normal"/>
    <w:link w:val="FootnoteTextChar"/>
    <w:uiPriority w:val="99"/>
    <w:semiHidden/>
    <w:unhideWhenUsed/>
    <w:rsid w:val="00BB1942"/>
    <w:pPr>
      <w:spacing w:after="0"/>
    </w:pPr>
  </w:style>
  <w:style w:type="character" w:customStyle="1" w:styleId="FootnoteTextChar">
    <w:name w:val="Footnote Text Char"/>
    <w:basedOn w:val="DefaultParagraphFont"/>
    <w:link w:val="FootnoteText"/>
    <w:uiPriority w:val="99"/>
    <w:semiHidden/>
    <w:rsid w:val="00BB1942"/>
  </w:style>
  <w:style w:type="character" w:styleId="FootnoteReference">
    <w:name w:val="footnote reference"/>
    <w:basedOn w:val="DefaultParagraphFont"/>
    <w:uiPriority w:val="99"/>
    <w:semiHidden/>
    <w:unhideWhenUsed/>
    <w:rsid w:val="00BB1942"/>
    <w:rPr>
      <w:vertAlign w:val="superscript"/>
    </w:rPr>
  </w:style>
  <w:style w:type="character" w:styleId="Hyperlink">
    <w:name w:val="Hyperlink"/>
    <w:basedOn w:val="DefaultParagraphFont"/>
    <w:uiPriority w:val="99"/>
    <w:rsid w:val="00D905CC"/>
    <w:rPr>
      <w:color w:val="0000FF"/>
      <w:u w:val="single"/>
    </w:rPr>
  </w:style>
  <w:style w:type="character" w:styleId="Emphasis">
    <w:name w:val="Emphasis"/>
    <w:basedOn w:val="DefaultParagraphFont"/>
    <w:uiPriority w:val="20"/>
    <w:rsid w:val="001E6100"/>
    <w:rPr>
      <w:i/>
    </w:rPr>
  </w:style>
  <w:style w:type="character" w:customStyle="1" w:styleId="enumbell">
    <w:name w:val="enumbell"/>
    <w:basedOn w:val="DefaultParagraphFont"/>
    <w:rsid w:val="00731A0B"/>
  </w:style>
  <w:style w:type="character" w:customStyle="1" w:styleId="ptext-2">
    <w:name w:val="ptext-2"/>
    <w:basedOn w:val="DefaultParagraphFont"/>
    <w:rsid w:val="00731A0B"/>
  </w:style>
  <w:style w:type="character" w:customStyle="1" w:styleId="fara">
    <w:name w:val="fara"/>
    <w:basedOn w:val="DefaultParagraphFont"/>
    <w:rsid w:val="00AB60F7"/>
  </w:style>
  <w:style w:type="character" w:customStyle="1" w:styleId="headertext">
    <w:name w:val="headertext"/>
    <w:basedOn w:val="DefaultParagraphFont"/>
    <w:rsid w:val="001255DF"/>
  </w:style>
  <w:style w:type="paragraph" w:customStyle="1" w:styleId="CM15">
    <w:name w:val="CM15"/>
    <w:basedOn w:val="Normal"/>
    <w:next w:val="Normal"/>
    <w:uiPriority w:val="99"/>
    <w:rsid w:val="00B0301F"/>
    <w:pPr>
      <w:widowControl w:val="0"/>
      <w:autoSpaceDE w:val="0"/>
      <w:autoSpaceDN w:val="0"/>
      <w:adjustRightInd w:val="0"/>
      <w:spacing w:after="0" w:line="266" w:lineRule="atLeast"/>
    </w:pPr>
    <w:rPr>
      <w:rFonts w:ascii="Century Schoolbook" w:hAnsi="Century Schoolbook" w:cs="Times New Roman"/>
    </w:rPr>
  </w:style>
  <w:style w:type="table" w:styleId="MediumGrid3-Accent3">
    <w:name w:val="Medium Grid 3 Accent 3"/>
    <w:basedOn w:val="TableNormal"/>
    <w:uiPriority w:val="69"/>
    <w:rsid w:val="005E7671"/>
    <w:pPr>
      <w:spacing w:after="0"/>
    </w:pPr>
    <w:rPr>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1-Accent2">
    <w:name w:val="Medium Shading 1 Accent 2"/>
    <w:basedOn w:val="TableNormal"/>
    <w:uiPriority w:val="63"/>
    <w:rsid w:val="005E7671"/>
    <w:pPr>
      <w:spacing w:after="0"/>
    </w:pPr>
    <w:rPr>
      <w:sz w:val="22"/>
      <w:szCs w:val="22"/>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DarkList-Accent1">
    <w:name w:val="Dark List Accent 1"/>
    <w:basedOn w:val="TableNormal"/>
    <w:uiPriority w:val="70"/>
    <w:rsid w:val="005E7671"/>
    <w:pPr>
      <w:spacing w:after="0"/>
    </w:pPr>
    <w:rPr>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ediumGrid1-Accent1">
    <w:name w:val="Medium Grid 1 Accent 1"/>
    <w:basedOn w:val="TableNormal"/>
    <w:uiPriority w:val="67"/>
    <w:rsid w:val="005E7671"/>
    <w:pPr>
      <w:spacing w:after="0"/>
    </w:pPr>
    <w:rPr>
      <w:sz w:val="22"/>
      <w:szCs w:val="22"/>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eGrid">
    <w:name w:val="Table Grid"/>
    <w:basedOn w:val="TableNormal"/>
    <w:uiPriority w:val="59"/>
    <w:rsid w:val="005E7671"/>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FollowedHyperlink">
    <w:name w:val="FollowedHyperlink"/>
    <w:basedOn w:val="DefaultParagraphFont"/>
    <w:rsid w:val="00B24E0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footnotes" Target="footnote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fontTable" Target="fontTable.xml"/></Relationships>
</file>

<file path=word/_rels/footnotes.xml.rels><?xml version="1.0" encoding="UTF-8" standalone="yes"?>
<Relationships xmlns="http://schemas.openxmlformats.org/package/2006/relationships"><Relationship Id="rId7" Type="http://schemas.openxmlformats.org/officeDocument/2006/relationships/hyperlink" Target="http://www.law.cornell.edu/uscode/html/uscode15/usc_sup_01_15.html" TargetMode="External"/><Relationship Id="rId1" Type="http://schemas.openxmlformats.org/officeDocument/2006/relationships/hyperlink" Target="http://www.fec.gov/info/appfour.htm" TargetMode="External"/><Relationship Id="rId24" Type="http://schemas.openxmlformats.org/officeDocument/2006/relationships/hyperlink" Target="http://nbcpolitics.msnbc.msn.com/_news/2012/02/21/10468987-santorum-super-pac-returned-big-foreign-donation" TargetMode="External"/><Relationship Id="rId25" Type="http://schemas.openxmlformats.org/officeDocument/2006/relationships/hyperlink" Target="http://www.mediaite.com/online/the-medias-shameful-inexcusable-distortion-of-the-supreme-courts-citizens-united-decision/" TargetMode="External"/><Relationship Id="rId8" Type="http://schemas.openxmlformats.org/officeDocument/2006/relationships/hyperlink" Target="http://www.law.cornell.edu/uscode/2/441b.html" TargetMode="External"/><Relationship Id="rId13" Type="http://schemas.openxmlformats.org/officeDocument/2006/relationships/hyperlink" Target="http://www.washingtonpost.com/blogs/right-turn/post/meet-foster-friess-rick-santorums-super-pac-patron/2012/02/11/gIQAJgZO9Q_blog.html" TargetMode="External"/><Relationship Id="rId10" Type="http://schemas.openxmlformats.org/officeDocument/2006/relationships/hyperlink" Target="http://www.opensecrets.org/outsidespending/index.php?cycle=2012&amp;view=Y&amp;chart=N" TargetMode="External"/><Relationship Id="rId12" Type="http://schemas.openxmlformats.org/officeDocument/2006/relationships/hyperlink" Target="http://www.politico.com/news/stories/0212/73020.html" TargetMode="External"/><Relationship Id="rId17" Type="http://schemas.openxmlformats.org/officeDocument/2006/relationships/hyperlink" Target="http://thecaucus.blogs.nytimes.com/2012/01/31/colberts-super-pac-raises-more-than-1-million-dollars/" TargetMode="External"/><Relationship Id="rId9" Type="http://schemas.openxmlformats.org/officeDocument/2006/relationships/hyperlink" Target="http://www.law.cornell.edu/uscode/html/uscode02/usc_sec_02_00000431----000-.html" TargetMode="External"/><Relationship Id="rId18" Type="http://schemas.openxmlformats.org/officeDocument/2006/relationships/hyperlink" Target="http://www.msnbc.msn.com/id/44046063/ns/politics/" TargetMode="External"/><Relationship Id="rId3" Type="http://schemas.openxmlformats.org/officeDocument/2006/relationships/hyperlink" Target="http://www.fec.gov/law/litigation_CCA_B.shtml" TargetMode="External"/><Relationship Id="rId14" Type="http://schemas.openxmlformats.org/officeDocument/2006/relationships/hyperlink" Target="http://www.cnn.com/2012/02/15/opinion/wertheimer-super-pacs/index.html" TargetMode="External"/><Relationship Id="rId23" Type="http://schemas.openxmlformats.org/officeDocument/2006/relationships/hyperlink" Target="http://www.huffingtonpost.com/2012/02/10/super-pac-donations_n_1267750.html" TargetMode="External"/><Relationship Id="rId4" Type="http://schemas.openxmlformats.org/officeDocument/2006/relationships/hyperlink" Target="http://www.fec.gov/law/litigation_CCA_FEC_K.shtml" TargetMode="External"/><Relationship Id="rId26" Type="http://schemas.openxmlformats.org/officeDocument/2006/relationships/hyperlink" Target="http://www.democracy21.org/index.asp?Type=B_PR&amp;SEC=%7b91FCB139-CC82-4DDD-AE4E-3A81E6427C7F%7d&amp;DE=%7bCF4AA209-3429-4D5E-91CF-8BE015E5C89F" TargetMode="External"/><Relationship Id="rId11" Type="http://schemas.openxmlformats.org/officeDocument/2006/relationships/hyperlink" Target="http://motherjones.com/mojo/2012/01/stephen-colbert-citizens-united-super-pac" TargetMode="External"/><Relationship Id="rId6" Type="http://schemas.openxmlformats.org/officeDocument/2006/relationships/hyperlink" Target="http://www.law.cornell.edu/uscode/html/uscode15/usc_sec_15_00000079----000-.html" TargetMode="External"/><Relationship Id="rId16" Type="http://schemas.openxmlformats.org/officeDocument/2006/relationships/hyperlink" Target="http://www.cbsnews.com/8301-503544_162-57402073-503544/super-pac-donors-by-the-numbers/" TargetMode="External"/><Relationship Id="rId5" Type="http://schemas.openxmlformats.org/officeDocument/2006/relationships/hyperlink" Target="http://www.law.cornell.edu/uscode/html/uscode15/usc_sec_15_00000079----000-.html" TargetMode="External"/><Relationship Id="rId15" Type="http://schemas.openxmlformats.org/officeDocument/2006/relationships/hyperlink" Target="http://www.nytimes.com/interactive/2012/01/31/us/politics/super-pac-donors.html?ref=politics" TargetMode="External"/><Relationship Id="rId19" Type="http://schemas.openxmlformats.org/officeDocument/2006/relationships/hyperlink" Target="http://www.occasionalplanet.org/2012/02/10/crowdsourcing-helps-solve-the-super-pac-funding-puzzle/" TargetMode="External"/><Relationship Id="rId20" Type="http://schemas.openxmlformats.org/officeDocument/2006/relationships/hyperlink" Target="http://thecaucus.blogs.nytimes.com/2012/02/03/a-crowdsourcing-experiment-help-us-discover-a-secret-donor/" TargetMode="External"/><Relationship Id="rId22" Type="http://schemas.openxmlformats.org/officeDocument/2006/relationships/hyperlink" Target="http://usgovinfo.about.com/gi/o.htm?zi=1/XJ&amp;zTi=1&amp;sdn=usgovinfo&amp;cdn=newsissues&amp;tm=24&amp;f=00&amp;su=p284.13.342.ip_&amp;tt=2&amp;bt=0&amp;bts=0&amp;zu=http%3A//www.fec.gov/pages/brochures/foreign.shtml" TargetMode="External"/><Relationship Id="rId21" Type="http://schemas.openxmlformats.org/officeDocument/2006/relationships/hyperlink" Target="http://thecaucus.blogs.nytimes.com/tag/glenbrook/" TargetMode="External"/><Relationship Id="rId2" Type="http://schemas.openxmlformats.org/officeDocument/2006/relationships/hyperlink" Target="http://www.fec.gov/info/mss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8883</Words>
  <Characters>50634</Characters>
  <Application>Microsoft Word 12.1.0</Application>
  <DocSecurity>0</DocSecurity>
  <Lines>421</Lines>
  <Paragraphs>101</Paragraphs>
  <ScaleCrop>false</ScaleCrop>
  <Company>University of Tennessee Knoxville</Company>
  <LinksUpToDate>false</LinksUpToDate>
  <CharactersWithSpaces>62182</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Ritter</dc:creator>
  <cp:keywords/>
  <cp:lastModifiedBy>Thomas Ritter</cp:lastModifiedBy>
  <cp:revision>2</cp:revision>
  <dcterms:created xsi:type="dcterms:W3CDTF">2012-04-27T05:29:00Z</dcterms:created>
  <dcterms:modified xsi:type="dcterms:W3CDTF">2012-04-27T05:29:00Z</dcterms:modified>
</cp:coreProperties>
</file>