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45C5B" w14:textId="661595A7" w:rsidR="00236E6D" w:rsidRPr="008F5202" w:rsidRDefault="00D307F9">
      <w:pPr>
        <w:jc w:val="center"/>
        <w:rPr>
          <w:rFonts w:ascii="Times New Roman" w:hAnsi="Times New Roman" w:cs="Times New Roman"/>
        </w:rPr>
      </w:pPr>
      <w:r w:rsidRPr="00D307F9">
        <w:rPr>
          <w:rFonts w:ascii="Times New Roman" w:hAnsi="Times New Roman" w:cs="Times New Roman"/>
          <w:b/>
          <w:lang w:val="en-CA"/>
        </w:rPr>
        <w:t>Additively manufactured lattice-based enhanced heat transfer concepts for superior particle-to-supercritical carbon dioxide heat exchanger for CSP applications</w:t>
      </w:r>
    </w:p>
    <w:p w14:paraId="7F77D45D" w14:textId="77777777" w:rsidR="00236E6D" w:rsidRPr="008F5202" w:rsidRDefault="00236E6D">
      <w:pPr>
        <w:jc w:val="center"/>
        <w:rPr>
          <w:rFonts w:ascii="Times New Roman" w:hAnsi="Times New Roman" w:cs="Times New Roman"/>
        </w:rPr>
      </w:pPr>
    </w:p>
    <w:p w14:paraId="331AF4AA" w14:textId="77777777" w:rsidR="00236E6D" w:rsidRPr="008F5202" w:rsidRDefault="00236E6D">
      <w:pPr>
        <w:jc w:val="center"/>
        <w:rPr>
          <w:rFonts w:ascii="Times New Roman" w:hAnsi="Times New Roman" w:cs="Times New Roman"/>
        </w:rPr>
      </w:pPr>
    </w:p>
    <w:p w14:paraId="2C28E16B" w14:textId="77777777" w:rsidR="00236E6D" w:rsidRPr="008F5202" w:rsidRDefault="00236E6D">
      <w:pPr>
        <w:jc w:val="center"/>
        <w:rPr>
          <w:rFonts w:ascii="Times New Roman" w:hAnsi="Times New Roman" w:cs="Times New Roman"/>
        </w:rPr>
      </w:pPr>
    </w:p>
    <w:p w14:paraId="375CA089" w14:textId="77777777" w:rsidR="00236E6D" w:rsidRPr="008F5202" w:rsidRDefault="00236E6D">
      <w:pPr>
        <w:jc w:val="center"/>
        <w:rPr>
          <w:rFonts w:ascii="Times New Roman" w:hAnsi="Times New Roman" w:cs="Times New Roman"/>
        </w:rPr>
      </w:pPr>
    </w:p>
    <w:p w14:paraId="7787795D" w14:textId="77777777" w:rsidR="00236E6D" w:rsidRPr="008F5202" w:rsidRDefault="00236E6D">
      <w:pPr>
        <w:jc w:val="center"/>
        <w:rPr>
          <w:rFonts w:ascii="Times New Roman" w:hAnsi="Times New Roman" w:cs="Times New Roman"/>
        </w:rPr>
      </w:pPr>
    </w:p>
    <w:p w14:paraId="2347DD92" w14:textId="77777777" w:rsidR="00236E6D" w:rsidRPr="008F5202" w:rsidRDefault="00236E6D">
      <w:pPr>
        <w:jc w:val="center"/>
        <w:rPr>
          <w:rFonts w:ascii="Times New Roman" w:hAnsi="Times New Roman" w:cs="Times New Roman"/>
        </w:rPr>
      </w:pPr>
    </w:p>
    <w:p w14:paraId="170BFC63" w14:textId="77777777" w:rsidR="009D2AA9" w:rsidRPr="008F5202" w:rsidRDefault="009D2AA9">
      <w:pPr>
        <w:jc w:val="center"/>
        <w:rPr>
          <w:rFonts w:ascii="Times New Roman" w:hAnsi="Times New Roman" w:cs="Times New Roman"/>
        </w:rPr>
      </w:pPr>
    </w:p>
    <w:p w14:paraId="41DE2D58" w14:textId="77777777" w:rsidR="009D2AA9" w:rsidRPr="008F5202" w:rsidRDefault="009D2AA9">
      <w:pPr>
        <w:jc w:val="center"/>
        <w:rPr>
          <w:rFonts w:ascii="Times New Roman" w:hAnsi="Times New Roman" w:cs="Times New Roman"/>
        </w:rPr>
      </w:pPr>
    </w:p>
    <w:p w14:paraId="037E5879" w14:textId="77777777" w:rsidR="009D2AA9" w:rsidRPr="008F5202" w:rsidRDefault="009D2AA9">
      <w:pPr>
        <w:jc w:val="center"/>
        <w:rPr>
          <w:rFonts w:ascii="Times New Roman" w:hAnsi="Times New Roman" w:cs="Times New Roman"/>
        </w:rPr>
      </w:pPr>
    </w:p>
    <w:p w14:paraId="2114C2B8" w14:textId="77777777" w:rsidR="00236E6D" w:rsidRPr="008F5202" w:rsidRDefault="00236E6D">
      <w:pPr>
        <w:jc w:val="center"/>
        <w:rPr>
          <w:rFonts w:ascii="Times New Roman" w:hAnsi="Times New Roman" w:cs="Times New Roman"/>
        </w:rPr>
      </w:pPr>
    </w:p>
    <w:p w14:paraId="347EDF7E" w14:textId="77777777" w:rsidR="00236E6D" w:rsidRPr="008F5202" w:rsidRDefault="00236E6D">
      <w:pPr>
        <w:jc w:val="center"/>
        <w:rPr>
          <w:rFonts w:ascii="Times New Roman" w:hAnsi="Times New Roman" w:cs="Times New Roman"/>
        </w:rPr>
      </w:pPr>
    </w:p>
    <w:p w14:paraId="1A7F618F" w14:textId="287BA6F0" w:rsidR="009C755C" w:rsidRPr="008F5202" w:rsidRDefault="009C755C" w:rsidP="00D307F9">
      <w:pPr>
        <w:jc w:val="center"/>
        <w:rPr>
          <w:rFonts w:ascii="Times New Roman" w:hAnsi="Times New Roman" w:cs="Times New Roman"/>
        </w:rPr>
      </w:pPr>
      <w:r w:rsidRPr="008F5202">
        <w:rPr>
          <w:rFonts w:ascii="Times New Roman" w:hAnsi="Times New Roman" w:cs="Times New Roman"/>
        </w:rPr>
        <w:t xml:space="preserve">A </w:t>
      </w:r>
      <w:r w:rsidR="00D307F9">
        <w:rPr>
          <w:rFonts w:ascii="Times New Roman" w:hAnsi="Times New Roman" w:cs="Times New Roman"/>
        </w:rPr>
        <w:t>Dissertation Presented for the Doctor of Philosophy Degree</w:t>
      </w:r>
    </w:p>
    <w:p w14:paraId="23CE603A" w14:textId="77777777" w:rsidR="009C755C" w:rsidRPr="008F5202" w:rsidRDefault="009C755C">
      <w:pPr>
        <w:jc w:val="center"/>
        <w:rPr>
          <w:rFonts w:ascii="Times New Roman" w:hAnsi="Times New Roman" w:cs="Times New Roman"/>
        </w:rPr>
      </w:pPr>
      <w:r w:rsidRPr="008F5202">
        <w:rPr>
          <w:rFonts w:ascii="Times New Roman" w:hAnsi="Times New Roman" w:cs="Times New Roman"/>
        </w:rPr>
        <w:t>The University of Tennessee, Knoxville</w:t>
      </w:r>
    </w:p>
    <w:p w14:paraId="3F4E4A2B" w14:textId="77777777" w:rsidR="00236E6D" w:rsidRPr="008F5202" w:rsidRDefault="00236E6D">
      <w:pPr>
        <w:jc w:val="center"/>
        <w:rPr>
          <w:rFonts w:ascii="Times New Roman" w:hAnsi="Times New Roman" w:cs="Times New Roman"/>
        </w:rPr>
      </w:pPr>
    </w:p>
    <w:p w14:paraId="398016D5" w14:textId="77777777" w:rsidR="00236E6D" w:rsidRPr="008F5202" w:rsidRDefault="00236E6D">
      <w:pPr>
        <w:jc w:val="center"/>
        <w:rPr>
          <w:rFonts w:ascii="Times New Roman" w:hAnsi="Times New Roman" w:cs="Times New Roman"/>
        </w:rPr>
      </w:pPr>
    </w:p>
    <w:p w14:paraId="01F8C099" w14:textId="77777777" w:rsidR="00236E6D" w:rsidRPr="008F5202" w:rsidRDefault="00236E6D">
      <w:pPr>
        <w:jc w:val="center"/>
        <w:rPr>
          <w:rFonts w:ascii="Times New Roman" w:hAnsi="Times New Roman" w:cs="Times New Roman"/>
        </w:rPr>
      </w:pPr>
    </w:p>
    <w:p w14:paraId="3F01718B" w14:textId="77777777" w:rsidR="00236E6D" w:rsidRPr="008F5202" w:rsidRDefault="00236E6D">
      <w:pPr>
        <w:jc w:val="center"/>
        <w:rPr>
          <w:rFonts w:ascii="Times New Roman" w:hAnsi="Times New Roman" w:cs="Times New Roman"/>
        </w:rPr>
      </w:pPr>
    </w:p>
    <w:p w14:paraId="356DB1AC" w14:textId="77777777" w:rsidR="00236E6D" w:rsidRPr="008F5202" w:rsidRDefault="00236E6D">
      <w:pPr>
        <w:jc w:val="center"/>
        <w:rPr>
          <w:rFonts w:ascii="Times New Roman" w:hAnsi="Times New Roman" w:cs="Times New Roman"/>
        </w:rPr>
      </w:pPr>
    </w:p>
    <w:p w14:paraId="4C45EB9A" w14:textId="77777777" w:rsidR="00236E6D" w:rsidRPr="008F5202" w:rsidRDefault="00236E6D">
      <w:pPr>
        <w:jc w:val="center"/>
        <w:rPr>
          <w:rFonts w:ascii="Times New Roman" w:hAnsi="Times New Roman" w:cs="Times New Roman"/>
        </w:rPr>
      </w:pPr>
    </w:p>
    <w:p w14:paraId="7E73DBF8" w14:textId="77777777" w:rsidR="00D307F9" w:rsidRPr="00D307F9" w:rsidRDefault="00D307F9" w:rsidP="00D307F9">
      <w:pPr>
        <w:jc w:val="center"/>
        <w:rPr>
          <w:rFonts w:ascii="Times New Roman" w:hAnsi="Times New Roman" w:cs="Times New Roman"/>
        </w:rPr>
      </w:pPr>
      <w:r w:rsidRPr="00D307F9">
        <w:rPr>
          <w:rFonts w:ascii="Times New Roman" w:hAnsi="Times New Roman" w:cs="Times New Roman"/>
        </w:rPr>
        <w:t>Prashant Singh (Chair)</w:t>
      </w:r>
    </w:p>
    <w:p w14:paraId="3DCAB5A0" w14:textId="77777777" w:rsidR="00D307F9" w:rsidRPr="00D307F9" w:rsidRDefault="00D307F9" w:rsidP="00D307F9">
      <w:pPr>
        <w:jc w:val="center"/>
        <w:rPr>
          <w:rFonts w:ascii="Times New Roman" w:hAnsi="Times New Roman" w:cs="Times New Roman"/>
        </w:rPr>
      </w:pPr>
      <w:r w:rsidRPr="00D307F9">
        <w:rPr>
          <w:rFonts w:ascii="Times New Roman" w:hAnsi="Times New Roman" w:cs="Times New Roman"/>
        </w:rPr>
        <w:t>Wei Wang</w:t>
      </w:r>
    </w:p>
    <w:p w14:paraId="24A690C5" w14:textId="77777777" w:rsidR="00D307F9" w:rsidRPr="00D307F9" w:rsidRDefault="00D307F9" w:rsidP="00D307F9">
      <w:pPr>
        <w:jc w:val="center"/>
        <w:rPr>
          <w:rFonts w:ascii="Times New Roman" w:hAnsi="Times New Roman" w:cs="Times New Roman"/>
        </w:rPr>
      </w:pPr>
      <w:r w:rsidRPr="00D307F9">
        <w:rPr>
          <w:rFonts w:ascii="Times New Roman" w:hAnsi="Times New Roman" w:cs="Times New Roman"/>
        </w:rPr>
        <w:t>Andy Sarles</w:t>
      </w:r>
    </w:p>
    <w:p w14:paraId="250CA0A6" w14:textId="77777777" w:rsidR="00D307F9" w:rsidRPr="00D307F9" w:rsidRDefault="00D307F9" w:rsidP="00D307F9">
      <w:pPr>
        <w:jc w:val="center"/>
        <w:rPr>
          <w:rFonts w:ascii="Times New Roman" w:hAnsi="Times New Roman" w:cs="Times New Roman"/>
        </w:rPr>
      </w:pPr>
      <w:r w:rsidRPr="00D307F9">
        <w:rPr>
          <w:rFonts w:ascii="Times New Roman" w:hAnsi="Times New Roman" w:cs="Times New Roman"/>
        </w:rPr>
        <w:t>Tony Schmitz</w:t>
      </w:r>
    </w:p>
    <w:p w14:paraId="707BB3ED" w14:textId="77777777" w:rsidR="00D307F9" w:rsidRPr="00D307F9" w:rsidRDefault="00D307F9" w:rsidP="00D307F9">
      <w:pPr>
        <w:jc w:val="center"/>
        <w:rPr>
          <w:rFonts w:ascii="Times New Roman" w:hAnsi="Times New Roman" w:cs="Times New Roman"/>
        </w:rPr>
      </w:pPr>
      <w:r w:rsidRPr="00D307F9">
        <w:rPr>
          <w:rFonts w:ascii="Times New Roman" w:hAnsi="Times New Roman" w:cs="Times New Roman"/>
        </w:rPr>
        <w:t>Kivanc Ekici</w:t>
      </w:r>
    </w:p>
    <w:p w14:paraId="316C3DCD" w14:textId="54B29112" w:rsidR="00236E6D" w:rsidRPr="008F5202" w:rsidRDefault="00D307F9" w:rsidP="00D307F9">
      <w:pPr>
        <w:jc w:val="center"/>
        <w:rPr>
          <w:rFonts w:ascii="Times New Roman" w:hAnsi="Times New Roman" w:cs="Times New Roman"/>
        </w:rPr>
      </w:pPr>
      <w:r w:rsidRPr="00D307F9">
        <w:rPr>
          <w:rFonts w:ascii="Times New Roman" w:hAnsi="Times New Roman" w:cs="Times New Roman"/>
        </w:rPr>
        <w:t>Heejin Cho (UNLV)</w:t>
      </w:r>
    </w:p>
    <w:p w14:paraId="208BA68F" w14:textId="77777777" w:rsidR="00236E6D" w:rsidRPr="008F5202" w:rsidRDefault="00236E6D">
      <w:pPr>
        <w:jc w:val="center"/>
        <w:rPr>
          <w:rFonts w:ascii="Times New Roman" w:hAnsi="Times New Roman" w:cs="Times New Roman"/>
        </w:rPr>
      </w:pPr>
    </w:p>
    <w:p w14:paraId="2881818F" w14:textId="77777777" w:rsidR="00236E6D" w:rsidRPr="008F5202" w:rsidRDefault="00236E6D">
      <w:pPr>
        <w:jc w:val="center"/>
        <w:rPr>
          <w:rFonts w:ascii="Times New Roman" w:hAnsi="Times New Roman" w:cs="Times New Roman"/>
        </w:rPr>
      </w:pPr>
    </w:p>
    <w:p w14:paraId="0B541AFA" w14:textId="77777777" w:rsidR="009D2AA9" w:rsidRPr="008F5202" w:rsidRDefault="009D2AA9">
      <w:pPr>
        <w:jc w:val="center"/>
        <w:rPr>
          <w:rFonts w:ascii="Times New Roman" w:hAnsi="Times New Roman" w:cs="Times New Roman"/>
        </w:rPr>
      </w:pPr>
    </w:p>
    <w:p w14:paraId="349B9BFF" w14:textId="77777777" w:rsidR="009D2AA9" w:rsidRPr="008F5202" w:rsidRDefault="009D2AA9">
      <w:pPr>
        <w:jc w:val="center"/>
        <w:rPr>
          <w:rFonts w:ascii="Times New Roman" w:hAnsi="Times New Roman" w:cs="Times New Roman"/>
        </w:rPr>
      </w:pPr>
    </w:p>
    <w:p w14:paraId="50BC61CC" w14:textId="77777777" w:rsidR="009D2AA9" w:rsidRPr="008F5202" w:rsidRDefault="009D2AA9">
      <w:pPr>
        <w:jc w:val="center"/>
        <w:rPr>
          <w:rFonts w:ascii="Times New Roman" w:hAnsi="Times New Roman" w:cs="Times New Roman"/>
        </w:rPr>
      </w:pPr>
    </w:p>
    <w:p w14:paraId="6600B8FB" w14:textId="77777777" w:rsidR="009D2AA9" w:rsidRPr="008F5202" w:rsidRDefault="009D2AA9">
      <w:pPr>
        <w:jc w:val="center"/>
        <w:rPr>
          <w:rFonts w:ascii="Times New Roman" w:hAnsi="Times New Roman" w:cs="Times New Roman"/>
        </w:rPr>
      </w:pPr>
    </w:p>
    <w:p w14:paraId="44C56846" w14:textId="77777777" w:rsidR="009D2AA9" w:rsidRPr="008F5202" w:rsidRDefault="009D2AA9">
      <w:pPr>
        <w:jc w:val="center"/>
        <w:rPr>
          <w:rFonts w:ascii="Times New Roman" w:hAnsi="Times New Roman" w:cs="Times New Roman"/>
        </w:rPr>
      </w:pPr>
    </w:p>
    <w:p w14:paraId="643E1F44" w14:textId="77777777" w:rsidR="009D2AA9" w:rsidRPr="008F5202" w:rsidRDefault="009D2AA9">
      <w:pPr>
        <w:jc w:val="center"/>
        <w:rPr>
          <w:rFonts w:ascii="Times New Roman" w:hAnsi="Times New Roman" w:cs="Times New Roman"/>
        </w:rPr>
      </w:pPr>
    </w:p>
    <w:p w14:paraId="3E426BBD" w14:textId="77777777" w:rsidR="009D2AA9" w:rsidRPr="008F5202" w:rsidRDefault="009D2AA9">
      <w:pPr>
        <w:jc w:val="center"/>
        <w:rPr>
          <w:rFonts w:ascii="Times New Roman" w:hAnsi="Times New Roman" w:cs="Times New Roman"/>
        </w:rPr>
      </w:pPr>
    </w:p>
    <w:p w14:paraId="152C0B0D" w14:textId="77777777" w:rsidR="009D2AA9" w:rsidRPr="008F5202" w:rsidRDefault="009D2AA9">
      <w:pPr>
        <w:jc w:val="center"/>
        <w:rPr>
          <w:rFonts w:ascii="Times New Roman" w:hAnsi="Times New Roman" w:cs="Times New Roman"/>
        </w:rPr>
      </w:pPr>
    </w:p>
    <w:p w14:paraId="55B0BFF2" w14:textId="77777777" w:rsidR="009D2AA9" w:rsidRPr="008F5202" w:rsidRDefault="009D2AA9">
      <w:pPr>
        <w:jc w:val="center"/>
        <w:rPr>
          <w:rFonts w:ascii="Times New Roman" w:hAnsi="Times New Roman" w:cs="Times New Roman"/>
        </w:rPr>
      </w:pPr>
    </w:p>
    <w:p w14:paraId="78C09907" w14:textId="77777777" w:rsidR="009D2AA9" w:rsidRPr="008F5202" w:rsidRDefault="009D2AA9">
      <w:pPr>
        <w:jc w:val="center"/>
        <w:rPr>
          <w:rFonts w:ascii="Times New Roman" w:hAnsi="Times New Roman" w:cs="Times New Roman"/>
        </w:rPr>
      </w:pPr>
    </w:p>
    <w:p w14:paraId="0FBB93E3" w14:textId="77777777" w:rsidR="009D2AA9" w:rsidRPr="008F5202" w:rsidRDefault="009D2AA9">
      <w:pPr>
        <w:jc w:val="center"/>
        <w:rPr>
          <w:rFonts w:ascii="Times New Roman" w:hAnsi="Times New Roman" w:cs="Times New Roman"/>
        </w:rPr>
      </w:pPr>
    </w:p>
    <w:p w14:paraId="2A252623" w14:textId="77777777" w:rsidR="009D2AA9" w:rsidRPr="008F5202" w:rsidRDefault="009D2AA9">
      <w:pPr>
        <w:jc w:val="center"/>
        <w:rPr>
          <w:rFonts w:ascii="Times New Roman" w:hAnsi="Times New Roman" w:cs="Times New Roman"/>
        </w:rPr>
      </w:pPr>
    </w:p>
    <w:p w14:paraId="6E34C8CE" w14:textId="77777777" w:rsidR="00236E6D" w:rsidRPr="008F5202" w:rsidRDefault="00236E6D">
      <w:pPr>
        <w:jc w:val="center"/>
        <w:rPr>
          <w:rFonts w:ascii="Times New Roman" w:hAnsi="Times New Roman" w:cs="Times New Roman"/>
        </w:rPr>
      </w:pPr>
    </w:p>
    <w:p w14:paraId="7A087A99" w14:textId="77777777" w:rsidR="00236E6D" w:rsidRPr="008F5202" w:rsidRDefault="00236E6D">
      <w:pPr>
        <w:jc w:val="center"/>
        <w:rPr>
          <w:rFonts w:ascii="Times New Roman" w:hAnsi="Times New Roman" w:cs="Times New Roman"/>
        </w:rPr>
      </w:pPr>
    </w:p>
    <w:p w14:paraId="325431D9" w14:textId="7F09FF3D" w:rsidR="00236E6D" w:rsidRPr="008F5202" w:rsidRDefault="008F5202">
      <w:pPr>
        <w:jc w:val="center"/>
        <w:rPr>
          <w:rFonts w:ascii="Times New Roman" w:hAnsi="Times New Roman" w:cs="Times New Roman"/>
        </w:rPr>
      </w:pPr>
      <w:r>
        <w:rPr>
          <w:rFonts w:ascii="Times New Roman" w:hAnsi="Times New Roman" w:cs="Times New Roman"/>
        </w:rPr>
        <w:t>Youssef Aider</w:t>
      </w:r>
    </w:p>
    <w:p w14:paraId="603BEA8D" w14:textId="75A21B8E" w:rsidR="00D307F9" w:rsidRDefault="008F5202" w:rsidP="00D307F9">
      <w:pPr>
        <w:jc w:val="center"/>
        <w:rPr>
          <w:rFonts w:ascii="Times New Roman" w:hAnsi="Times New Roman" w:cs="Times New Roman"/>
        </w:rPr>
      </w:pPr>
      <w:r>
        <w:rPr>
          <w:rFonts w:ascii="Times New Roman" w:hAnsi="Times New Roman" w:cs="Times New Roman"/>
        </w:rPr>
        <w:t>September 2024</w:t>
      </w:r>
      <w:r w:rsidR="00D307F9">
        <w:rPr>
          <w:rFonts w:ascii="Times New Roman" w:hAnsi="Times New Roman" w:cs="Times New Roman"/>
        </w:rPr>
        <w:br w:type="page"/>
      </w:r>
    </w:p>
    <w:p w14:paraId="39C1854A" w14:textId="69F7BDDE" w:rsidR="00236E6D" w:rsidRPr="008F5202" w:rsidRDefault="00236E6D" w:rsidP="007F7A99">
      <w:pPr>
        <w:jc w:val="center"/>
        <w:rPr>
          <w:rFonts w:ascii="Times New Roman" w:hAnsi="Times New Roman" w:cs="Times New Roman"/>
          <w:sz w:val="28"/>
          <w:szCs w:val="28"/>
        </w:rPr>
      </w:pPr>
      <w:r w:rsidRPr="008F5202">
        <w:rPr>
          <w:rFonts w:ascii="Times New Roman" w:hAnsi="Times New Roman" w:cs="Times New Roman"/>
          <w:b/>
          <w:bCs/>
        </w:rPr>
        <w:lastRenderedPageBreak/>
        <w:t>ABSTRACT</w:t>
      </w:r>
    </w:p>
    <w:p w14:paraId="50233402" w14:textId="77777777" w:rsidR="00236E6D" w:rsidRPr="008F5202" w:rsidRDefault="00236E6D">
      <w:pPr>
        <w:rPr>
          <w:rFonts w:ascii="Times New Roman" w:hAnsi="Times New Roman" w:cs="Times New Roman"/>
        </w:rPr>
      </w:pPr>
    </w:p>
    <w:p w14:paraId="47FDFE19" w14:textId="6C937648" w:rsidR="00ED0DEE" w:rsidRPr="008F5202" w:rsidRDefault="00ED0DEE" w:rsidP="00ED0DEE">
      <w:pPr>
        <w:spacing w:line="360" w:lineRule="auto"/>
        <w:jc w:val="both"/>
        <w:rPr>
          <w:rFonts w:ascii="Times New Roman" w:hAnsi="Times New Roman" w:cs="Times New Roman"/>
        </w:rPr>
      </w:pPr>
      <w:r w:rsidRPr="008F5202">
        <w:rPr>
          <w:rFonts w:ascii="Times New Roman" w:hAnsi="Times New Roman" w:cs="Times New Roman"/>
        </w:rPr>
        <w:t xml:space="preserve">This research investigates the enhancement of heat transfer in packed bed heat exchangers using additively manufactured novel lattice structures, with applications in concentrated solar power (CSP) plants. The study encompasses multiple stages, examining various lattice topologies and their impact on heat transfer and fluid flow characteristics. </w:t>
      </w:r>
    </w:p>
    <w:p w14:paraId="7609D2DB" w14:textId="77777777" w:rsidR="00ED0DEE" w:rsidRPr="008F5202" w:rsidRDefault="00ED0DEE" w:rsidP="00ED0DEE">
      <w:pPr>
        <w:spacing w:line="360" w:lineRule="auto"/>
        <w:jc w:val="both"/>
        <w:rPr>
          <w:rFonts w:ascii="Times New Roman" w:hAnsi="Times New Roman" w:cs="Times New Roman"/>
        </w:rPr>
      </w:pPr>
      <w:r w:rsidRPr="008F5202">
        <w:rPr>
          <w:rFonts w:ascii="Times New Roman" w:hAnsi="Times New Roman" w:cs="Times New Roman"/>
        </w:rPr>
        <w:t>Initially, four lattice topologies (Octet, FD-Cube, Tetrakaidecahedron, and Cube) were investigated using air as the working fluid. The research revealed that lattices provided 10-20 times higher heat transfer augmentation compared to smooth channels. A unified correlation for Nusselt numbers as a function of Reynolds numbers was developed, applicable across all studied configurations. Utilizing additively manufactured lattices in 420 Stainless Steel. The study evaluated conjugate heat transfer capabilities, effective thermal conductivity, and forced convective heat transfer performance. Results indicated that the Cube topology provided the best overall thermal hydraulic performance. Further research explored a novel moving packed bed heat exchanger with Octet lattice structures for CSP applications. Granular flow analysis, conducted through experiments and DEM-based simulations, revealed complex flow phenomena within the lattice structures.</w:t>
      </w:r>
    </w:p>
    <w:p w14:paraId="71EB0A3A" w14:textId="77777777" w:rsidR="00ED0DEE" w:rsidRPr="008F5202" w:rsidRDefault="00ED0DEE" w:rsidP="00ED0DEE">
      <w:pPr>
        <w:spacing w:line="360" w:lineRule="auto"/>
        <w:jc w:val="both"/>
        <w:rPr>
          <w:rFonts w:ascii="Times New Roman" w:hAnsi="Times New Roman" w:cs="Times New Roman"/>
        </w:rPr>
      </w:pPr>
      <w:r w:rsidRPr="008F5202">
        <w:rPr>
          <w:rFonts w:ascii="Times New Roman" w:hAnsi="Times New Roman" w:cs="Times New Roman"/>
        </w:rPr>
        <w:t>The final stage characterized heat transfer in additively manufactured Octet-shaped lattice frame materials using particles and air as working fluids. The presence of lattices enhanced effective thermal conductivity by 2-4 times compared to particle-only packed beds, achieving high convective heat transfer coefficients ranging from 200-400 W/m²K.</w:t>
      </w:r>
    </w:p>
    <w:p w14:paraId="6B3A30F2" w14:textId="60F437D9" w:rsidR="003F7FED" w:rsidRPr="008F5202" w:rsidRDefault="00ED0DEE" w:rsidP="00ED0DEE">
      <w:pPr>
        <w:spacing w:line="360" w:lineRule="auto"/>
        <w:jc w:val="both"/>
        <w:rPr>
          <w:rFonts w:ascii="Times New Roman" w:hAnsi="Times New Roman" w:cs="Times New Roman"/>
          <w:b/>
          <w:bCs/>
        </w:rPr>
      </w:pPr>
      <w:r w:rsidRPr="008F5202">
        <w:rPr>
          <w:rFonts w:ascii="Times New Roman" w:hAnsi="Times New Roman" w:cs="Times New Roman"/>
        </w:rPr>
        <w:t>This comprehensive study demonstrates the potential of additively manufactured lattice structures in significantly improving heat transfer performance in packed bed heat exchangers, with promising applications in CSP plants.</w:t>
      </w:r>
      <w:r w:rsidR="009C755C" w:rsidRPr="008F5202">
        <w:rPr>
          <w:rFonts w:ascii="Times New Roman" w:hAnsi="Times New Roman" w:cs="Times New Roman"/>
          <w:b/>
          <w:bCs/>
        </w:rPr>
        <w:br w:type="page"/>
      </w:r>
    </w:p>
    <w:sdt>
      <w:sdtPr>
        <w:id w:val="607165129"/>
        <w:docPartObj>
          <w:docPartGallery w:val="Table of Contents"/>
          <w:docPartUnique/>
        </w:docPartObj>
      </w:sdtPr>
      <w:sdtEndPr>
        <w:rPr>
          <w:rFonts w:ascii="Times New Roman" w:hAnsi="Times New Roman" w:cs="Times New Roman"/>
          <w:b w:val="0"/>
          <w:bCs/>
          <w:caps w:val="0"/>
          <w:noProof/>
          <w:sz w:val="24"/>
        </w:rPr>
      </w:sdtEndPr>
      <w:sdtContent>
        <w:p w14:paraId="3274A954" w14:textId="77777777" w:rsidR="00E91931" w:rsidRPr="00B44E75" w:rsidRDefault="00E91931" w:rsidP="00AF1AFB">
          <w:pPr>
            <w:pStyle w:val="TOCHeading"/>
            <w:rPr>
              <w:rFonts w:ascii="Times New Roman" w:hAnsi="Times New Roman" w:cs="Times New Roman"/>
            </w:rPr>
          </w:pPr>
          <w:r w:rsidRPr="00B44E75">
            <w:rPr>
              <w:rFonts w:ascii="Times New Roman" w:hAnsi="Times New Roman" w:cs="Times New Roman"/>
            </w:rPr>
            <w:t>Table of Contents</w:t>
          </w:r>
        </w:p>
        <w:p w14:paraId="4090C745" w14:textId="77777777" w:rsidR="00D83B30" w:rsidRPr="00B44E75" w:rsidRDefault="00D83B30" w:rsidP="008F5202">
          <w:pPr>
            <w:spacing w:line="360" w:lineRule="auto"/>
            <w:rPr>
              <w:rFonts w:ascii="Times New Roman" w:hAnsi="Times New Roman" w:cs="Times New Roman"/>
            </w:rPr>
          </w:pPr>
        </w:p>
        <w:p w14:paraId="175AF417" w14:textId="44DBBDEF" w:rsidR="00B44E75" w:rsidRPr="00B44E75" w:rsidRDefault="00E91931" w:rsidP="00B44E75">
          <w:pPr>
            <w:pStyle w:val="TOC1"/>
            <w:tabs>
              <w:tab w:val="right" w:leader="dot" w:pos="8630"/>
            </w:tabs>
            <w:spacing w:line="276" w:lineRule="auto"/>
            <w:rPr>
              <w:rFonts w:ascii="Times New Roman" w:eastAsiaTheme="minorEastAsia" w:hAnsi="Times New Roman" w:cs="Times New Roman"/>
              <w:noProof/>
              <w:kern w:val="2"/>
              <w14:ligatures w14:val="standardContextual"/>
            </w:rPr>
          </w:pPr>
          <w:r w:rsidRPr="00B44E75">
            <w:rPr>
              <w:rFonts w:ascii="Times New Roman" w:hAnsi="Times New Roman" w:cs="Times New Roman"/>
            </w:rPr>
            <w:fldChar w:fldCharType="begin"/>
          </w:r>
          <w:r w:rsidRPr="00B44E75">
            <w:rPr>
              <w:rFonts w:ascii="Times New Roman" w:hAnsi="Times New Roman" w:cs="Times New Roman"/>
            </w:rPr>
            <w:instrText xml:space="preserve"> TOC \o "1-3" \h \z \u </w:instrText>
          </w:r>
          <w:r w:rsidRPr="00B44E75">
            <w:rPr>
              <w:rFonts w:ascii="Times New Roman" w:hAnsi="Times New Roman" w:cs="Times New Roman"/>
            </w:rPr>
            <w:fldChar w:fldCharType="separate"/>
          </w:r>
          <w:hyperlink w:anchor="_Toc177758129" w:history="1">
            <w:r w:rsidR="00B44E75" w:rsidRPr="00B44E75">
              <w:rPr>
                <w:rStyle w:val="Hyperlink"/>
                <w:rFonts w:ascii="Times New Roman" w:hAnsi="Times New Roman" w:cs="Times New Roman"/>
                <w:noProof/>
              </w:rPr>
              <w:t>Chapter One : GENERAL INTRODUCTION &amp; Literature Review</w:t>
            </w:r>
            <w:r w:rsidR="00B44E75" w:rsidRPr="00B44E75">
              <w:rPr>
                <w:rFonts w:ascii="Times New Roman" w:hAnsi="Times New Roman" w:cs="Times New Roman"/>
                <w:noProof/>
                <w:webHidden/>
              </w:rPr>
              <w:tab/>
            </w:r>
            <w:r w:rsidR="00B44E75" w:rsidRPr="00B44E75">
              <w:rPr>
                <w:rFonts w:ascii="Times New Roman" w:hAnsi="Times New Roman" w:cs="Times New Roman"/>
                <w:noProof/>
                <w:webHidden/>
              </w:rPr>
              <w:fldChar w:fldCharType="begin"/>
            </w:r>
            <w:r w:rsidR="00B44E75" w:rsidRPr="00B44E75">
              <w:rPr>
                <w:rFonts w:ascii="Times New Roman" w:hAnsi="Times New Roman" w:cs="Times New Roman"/>
                <w:noProof/>
                <w:webHidden/>
              </w:rPr>
              <w:instrText xml:space="preserve"> PAGEREF _Toc177758129 \h </w:instrText>
            </w:r>
            <w:r w:rsidR="00B44E75" w:rsidRPr="00B44E75">
              <w:rPr>
                <w:rFonts w:ascii="Times New Roman" w:hAnsi="Times New Roman" w:cs="Times New Roman"/>
                <w:noProof/>
                <w:webHidden/>
              </w:rPr>
            </w:r>
            <w:r w:rsidR="00B44E75"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w:t>
            </w:r>
            <w:r w:rsidR="00B44E75" w:rsidRPr="00B44E75">
              <w:rPr>
                <w:rFonts w:ascii="Times New Roman" w:hAnsi="Times New Roman" w:cs="Times New Roman"/>
                <w:noProof/>
                <w:webHidden/>
              </w:rPr>
              <w:fldChar w:fldCharType="end"/>
            </w:r>
          </w:hyperlink>
        </w:p>
        <w:p w14:paraId="1752D3A6" w14:textId="579FFBDA"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30" w:history="1">
            <w:r w:rsidRPr="00B44E75">
              <w:rPr>
                <w:rStyle w:val="Hyperlink"/>
                <w:rFonts w:ascii="Times New Roman" w:hAnsi="Times New Roman" w:cs="Times New Roman"/>
                <w:noProof/>
              </w:rPr>
              <w:t>References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_Toc177758130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15</w:t>
            </w:r>
            <w:r w:rsidRPr="00B44E75">
              <w:rPr>
                <w:rFonts w:ascii="Times New Roman" w:hAnsi="Times New Roman" w:cs="Times New Roman"/>
                <w:noProof/>
                <w:webHidden/>
              </w:rPr>
              <w:fldChar w:fldCharType="end"/>
            </w:r>
          </w:hyperlink>
        </w:p>
        <w:p w14:paraId="5F8E511C" w14:textId="71189E64" w:rsidR="00B44E75" w:rsidRPr="00B44E75" w:rsidRDefault="00B44E75" w:rsidP="00B44E75">
          <w:pPr>
            <w:pStyle w:val="TOC1"/>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31" w:history="1">
            <w:r w:rsidRPr="00B44E75">
              <w:rPr>
                <w:rStyle w:val="Hyperlink"/>
                <w:rFonts w:ascii="Times New Roman" w:hAnsi="Times New Roman" w:cs="Times New Roman"/>
                <w:noProof/>
              </w:rPr>
              <w:t>Chapter Two : Periodic heat transfer characteristics of additively manufactured lattices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_Toc177758131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25</w:t>
            </w:r>
            <w:r w:rsidRPr="00B44E75">
              <w:rPr>
                <w:rFonts w:ascii="Times New Roman" w:hAnsi="Times New Roman" w:cs="Times New Roman"/>
                <w:noProof/>
                <w:webHidden/>
              </w:rPr>
              <w:fldChar w:fldCharType="end"/>
            </w:r>
          </w:hyperlink>
        </w:p>
        <w:p w14:paraId="71CA75C9" w14:textId="04E26BBE"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32" w:history="1">
            <w:r w:rsidRPr="00B44E75">
              <w:rPr>
                <w:rStyle w:val="Hyperlink"/>
                <w:rFonts w:ascii="Times New Roman" w:hAnsi="Times New Roman" w:cs="Times New Roman"/>
                <w:noProof/>
              </w:rPr>
              <w:t>Abstract</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_Toc177758132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25</w:t>
            </w:r>
            <w:r w:rsidRPr="00B44E75">
              <w:rPr>
                <w:rFonts w:ascii="Times New Roman" w:hAnsi="Times New Roman" w:cs="Times New Roman"/>
                <w:noProof/>
                <w:webHidden/>
              </w:rPr>
              <w:fldChar w:fldCharType="end"/>
            </w:r>
          </w:hyperlink>
        </w:p>
        <w:p w14:paraId="7F159F52" w14:textId="14A2EA98"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33" w:history="1">
            <w:r w:rsidRPr="00B44E75">
              <w:rPr>
                <w:rStyle w:val="Hyperlink"/>
                <w:rFonts w:ascii="Times New Roman" w:hAnsi="Times New Roman" w:cs="Times New Roman"/>
                <w:noProof/>
              </w:rPr>
              <w:t>Introduction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_Toc177758133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26</w:t>
            </w:r>
            <w:r w:rsidRPr="00B44E75">
              <w:rPr>
                <w:rFonts w:ascii="Times New Roman" w:hAnsi="Times New Roman" w:cs="Times New Roman"/>
                <w:noProof/>
                <w:webHidden/>
              </w:rPr>
              <w:fldChar w:fldCharType="end"/>
            </w:r>
          </w:hyperlink>
        </w:p>
        <w:p w14:paraId="7B8DFE01" w14:textId="5C968175"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34" w:history="1">
            <w:r w:rsidRPr="00B44E75">
              <w:rPr>
                <w:rStyle w:val="Hyperlink"/>
                <w:rFonts w:ascii="Times New Roman" w:hAnsi="Times New Roman" w:cs="Times New Roman"/>
                <w:noProof/>
              </w:rPr>
              <w:t>Geometric details of the test samples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_Toc177758134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31</w:t>
            </w:r>
            <w:r w:rsidRPr="00B44E75">
              <w:rPr>
                <w:rFonts w:ascii="Times New Roman" w:hAnsi="Times New Roman" w:cs="Times New Roman"/>
                <w:noProof/>
                <w:webHidden/>
              </w:rPr>
              <w:fldChar w:fldCharType="end"/>
            </w:r>
          </w:hyperlink>
        </w:p>
        <w:p w14:paraId="115657E3" w14:textId="3E24F9FC"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35" w:history="1">
            <w:r w:rsidRPr="00B44E75">
              <w:rPr>
                <w:rStyle w:val="Hyperlink"/>
                <w:rFonts w:ascii="Times New Roman" w:hAnsi="Times New Roman" w:cs="Times New Roman"/>
                <w:noProof/>
              </w:rPr>
              <w:t>Experimental setup</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_Toc177758135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33</w:t>
            </w:r>
            <w:r w:rsidRPr="00B44E75">
              <w:rPr>
                <w:rFonts w:ascii="Times New Roman" w:hAnsi="Times New Roman" w:cs="Times New Roman"/>
                <w:noProof/>
                <w:webHidden/>
              </w:rPr>
              <w:fldChar w:fldCharType="end"/>
            </w:r>
          </w:hyperlink>
        </w:p>
        <w:p w14:paraId="38766C1E" w14:textId="5CA093A1"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36" w:history="1">
            <w:r w:rsidRPr="00B44E75">
              <w:rPr>
                <w:rStyle w:val="Hyperlink"/>
                <w:rFonts w:ascii="Times New Roman" w:hAnsi="Times New Roman" w:cs="Times New Roman"/>
                <w:noProof/>
              </w:rPr>
              <w:t>Experimental method and data reduction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_Toc177758136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35</w:t>
            </w:r>
            <w:r w:rsidRPr="00B44E75">
              <w:rPr>
                <w:rFonts w:ascii="Times New Roman" w:hAnsi="Times New Roman" w:cs="Times New Roman"/>
                <w:noProof/>
                <w:webHidden/>
              </w:rPr>
              <w:fldChar w:fldCharType="end"/>
            </w:r>
          </w:hyperlink>
        </w:p>
        <w:p w14:paraId="321E8DC5" w14:textId="3011EEF3"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37" w:history="1">
            <w:r w:rsidRPr="00B44E75">
              <w:rPr>
                <w:rStyle w:val="Hyperlink"/>
                <w:rFonts w:ascii="Times New Roman" w:hAnsi="Times New Roman" w:cs="Times New Roman"/>
                <w:noProof/>
              </w:rPr>
              <w:t>Forced convection experimental procedure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_Toc177758137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35</w:t>
            </w:r>
            <w:r w:rsidRPr="00B44E75">
              <w:rPr>
                <w:rFonts w:ascii="Times New Roman" w:hAnsi="Times New Roman" w:cs="Times New Roman"/>
                <w:noProof/>
                <w:webHidden/>
              </w:rPr>
              <w:fldChar w:fldCharType="end"/>
            </w:r>
          </w:hyperlink>
        </w:p>
        <w:p w14:paraId="5931945C" w14:textId="39111EED"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38" w:history="1">
            <w:r w:rsidRPr="00B44E75">
              <w:rPr>
                <w:rStyle w:val="Hyperlink"/>
                <w:rFonts w:ascii="Times New Roman" w:hAnsi="Times New Roman" w:cs="Times New Roman"/>
                <w:noProof/>
              </w:rPr>
              <w:t>Heat loss measurements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_Toc177758138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36</w:t>
            </w:r>
            <w:r w:rsidRPr="00B44E75">
              <w:rPr>
                <w:rFonts w:ascii="Times New Roman" w:hAnsi="Times New Roman" w:cs="Times New Roman"/>
                <w:noProof/>
                <w:webHidden/>
              </w:rPr>
              <w:fldChar w:fldCharType="end"/>
            </w:r>
          </w:hyperlink>
        </w:p>
        <w:p w14:paraId="5E15666F" w14:textId="652933C2"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39" w:history="1">
            <w:r w:rsidRPr="00B44E75">
              <w:rPr>
                <w:rStyle w:val="Hyperlink"/>
                <w:rFonts w:ascii="Times New Roman" w:hAnsi="Times New Roman" w:cs="Times New Roman"/>
                <w:noProof/>
              </w:rPr>
              <w:t>Data reduction for heat transfer coefficient</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_Toc177758139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37</w:t>
            </w:r>
            <w:r w:rsidRPr="00B44E75">
              <w:rPr>
                <w:rFonts w:ascii="Times New Roman" w:hAnsi="Times New Roman" w:cs="Times New Roman"/>
                <w:noProof/>
                <w:webHidden/>
              </w:rPr>
              <w:fldChar w:fldCharType="end"/>
            </w:r>
          </w:hyperlink>
        </w:p>
        <w:p w14:paraId="7607A86E" w14:textId="7BB5C8A1"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40" w:history="1">
            <w:r w:rsidRPr="00B44E75">
              <w:rPr>
                <w:rStyle w:val="Hyperlink"/>
                <w:rFonts w:ascii="Times New Roman" w:hAnsi="Times New Roman" w:cs="Times New Roman"/>
                <w:noProof/>
              </w:rPr>
              <w:t>Results and discussion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_Toc177758140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39</w:t>
            </w:r>
            <w:r w:rsidRPr="00B44E75">
              <w:rPr>
                <w:rFonts w:ascii="Times New Roman" w:hAnsi="Times New Roman" w:cs="Times New Roman"/>
                <w:noProof/>
                <w:webHidden/>
              </w:rPr>
              <w:fldChar w:fldCharType="end"/>
            </w:r>
          </w:hyperlink>
        </w:p>
        <w:p w14:paraId="1ED58AAF" w14:textId="431C7B30"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41" w:history="1">
            <w:r w:rsidRPr="00B44E75">
              <w:rPr>
                <w:rStyle w:val="Hyperlink"/>
                <w:rFonts w:ascii="Times New Roman" w:hAnsi="Times New Roman" w:cs="Times New Roman"/>
                <w:noProof/>
              </w:rPr>
              <w:t>Benchmarking heat transfer data</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_Toc177758141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39</w:t>
            </w:r>
            <w:r w:rsidRPr="00B44E75">
              <w:rPr>
                <w:rFonts w:ascii="Times New Roman" w:hAnsi="Times New Roman" w:cs="Times New Roman"/>
                <w:noProof/>
                <w:webHidden/>
              </w:rPr>
              <w:fldChar w:fldCharType="end"/>
            </w:r>
          </w:hyperlink>
        </w:p>
        <w:p w14:paraId="013625D5" w14:textId="06AC9DA9"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42" w:history="1">
            <w:r w:rsidRPr="00B44E75">
              <w:rPr>
                <w:rStyle w:val="Hyperlink"/>
                <w:rFonts w:ascii="Times New Roman" w:hAnsi="Times New Roman" w:cs="Times New Roman"/>
                <w:noProof/>
              </w:rPr>
              <w:t>Mean heat transfer characteristics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_Toc177758142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42</w:t>
            </w:r>
            <w:r w:rsidRPr="00B44E75">
              <w:rPr>
                <w:rFonts w:ascii="Times New Roman" w:hAnsi="Times New Roman" w:cs="Times New Roman"/>
                <w:noProof/>
                <w:webHidden/>
              </w:rPr>
              <w:fldChar w:fldCharType="end"/>
            </w:r>
          </w:hyperlink>
        </w:p>
        <w:p w14:paraId="15561015" w14:textId="3B7EB513"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43" w:history="1">
            <w:r w:rsidRPr="00B44E75">
              <w:rPr>
                <w:rStyle w:val="Hyperlink"/>
                <w:rFonts w:ascii="Times New Roman" w:hAnsi="Times New Roman" w:cs="Times New Roman"/>
                <w:noProof/>
              </w:rPr>
              <w:t>Heat transfer augmentation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_Toc177758143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51</w:t>
            </w:r>
            <w:r w:rsidRPr="00B44E75">
              <w:rPr>
                <w:rFonts w:ascii="Times New Roman" w:hAnsi="Times New Roman" w:cs="Times New Roman"/>
                <w:noProof/>
                <w:webHidden/>
              </w:rPr>
              <w:fldChar w:fldCharType="end"/>
            </w:r>
          </w:hyperlink>
        </w:p>
        <w:p w14:paraId="21B3B5D9" w14:textId="7FC3E18E"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44" w:history="1">
            <w:r w:rsidRPr="00B44E75">
              <w:rPr>
                <w:rStyle w:val="Hyperlink"/>
                <w:rFonts w:ascii="Times New Roman" w:hAnsi="Times New Roman" w:cs="Times New Roman"/>
                <w:noProof/>
              </w:rPr>
              <w:t>Pressure drop characteristics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_Toc177758144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52</w:t>
            </w:r>
            <w:r w:rsidRPr="00B44E75">
              <w:rPr>
                <w:rFonts w:ascii="Times New Roman" w:hAnsi="Times New Roman" w:cs="Times New Roman"/>
                <w:noProof/>
                <w:webHidden/>
              </w:rPr>
              <w:fldChar w:fldCharType="end"/>
            </w:r>
          </w:hyperlink>
        </w:p>
        <w:p w14:paraId="0653F800" w14:textId="38A574EF"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45" w:history="1">
            <w:r w:rsidRPr="00B44E75">
              <w:rPr>
                <w:rStyle w:val="Hyperlink"/>
                <w:rFonts w:ascii="Times New Roman" w:hAnsi="Times New Roman" w:cs="Times New Roman"/>
                <w:noProof/>
              </w:rPr>
              <w:t>Pumping power requirements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_Toc177758145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54</w:t>
            </w:r>
            <w:r w:rsidRPr="00B44E75">
              <w:rPr>
                <w:rFonts w:ascii="Times New Roman" w:hAnsi="Times New Roman" w:cs="Times New Roman"/>
                <w:noProof/>
                <w:webHidden/>
              </w:rPr>
              <w:fldChar w:fldCharType="end"/>
            </w:r>
          </w:hyperlink>
        </w:p>
        <w:p w14:paraId="5E5DCFA2" w14:textId="612E7E91"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46" w:history="1">
            <w:r w:rsidRPr="00B44E75">
              <w:rPr>
                <w:rStyle w:val="Hyperlink"/>
                <w:rFonts w:ascii="Times New Roman" w:hAnsi="Times New Roman" w:cs="Times New Roman"/>
                <w:noProof/>
              </w:rPr>
              <w:t>Thermal-hydraulic performance (THP)</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_Toc177758146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55</w:t>
            </w:r>
            <w:r w:rsidRPr="00B44E75">
              <w:rPr>
                <w:rFonts w:ascii="Times New Roman" w:hAnsi="Times New Roman" w:cs="Times New Roman"/>
                <w:noProof/>
                <w:webHidden/>
              </w:rPr>
              <w:fldChar w:fldCharType="end"/>
            </w:r>
          </w:hyperlink>
        </w:p>
        <w:p w14:paraId="4FF361D0" w14:textId="19E69A94"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47" w:history="1">
            <w:r w:rsidRPr="00B44E75">
              <w:rPr>
                <w:rStyle w:val="Hyperlink"/>
                <w:rFonts w:ascii="Times New Roman" w:hAnsi="Times New Roman" w:cs="Times New Roman"/>
                <w:noProof/>
              </w:rPr>
              <w:t>Conclusions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_Toc177758147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56</w:t>
            </w:r>
            <w:r w:rsidRPr="00B44E75">
              <w:rPr>
                <w:rFonts w:ascii="Times New Roman" w:hAnsi="Times New Roman" w:cs="Times New Roman"/>
                <w:noProof/>
                <w:webHidden/>
              </w:rPr>
              <w:fldChar w:fldCharType="end"/>
            </w:r>
          </w:hyperlink>
        </w:p>
        <w:p w14:paraId="46FC568F" w14:textId="33AF61BE"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48" w:history="1">
            <w:r w:rsidRPr="00B44E75">
              <w:rPr>
                <w:rStyle w:val="Hyperlink"/>
                <w:rFonts w:ascii="Times New Roman" w:hAnsi="Times New Roman" w:cs="Times New Roman"/>
                <w:noProof/>
              </w:rPr>
              <w:t>Numeclature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_Toc177758148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58</w:t>
            </w:r>
            <w:r w:rsidRPr="00B44E75">
              <w:rPr>
                <w:rFonts w:ascii="Times New Roman" w:hAnsi="Times New Roman" w:cs="Times New Roman"/>
                <w:noProof/>
                <w:webHidden/>
              </w:rPr>
              <w:fldChar w:fldCharType="end"/>
            </w:r>
          </w:hyperlink>
        </w:p>
        <w:p w14:paraId="5991784D" w14:textId="486C8D49"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49" w:history="1">
            <w:r w:rsidRPr="00B44E75">
              <w:rPr>
                <w:rStyle w:val="Hyperlink"/>
                <w:rFonts w:ascii="Times New Roman" w:hAnsi="Times New Roman" w:cs="Times New Roman"/>
                <w:noProof/>
              </w:rPr>
              <w:t>Greek symbols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_Toc177758149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59</w:t>
            </w:r>
            <w:r w:rsidRPr="00B44E75">
              <w:rPr>
                <w:rFonts w:ascii="Times New Roman" w:hAnsi="Times New Roman" w:cs="Times New Roman"/>
                <w:noProof/>
                <w:webHidden/>
              </w:rPr>
              <w:fldChar w:fldCharType="end"/>
            </w:r>
          </w:hyperlink>
        </w:p>
        <w:p w14:paraId="3CC0FF55" w14:textId="1C956D86"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50" w:history="1">
            <w:r w:rsidRPr="00B44E75">
              <w:rPr>
                <w:rStyle w:val="Hyperlink"/>
                <w:rFonts w:ascii="Times New Roman" w:hAnsi="Times New Roman" w:cs="Times New Roman"/>
                <w:noProof/>
              </w:rPr>
              <w:t>Subscripts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_Toc177758150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59</w:t>
            </w:r>
            <w:r w:rsidRPr="00B44E75">
              <w:rPr>
                <w:rFonts w:ascii="Times New Roman" w:hAnsi="Times New Roman" w:cs="Times New Roman"/>
                <w:noProof/>
                <w:webHidden/>
              </w:rPr>
              <w:fldChar w:fldCharType="end"/>
            </w:r>
          </w:hyperlink>
        </w:p>
        <w:p w14:paraId="53104628" w14:textId="6B980F45"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51" w:history="1">
            <w:r w:rsidRPr="00B44E75">
              <w:rPr>
                <w:rStyle w:val="Hyperlink"/>
                <w:rFonts w:ascii="Times New Roman" w:hAnsi="Times New Roman" w:cs="Times New Roman"/>
                <w:noProof/>
              </w:rPr>
              <w:t>References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_Toc177758151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60</w:t>
            </w:r>
            <w:r w:rsidRPr="00B44E75">
              <w:rPr>
                <w:rFonts w:ascii="Times New Roman" w:hAnsi="Times New Roman" w:cs="Times New Roman"/>
                <w:noProof/>
                <w:webHidden/>
              </w:rPr>
              <w:fldChar w:fldCharType="end"/>
            </w:r>
          </w:hyperlink>
        </w:p>
        <w:p w14:paraId="3260440C" w14:textId="5626FAC9" w:rsidR="00B44E75" w:rsidRPr="00B44E75" w:rsidRDefault="00B44E75" w:rsidP="00B44E75">
          <w:pPr>
            <w:pStyle w:val="TOC1"/>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52" w:history="1">
            <w:r w:rsidRPr="00B44E75">
              <w:rPr>
                <w:rStyle w:val="Hyperlink"/>
                <w:rFonts w:ascii="Times New Roman" w:hAnsi="Times New Roman" w:cs="Times New Roman"/>
                <w:noProof/>
              </w:rPr>
              <w:t>Chapter Three : Thermal-Hydraulic Performance of Additively Manufactured Lattices for Gas Turbine Blade Trailing Edge Cooling</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_Toc177758152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64</w:t>
            </w:r>
            <w:r w:rsidRPr="00B44E75">
              <w:rPr>
                <w:rFonts w:ascii="Times New Roman" w:hAnsi="Times New Roman" w:cs="Times New Roman"/>
                <w:noProof/>
                <w:webHidden/>
              </w:rPr>
              <w:fldChar w:fldCharType="end"/>
            </w:r>
          </w:hyperlink>
        </w:p>
        <w:p w14:paraId="321F6032" w14:textId="2229BAF4"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53" w:history="1">
            <w:r w:rsidRPr="00B44E75">
              <w:rPr>
                <w:rStyle w:val="Hyperlink"/>
                <w:rFonts w:ascii="Times New Roman" w:hAnsi="Times New Roman" w:cs="Times New Roman"/>
                <w:noProof/>
              </w:rPr>
              <w:t>Abstract</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_Toc177758153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64</w:t>
            </w:r>
            <w:r w:rsidRPr="00B44E75">
              <w:rPr>
                <w:rFonts w:ascii="Times New Roman" w:hAnsi="Times New Roman" w:cs="Times New Roman"/>
                <w:noProof/>
                <w:webHidden/>
              </w:rPr>
              <w:fldChar w:fldCharType="end"/>
            </w:r>
          </w:hyperlink>
        </w:p>
        <w:p w14:paraId="78BA1DDA" w14:textId="3DC1E41E"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54" w:history="1">
            <w:r w:rsidRPr="00B44E75">
              <w:rPr>
                <w:rStyle w:val="Hyperlink"/>
                <w:rFonts w:ascii="Times New Roman" w:hAnsi="Times New Roman" w:cs="Times New Roman"/>
                <w:noProof/>
              </w:rPr>
              <w:t>Nomenclature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_Toc177758154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65</w:t>
            </w:r>
            <w:r w:rsidRPr="00B44E75">
              <w:rPr>
                <w:rFonts w:ascii="Times New Roman" w:hAnsi="Times New Roman" w:cs="Times New Roman"/>
                <w:noProof/>
                <w:webHidden/>
              </w:rPr>
              <w:fldChar w:fldCharType="end"/>
            </w:r>
          </w:hyperlink>
        </w:p>
        <w:p w14:paraId="17181D2C" w14:textId="742C5B91"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55" w:history="1">
            <w:r w:rsidRPr="00B44E75">
              <w:rPr>
                <w:rStyle w:val="Hyperlink"/>
                <w:rFonts w:ascii="Times New Roman" w:hAnsi="Times New Roman" w:cs="Times New Roman"/>
                <w:noProof/>
              </w:rPr>
              <w:t>Greek symbols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_Toc177758155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67</w:t>
            </w:r>
            <w:r w:rsidRPr="00B44E75">
              <w:rPr>
                <w:rFonts w:ascii="Times New Roman" w:hAnsi="Times New Roman" w:cs="Times New Roman"/>
                <w:noProof/>
                <w:webHidden/>
              </w:rPr>
              <w:fldChar w:fldCharType="end"/>
            </w:r>
          </w:hyperlink>
        </w:p>
        <w:p w14:paraId="1323E6E5" w14:textId="312D210D"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56" w:history="1">
            <w:r w:rsidRPr="00B44E75">
              <w:rPr>
                <w:rStyle w:val="Hyperlink"/>
                <w:rFonts w:ascii="Times New Roman" w:hAnsi="Times New Roman" w:cs="Times New Roman"/>
                <w:noProof/>
              </w:rPr>
              <w:t>Introduction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_Toc177758156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67</w:t>
            </w:r>
            <w:r w:rsidRPr="00B44E75">
              <w:rPr>
                <w:rFonts w:ascii="Times New Roman" w:hAnsi="Times New Roman" w:cs="Times New Roman"/>
                <w:noProof/>
                <w:webHidden/>
              </w:rPr>
              <w:fldChar w:fldCharType="end"/>
            </w:r>
          </w:hyperlink>
        </w:p>
        <w:p w14:paraId="635DA4B9" w14:textId="41E0A140"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57" w:history="1">
            <w:r w:rsidRPr="00B44E75">
              <w:rPr>
                <w:rStyle w:val="Hyperlink"/>
                <w:rFonts w:ascii="Times New Roman" w:eastAsia="Aptos" w:hAnsi="Times New Roman" w:cs="Times New Roman"/>
                <w:noProof/>
              </w:rPr>
              <w:t>Description of the test samples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_Toc177758157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73</w:t>
            </w:r>
            <w:r w:rsidRPr="00B44E75">
              <w:rPr>
                <w:rFonts w:ascii="Times New Roman" w:hAnsi="Times New Roman" w:cs="Times New Roman"/>
                <w:noProof/>
                <w:webHidden/>
              </w:rPr>
              <w:fldChar w:fldCharType="end"/>
            </w:r>
          </w:hyperlink>
        </w:p>
        <w:p w14:paraId="1A853CA1" w14:textId="3426E674"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58" w:history="1">
            <w:r w:rsidRPr="00B44E75">
              <w:rPr>
                <w:rStyle w:val="Hyperlink"/>
                <w:rFonts w:ascii="Times New Roman" w:eastAsia="Aptos" w:hAnsi="Times New Roman" w:cs="Times New Roman"/>
                <w:noProof/>
              </w:rPr>
              <w:t>X-ray Computed Tomography (CT)</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_Toc177758158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75</w:t>
            </w:r>
            <w:r w:rsidRPr="00B44E75">
              <w:rPr>
                <w:rFonts w:ascii="Times New Roman" w:hAnsi="Times New Roman" w:cs="Times New Roman"/>
                <w:noProof/>
                <w:webHidden/>
              </w:rPr>
              <w:fldChar w:fldCharType="end"/>
            </w:r>
          </w:hyperlink>
        </w:p>
        <w:p w14:paraId="0473A3CA" w14:textId="460F8941"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59" w:history="1">
            <w:r w:rsidRPr="00B44E75">
              <w:rPr>
                <w:rStyle w:val="Hyperlink"/>
                <w:rFonts w:ascii="Times New Roman" w:eastAsia="Aptos" w:hAnsi="Times New Roman" w:cs="Times New Roman"/>
                <w:noProof/>
              </w:rPr>
              <w:t>Experimental set-up</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_Toc177758159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76</w:t>
            </w:r>
            <w:r w:rsidRPr="00B44E75">
              <w:rPr>
                <w:rFonts w:ascii="Times New Roman" w:hAnsi="Times New Roman" w:cs="Times New Roman"/>
                <w:noProof/>
                <w:webHidden/>
              </w:rPr>
              <w:fldChar w:fldCharType="end"/>
            </w:r>
          </w:hyperlink>
        </w:p>
        <w:p w14:paraId="635F31CE" w14:textId="44BFAF79"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60" w:history="1">
            <w:r w:rsidRPr="00B44E75">
              <w:rPr>
                <w:rStyle w:val="Hyperlink"/>
                <w:rFonts w:ascii="Times New Roman" w:eastAsia="Aptos" w:hAnsi="Times New Roman" w:cs="Times New Roman"/>
                <w:noProof/>
              </w:rPr>
              <w:t>k</w:t>
            </w:r>
            <w:r w:rsidRPr="00B44E75">
              <w:rPr>
                <w:rStyle w:val="Hyperlink"/>
                <w:rFonts w:ascii="Times New Roman" w:eastAsia="Aptos" w:hAnsi="Times New Roman" w:cs="Times New Roman"/>
                <w:noProof/>
                <w:vertAlign w:val="subscript"/>
              </w:rPr>
              <w:t xml:space="preserve">eff  </w:t>
            </w:r>
            <w:r w:rsidRPr="00B44E75">
              <w:rPr>
                <w:rStyle w:val="Hyperlink"/>
                <w:rFonts w:ascii="Times New Roman" w:eastAsia="Aptos" w:hAnsi="Times New Roman" w:cs="Times New Roman"/>
                <w:noProof/>
              </w:rPr>
              <w:t>experiments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_Toc177758160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76</w:t>
            </w:r>
            <w:r w:rsidRPr="00B44E75">
              <w:rPr>
                <w:rFonts w:ascii="Times New Roman" w:hAnsi="Times New Roman" w:cs="Times New Roman"/>
                <w:noProof/>
                <w:webHidden/>
              </w:rPr>
              <w:fldChar w:fldCharType="end"/>
            </w:r>
          </w:hyperlink>
        </w:p>
        <w:p w14:paraId="5606993B" w14:textId="393ABB5E"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61" w:history="1">
            <w:r w:rsidRPr="00B44E75">
              <w:rPr>
                <w:rStyle w:val="Hyperlink"/>
                <w:rFonts w:ascii="Times New Roman" w:eastAsia="Aptos" w:hAnsi="Times New Roman" w:cs="Times New Roman"/>
                <w:noProof/>
              </w:rPr>
              <w:t>Forced convection experiments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_Toc177758161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77</w:t>
            </w:r>
            <w:r w:rsidRPr="00B44E75">
              <w:rPr>
                <w:rFonts w:ascii="Times New Roman" w:hAnsi="Times New Roman" w:cs="Times New Roman"/>
                <w:noProof/>
                <w:webHidden/>
              </w:rPr>
              <w:fldChar w:fldCharType="end"/>
            </w:r>
          </w:hyperlink>
        </w:p>
        <w:p w14:paraId="56314DC4" w14:textId="726C0305"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62" w:history="1">
            <w:r w:rsidRPr="00B44E75">
              <w:rPr>
                <w:rStyle w:val="Hyperlink"/>
                <w:rFonts w:ascii="Times New Roman" w:eastAsia="Aptos" w:hAnsi="Times New Roman" w:cs="Times New Roman"/>
                <w:noProof/>
              </w:rPr>
              <w:t>Experimental method and data reduction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_Toc177758162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78</w:t>
            </w:r>
            <w:r w:rsidRPr="00B44E75">
              <w:rPr>
                <w:rFonts w:ascii="Times New Roman" w:hAnsi="Times New Roman" w:cs="Times New Roman"/>
                <w:noProof/>
                <w:webHidden/>
              </w:rPr>
              <w:fldChar w:fldCharType="end"/>
            </w:r>
          </w:hyperlink>
        </w:p>
        <w:p w14:paraId="3C81302B" w14:textId="26BC2634"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63" w:history="1">
            <w:r w:rsidRPr="00B44E75">
              <w:rPr>
                <w:rStyle w:val="Hyperlink"/>
                <w:rFonts w:ascii="Times New Roman" w:eastAsia="Aptos" w:hAnsi="Times New Roman" w:cs="Times New Roman"/>
                <w:noProof/>
              </w:rPr>
              <w:t>Results and discussion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_Toc177758163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80</w:t>
            </w:r>
            <w:r w:rsidRPr="00B44E75">
              <w:rPr>
                <w:rFonts w:ascii="Times New Roman" w:hAnsi="Times New Roman" w:cs="Times New Roman"/>
                <w:noProof/>
                <w:webHidden/>
              </w:rPr>
              <w:fldChar w:fldCharType="end"/>
            </w:r>
          </w:hyperlink>
        </w:p>
        <w:p w14:paraId="4321C4E7" w14:textId="5985DF50"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64" w:history="1">
            <w:r w:rsidRPr="00B44E75">
              <w:rPr>
                <w:rStyle w:val="Hyperlink"/>
                <w:rFonts w:ascii="Times New Roman" w:eastAsia="Aptos" w:hAnsi="Times New Roman" w:cs="Times New Roman"/>
                <w:iCs/>
                <w:noProof/>
              </w:rPr>
              <w:t>k</w:t>
            </w:r>
            <w:r w:rsidRPr="00B44E75">
              <w:rPr>
                <w:rStyle w:val="Hyperlink"/>
                <w:rFonts w:ascii="Times New Roman" w:eastAsia="Aptos" w:hAnsi="Times New Roman" w:cs="Times New Roman"/>
                <w:noProof/>
                <w:vertAlign w:val="subscript"/>
              </w:rPr>
              <w:t>eff</w:t>
            </w:r>
            <w:r w:rsidRPr="00B44E75">
              <w:rPr>
                <w:rStyle w:val="Hyperlink"/>
                <w:rFonts w:ascii="Times New Roman" w:eastAsia="Aptos" w:hAnsi="Times New Roman" w:cs="Times New Roman"/>
                <w:noProof/>
              </w:rPr>
              <w:t xml:space="preserve"> </w:t>
            </w:r>
            <w:r w:rsidRPr="00B44E75">
              <w:rPr>
                <w:rStyle w:val="Hyperlink"/>
                <w:rFonts w:ascii="Times New Roman" w:hAnsi="Times New Roman" w:cs="Times New Roman"/>
                <w:noProof/>
              </w:rPr>
              <w:t>measurements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_Toc177758164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80</w:t>
            </w:r>
            <w:r w:rsidRPr="00B44E75">
              <w:rPr>
                <w:rFonts w:ascii="Times New Roman" w:hAnsi="Times New Roman" w:cs="Times New Roman"/>
                <w:noProof/>
                <w:webHidden/>
              </w:rPr>
              <w:fldChar w:fldCharType="end"/>
            </w:r>
          </w:hyperlink>
        </w:p>
        <w:p w14:paraId="018B9F40" w14:textId="3FF25266"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65" w:history="1">
            <w:r w:rsidRPr="00B44E75">
              <w:rPr>
                <w:rStyle w:val="Hyperlink"/>
                <w:rFonts w:ascii="Times New Roman" w:eastAsia="Aptos" w:hAnsi="Times New Roman" w:cs="Times New Roman"/>
                <w:noProof/>
              </w:rPr>
              <w:t>Heat transfer coefficient vs mean flow velocity</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_Toc177758165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83</w:t>
            </w:r>
            <w:r w:rsidRPr="00B44E75">
              <w:rPr>
                <w:rFonts w:ascii="Times New Roman" w:hAnsi="Times New Roman" w:cs="Times New Roman"/>
                <w:noProof/>
                <w:webHidden/>
              </w:rPr>
              <w:fldChar w:fldCharType="end"/>
            </w:r>
          </w:hyperlink>
        </w:p>
        <w:p w14:paraId="6468F8BE" w14:textId="6B26ACD7"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66" w:history="1">
            <w:r w:rsidRPr="00B44E75">
              <w:rPr>
                <w:rStyle w:val="Hyperlink"/>
                <w:rFonts w:ascii="Times New Roman" w:eastAsia="Aptos" w:hAnsi="Times New Roman" w:cs="Times New Roman"/>
                <w:noProof/>
              </w:rPr>
              <w:t>Nusselt number enhancement values vs Reynolds number</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_Toc177758166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86</w:t>
            </w:r>
            <w:r w:rsidRPr="00B44E75">
              <w:rPr>
                <w:rFonts w:ascii="Times New Roman" w:hAnsi="Times New Roman" w:cs="Times New Roman"/>
                <w:noProof/>
                <w:webHidden/>
              </w:rPr>
              <w:fldChar w:fldCharType="end"/>
            </w:r>
          </w:hyperlink>
        </w:p>
        <w:p w14:paraId="2A1B8E75" w14:textId="51444891"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67" w:history="1">
            <w:r w:rsidRPr="00B44E75">
              <w:rPr>
                <w:rStyle w:val="Hyperlink"/>
                <w:rFonts w:ascii="Times New Roman" w:eastAsia="Aptos" w:hAnsi="Times New Roman" w:cs="Times New Roman"/>
                <w:noProof/>
              </w:rPr>
              <w:t>Pressure drop characteristics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_Toc177758167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89</w:t>
            </w:r>
            <w:r w:rsidRPr="00B44E75">
              <w:rPr>
                <w:rFonts w:ascii="Times New Roman" w:hAnsi="Times New Roman" w:cs="Times New Roman"/>
                <w:noProof/>
                <w:webHidden/>
              </w:rPr>
              <w:fldChar w:fldCharType="end"/>
            </w:r>
          </w:hyperlink>
        </w:p>
        <w:p w14:paraId="7E34DFFD" w14:textId="4A74E18E"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68" w:history="1">
            <w:r w:rsidRPr="00B44E75">
              <w:rPr>
                <w:rStyle w:val="Hyperlink"/>
                <w:rFonts w:ascii="Times New Roman" w:eastAsia="Aptos" w:hAnsi="Times New Roman" w:cs="Times New Roman"/>
                <w:noProof/>
              </w:rPr>
              <w:t>Heat transfer coefficient vs pumping power</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_Toc177758168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92</w:t>
            </w:r>
            <w:r w:rsidRPr="00B44E75">
              <w:rPr>
                <w:rFonts w:ascii="Times New Roman" w:hAnsi="Times New Roman" w:cs="Times New Roman"/>
                <w:noProof/>
                <w:webHidden/>
              </w:rPr>
              <w:fldChar w:fldCharType="end"/>
            </w:r>
          </w:hyperlink>
        </w:p>
        <w:p w14:paraId="4D81E3AC" w14:textId="0D364D91"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69" w:history="1">
            <w:r w:rsidRPr="00B44E75">
              <w:rPr>
                <w:rStyle w:val="Hyperlink"/>
                <w:rFonts w:ascii="Times New Roman" w:eastAsia="Aptos" w:hAnsi="Times New Roman" w:cs="Times New Roman"/>
                <w:noProof/>
              </w:rPr>
              <w:t>Thermal-hydraulic performance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_Toc177758169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93</w:t>
            </w:r>
            <w:r w:rsidRPr="00B44E75">
              <w:rPr>
                <w:rFonts w:ascii="Times New Roman" w:hAnsi="Times New Roman" w:cs="Times New Roman"/>
                <w:noProof/>
                <w:webHidden/>
              </w:rPr>
              <w:fldChar w:fldCharType="end"/>
            </w:r>
          </w:hyperlink>
        </w:p>
        <w:p w14:paraId="0B081395" w14:textId="3681B33D"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70" w:history="1">
            <w:r w:rsidRPr="00B44E75">
              <w:rPr>
                <w:rStyle w:val="Hyperlink"/>
                <w:rFonts w:ascii="Times New Roman" w:eastAsia="Aptos" w:hAnsi="Times New Roman" w:cs="Times New Roman"/>
                <w:noProof/>
              </w:rPr>
              <w:t>Conclusions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_Toc177758170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97</w:t>
            </w:r>
            <w:r w:rsidRPr="00B44E75">
              <w:rPr>
                <w:rFonts w:ascii="Times New Roman" w:hAnsi="Times New Roman" w:cs="Times New Roman"/>
                <w:noProof/>
                <w:webHidden/>
              </w:rPr>
              <w:fldChar w:fldCharType="end"/>
            </w:r>
          </w:hyperlink>
        </w:p>
        <w:p w14:paraId="4FE3E34A" w14:textId="1AB28330"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71" w:history="1">
            <w:r w:rsidRPr="00B44E75">
              <w:rPr>
                <w:rStyle w:val="Hyperlink"/>
                <w:rFonts w:ascii="Times New Roman" w:eastAsia="Aptos" w:hAnsi="Times New Roman" w:cs="Times New Roman"/>
                <w:noProof/>
              </w:rPr>
              <w:t>References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_Toc177758171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98</w:t>
            </w:r>
            <w:r w:rsidRPr="00B44E75">
              <w:rPr>
                <w:rFonts w:ascii="Times New Roman" w:hAnsi="Times New Roman" w:cs="Times New Roman"/>
                <w:noProof/>
                <w:webHidden/>
              </w:rPr>
              <w:fldChar w:fldCharType="end"/>
            </w:r>
          </w:hyperlink>
        </w:p>
        <w:p w14:paraId="74937581" w14:textId="098F7322" w:rsidR="00B44E75" w:rsidRPr="00B44E75" w:rsidRDefault="00B44E75" w:rsidP="00B44E75">
          <w:pPr>
            <w:pStyle w:val="TOC1"/>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72" w:history="1">
            <w:r w:rsidRPr="00B44E75">
              <w:rPr>
                <w:rStyle w:val="Hyperlink"/>
                <w:rFonts w:ascii="Times New Roman" w:hAnsi="Times New Roman" w:cs="Times New Roman"/>
                <w:noProof/>
              </w:rPr>
              <w:t>Chapter Four : Granular flow in novel Octet shape-based lattice frame material</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_Toc177758172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104</w:t>
            </w:r>
            <w:r w:rsidRPr="00B44E75">
              <w:rPr>
                <w:rFonts w:ascii="Times New Roman" w:hAnsi="Times New Roman" w:cs="Times New Roman"/>
                <w:noProof/>
                <w:webHidden/>
              </w:rPr>
              <w:fldChar w:fldCharType="end"/>
            </w:r>
          </w:hyperlink>
        </w:p>
        <w:p w14:paraId="580FDE15" w14:textId="3F7123DA"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73" w:history="1">
            <w:r w:rsidRPr="00B44E75">
              <w:rPr>
                <w:rStyle w:val="Hyperlink"/>
                <w:rFonts w:ascii="Times New Roman" w:hAnsi="Times New Roman" w:cs="Times New Roman"/>
                <w:noProof/>
              </w:rPr>
              <w:t>Abstract</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_Toc177758173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104</w:t>
            </w:r>
            <w:r w:rsidRPr="00B44E75">
              <w:rPr>
                <w:rFonts w:ascii="Times New Roman" w:hAnsi="Times New Roman" w:cs="Times New Roman"/>
                <w:noProof/>
                <w:webHidden/>
              </w:rPr>
              <w:fldChar w:fldCharType="end"/>
            </w:r>
          </w:hyperlink>
        </w:p>
        <w:p w14:paraId="73C7AE28" w14:textId="55C5BC9E"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74" w:history="1">
            <w:r w:rsidRPr="00B44E75">
              <w:rPr>
                <w:rStyle w:val="Hyperlink"/>
                <w:rFonts w:ascii="Times New Roman" w:hAnsi="Times New Roman" w:cs="Times New Roman"/>
                <w:noProof/>
              </w:rPr>
              <w:t>Introduction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_Toc177758174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104</w:t>
            </w:r>
            <w:r w:rsidRPr="00B44E75">
              <w:rPr>
                <w:rFonts w:ascii="Times New Roman" w:hAnsi="Times New Roman" w:cs="Times New Roman"/>
                <w:noProof/>
                <w:webHidden/>
              </w:rPr>
              <w:fldChar w:fldCharType="end"/>
            </w:r>
          </w:hyperlink>
        </w:p>
        <w:p w14:paraId="4E712F43" w14:textId="71C9619A"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75" w:history="1">
            <w:r w:rsidRPr="00B44E75">
              <w:rPr>
                <w:rStyle w:val="Hyperlink"/>
                <w:rFonts w:ascii="Times New Roman" w:hAnsi="Times New Roman" w:cs="Times New Roman"/>
                <w:noProof/>
              </w:rPr>
              <w:t>Experimental setup and computational domain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_Toc177758175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111</w:t>
            </w:r>
            <w:r w:rsidRPr="00B44E75">
              <w:rPr>
                <w:rFonts w:ascii="Times New Roman" w:hAnsi="Times New Roman" w:cs="Times New Roman"/>
                <w:noProof/>
                <w:webHidden/>
              </w:rPr>
              <w:fldChar w:fldCharType="end"/>
            </w:r>
          </w:hyperlink>
        </w:p>
        <w:p w14:paraId="672F0B8F" w14:textId="324A0C71"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76" w:history="1">
            <w:r w:rsidRPr="00B44E75">
              <w:rPr>
                <w:rStyle w:val="Hyperlink"/>
                <w:rFonts w:ascii="Times New Roman" w:eastAsia="Calibri" w:hAnsi="Times New Roman" w:cs="Times New Roman"/>
                <w:noProof/>
              </w:rPr>
              <w:t>Particle characteristics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_Toc177758176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114</w:t>
            </w:r>
            <w:r w:rsidRPr="00B44E75">
              <w:rPr>
                <w:rFonts w:ascii="Times New Roman" w:hAnsi="Times New Roman" w:cs="Times New Roman"/>
                <w:noProof/>
                <w:webHidden/>
              </w:rPr>
              <w:fldChar w:fldCharType="end"/>
            </w:r>
          </w:hyperlink>
        </w:p>
        <w:p w14:paraId="12DB4E36" w14:textId="1EE7613B"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77" w:history="1">
            <w:r w:rsidRPr="00B44E75">
              <w:rPr>
                <w:rStyle w:val="Hyperlink"/>
                <w:rFonts w:ascii="Times New Roman" w:eastAsia="Calibri" w:hAnsi="Times New Roman" w:cs="Times New Roman"/>
                <w:noProof/>
              </w:rPr>
              <w:t>Discrete element method (dem) procedure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_Toc177758177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115</w:t>
            </w:r>
            <w:r w:rsidRPr="00B44E75">
              <w:rPr>
                <w:rFonts w:ascii="Times New Roman" w:hAnsi="Times New Roman" w:cs="Times New Roman"/>
                <w:noProof/>
                <w:webHidden/>
              </w:rPr>
              <w:fldChar w:fldCharType="end"/>
            </w:r>
          </w:hyperlink>
        </w:p>
        <w:p w14:paraId="02541841" w14:textId="02F41364"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78" w:history="1">
            <w:r w:rsidRPr="00B44E75">
              <w:rPr>
                <w:rStyle w:val="Hyperlink"/>
                <w:rFonts w:ascii="Times New Roman" w:eastAsia="Calibri" w:hAnsi="Times New Roman" w:cs="Times New Roman"/>
                <w:noProof/>
              </w:rPr>
              <w:t>Numerical setup</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_Toc177758178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120</w:t>
            </w:r>
            <w:r w:rsidRPr="00B44E75">
              <w:rPr>
                <w:rFonts w:ascii="Times New Roman" w:hAnsi="Times New Roman" w:cs="Times New Roman"/>
                <w:noProof/>
                <w:webHidden/>
              </w:rPr>
              <w:fldChar w:fldCharType="end"/>
            </w:r>
          </w:hyperlink>
        </w:p>
        <w:p w14:paraId="6F3336A6" w14:textId="45F32E64"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79" w:history="1">
            <w:r w:rsidRPr="00B44E75">
              <w:rPr>
                <w:rStyle w:val="Hyperlink"/>
                <w:rFonts w:ascii="Times New Roman" w:eastAsia="Calibri" w:hAnsi="Times New Roman" w:cs="Times New Roman"/>
                <w:noProof/>
              </w:rPr>
              <w:t>RESULTS AND DISCUSSION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_Toc177758179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123</w:t>
            </w:r>
            <w:r w:rsidRPr="00B44E75">
              <w:rPr>
                <w:rFonts w:ascii="Times New Roman" w:hAnsi="Times New Roman" w:cs="Times New Roman"/>
                <w:noProof/>
                <w:webHidden/>
              </w:rPr>
              <w:fldChar w:fldCharType="end"/>
            </w:r>
          </w:hyperlink>
        </w:p>
        <w:p w14:paraId="1AC471A0" w14:textId="3C3CA7A5"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80" w:history="1">
            <w:r w:rsidRPr="00B44E75">
              <w:rPr>
                <w:rStyle w:val="Hyperlink"/>
                <w:rFonts w:ascii="Times New Roman" w:eastAsia="Calibri" w:hAnsi="Times New Roman" w:cs="Times New Roman"/>
                <w:noProof/>
              </w:rPr>
              <w:t>Calibration of sliding friction coefficient for DEM simulations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_Toc177758180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123</w:t>
            </w:r>
            <w:r w:rsidRPr="00B44E75">
              <w:rPr>
                <w:rFonts w:ascii="Times New Roman" w:hAnsi="Times New Roman" w:cs="Times New Roman"/>
                <w:noProof/>
                <w:webHidden/>
              </w:rPr>
              <w:fldChar w:fldCharType="end"/>
            </w:r>
          </w:hyperlink>
        </w:p>
        <w:p w14:paraId="7D47C024" w14:textId="72A878EF"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81" w:history="1">
            <w:r w:rsidRPr="00B44E75">
              <w:rPr>
                <w:rStyle w:val="Hyperlink"/>
                <w:rFonts w:ascii="Times New Roman" w:eastAsia="Calibri" w:hAnsi="Times New Roman" w:cs="Times New Roman"/>
                <w:noProof/>
              </w:rPr>
              <w:t>Rolling friction models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_Toc177758181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124</w:t>
            </w:r>
            <w:r w:rsidRPr="00B44E75">
              <w:rPr>
                <w:rFonts w:ascii="Times New Roman" w:hAnsi="Times New Roman" w:cs="Times New Roman"/>
                <w:noProof/>
                <w:webHidden/>
              </w:rPr>
              <w:fldChar w:fldCharType="end"/>
            </w:r>
          </w:hyperlink>
        </w:p>
        <w:p w14:paraId="44A32E0C" w14:textId="3BDEAE35"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82" w:history="1">
            <w:r w:rsidRPr="00B44E75">
              <w:rPr>
                <w:rStyle w:val="Hyperlink"/>
                <w:rFonts w:ascii="Times New Roman" w:eastAsia="Calibri" w:hAnsi="Times New Roman" w:cs="Times New Roman"/>
                <w:noProof/>
              </w:rPr>
              <w:t>Instantaneous flow characteristics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_Toc177758182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124</w:t>
            </w:r>
            <w:r w:rsidRPr="00B44E75">
              <w:rPr>
                <w:rFonts w:ascii="Times New Roman" w:hAnsi="Times New Roman" w:cs="Times New Roman"/>
                <w:noProof/>
                <w:webHidden/>
              </w:rPr>
              <w:fldChar w:fldCharType="end"/>
            </w:r>
          </w:hyperlink>
        </w:p>
        <w:p w14:paraId="432A5DB2" w14:textId="543B643E"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83" w:history="1">
            <w:r w:rsidRPr="00B44E75">
              <w:rPr>
                <w:rStyle w:val="Hyperlink"/>
                <w:rFonts w:ascii="Times New Roman" w:eastAsia="Calibri" w:hAnsi="Times New Roman" w:cs="Times New Roman"/>
                <w:noProof/>
              </w:rPr>
              <w:t>Effect of porosity on the mass flow rate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_Toc177758183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127</w:t>
            </w:r>
            <w:r w:rsidRPr="00B44E75">
              <w:rPr>
                <w:rFonts w:ascii="Times New Roman" w:hAnsi="Times New Roman" w:cs="Times New Roman"/>
                <w:noProof/>
                <w:webHidden/>
              </w:rPr>
              <w:fldChar w:fldCharType="end"/>
            </w:r>
          </w:hyperlink>
        </w:p>
        <w:p w14:paraId="4B595F9D" w14:textId="5A777B82"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84" w:history="1">
            <w:r w:rsidRPr="00B44E75">
              <w:rPr>
                <w:rStyle w:val="Hyperlink"/>
                <w:rFonts w:ascii="Times New Roman" w:eastAsia="Calibri" w:hAnsi="Times New Roman" w:cs="Times New Roman"/>
                <w:noProof/>
              </w:rPr>
              <w:t>Effect of particle diameter on the mass flow rate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_Toc177758184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129</w:t>
            </w:r>
            <w:r w:rsidRPr="00B44E75">
              <w:rPr>
                <w:rFonts w:ascii="Times New Roman" w:hAnsi="Times New Roman" w:cs="Times New Roman"/>
                <w:noProof/>
                <w:webHidden/>
              </w:rPr>
              <w:fldChar w:fldCharType="end"/>
            </w:r>
          </w:hyperlink>
        </w:p>
        <w:p w14:paraId="3EB5DDBB" w14:textId="6E563D39"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85" w:history="1">
            <w:r w:rsidRPr="00B44E75">
              <w:rPr>
                <w:rStyle w:val="Hyperlink"/>
                <w:rFonts w:ascii="Times New Roman" w:eastAsia="Calibri" w:hAnsi="Times New Roman" w:cs="Times New Roman"/>
                <w:noProof/>
              </w:rPr>
              <w:t>Conclusions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_Toc177758185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130</w:t>
            </w:r>
            <w:r w:rsidRPr="00B44E75">
              <w:rPr>
                <w:rFonts w:ascii="Times New Roman" w:hAnsi="Times New Roman" w:cs="Times New Roman"/>
                <w:noProof/>
                <w:webHidden/>
              </w:rPr>
              <w:fldChar w:fldCharType="end"/>
            </w:r>
          </w:hyperlink>
        </w:p>
        <w:p w14:paraId="620824A6" w14:textId="5F0DA8D7"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86" w:history="1">
            <w:r w:rsidRPr="00B44E75">
              <w:rPr>
                <w:rStyle w:val="Hyperlink"/>
                <w:rFonts w:ascii="Times New Roman" w:eastAsia="Calibri" w:hAnsi="Times New Roman" w:cs="Times New Roman"/>
                <w:noProof/>
              </w:rPr>
              <w:t>Acknowledgments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_Toc177758186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131</w:t>
            </w:r>
            <w:r w:rsidRPr="00B44E75">
              <w:rPr>
                <w:rFonts w:ascii="Times New Roman" w:hAnsi="Times New Roman" w:cs="Times New Roman"/>
                <w:noProof/>
                <w:webHidden/>
              </w:rPr>
              <w:fldChar w:fldCharType="end"/>
            </w:r>
          </w:hyperlink>
        </w:p>
        <w:p w14:paraId="6D72ECB6" w14:textId="2D744B55"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87" w:history="1">
            <w:r w:rsidRPr="00B44E75">
              <w:rPr>
                <w:rStyle w:val="Hyperlink"/>
                <w:rFonts w:ascii="Times New Roman" w:eastAsia="Calibri" w:hAnsi="Times New Roman" w:cs="Times New Roman"/>
                <w:noProof/>
              </w:rPr>
              <w:t>Nomenclature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_Toc177758187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132</w:t>
            </w:r>
            <w:r w:rsidRPr="00B44E75">
              <w:rPr>
                <w:rFonts w:ascii="Times New Roman" w:hAnsi="Times New Roman" w:cs="Times New Roman"/>
                <w:noProof/>
                <w:webHidden/>
              </w:rPr>
              <w:fldChar w:fldCharType="end"/>
            </w:r>
          </w:hyperlink>
        </w:p>
        <w:p w14:paraId="6CEFFE59" w14:textId="4ACF487B"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88" w:history="1">
            <w:r w:rsidRPr="00B44E75">
              <w:rPr>
                <w:rStyle w:val="Hyperlink"/>
                <w:rFonts w:ascii="Times New Roman" w:eastAsia="Calibri" w:hAnsi="Times New Roman" w:cs="Times New Roman"/>
                <w:noProof/>
              </w:rPr>
              <w:t>Greek symbols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_Toc177758188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132</w:t>
            </w:r>
            <w:r w:rsidRPr="00B44E75">
              <w:rPr>
                <w:rFonts w:ascii="Times New Roman" w:hAnsi="Times New Roman" w:cs="Times New Roman"/>
                <w:noProof/>
                <w:webHidden/>
              </w:rPr>
              <w:fldChar w:fldCharType="end"/>
            </w:r>
          </w:hyperlink>
        </w:p>
        <w:p w14:paraId="4DFD7C77" w14:textId="67BFEDBB"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89" w:history="1">
            <w:r w:rsidRPr="00B44E75">
              <w:rPr>
                <w:rStyle w:val="Hyperlink"/>
                <w:rFonts w:ascii="Times New Roman" w:eastAsia="Calibri" w:hAnsi="Times New Roman" w:cs="Times New Roman"/>
                <w:noProof/>
              </w:rPr>
              <w:t>Abbreviations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_Toc177758189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133</w:t>
            </w:r>
            <w:r w:rsidRPr="00B44E75">
              <w:rPr>
                <w:rFonts w:ascii="Times New Roman" w:hAnsi="Times New Roman" w:cs="Times New Roman"/>
                <w:noProof/>
                <w:webHidden/>
              </w:rPr>
              <w:fldChar w:fldCharType="end"/>
            </w:r>
          </w:hyperlink>
        </w:p>
        <w:p w14:paraId="109CBCDF" w14:textId="654EC995"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90" w:history="1">
            <w:r w:rsidRPr="00B44E75">
              <w:rPr>
                <w:rStyle w:val="Hyperlink"/>
                <w:rFonts w:ascii="Times New Roman" w:eastAsia="Calibri" w:hAnsi="Times New Roman" w:cs="Times New Roman"/>
                <w:noProof/>
              </w:rPr>
              <w:t>Superscript</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_Toc177758190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133</w:t>
            </w:r>
            <w:r w:rsidRPr="00B44E75">
              <w:rPr>
                <w:rFonts w:ascii="Times New Roman" w:hAnsi="Times New Roman" w:cs="Times New Roman"/>
                <w:noProof/>
                <w:webHidden/>
              </w:rPr>
              <w:fldChar w:fldCharType="end"/>
            </w:r>
          </w:hyperlink>
        </w:p>
        <w:p w14:paraId="6806701B" w14:textId="2C9ADCBB"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91" w:history="1">
            <w:r w:rsidRPr="00B44E75">
              <w:rPr>
                <w:rStyle w:val="Hyperlink"/>
                <w:rFonts w:ascii="Times New Roman" w:eastAsia="Calibri" w:hAnsi="Times New Roman" w:cs="Times New Roman"/>
                <w:noProof/>
              </w:rPr>
              <w:t>References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_Toc177758191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133</w:t>
            </w:r>
            <w:r w:rsidRPr="00B44E75">
              <w:rPr>
                <w:rFonts w:ascii="Times New Roman" w:hAnsi="Times New Roman" w:cs="Times New Roman"/>
                <w:noProof/>
                <w:webHidden/>
              </w:rPr>
              <w:fldChar w:fldCharType="end"/>
            </w:r>
          </w:hyperlink>
        </w:p>
        <w:p w14:paraId="5A07A562" w14:textId="07B643E7" w:rsidR="00B44E75" w:rsidRPr="00B44E75" w:rsidRDefault="00B44E75" w:rsidP="00B44E75">
          <w:pPr>
            <w:pStyle w:val="TOC1"/>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92" w:history="1">
            <w:r w:rsidRPr="00B44E75">
              <w:rPr>
                <w:rStyle w:val="Hyperlink"/>
                <w:rFonts w:ascii="Times New Roman" w:hAnsi="Times New Roman" w:cs="Times New Roman"/>
                <w:noProof/>
              </w:rPr>
              <w:t>Chapter Five : Heat Transfer Characteristics of Particle and Air Flow Through Additively Manufactured Lattice Frame Material Based on Octet-Shape Topology</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_Toc177758192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141</w:t>
            </w:r>
            <w:r w:rsidRPr="00B44E75">
              <w:rPr>
                <w:rFonts w:ascii="Times New Roman" w:hAnsi="Times New Roman" w:cs="Times New Roman"/>
                <w:noProof/>
                <w:webHidden/>
              </w:rPr>
              <w:fldChar w:fldCharType="end"/>
            </w:r>
          </w:hyperlink>
        </w:p>
        <w:p w14:paraId="726077D1" w14:textId="72C90D04"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93" w:history="1">
            <w:r w:rsidRPr="00B44E75">
              <w:rPr>
                <w:rStyle w:val="Hyperlink"/>
                <w:rFonts w:ascii="Times New Roman" w:hAnsi="Times New Roman" w:cs="Times New Roman"/>
                <w:noProof/>
              </w:rPr>
              <w:t>Abstract</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_Toc177758193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141</w:t>
            </w:r>
            <w:r w:rsidRPr="00B44E75">
              <w:rPr>
                <w:rFonts w:ascii="Times New Roman" w:hAnsi="Times New Roman" w:cs="Times New Roman"/>
                <w:noProof/>
                <w:webHidden/>
              </w:rPr>
              <w:fldChar w:fldCharType="end"/>
            </w:r>
          </w:hyperlink>
        </w:p>
        <w:p w14:paraId="79E1773F" w14:textId="2506B4B2"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94" w:history="1">
            <w:r w:rsidRPr="00B44E75">
              <w:rPr>
                <w:rStyle w:val="Hyperlink"/>
                <w:rFonts w:ascii="Times New Roman" w:hAnsi="Times New Roman" w:cs="Times New Roman"/>
                <w:noProof/>
              </w:rPr>
              <w:t>Introduction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_Toc177758194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142</w:t>
            </w:r>
            <w:r w:rsidRPr="00B44E75">
              <w:rPr>
                <w:rFonts w:ascii="Times New Roman" w:hAnsi="Times New Roman" w:cs="Times New Roman"/>
                <w:noProof/>
                <w:webHidden/>
              </w:rPr>
              <w:fldChar w:fldCharType="end"/>
            </w:r>
          </w:hyperlink>
        </w:p>
        <w:p w14:paraId="59A8A27F" w14:textId="4269AF00"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95" w:history="1">
            <w:r w:rsidRPr="00B44E75">
              <w:rPr>
                <w:rStyle w:val="Hyperlink"/>
                <w:rFonts w:ascii="Times New Roman" w:hAnsi="Times New Roman" w:cs="Times New Roman"/>
                <w:noProof/>
              </w:rPr>
              <w:t>Experimental setups and measurement techniques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_Toc177758195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145</w:t>
            </w:r>
            <w:r w:rsidRPr="00B44E75">
              <w:rPr>
                <w:rFonts w:ascii="Times New Roman" w:hAnsi="Times New Roman" w:cs="Times New Roman"/>
                <w:noProof/>
                <w:webHidden/>
              </w:rPr>
              <w:fldChar w:fldCharType="end"/>
            </w:r>
          </w:hyperlink>
        </w:p>
        <w:p w14:paraId="356ED0A8" w14:textId="545C44ED"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96" w:history="1">
            <w:r w:rsidRPr="00B44E75">
              <w:rPr>
                <w:rStyle w:val="Hyperlink"/>
                <w:rFonts w:ascii="Times New Roman" w:eastAsia="Calibri" w:hAnsi="Times New Roman" w:cs="Times New Roman"/>
                <w:noProof/>
              </w:rPr>
              <w:t xml:space="preserve">Effective thermal conductivity test samples, experimental setup and </w:t>
            </w:r>
            <w:r w:rsidRPr="00B44E75">
              <w:rPr>
                <w:rStyle w:val="Hyperlink"/>
                <w:rFonts w:ascii="Times New Roman" w:eastAsia="Calibri" w:hAnsi="Times New Roman" w:cs="Times New Roman"/>
                <w:iCs/>
                <w:noProof/>
              </w:rPr>
              <w:t>k</w:t>
            </w:r>
            <w:r w:rsidRPr="00B44E75">
              <w:rPr>
                <w:rStyle w:val="Hyperlink"/>
                <w:rFonts w:ascii="Times New Roman" w:eastAsia="Calibri" w:hAnsi="Times New Roman" w:cs="Times New Roman"/>
                <w:noProof/>
                <w:vertAlign w:val="subscript"/>
              </w:rPr>
              <w:t>eff</w:t>
            </w:r>
            <w:r w:rsidRPr="00B44E75">
              <w:rPr>
                <w:rStyle w:val="Hyperlink"/>
                <w:rFonts w:ascii="Times New Roman" w:eastAsia="Calibri" w:hAnsi="Times New Roman" w:cs="Times New Roman"/>
                <w:noProof/>
              </w:rPr>
              <w:t xml:space="preserve"> measurement procedure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_Toc177758196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145</w:t>
            </w:r>
            <w:r w:rsidRPr="00B44E75">
              <w:rPr>
                <w:rFonts w:ascii="Times New Roman" w:hAnsi="Times New Roman" w:cs="Times New Roman"/>
                <w:noProof/>
                <w:webHidden/>
              </w:rPr>
              <w:fldChar w:fldCharType="end"/>
            </w:r>
          </w:hyperlink>
        </w:p>
        <w:p w14:paraId="774793CC" w14:textId="7B059E06"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97" w:history="1">
            <w:r w:rsidRPr="00B44E75">
              <w:rPr>
                <w:rStyle w:val="Hyperlink"/>
                <w:rFonts w:ascii="Times New Roman" w:eastAsia="Calibri" w:hAnsi="Times New Roman" w:cs="Times New Roman"/>
                <w:noProof/>
              </w:rPr>
              <w:t>Forced convection setup with air as working fluid, and heat transfer coefficient calculation procedure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_Toc177758197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148</w:t>
            </w:r>
            <w:r w:rsidRPr="00B44E75">
              <w:rPr>
                <w:rFonts w:ascii="Times New Roman" w:hAnsi="Times New Roman" w:cs="Times New Roman"/>
                <w:noProof/>
                <w:webHidden/>
              </w:rPr>
              <w:fldChar w:fldCharType="end"/>
            </w:r>
          </w:hyperlink>
        </w:p>
        <w:p w14:paraId="0FFDDFFD" w14:textId="24D5F48B"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98" w:history="1">
            <w:r w:rsidRPr="00B44E75">
              <w:rPr>
                <w:rStyle w:val="Hyperlink"/>
                <w:rFonts w:ascii="Times New Roman" w:eastAsia="Calibri" w:hAnsi="Times New Roman" w:cs="Times New Roman"/>
                <w:noProof/>
              </w:rPr>
              <w:t>Particle heat transfer test facility and heat transfer coefficient calculation procedure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_Toc177758198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151</w:t>
            </w:r>
            <w:r w:rsidRPr="00B44E75">
              <w:rPr>
                <w:rFonts w:ascii="Times New Roman" w:hAnsi="Times New Roman" w:cs="Times New Roman"/>
                <w:noProof/>
                <w:webHidden/>
              </w:rPr>
              <w:fldChar w:fldCharType="end"/>
            </w:r>
          </w:hyperlink>
        </w:p>
        <w:p w14:paraId="1986AF86" w14:textId="0F7A844A"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199" w:history="1">
            <w:r w:rsidRPr="00B44E75">
              <w:rPr>
                <w:rStyle w:val="Hyperlink"/>
                <w:rFonts w:ascii="Times New Roman" w:eastAsia="Calibri" w:hAnsi="Times New Roman" w:cs="Times New Roman"/>
                <w:noProof/>
              </w:rPr>
              <w:t>Particle size distribution and particle packing in AM lattice parts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_Toc177758199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154</w:t>
            </w:r>
            <w:r w:rsidRPr="00B44E75">
              <w:rPr>
                <w:rFonts w:ascii="Times New Roman" w:hAnsi="Times New Roman" w:cs="Times New Roman"/>
                <w:noProof/>
                <w:webHidden/>
              </w:rPr>
              <w:fldChar w:fldCharType="end"/>
            </w:r>
          </w:hyperlink>
        </w:p>
        <w:p w14:paraId="5F086D83" w14:textId="6033DD99"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200" w:history="1">
            <w:r w:rsidRPr="00B44E75">
              <w:rPr>
                <w:rStyle w:val="Hyperlink"/>
                <w:rFonts w:ascii="Times New Roman" w:eastAsia="Calibri" w:hAnsi="Times New Roman" w:cs="Times New Roman"/>
                <w:noProof/>
              </w:rPr>
              <w:t>Uncertainty analysis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_Toc177758200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154</w:t>
            </w:r>
            <w:r w:rsidRPr="00B44E75">
              <w:rPr>
                <w:rFonts w:ascii="Times New Roman" w:hAnsi="Times New Roman" w:cs="Times New Roman"/>
                <w:noProof/>
                <w:webHidden/>
              </w:rPr>
              <w:fldChar w:fldCharType="end"/>
            </w:r>
          </w:hyperlink>
        </w:p>
        <w:p w14:paraId="615E1F84" w14:textId="419EF110"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201" w:history="1">
            <w:r w:rsidRPr="00B44E75">
              <w:rPr>
                <w:rStyle w:val="Hyperlink"/>
                <w:rFonts w:ascii="Times New Roman" w:eastAsia="Calibri" w:hAnsi="Times New Roman" w:cs="Times New Roman"/>
                <w:noProof/>
              </w:rPr>
              <w:t>Results and discussion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_Toc177758201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155</w:t>
            </w:r>
            <w:r w:rsidRPr="00B44E75">
              <w:rPr>
                <w:rFonts w:ascii="Times New Roman" w:hAnsi="Times New Roman" w:cs="Times New Roman"/>
                <w:noProof/>
                <w:webHidden/>
              </w:rPr>
              <w:fldChar w:fldCharType="end"/>
            </w:r>
          </w:hyperlink>
        </w:p>
        <w:p w14:paraId="72EBFE7D" w14:textId="79A9E707"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202" w:history="1">
            <w:r w:rsidRPr="00B44E75">
              <w:rPr>
                <w:rStyle w:val="Hyperlink"/>
                <w:rFonts w:ascii="Times New Roman" w:eastAsia="Calibri" w:hAnsi="Times New Roman" w:cs="Times New Roman"/>
                <w:noProof/>
              </w:rPr>
              <w:t>5Effective Thermal Conductivity (</w:t>
            </w:r>
            <w:r w:rsidRPr="00B44E75">
              <w:rPr>
                <w:rStyle w:val="Hyperlink"/>
                <w:rFonts w:ascii="Times New Roman" w:eastAsia="Calibri" w:hAnsi="Times New Roman" w:cs="Times New Roman"/>
                <w:iCs/>
                <w:noProof/>
              </w:rPr>
              <w:t>k</w:t>
            </w:r>
            <w:r w:rsidRPr="00B44E75">
              <w:rPr>
                <w:rStyle w:val="Hyperlink"/>
                <w:rFonts w:ascii="Times New Roman" w:eastAsia="Calibri" w:hAnsi="Times New Roman" w:cs="Times New Roman"/>
                <w:noProof/>
                <w:vertAlign w:val="subscript"/>
              </w:rPr>
              <w:t>eff</w:t>
            </w:r>
            <w:r w:rsidRPr="00B44E75">
              <w:rPr>
                <w:rStyle w:val="Hyperlink"/>
                <w:rFonts w:ascii="Times New Roman" w:eastAsia="Calibri" w:hAnsi="Times New Roman" w:cs="Times New Roman"/>
                <w:noProof/>
              </w:rPr>
              <w:t>)</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_Toc177758202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155</w:t>
            </w:r>
            <w:r w:rsidRPr="00B44E75">
              <w:rPr>
                <w:rFonts w:ascii="Times New Roman" w:hAnsi="Times New Roman" w:cs="Times New Roman"/>
                <w:noProof/>
                <w:webHidden/>
              </w:rPr>
              <w:fldChar w:fldCharType="end"/>
            </w:r>
          </w:hyperlink>
        </w:p>
        <w:p w14:paraId="628F050F" w14:textId="6619ED0E"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203" w:history="1">
            <w:r w:rsidRPr="00B44E75">
              <w:rPr>
                <w:rStyle w:val="Hyperlink"/>
                <w:rFonts w:ascii="Times New Roman" w:eastAsia="Calibri" w:hAnsi="Times New Roman" w:cs="Times New Roman"/>
                <w:noProof/>
              </w:rPr>
              <w:t>Forced convection with air as working fluid</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_Toc177758203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157</w:t>
            </w:r>
            <w:r w:rsidRPr="00B44E75">
              <w:rPr>
                <w:rFonts w:ascii="Times New Roman" w:hAnsi="Times New Roman" w:cs="Times New Roman"/>
                <w:noProof/>
                <w:webHidden/>
              </w:rPr>
              <w:fldChar w:fldCharType="end"/>
            </w:r>
          </w:hyperlink>
        </w:p>
        <w:p w14:paraId="23C1EFD6" w14:textId="15931862" w:rsidR="00B44E75" w:rsidRPr="00B44E75" w:rsidRDefault="00B44E75" w:rsidP="00B44E75">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204" w:history="1">
            <w:r w:rsidRPr="00B44E75">
              <w:rPr>
                <w:rStyle w:val="Hyperlink"/>
                <w:rFonts w:ascii="Times New Roman" w:eastAsia="Calibri" w:hAnsi="Times New Roman" w:cs="Times New Roman"/>
                <w:noProof/>
              </w:rPr>
              <w:t>Forced convection with particle as working fluid</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_Toc177758204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158</w:t>
            </w:r>
            <w:r w:rsidRPr="00B44E75">
              <w:rPr>
                <w:rFonts w:ascii="Times New Roman" w:hAnsi="Times New Roman" w:cs="Times New Roman"/>
                <w:noProof/>
                <w:webHidden/>
              </w:rPr>
              <w:fldChar w:fldCharType="end"/>
            </w:r>
          </w:hyperlink>
        </w:p>
        <w:p w14:paraId="621AA0FC" w14:textId="52F2618F"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205" w:history="1">
            <w:r w:rsidRPr="00B44E75">
              <w:rPr>
                <w:rStyle w:val="Hyperlink"/>
                <w:rFonts w:ascii="Times New Roman" w:eastAsia="Calibri" w:hAnsi="Times New Roman" w:cs="Times New Roman"/>
                <w:noProof/>
              </w:rPr>
              <w:t>Conclusions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_Toc177758205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162</w:t>
            </w:r>
            <w:r w:rsidRPr="00B44E75">
              <w:rPr>
                <w:rFonts w:ascii="Times New Roman" w:hAnsi="Times New Roman" w:cs="Times New Roman"/>
                <w:noProof/>
                <w:webHidden/>
              </w:rPr>
              <w:fldChar w:fldCharType="end"/>
            </w:r>
          </w:hyperlink>
        </w:p>
        <w:p w14:paraId="329EBEE3" w14:textId="6FC5A259"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206" w:history="1">
            <w:r w:rsidRPr="00B44E75">
              <w:rPr>
                <w:rStyle w:val="Hyperlink"/>
                <w:rFonts w:ascii="Times New Roman" w:eastAsia="Calibri" w:hAnsi="Times New Roman" w:cs="Times New Roman"/>
                <w:noProof/>
              </w:rPr>
              <w:t>Nomenclature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_Toc177758206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163</w:t>
            </w:r>
            <w:r w:rsidRPr="00B44E75">
              <w:rPr>
                <w:rFonts w:ascii="Times New Roman" w:hAnsi="Times New Roman" w:cs="Times New Roman"/>
                <w:noProof/>
                <w:webHidden/>
              </w:rPr>
              <w:fldChar w:fldCharType="end"/>
            </w:r>
          </w:hyperlink>
        </w:p>
        <w:p w14:paraId="0F0DCE0E" w14:textId="56AF6E85"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207" w:history="1">
            <w:r w:rsidRPr="00B44E75">
              <w:rPr>
                <w:rStyle w:val="Hyperlink"/>
                <w:rFonts w:ascii="Times New Roman" w:eastAsia="Calibri" w:hAnsi="Times New Roman" w:cs="Times New Roman"/>
                <w:noProof/>
              </w:rPr>
              <w:t>Greek letters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_Toc177758207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164</w:t>
            </w:r>
            <w:r w:rsidRPr="00B44E75">
              <w:rPr>
                <w:rFonts w:ascii="Times New Roman" w:hAnsi="Times New Roman" w:cs="Times New Roman"/>
                <w:noProof/>
                <w:webHidden/>
              </w:rPr>
              <w:fldChar w:fldCharType="end"/>
            </w:r>
          </w:hyperlink>
        </w:p>
        <w:p w14:paraId="1FA69C6B" w14:textId="3777A35B"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208" w:history="1">
            <w:r w:rsidRPr="00B44E75">
              <w:rPr>
                <w:rStyle w:val="Hyperlink"/>
                <w:rFonts w:ascii="Times New Roman" w:eastAsia="Calibri" w:hAnsi="Times New Roman" w:cs="Times New Roman"/>
                <w:noProof/>
              </w:rPr>
              <w:t>Abbreviations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_Toc177758208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164</w:t>
            </w:r>
            <w:r w:rsidRPr="00B44E75">
              <w:rPr>
                <w:rFonts w:ascii="Times New Roman" w:hAnsi="Times New Roman" w:cs="Times New Roman"/>
                <w:noProof/>
                <w:webHidden/>
              </w:rPr>
              <w:fldChar w:fldCharType="end"/>
            </w:r>
          </w:hyperlink>
        </w:p>
        <w:p w14:paraId="55CB8A97" w14:textId="03DFD4A0"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209" w:history="1">
            <w:r w:rsidRPr="00B44E75">
              <w:rPr>
                <w:rStyle w:val="Hyperlink"/>
                <w:rFonts w:ascii="Times New Roman" w:eastAsia="Calibri" w:hAnsi="Times New Roman" w:cs="Times New Roman"/>
                <w:noProof/>
              </w:rPr>
              <w:t>Acknowledgments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_Toc177758209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165</w:t>
            </w:r>
            <w:r w:rsidRPr="00B44E75">
              <w:rPr>
                <w:rFonts w:ascii="Times New Roman" w:hAnsi="Times New Roman" w:cs="Times New Roman"/>
                <w:noProof/>
                <w:webHidden/>
              </w:rPr>
              <w:fldChar w:fldCharType="end"/>
            </w:r>
          </w:hyperlink>
        </w:p>
        <w:p w14:paraId="7C9094E6" w14:textId="7500EE83" w:rsidR="00B44E75" w:rsidRPr="00B44E75" w:rsidRDefault="00B44E75" w:rsidP="00B44E75">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210" w:history="1">
            <w:r w:rsidRPr="00B44E75">
              <w:rPr>
                <w:rStyle w:val="Hyperlink"/>
                <w:rFonts w:ascii="Times New Roman" w:hAnsi="Times New Roman" w:cs="Times New Roman"/>
                <w:noProof/>
              </w:rPr>
              <w:t>References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_Toc177758210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165</w:t>
            </w:r>
            <w:r w:rsidRPr="00B44E75">
              <w:rPr>
                <w:rFonts w:ascii="Times New Roman" w:hAnsi="Times New Roman" w:cs="Times New Roman"/>
                <w:noProof/>
                <w:webHidden/>
              </w:rPr>
              <w:fldChar w:fldCharType="end"/>
            </w:r>
          </w:hyperlink>
        </w:p>
        <w:p w14:paraId="51AD37C9" w14:textId="08E9A1C0" w:rsidR="00B44E75" w:rsidRPr="00B44E75" w:rsidRDefault="00B44E75" w:rsidP="00B44E75">
          <w:pPr>
            <w:pStyle w:val="TOC1"/>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8211" w:history="1">
            <w:r w:rsidRPr="00B44E75">
              <w:rPr>
                <w:rStyle w:val="Hyperlink"/>
                <w:rFonts w:ascii="Times New Roman" w:eastAsia="Calibri" w:hAnsi="Times New Roman" w:cs="Times New Roman"/>
                <w:noProof/>
              </w:rPr>
              <w:t>Chapter Six : Conclusions and Recommendations for future work</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_Toc177758211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Pr="00B44E75">
              <w:rPr>
                <w:rFonts w:ascii="Times New Roman" w:hAnsi="Times New Roman" w:cs="Times New Roman"/>
                <w:noProof/>
                <w:webHidden/>
              </w:rPr>
              <w:t>170</w:t>
            </w:r>
            <w:r w:rsidRPr="00B44E75">
              <w:rPr>
                <w:rFonts w:ascii="Times New Roman" w:hAnsi="Times New Roman" w:cs="Times New Roman"/>
                <w:noProof/>
                <w:webHidden/>
              </w:rPr>
              <w:fldChar w:fldCharType="end"/>
            </w:r>
          </w:hyperlink>
        </w:p>
        <w:p w14:paraId="43F1F165" w14:textId="7D41FA26" w:rsidR="00E91931" w:rsidRPr="008F5202" w:rsidRDefault="00E91931" w:rsidP="00B44E75">
          <w:pPr>
            <w:spacing w:line="276" w:lineRule="auto"/>
            <w:rPr>
              <w:rFonts w:ascii="Times New Roman" w:hAnsi="Times New Roman" w:cs="Times New Roman"/>
            </w:rPr>
          </w:pPr>
          <w:r w:rsidRPr="00B44E75">
            <w:rPr>
              <w:rFonts w:ascii="Times New Roman" w:hAnsi="Times New Roman" w:cs="Times New Roman"/>
              <w:b/>
              <w:bCs/>
              <w:noProof/>
            </w:rPr>
            <w:fldChar w:fldCharType="end"/>
          </w:r>
        </w:p>
      </w:sdtContent>
    </w:sdt>
    <w:p w14:paraId="33C688EF" w14:textId="77777777" w:rsidR="003F7FED" w:rsidRPr="008F5202" w:rsidRDefault="003F7FED" w:rsidP="008F5202">
      <w:pPr>
        <w:spacing w:line="360" w:lineRule="auto"/>
        <w:rPr>
          <w:rFonts w:ascii="Times New Roman" w:hAnsi="Times New Roman" w:cs="Times New Roman"/>
        </w:rPr>
      </w:pPr>
    </w:p>
    <w:p w14:paraId="627FF91C" w14:textId="77777777" w:rsidR="00236E6D" w:rsidRPr="008F5202" w:rsidRDefault="003F7FED" w:rsidP="008F5202">
      <w:pPr>
        <w:spacing w:line="360" w:lineRule="auto"/>
        <w:jc w:val="center"/>
        <w:rPr>
          <w:rFonts w:ascii="Times New Roman" w:hAnsi="Times New Roman" w:cs="Times New Roman"/>
          <w:b/>
          <w:bCs/>
        </w:rPr>
      </w:pPr>
      <w:r w:rsidRPr="008F5202">
        <w:rPr>
          <w:rFonts w:ascii="Times New Roman" w:hAnsi="Times New Roman" w:cs="Times New Roman"/>
          <w:b/>
          <w:bCs/>
        </w:rPr>
        <w:br w:type="page"/>
      </w:r>
      <w:r w:rsidR="00236E6D" w:rsidRPr="008F5202">
        <w:rPr>
          <w:rFonts w:ascii="Times New Roman" w:hAnsi="Times New Roman" w:cs="Times New Roman"/>
          <w:b/>
          <w:bCs/>
        </w:rPr>
        <w:lastRenderedPageBreak/>
        <w:t>LIST OF TABLES</w:t>
      </w:r>
    </w:p>
    <w:p w14:paraId="6284A187" w14:textId="77777777" w:rsidR="00236E6D" w:rsidRPr="008F5202" w:rsidRDefault="00236E6D" w:rsidP="008F5202">
      <w:pPr>
        <w:numPr>
          <w:ilvl w:val="12"/>
          <w:numId w:val="0"/>
        </w:numPr>
        <w:spacing w:line="360" w:lineRule="auto"/>
        <w:jc w:val="center"/>
        <w:rPr>
          <w:rFonts w:ascii="Times New Roman" w:hAnsi="Times New Roman" w:cs="Times New Roman"/>
        </w:rPr>
      </w:pPr>
    </w:p>
    <w:p w14:paraId="1535A9A3" w14:textId="77777777" w:rsidR="00236E6D" w:rsidRPr="008F5202" w:rsidRDefault="00236E6D" w:rsidP="008F520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rPr>
          <w:rFonts w:ascii="Times New Roman" w:hAnsi="Times New Roman" w:cs="Times New Roman"/>
        </w:rPr>
      </w:pPr>
    </w:p>
    <w:p w14:paraId="0B6FD626" w14:textId="5C47C0F8" w:rsidR="00AF1AFB" w:rsidRPr="00B44E75" w:rsidRDefault="00665C7E"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r w:rsidRPr="00B44E75">
        <w:rPr>
          <w:rFonts w:ascii="Times New Roman" w:hAnsi="Times New Roman" w:cs="Times New Roman"/>
        </w:rPr>
        <w:fldChar w:fldCharType="begin"/>
      </w:r>
      <w:r w:rsidR="00236E6D" w:rsidRPr="00B44E75">
        <w:rPr>
          <w:rFonts w:ascii="Times New Roman" w:hAnsi="Times New Roman" w:cs="Times New Roman"/>
        </w:rPr>
        <w:instrText xml:space="preserve"> TOC \h \z \c "Table" </w:instrText>
      </w:r>
      <w:r w:rsidRPr="00B44E75">
        <w:rPr>
          <w:rFonts w:ascii="Times New Roman" w:hAnsi="Times New Roman" w:cs="Times New Roman"/>
        </w:rPr>
        <w:fldChar w:fldCharType="separate"/>
      </w:r>
      <w:hyperlink w:anchor="_Toc177755173" w:history="1">
        <w:r w:rsidR="00AF1AFB" w:rsidRPr="00B44E75">
          <w:rPr>
            <w:rStyle w:val="Hyperlink"/>
            <w:rFonts w:ascii="Times New Roman" w:hAnsi="Times New Roman" w:cs="Times New Roman"/>
            <w:noProof/>
          </w:rPr>
          <w:t>Table 2.1 Measured porosity and designed fiber diameter of the investigated RUC</w:t>
        </w:r>
        <w:r w:rsidR="00AF1AFB" w:rsidRPr="00B44E75">
          <w:rPr>
            <w:rFonts w:ascii="Times New Roman" w:hAnsi="Times New Roman" w:cs="Times New Roman"/>
            <w:noProof/>
            <w:webHidden/>
          </w:rPr>
          <w:tab/>
        </w:r>
        <w:r w:rsidR="00AF1AFB" w:rsidRPr="00B44E75">
          <w:rPr>
            <w:rFonts w:ascii="Times New Roman" w:hAnsi="Times New Roman" w:cs="Times New Roman"/>
            <w:noProof/>
            <w:webHidden/>
          </w:rPr>
          <w:fldChar w:fldCharType="begin"/>
        </w:r>
        <w:r w:rsidR="00AF1AFB" w:rsidRPr="00B44E75">
          <w:rPr>
            <w:rFonts w:ascii="Times New Roman" w:hAnsi="Times New Roman" w:cs="Times New Roman"/>
            <w:noProof/>
            <w:webHidden/>
          </w:rPr>
          <w:instrText xml:space="preserve"> PAGEREF _Toc177755173 \h </w:instrText>
        </w:r>
        <w:r w:rsidR="00AF1AFB" w:rsidRPr="00B44E75">
          <w:rPr>
            <w:rFonts w:ascii="Times New Roman" w:hAnsi="Times New Roman" w:cs="Times New Roman"/>
            <w:noProof/>
            <w:webHidden/>
          </w:rPr>
        </w:r>
        <w:r w:rsidR="00AF1AFB"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33</w:t>
        </w:r>
        <w:r w:rsidR="00AF1AFB" w:rsidRPr="00B44E75">
          <w:rPr>
            <w:rFonts w:ascii="Times New Roman" w:hAnsi="Times New Roman" w:cs="Times New Roman"/>
            <w:noProof/>
            <w:webHidden/>
          </w:rPr>
          <w:fldChar w:fldCharType="end"/>
        </w:r>
      </w:hyperlink>
    </w:p>
    <w:p w14:paraId="5C772D05" w14:textId="18505D90"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74" w:history="1">
        <w:r w:rsidRPr="00B44E75">
          <w:rPr>
            <w:rStyle w:val="Hyperlink"/>
            <w:rFonts w:ascii="Times New Roman" w:hAnsi="Times New Roman" w:cs="Times New Roman"/>
            <w:noProof/>
          </w:rPr>
          <w:t xml:space="preserve">Table 2.2 Correlation </w:t>
        </w:r>
        <m:oMath>
          <m:r>
            <m:rPr>
              <m:sty m:val="bi"/>
            </m:rPr>
            <w:rPr>
              <w:rStyle w:val="Hyperlink"/>
              <w:rFonts w:ascii="Cambria Math" w:hAnsi="Cambria Math" w:cs="Times New Roman"/>
              <w:noProof/>
            </w:rPr>
            <m:t>cRedh</m:t>
          </m:r>
          <m:r>
            <m:rPr>
              <m:sty m:val="p"/>
            </m:rPr>
            <w:rPr>
              <w:rStyle w:val="Hyperlink"/>
              <w:rFonts w:ascii="Cambria Math" w:hAnsi="Cambria Math" w:cs="Times New Roman"/>
              <w:noProof/>
            </w:rPr>
            <m:t xml:space="preserve">   </m:t>
          </m:r>
          <m:r>
            <m:rPr>
              <m:sty m:val="bi"/>
            </m:rPr>
            <w:rPr>
              <w:rStyle w:val="Hyperlink"/>
              <w:rFonts w:ascii="Cambria Math" w:hAnsi="Cambria Math" w:cs="Times New Roman"/>
              <w:noProof/>
            </w:rPr>
            <m:t>m</m:t>
          </m:r>
        </m:oMath>
        <w:r w:rsidRPr="00B44E75">
          <w:rPr>
            <w:rStyle w:val="Hyperlink"/>
            <w:rFonts w:ascii="Times New Roman" w:hAnsi="Times New Roman" w:cs="Times New Roman"/>
            <w:noProof/>
          </w:rPr>
          <w:t xml:space="preserve"> for Octet, FD-Cube, and TKD under different heating conditions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_Toc177755174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44</w:t>
        </w:r>
        <w:r w:rsidRPr="00B44E75">
          <w:rPr>
            <w:rFonts w:ascii="Times New Roman" w:hAnsi="Times New Roman" w:cs="Times New Roman"/>
            <w:noProof/>
            <w:webHidden/>
          </w:rPr>
          <w:fldChar w:fldCharType="end"/>
        </w:r>
      </w:hyperlink>
    </w:p>
    <w:p w14:paraId="63070204" w14:textId="606E7310"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75" w:history="1">
        <w:r w:rsidRPr="00B44E75">
          <w:rPr>
            <w:rStyle w:val="Hyperlink"/>
            <w:rFonts w:ascii="Times New Roman" w:hAnsi="Times New Roman" w:cs="Times New Roman"/>
            <w:noProof/>
          </w:rPr>
          <w:t xml:space="preserve">Table 2.3 Correlation </w:t>
        </w:r>
        <m:oMath>
          <m:r>
            <m:rPr>
              <m:sty m:val="bi"/>
            </m:rPr>
            <w:rPr>
              <w:rStyle w:val="Hyperlink"/>
              <w:rFonts w:ascii="Cambria Math" w:hAnsi="Cambria Math" w:cs="Times New Roman"/>
              <w:noProof/>
            </w:rPr>
            <m:t>cRedhm</m:t>
          </m:r>
        </m:oMath>
        <w:r w:rsidRPr="00B44E75">
          <w:rPr>
            <w:rStyle w:val="Hyperlink"/>
            <w:rFonts w:ascii="Times New Roman" w:hAnsi="Times New Roman" w:cs="Times New Roman"/>
            <w:noProof/>
          </w:rPr>
          <w:t xml:space="preserve"> for Cube under different heating conditions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_Toc177755175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45</w:t>
        </w:r>
        <w:r w:rsidRPr="00B44E75">
          <w:rPr>
            <w:rFonts w:ascii="Times New Roman" w:hAnsi="Times New Roman" w:cs="Times New Roman"/>
            <w:noProof/>
            <w:webHidden/>
          </w:rPr>
          <w:fldChar w:fldCharType="end"/>
        </w:r>
      </w:hyperlink>
    </w:p>
    <w:p w14:paraId="1EE52E32" w14:textId="4649510F"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76" w:history="1">
        <w:r w:rsidRPr="00B44E75">
          <w:rPr>
            <w:rStyle w:val="Hyperlink"/>
            <w:rFonts w:ascii="Times New Roman" w:hAnsi="Times New Roman" w:cs="Times New Roman"/>
            <w:noProof/>
          </w:rPr>
          <w:t>Table 2.4 Pore diameter of different RUC topologies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_Toc177755176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47</w:t>
        </w:r>
        <w:r w:rsidRPr="00B44E75">
          <w:rPr>
            <w:rFonts w:ascii="Times New Roman" w:hAnsi="Times New Roman" w:cs="Times New Roman"/>
            <w:noProof/>
            <w:webHidden/>
          </w:rPr>
          <w:fldChar w:fldCharType="end"/>
        </w:r>
      </w:hyperlink>
    </w:p>
    <w:p w14:paraId="5929E65D" w14:textId="6B1AE866"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77" w:history="1">
        <w:r w:rsidRPr="00B44E75">
          <w:rPr>
            <w:rStyle w:val="Hyperlink"/>
            <w:rFonts w:ascii="Times New Roman" w:hAnsi="Times New Roman" w:cs="Times New Roman"/>
            <w:iCs/>
            <w:noProof/>
          </w:rPr>
          <w:t xml:space="preserve">Table 2.5 Correlation </w:t>
        </w:r>
        <m:oMath>
          <m:r>
            <m:rPr>
              <m:sty m:val="bi"/>
            </m:rPr>
            <w:rPr>
              <w:rStyle w:val="Hyperlink"/>
              <w:rFonts w:ascii="Cambria Math" w:hAnsi="Cambria Math" w:cs="Times New Roman"/>
              <w:noProof/>
            </w:rPr>
            <m:t>cRedp</m:t>
          </m:r>
          <m:r>
            <m:rPr>
              <m:sty m:val="p"/>
            </m:rPr>
            <w:rPr>
              <w:rStyle w:val="Hyperlink"/>
              <w:rFonts w:ascii="Cambria Math" w:hAnsi="Cambria Math" w:cs="Times New Roman"/>
              <w:noProof/>
            </w:rPr>
            <m:t xml:space="preserve">  </m:t>
          </m:r>
          <m:r>
            <m:rPr>
              <m:sty m:val="bi"/>
            </m:rPr>
            <w:rPr>
              <w:rStyle w:val="Hyperlink"/>
              <w:rFonts w:ascii="Cambria Math" w:hAnsi="Cambria Math" w:cs="Times New Roman"/>
              <w:noProof/>
            </w:rPr>
            <m:t>m</m:t>
          </m:r>
        </m:oMath>
        <w:r w:rsidRPr="00B44E75">
          <w:rPr>
            <w:rStyle w:val="Hyperlink"/>
            <w:rFonts w:ascii="Times New Roman" w:hAnsi="Times New Roman" w:cs="Times New Roman"/>
            <w:iCs/>
            <w:noProof/>
          </w:rPr>
          <w:t xml:space="preserve"> for all investigated topologies under different heating conditions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_Toc177755177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48</w:t>
        </w:r>
        <w:r w:rsidRPr="00B44E75">
          <w:rPr>
            <w:rFonts w:ascii="Times New Roman" w:hAnsi="Times New Roman" w:cs="Times New Roman"/>
            <w:noProof/>
            <w:webHidden/>
          </w:rPr>
          <w:fldChar w:fldCharType="end"/>
        </w:r>
      </w:hyperlink>
    </w:p>
    <w:p w14:paraId="37777273" w14:textId="33876F24"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78" w:history="1">
        <w:r w:rsidRPr="00B44E75">
          <w:rPr>
            <w:rStyle w:val="Hyperlink"/>
            <w:rFonts w:ascii="Times New Roman" w:hAnsi="Times New Roman" w:cs="Times New Roman"/>
            <w:noProof/>
          </w:rPr>
          <w:t xml:space="preserve">Table 2.6 Correlation </w:t>
        </w:r>
        <m:oMath>
          <m:r>
            <m:rPr>
              <m:sty m:val="bi"/>
            </m:rPr>
            <w:rPr>
              <w:rStyle w:val="Hyperlink"/>
              <w:rFonts w:ascii="Cambria Math" w:hAnsi="Cambria Math" w:cs="Times New Roman"/>
              <w:noProof/>
            </w:rPr>
            <m:t>cRedf</m:t>
          </m:r>
          <m:r>
            <m:rPr>
              <m:sty m:val="p"/>
            </m:rPr>
            <w:rPr>
              <w:rStyle w:val="Hyperlink"/>
              <w:rFonts w:ascii="Cambria Math" w:hAnsi="Cambria Math" w:cs="Times New Roman"/>
              <w:noProof/>
            </w:rPr>
            <m:t xml:space="preserve">  </m:t>
          </m:r>
          <m:r>
            <m:rPr>
              <m:sty m:val="bi"/>
            </m:rPr>
            <w:rPr>
              <w:rStyle w:val="Hyperlink"/>
              <w:rFonts w:ascii="Cambria Math" w:hAnsi="Cambria Math" w:cs="Times New Roman"/>
              <w:noProof/>
            </w:rPr>
            <m:t>m</m:t>
          </m:r>
        </m:oMath>
        <w:r w:rsidRPr="00B44E75">
          <w:rPr>
            <w:rStyle w:val="Hyperlink"/>
            <w:rFonts w:ascii="Times New Roman" w:hAnsi="Times New Roman" w:cs="Times New Roman"/>
            <w:noProof/>
          </w:rPr>
          <w:t xml:space="preserve"> for all investigated topologies under different heating conditions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_Toc177755178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50</w:t>
        </w:r>
        <w:r w:rsidRPr="00B44E75">
          <w:rPr>
            <w:rFonts w:ascii="Times New Roman" w:hAnsi="Times New Roman" w:cs="Times New Roman"/>
            <w:noProof/>
            <w:webHidden/>
          </w:rPr>
          <w:fldChar w:fldCharType="end"/>
        </w:r>
      </w:hyperlink>
    </w:p>
    <w:p w14:paraId="7C6E787F" w14:textId="66540F51"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79" w:history="1">
        <w:r w:rsidRPr="00B44E75">
          <w:rPr>
            <w:rStyle w:val="Hyperlink"/>
            <w:rFonts w:ascii="Times New Roman" w:hAnsi="Times New Roman" w:cs="Times New Roman"/>
            <w:iCs/>
            <w:noProof/>
          </w:rPr>
          <w:t>Table 2.7</w:t>
        </w:r>
        <w:r w:rsidRPr="00B44E75">
          <w:rPr>
            <w:rStyle w:val="Hyperlink"/>
            <w:rFonts w:ascii="Times New Roman" w:hAnsi="Times New Roman" w:cs="Times New Roman"/>
            <w:noProof/>
          </w:rPr>
          <w:t xml:space="preserve"> </w:t>
        </w:r>
        <w:r w:rsidRPr="00B44E75">
          <w:rPr>
            <w:rStyle w:val="Hyperlink"/>
            <w:rFonts w:ascii="Times New Roman" w:hAnsi="Times New Roman" w:cs="Times New Roman"/>
            <w:iCs/>
            <w:noProof/>
          </w:rPr>
          <w:t xml:space="preserve">Values of coefficients in correlation  </w:t>
        </w:r>
        <m:oMath>
          <m:r>
            <m:rPr>
              <m:sty m:val="bi"/>
            </m:rPr>
            <w:rPr>
              <w:rStyle w:val="Hyperlink"/>
              <w:rFonts w:ascii="Cambria Math" w:hAnsi="Cambria Math" w:cs="Times New Roman"/>
              <w:noProof/>
            </w:rPr>
            <m:t>Nu</m:t>
          </m:r>
          <m:r>
            <m:rPr>
              <m:sty m:val="p"/>
            </m:rPr>
            <w:rPr>
              <w:rStyle w:val="Hyperlink"/>
              <w:rFonts w:ascii="Cambria Math" w:hAnsi="Cambria Math" w:cs="Times New Roman"/>
              <w:noProof/>
            </w:rPr>
            <m:t>=</m:t>
          </m:r>
          <m:r>
            <m:rPr>
              <m:sty m:val="bi"/>
            </m:rPr>
            <w:rPr>
              <w:rStyle w:val="Hyperlink"/>
              <w:rFonts w:ascii="Cambria Math" w:hAnsi="Cambria Math" w:cs="Times New Roman"/>
              <w:noProof/>
            </w:rPr>
            <m:t>cRem</m:t>
          </m:r>
        </m:oMath>
        <w:r w:rsidRPr="00B44E75">
          <w:rPr>
            <w:rStyle w:val="Hyperlink"/>
            <w:rFonts w:ascii="Times New Roman" w:hAnsi="Times New Roman" w:cs="Times New Roman"/>
            <w:iCs/>
            <w:noProof/>
          </w:rPr>
          <w:t xml:space="preserve">  for different characteristic length scales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_Toc177755179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50</w:t>
        </w:r>
        <w:r w:rsidRPr="00B44E75">
          <w:rPr>
            <w:rFonts w:ascii="Times New Roman" w:hAnsi="Times New Roman" w:cs="Times New Roman"/>
            <w:noProof/>
            <w:webHidden/>
          </w:rPr>
          <w:fldChar w:fldCharType="end"/>
        </w:r>
      </w:hyperlink>
    </w:p>
    <w:p w14:paraId="35118E5B" w14:textId="420DA3E4"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80" w:history="1">
        <w:r w:rsidRPr="00B44E75">
          <w:rPr>
            <w:rStyle w:val="Hyperlink"/>
            <w:rFonts w:ascii="Times New Roman" w:hAnsi="Times New Roman" w:cs="Times New Roman"/>
            <w:noProof/>
          </w:rPr>
          <w:t>Table 3.1 Fiber diameter and measured bulk porosity of the investigated samples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_Toc177755180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75</w:t>
        </w:r>
        <w:r w:rsidRPr="00B44E75">
          <w:rPr>
            <w:rFonts w:ascii="Times New Roman" w:hAnsi="Times New Roman" w:cs="Times New Roman"/>
            <w:noProof/>
            <w:webHidden/>
          </w:rPr>
          <w:fldChar w:fldCharType="end"/>
        </w:r>
      </w:hyperlink>
    </w:p>
    <w:p w14:paraId="7D8F1A63" w14:textId="009FA3A4"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81" w:history="1">
        <w:r w:rsidRPr="00B44E75">
          <w:rPr>
            <w:rStyle w:val="Hyperlink"/>
            <w:rFonts w:ascii="Times New Roman" w:hAnsi="Times New Roman" w:cs="Times New Roman"/>
            <w:noProof/>
          </w:rPr>
          <w:t>Table 3.2 Comparison of k</w:t>
        </w:r>
        <w:r w:rsidRPr="00B44E75">
          <w:rPr>
            <w:rStyle w:val="Hyperlink"/>
            <w:rFonts w:ascii="Times New Roman" w:hAnsi="Times New Roman" w:cs="Times New Roman"/>
            <w:noProof/>
            <w:vertAlign w:val="subscript"/>
          </w:rPr>
          <w:t>eff</w:t>
        </w:r>
        <w:r w:rsidRPr="00B44E75">
          <w:rPr>
            <w:rStyle w:val="Hyperlink"/>
            <w:rFonts w:ascii="Times New Roman" w:hAnsi="Times New Roman" w:cs="Times New Roman"/>
            <w:noProof/>
          </w:rPr>
          <w:t>/k</w:t>
        </w:r>
        <w:r w:rsidRPr="00B44E75">
          <w:rPr>
            <w:rStyle w:val="Hyperlink"/>
            <w:rFonts w:ascii="Times New Roman" w:hAnsi="Times New Roman" w:cs="Times New Roman"/>
            <w:noProof/>
            <w:vertAlign w:val="subscript"/>
          </w:rPr>
          <w:t>s</w:t>
        </w:r>
        <w:r w:rsidRPr="00B44E75">
          <w:rPr>
            <w:rStyle w:val="Hyperlink"/>
            <w:rFonts w:ascii="Times New Roman" w:hAnsi="Times New Roman" w:cs="Times New Roman"/>
            <w:noProof/>
          </w:rPr>
          <w:t xml:space="preserve"> obtained from experiments and computations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_Toc177755181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81</w:t>
        </w:r>
        <w:r w:rsidRPr="00B44E75">
          <w:rPr>
            <w:rFonts w:ascii="Times New Roman" w:hAnsi="Times New Roman" w:cs="Times New Roman"/>
            <w:noProof/>
            <w:webHidden/>
          </w:rPr>
          <w:fldChar w:fldCharType="end"/>
        </w:r>
      </w:hyperlink>
    </w:p>
    <w:p w14:paraId="75F4464A" w14:textId="77D7197A"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82" w:history="1">
        <w:r w:rsidRPr="00B44E75">
          <w:rPr>
            <w:rStyle w:val="Hyperlink"/>
            <w:rFonts w:ascii="Times New Roman" w:hAnsi="Times New Roman" w:cs="Times New Roman"/>
            <w:noProof/>
          </w:rPr>
          <w:t>Table 4.1 Mean diameter values of three different particle types experimentally investigated</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_Toc177755182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114</w:t>
        </w:r>
        <w:r w:rsidRPr="00B44E75">
          <w:rPr>
            <w:rFonts w:ascii="Times New Roman" w:hAnsi="Times New Roman" w:cs="Times New Roman"/>
            <w:noProof/>
            <w:webHidden/>
          </w:rPr>
          <w:fldChar w:fldCharType="end"/>
        </w:r>
      </w:hyperlink>
    </w:p>
    <w:p w14:paraId="04F6F54C" w14:textId="37398EAD" w:rsidR="00236E6D" w:rsidRPr="008F5202" w:rsidRDefault="00665C7E" w:rsidP="00B44E7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8280" w:hanging="8280"/>
        <w:rPr>
          <w:rFonts w:ascii="Times New Roman" w:hAnsi="Times New Roman" w:cs="Times New Roman"/>
        </w:rPr>
      </w:pPr>
      <w:r w:rsidRPr="00B44E75">
        <w:rPr>
          <w:rFonts w:ascii="Times New Roman" w:hAnsi="Times New Roman" w:cs="Times New Roman"/>
        </w:rPr>
        <w:fldChar w:fldCharType="end"/>
      </w:r>
    </w:p>
    <w:p w14:paraId="112D062E" w14:textId="77777777" w:rsidR="00236E6D" w:rsidRPr="008F5202" w:rsidRDefault="00236E6D" w:rsidP="008F5202">
      <w:pPr>
        <w:spacing w:line="360" w:lineRule="auto"/>
        <w:rPr>
          <w:rFonts w:ascii="Times New Roman" w:hAnsi="Times New Roman" w:cs="Times New Roman"/>
        </w:rPr>
      </w:pPr>
    </w:p>
    <w:p w14:paraId="0752D494" w14:textId="77777777" w:rsidR="00236E6D" w:rsidRPr="008F5202" w:rsidRDefault="00236E6D" w:rsidP="008F5202">
      <w:pPr>
        <w:spacing w:line="360" w:lineRule="auto"/>
        <w:rPr>
          <w:rFonts w:ascii="Times New Roman" w:hAnsi="Times New Roman" w:cs="Times New Roman"/>
        </w:rPr>
      </w:pPr>
    </w:p>
    <w:p w14:paraId="0FB1D848" w14:textId="77777777" w:rsidR="00236E6D" w:rsidRPr="008F5202" w:rsidRDefault="00236E6D" w:rsidP="008F5202">
      <w:pPr>
        <w:pStyle w:val="Level1"/>
        <w:tabs>
          <w:tab w:val="right" w:leader="dot" w:pos="8228"/>
        </w:tabs>
        <w:spacing w:line="360" w:lineRule="auto"/>
        <w:ind w:left="0"/>
        <w:rPr>
          <w:rFonts w:cs="Times New Roman"/>
          <w:b/>
          <w:bCs/>
        </w:rPr>
      </w:pPr>
    </w:p>
    <w:p w14:paraId="34C30392" w14:textId="77777777" w:rsidR="00236E6D" w:rsidRPr="008F5202" w:rsidRDefault="00236E6D" w:rsidP="008F5202">
      <w:pPr>
        <w:spacing w:line="360" w:lineRule="auto"/>
        <w:jc w:val="center"/>
        <w:rPr>
          <w:rFonts w:ascii="Times New Roman" w:hAnsi="Times New Roman" w:cs="Times New Roman"/>
          <w:b/>
        </w:rPr>
      </w:pPr>
      <w:r w:rsidRPr="008F5202">
        <w:rPr>
          <w:rFonts w:ascii="Times New Roman" w:hAnsi="Times New Roman" w:cs="Times New Roman"/>
        </w:rPr>
        <w:br w:type="page"/>
      </w:r>
      <w:r w:rsidRPr="008F5202">
        <w:rPr>
          <w:rFonts w:ascii="Times New Roman" w:hAnsi="Times New Roman" w:cs="Times New Roman"/>
          <w:b/>
        </w:rPr>
        <w:lastRenderedPageBreak/>
        <w:t>LIST OF FIGURES</w:t>
      </w:r>
    </w:p>
    <w:p w14:paraId="386CC178" w14:textId="77777777" w:rsidR="00236E6D" w:rsidRPr="008F5202" w:rsidRDefault="00236E6D" w:rsidP="008F5202">
      <w:pPr>
        <w:numPr>
          <w:ilvl w:val="12"/>
          <w:numId w:val="0"/>
        </w:numPr>
        <w:spacing w:line="360" w:lineRule="auto"/>
        <w:rPr>
          <w:rFonts w:ascii="Times New Roman" w:hAnsi="Times New Roman" w:cs="Times New Roman"/>
        </w:rPr>
      </w:pPr>
    </w:p>
    <w:p w14:paraId="3F46F2BC" w14:textId="77777777" w:rsidR="00236E6D" w:rsidRPr="008F5202" w:rsidRDefault="00236E6D" w:rsidP="008F520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rPr>
          <w:rFonts w:ascii="Times New Roman" w:hAnsi="Times New Roman" w:cs="Times New Roman"/>
        </w:rPr>
      </w:pPr>
    </w:p>
    <w:p w14:paraId="5FDB19AE" w14:textId="263F42A2" w:rsidR="00AF1AFB" w:rsidRPr="00B44E75" w:rsidRDefault="00665C7E"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r w:rsidRPr="00B44E75">
        <w:rPr>
          <w:rFonts w:ascii="Times New Roman" w:hAnsi="Times New Roman" w:cs="Times New Roman"/>
        </w:rPr>
        <w:fldChar w:fldCharType="begin"/>
      </w:r>
      <w:r w:rsidR="00304BD0" w:rsidRPr="00B44E75">
        <w:rPr>
          <w:rFonts w:ascii="Times New Roman" w:hAnsi="Times New Roman" w:cs="Times New Roman"/>
        </w:rPr>
        <w:instrText xml:space="preserve"> TOC \h \z \c "Figure" </w:instrText>
      </w:r>
      <w:r w:rsidRPr="00B44E75">
        <w:rPr>
          <w:rFonts w:ascii="Times New Roman" w:hAnsi="Times New Roman" w:cs="Times New Roman"/>
        </w:rPr>
        <w:fldChar w:fldCharType="separate"/>
      </w:r>
      <w:hyperlink w:anchor="_Toc177755183" w:history="1">
        <w:r w:rsidR="00AF1AFB" w:rsidRPr="00B44E75">
          <w:rPr>
            <w:rStyle w:val="Hyperlink"/>
            <w:rFonts w:ascii="Times New Roman" w:hAnsi="Times New Roman" w:cs="Times New Roman"/>
            <w:noProof/>
          </w:rPr>
          <w:t>Figure 2.1 Four representative unit cell (RUC) topologies of the investigated samples</w:t>
        </w:r>
        <w:r w:rsidR="00AF1AFB" w:rsidRPr="00B44E75">
          <w:rPr>
            <w:rFonts w:ascii="Times New Roman" w:hAnsi="Times New Roman" w:cs="Times New Roman"/>
            <w:noProof/>
            <w:webHidden/>
          </w:rPr>
          <w:tab/>
        </w:r>
        <w:r w:rsidR="00AF1AFB" w:rsidRPr="00B44E75">
          <w:rPr>
            <w:rFonts w:ascii="Times New Roman" w:hAnsi="Times New Roman" w:cs="Times New Roman"/>
            <w:noProof/>
            <w:webHidden/>
          </w:rPr>
          <w:fldChar w:fldCharType="begin"/>
        </w:r>
        <w:r w:rsidR="00AF1AFB" w:rsidRPr="00B44E75">
          <w:rPr>
            <w:rFonts w:ascii="Times New Roman" w:hAnsi="Times New Roman" w:cs="Times New Roman"/>
            <w:noProof/>
            <w:webHidden/>
          </w:rPr>
          <w:instrText xml:space="preserve"> PAGEREF _Toc177755183 \h </w:instrText>
        </w:r>
        <w:r w:rsidR="00AF1AFB" w:rsidRPr="00B44E75">
          <w:rPr>
            <w:rFonts w:ascii="Times New Roman" w:hAnsi="Times New Roman" w:cs="Times New Roman"/>
            <w:noProof/>
            <w:webHidden/>
          </w:rPr>
        </w:r>
        <w:r w:rsidR="00AF1AFB"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33</w:t>
        </w:r>
        <w:r w:rsidR="00AF1AFB" w:rsidRPr="00B44E75">
          <w:rPr>
            <w:rFonts w:ascii="Times New Roman" w:hAnsi="Times New Roman" w:cs="Times New Roman"/>
            <w:noProof/>
            <w:webHidden/>
          </w:rPr>
          <w:fldChar w:fldCharType="end"/>
        </w:r>
      </w:hyperlink>
    </w:p>
    <w:p w14:paraId="737524BD" w14:textId="732AB115"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84" w:history="1">
        <w:r w:rsidRPr="00B44E75">
          <w:rPr>
            <w:rStyle w:val="Hyperlink"/>
            <w:rFonts w:ascii="Times New Roman" w:hAnsi="Times New Roman" w:cs="Times New Roman"/>
            <w:noProof/>
          </w:rPr>
          <w:t>Figure 2.2 Dimensions of the printed samples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_Toc177755184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33</w:t>
        </w:r>
        <w:r w:rsidRPr="00B44E75">
          <w:rPr>
            <w:rFonts w:ascii="Times New Roman" w:hAnsi="Times New Roman" w:cs="Times New Roman"/>
            <w:noProof/>
            <w:webHidden/>
          </w:rPr>
          <w:fldChar w:fldCharType="end"/>
        </w:r>
      </w:hyperlink>
    </w:p>
    <w:p w14:paraId="700F6284" w14:textId="5521CE0E"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85" w:history="1">
        <w:r w:rsidRPr="00B44E75">
          <w:rPr>
            <w:rStyle w:val="Hyperlink"/>
            <w:rFonts w:ascii="Times New Roman" w:hAnsi="Times New Roman" w:cs="Times New Roman"/>
            <w:noProof/>
          </w:rPr>
          <w:t>Figure 2.3 Schematic of the experimental setup (not drawn to scale)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_Toc177755185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34</w:t>
        </w:r>
        <w:r w:rsidRPr="00B44E75">
          <w:rPr>
            <w:rFonts w:ascii="Times New Roman" w:hAnsi="Times New Roman" w:cs="Times New Roman"/>
            <w:noProof/>
            <w:webHidden/>
          </w:rPr>
          <w:fldChar w:fldCharType="end"/>
        </w:r>
      </w:hyperlink>
    </w:p>
    <w:p w14:paraId="19434589" w14:textId="266D1ACC"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86" w:history="1">
        <w:r w:rsidRPr="00B44E75">
          <w:rPr>
            <w:rStyle w:val="Hyperlink"/>
            <w:rFonts w:ascii="Times New Roman" w:hAnsi="Times New Roman" w:cs="Times New Roman"/>
            <w:noProof/>
          </w:rPr>
          <w:t>Figure 2.4 Schematic of the lattice sample and test-section assembly (not drawn to scale)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_Toc177755186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35</w:t>
        </w:r>
        <w:r w:rsidRPr="00B44E75">
          <w:rPr>
            <w:rFonts w:ascii="Times New Roman" w:hAnsi="Times New Roman" w:cs="Times New Roman"/>
            <w:noProof/>
            <w:webHidden/>
          </w:rPr>
          <w:fldChar w:fldCharType="end"/>
        </w:r>
      </w:hyperlink>
    </w:p>
    <w:p w14:paraId="44CF5BAE" w14:textId="06EE84E5"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87" w:history="1">
        <w:r w:rsidRPr="00B44E75">
          <w:rPr>
            <w:rStyle w:val="Hyperlink"/>
            <w:rFonts w:ascii="Times New Roman" w:hAnsi="Times New Roman" w:cs="Times New Roman"/>
            <w:noProof/>
          </w:rPr>
          <w:t>Figure 2.5 Streamwise distribution of Nusselt number in the smooth channel</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_Toc177755187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40</w:t>
        </w:r>
        <w:r w:rsidRPr="00B44E75">
          <w:rPr>
            <w:rFonts w:ascii="Times New Roman" w:hAnsi="Times New Roman" w:cs="Times New Roman"/>
            <w:noProof/>
            <w:webHidden/>
          </w:rPr>
          <w:fldChar w:fldCharType="end"/>
        </w:r>
      </w:hyperlink>
    </w:p>
    <w:p w14:paraId="61FD03EA" w14:textId="7D8C0742"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88" w:history="1">
        <w:r w:rsidRPr="00B44E75">
          <w:rPr>
            <w:rStyle w:val="Hyperlink"/>
            <w:rFonts w:ascii="Times New Roman" w:hAnsi="Times New Roman" w:cs="Times New Roman"/>
            <w:noProof/>
          </w:rPr>
          <w:t>Figure 2.6 Streamwise distribution of Nusselt number in the smooth channel</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_Toc177755188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41</w:t>
        </w:r>
        <w:r w:rsidRPr="00B44E75">
          <w:rPr>
            <w:rFonts w:ascii="Times New Roman" w:hAnsi="Times New Roman" w:cs="Times New Roman"/>
            <w:noProof/>
            <w:webHidden/>
          </w:rPr>
          <w:fldChar w:fldCharType="end"/>
        </w:r>
      </w:hyperlink>
    </w:p>
    <w:p w14:paraId="428C22D1" w14:textId="071C5515"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89" w:history="1">
        <w:r w:rsidRPr="00B44E75">
          <w:rPr>
            <w:rStyle w:val="Hyperlink"/>
            <w:rFonts w:ascii="Times New Roman" w:hAnsi="Times New Roman" w:cs="Times New Roman"/>
            <w:noProof/>
          </w:rPr>
          <w:t>Figure 2.7 Mean total and forced heat transfer coefficient under both wall and only bottom wall heated conditions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_Toc177755189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42</w:t>
        </w:r>
        <w:r w:rsidRPr="00B44E75">
          <w:rPr>
            <w:rFonts w:ascii="Times New Roman" w:hAnsi="Times New Roman" w:cs="Times New Roman"/>
            <w:noProof/>
            <w:webHidden/>
          </w:rPr>
          <w:fldChar w:fldCharType="end"/>
        </w:r>
      </w:hyperlink>
    </w:p>
    <w:p w14:paraId="15207A9A" w14:textId="35C06734"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90" w:history="1">
        <w:r w:rsidRPr="00B44E75">
          <w:rPr>
            <w:rStyle w:val="Hyperlink"/>
            <w:rFonts w:ascii="Times New Roman" w:hAnsi="Times New Roman" w:cs="Times New Roman"/>
            <w:noProof/>
          </w:rPr>
          <w:t>Figure 2.8 Mean total and forced heat transfer coefficient under both wall and only bottom wall heated conditions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_Toc177755190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43</w:t>
        </w:r>
        <w:r w:rsidRPr="00B44E75">
          <w:rPr>
            <w:rFonts w:ascii="Times New Roman" w:hAnsi="Times New Roman" w:cs="Times New Roman"/>
            <w:noProof/>
            <w:webHidden/>
          </w:rPr>
          <w:fldChar w:fldCharType="end"/>
        </w:r>
      </w:hyperlink>
    </w:p>
    <w:p w14:paraId="1A0C3526" w14:textId="1BC3031B"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91" w:history="1">
        <w:r w:rsidRPr="00B44E75">
          <w:rPr>
            <w:rStyle w:val="Hyperlink"/>
            <w:rFonts w:ascii="Times New Roman" w:hAnsi="Times New Roman" w:cs="Times New Roman"/>
            <w:noProof/>
          </w:rPr>
          <w:t>Figure 2.9 Nusselt number as a function of Reynolds number based on channel hydraulic diameter</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_Toc177755191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45</w:t>
        </w:r>
        <w:r w:rsidRPr="00B44E75">
          <w:rPr>
            <w:rFonts w:ascii="Times New Roman" w:hAnsi="Times New Roman" w:cs="Times New Roman"/>
            <w:noProof/>
            <w:webHidden/>
          </w:rPr>
          <w:fldChar w:fldCharType="end"/>
        </w:r>
      </w:hyperlink>
    </w:p>
    <w:p w14:paraId="615FA60E" w14:textId="7336CE03"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92" w:history="1">
        <w:r w:rsidRPr="00B44E75">
          <w:rPr>
            <w:rStyle w:val="Hyperlink"/>
            <w:rFonts w:ascii="Times New Roman" w:hAnsi="Times New Roman" w:cs="Times New Roman"/>
            <w:noProof/>
          </w:rPr>
          <w:t>Figure 2.10 Pore diameters (</w:t>
        </w:r>
        <m:oMath>
          <m:r>
            <m:rPr>
              <m:sty m:val="bi"/>
            </m:rPr>
            <w:rPr>
              <w:rStyle w:val="Hyperlink"/>
              <w:rFonts w:ascii="Cambria Math" w:hAnsi="Cambria Math" w:cs="Times New Roman"/>
              <w:noProof/>
            </w:rPr>
            <m:t>dp</m:t>
          </m:r>
        </m:oMath>
        <w:r w:rsidRPr="00B44E75">
          <w:rPr>
            <w:rStyle w:val="Hyperlink"/>
            <w:rFonts w:ascii="Times New Roman" w:hAnsi="Times New Roman" w:cs="Times New Roman"/>
            <w:noProof/>
          </w:rPr>
          <w:t>) corresponding to the largest sphere that could pass through the voids of (a) Octet, (b FD-Cube, (c) Tetrakaidecahedron, and (d) Cube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_Toc177755192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48</w:t>
        </w:r>
        <w:r w:rsidRPr="00B44E75">
          <w:rPr>
            <w:rFonts w:ascii="Times New Roman" w:hAnsi="Times New Roman" w:cs="Times New Roman"/>
            <w:noProof/>
            <w:webHidden/>
          </w:rPr>
          <w:fldChar w:fldCharType="end"/>
        </w:r>
      </w:hyperlink>
    </w:p>
    <w:p w14:paraId="2D724A38" w14:textId="083101C7"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93" w:history="1">
        <w:r w:rsidRPr="00B44E75">
          <w:rPr>
            <w:rStyle w:val="Hyperlink"/>
            <w:rFonts w:ascii="Times New Roman" w:hAnsi="Times New Roman" w:cs="Times New Roman"/>
            <w:noProof/>
          </w:rPr>
          <w:t>Figure 2.11 Pore diameter based Nusselt number as a function of Reynolds number</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_Toc177755193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48</w:t>
        </w:r>
        <w:r w:rsidRPr="00B44E75">
          <w:rPr>
            <w:rFonts w:ascii="Times New Roman" w:hAnsi="Times New Roman" w:cs="Times New Roman"/>
            <w:noProof/>
            <w:webHidden/>
          </w:rPr>
          <w:fldChar w:fldCharType="end"/>
        </w:r>
      </w:hyperlink>
    </w:p>
    <w:p w14:paraId="149605BC" w14:textId="25B3C42E"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94" w:history="1">
        <w:r w:rsidRPr="00B44E75">
          <w:rPr>
            <w:rStyle w:val="Hyperlink"/>
            <w:rFonts w:ascii="Times New Roman" w:hAnsi="Times New Roman" w:cs="Times New Roman"/>
            <w:noProof/>
          </w:rPr>
          <w:t>Figure 2.12 Fiber diameter based Nusselt number as a function of Reynolds number</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_Toc177755194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50</w:t>
        </w:r>
        <w:r w:rsidRPr="00B44E75">
          <w:rPr>
            <w:rFonts w:ascii="Times New Roman" w:hAnsi="Times New Roman" w:cs="Times New Roman"/>
            <w:noProof/>
            <w:webHidden/>
          </w:rPr>
          <w:fldChar w:fldCharType="end"/>
        </w:r>
      </w:hyperlink>
    </w:p>
    <w:p w14:paraId="5A66CA66" w14:textId="686735ED"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95" w:history="1">
        <w:r w:rsidRPr="00B44E75">
          <w:rPr>
            <w:rStyle w:val="Hyperlink"/>
            <w:rFonts w:ascii="Times New Roman" w:hAnsi="Times New Roman" w:cs="Times New Roman"/>
            <w:noProof/>
          </w:rPr>
          <w:t>Figure 2.13 Comparison of values predicted from correlations with the values obtained from experiments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_Toc177755195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51</w:t>
        </w:r>
        <w:r w:rsidRPr="00B44E75">
          <w:rPr>
            <w:rFonts w:ascii="Times New Roman" w:hAnsi="Times New Roman" w:cs="Times New Roman"/>
            <w:noProof/>
            <w:webHidden/>
          </w:rPr>
          <w:fldChar w:fldCharType="end"/>
        </w:r>
      </w:hyperlink>
    </w:p>
    <w:p w14:paraId="346F8160" w14:textId="61D0D6CE"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96" w:history="1">
        <w:r w:rsidRPr="00B44E75">
          <w:rPr>
            <w:rStyle w:val="Hyperlink"/>
            <w:rFonts w:ascii="Times New Roman" w:hAnsi="Times New Roman" w:cs="Times New Roman"/>
            <w:noProof/>
          </w:rPr>
          <w:t>Figure 2.14 Nusselt number enhancement with respect to smooth channel Dittus-Boelter correlation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_Toc177755196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52</w:t>
        </w:r>
        <w:r w:rsidRPr="00B44E75">
          <w:rPr>
            <w:rFonts w:ascii="Times New Roman" w:hAnsi="Times New Roman" w:cs="Times New Roman"/>
            <w:noProof/>
            <w:webHidden/>
          </w:rPr>
          <w:fldChar w:fldCharType="end"/>
        </w:r>
      </w:hyperlink>
    </w:p>
    <w:p w14:paraId="34C2FCF1" w14:textId="1C5A1C01"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97" w:history="1">
        <w:r w:rsidRPr="00B44E75">
          <w:rPr>
            <w:rStyle w:val="Hyperlink"/>
            <w:rFonts w:ascii="Times New Roman" w:hAnsi="Times New Roman" w:cs="Times New Roman"/>
            <w:noProof/>
          </w:rPr>
          <w:t>Figure 2.15 Conjugate heat transfer coefficient as a function of pumping power requirement</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_Toc177755197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54</w:t>
        </w:r>
        <w:r w:rsidRPr="00B44E75">
          <w:rPr>
            <w:rFonts w:ascii="Times New Roman" w:hAnsi="Times New Roman" w:cs="Times New Roman"/>
            <w:noProof/>
            <w:webHidden/>
          </w:rPr>
          <w:fldChar w:fldCharType="end"/>
        </w:r>
      </w:hyperlink>
    </w:p>
    <w:p w14:paraId="376E84D0" w14:textId="07AFF5CB"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98" w:history="1">
        <w:r w:rsidRPr="00B44E75">
          <w:rPr>
            <w:rStyle w:val="Hyperlink"/>
            <w:rFonts w:ascii="Times New Roman" w:hAnsi="Times New Roman" w:cs="Times New Roman"/>
            <w:noProof/>
          </w:rPr>
          <w:t>Figure 2.16 Conjugate heat transfer coefficient as a function of pumping power requirement</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_Toc177755198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55</w:t>
        </w:r>
        <w:r w:rsidRPr="00B44E75">
          <w:rPr>
            <w:rFonts w:ascii="Times New Roman" w:hAnsi="Times New Roman" w:cs="Times New Roman"/>
            <w:noProof/>
            <w:webHidden/>
          </w:rPr>
          <w:fldChar w:fldCharType="end"/>
        </w:r>
      </w:hyperlink>
    </w:p>
    <w:p w14:paraId="25EA028B" w14:textId="1DE8EACB"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199" w:history="1">
        <w:r w:rsidRPr="00B44E75">
          <w:rPr>
            <w:rStyle w:val="Hyperlink"/>
            <w:rFonts w:ascii="Times New Roman" w:hAnsi="Times New Roman" w:cs="Times New Roman"/>
            <w:noProof/>
          </w:rPr>
          <w:t>Figure 2.17 Thermal-hydraulic performance based on conjugate Nusselt number in reference to the Reynolds number</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_Toc177755199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56</w:t>
        </w:r>
        <w:r w:rsidRPr="00B44E75">
          <w:rPr>
            <w:rFonts w:ascii="Times New Roman" w:hAnsi="Times New Roman" w:cs="Times New Roman"/>
            <w:noProof/>
            <w:webHidden/>
          </w:rPr>
          <w:fldChar w:fldCharType="end"/>
        </w:r>
      </w:hyperlink>
    </w:p>
    <w:p w14:paraId="1D706651" w14:textId="6929004A"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00" w:history="1">
        <w:r w:rsidRPr="00B44E75">
          <w:rPr>
            <w:rStyle w:val="Hyperlink"/>
            <w:rFonts w:ascii="Times New Roman" w:hAnsi="Times New Roman" w:cs="Times New Roman"/>
            <w:noProof/>
          </w:rPr>
          <w:t>Figure 3.1 Schematic of the turbine blade [3.1]; also shown is the lattice structure design for the trailing edge cooling section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_Toc177755200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73</w:t>
        </w:r>
        <w:r w:rsidRPr="00B44E75">
          <w:rPr>
            <w:rFonts w:ascii="Times New Roman" w:hAnsi="Times New Roman" w:cs="Times New Roman"/>
            <w:noProof/>
            <w:webHidden/>
          </w:rPr>
          <w:fldChar w:fldCharType="end"/>
        </w:r>
      </w:hyperlink>
    </w:p>
    <w:p w14:paraId="7C11E067" w14:textId="5786310D"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01" w:history="1">
        <w:r w:rsidRPr="00B44E75">
          <w:rPr>
            <w:rStyle w:val="Hyperlink"/>
            <w:rFonts w:ascii="Times New Roman" w:hAnsi="Times New Roman" w:cs="Times New Roman"/>
            <w:noProof/>
          </w:rPr>
          <w:t>Figure 3.2 Test samples additively manufactured in 420 Stainless Steel with Bronze infiltration via Binder Jetting process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_Toc177755201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74</w:t>
        </w:r>
        <w:r w:rsidRPr="00B44E75">
          <w:rPr>
            <w:rFonts w:ascii="Times New Roman" w:hAnsi="Times New Roman" w:cs="Times New Roman"/>
            <w:noProof/>
            <w:webHidden/>
          </w:rPr>
          <w:fldChar w:fldCharType="end"/>
        </w:r>
      </w:hyperlink>
    </w:p>
    <w:p w14:paraId="54DACB59" w14:textId="7A51469F"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02" w:history="1">
        <w:r w:rsidRPr="00B44E75">
          <w:rPr>
            <w:rStyle w:val="Hyperlink"/>
            <w:rFonts w:ascii="Times New Roman" w:hAnsi="Times New Roman" w:cs="Times New Roman"/>
            <w:noProof/>
          </w:rPr>
          <w:t>Figure 3.3 (a) Unit cell topologies of the investigated samples, (b) schematic of the samples showing important dimensions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_Toc177755202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74</w:t>
        </w:r>
        <w:r w:rsidRPr="00B44E75">
          <w:rPr>
            <w:rFonts w:ascii="Times New Roman" w:hAnsi="Times New Roman" w:cs="Times New Roman"/>
            <w:noProof/>
            <w:webHidden/>
          </w:rPr>
          <w:fldChar w:fldCharType="end"/>
        </w:r>
      </w:hyperlink>
    </w:p>
    <w:p w14:paraId="68B7FFF4" w14:textId="3168893D"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03" w:history="1">
        <w:r w:rsidRPr="00B44E75">
          <w:rPr>
            <w:rStyle w:val="Hyperlink"/>
            <w:rFonts w:ascii="Times New Roman" w:hAnsi="Times New Roman" w:cs="Times New Roman"/>
            <w:noProof/>
          </w:rPr>
          <w:t>Figure 3.4 CT-scan reconstruction of (a) Octet, and (b) TKD samples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_Toc177755203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76</w:t>
        </w:r>
        <w:r w:rsidRPr="00B44E75">
          <w:rPr>
            <w:rFonts w:ascii="Times New Roman" w:hAnsi="Times New Roman" w:cs="Times New Roman"/>
            <w:noProof/>
            <w:webHidden/>
          </w:rPr>
          <w:fldChar w:fldCharType="end"/>
        </w:r>
      </w:hyperlink>
    </w:p>
    <w:p w14:paraId="75E31FAF" w14:textId="6566C3A0"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04" w:history="1">
        <w:r w:rsidRPr="00B44E75">
          <w:rPr>
            <w:rStyle w:val="Hyperlink"/>
            <w:rFonts w:ascii="Times New Roman" w:hAnsi="Times New Roman" w:cs="Times New Roman"/>
            <w:noProof/>
          </w:rPr>
          <w:t>Figure 3.5 Schematic of the experimental set-up, (b) test-section along with attached diffuser section for smooth flow transition, (c) schematic of the heater-lattice assembly used for the test-runs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_Toc177755204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77</w:t>
        </w:r>
        <w:r w:rsidRPr="00B44E75">
          <w:rPr>
            <w:rFonts w:ascii="Times New Roman" w:hAnsi="Times New Roman" w:cs="Times New Roman"/>
            <w:noProof/>
            <w:webHidden/>
          </w:rPr>
          <w:fldChar w:fldCharType="end"/>
        </w:r>
      </w:hyperlink>
    </w:p>
    <w:p w14:paraId="254379EE" w14:textId="6C224281"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05" w:history="1">
        <w:r w:rsidRPr="00B44E75">
          <w:rPr>
            <w:rStyle w:val="Hyperlink"/>
            <w:rFonts w:ascii="Times New Roman" w:hAnsi="Times New Roman" w:cs="Times New Roman"/>
            <w:noProof/>
          </w:rPr>
          <w:t>Figure 3.6 Variation of k</w:t>
        </w:r>
        <w:r w:rsidRPr="00B44E75">
          <w:rPr>
            <w:rStyle w:val="Hyperlink"/>
            <w:rFonts w:ascii="Times New Roman" w:hAnsi="Times New Roman" w:cs="Times New Roman"/>
            <w:noProof/>
            <w:vertAlign w:val="subscript"/>
          </w:rPr>
          <w:t>eff</w:t>
        </w:r>
        <w:r w:rsidRPr="00B44E75">
          <w:rPr>
            <w:rStyle w:val="Hyperlink"/>
            <w:rFonts w:ascii="Times New Roman" w:hAnsi="Times New Roman" w:cs="Times New Roman"/>
            <w:noProof/>
          </w:rPr>
          <w:t>/k</w:t>
        </w:r>
        <w:r w:rsidRPr="00B44E75">
          <w:rPr>
            <w:rStyle w:val="Hyperlink"/>
            <w:rFonts w:ascii="Times New Roman" w:hAnsi="Times New Roman" w:cs="Times New Roman"/>
            <w:noProof/>
            <w:vertAlign w:val="subscript"/>
          </w:rPr>
          <w:t>s</w:t>
        </w:r>
        <w:r w:rsidRPr="00B44E75">
          <w:rPr>
            <w:rStyle w:val="Hyperlink"/>
            <w:rFonts w:ascii="Times New Roman" w:hAnsi="Times New Roman" w:cs="Times New Roman"/>
            <w:noProof/>
          </w:rPr>
          <w:t xml:space="preserve"> with respect to the supplied heat flux</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_Toc177755205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81</w:t>
        </w:r>
        <w:r w:rsidRPr="00B44E75">
          <w:rPr>
            <w:rFonts w:ascii="Times New Roman" w:hAnsi="Times New Roman" w:cs="Times New Roman"/>
            <w:noProof/>
            <w:webHidden/>
          </w:rPr>
          <w:fldChar w:fldCharType="end"/>
        </w:r>
      </w:hyperlink>
    </w:p>
    <w:p w14:paraId="28A974F5" w14:textId="3259AD82"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06" w:history="1">
        <w:r w:rsidRPr="00B44E75">
          <w:rPr>
            <w:rStyle w:val="Hyperlink"/>
            <w:rFonts w:ascii="Times New Roman" w:hAnsi="Times New Roman" w:cs="Times New Roman"/>
            <w:noProof/>
          </w:rPr>
          <w:t>Figure 3.7 Solid and fluid temperature contours for topologies with designed porosities for (left to right)- Cube, FD-cube, TKD, and Octet</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_Toc177755206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83</w:t>
        </w:r>
        <w:r w:rsidRPr="00B44E75">
          <w:rPr>
            <w:rFonts w:ascii="Times New Roman" w:hAnsi="Times New Roman" w:cs="Times New Roman"/>
            <w:noProof/>
            <w:webHidden/>
          </w:rPr>
          <w:fldChar w:fldCharType="end"/>
        </w:r>
      </w:hyperlink>
    </w:p>
    <w:p w14:paraId="07F89826" w14:textId="0F693810"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07" w:history="1">
        <w:r w:rsidRPr="00B44E75">
          <w:rPr>
            <w:rStyle w:val="Hyperlink"/>
            <w:rFonts w:ascii="Times New Roman" w:hAnsi="Times New Roman" w:cs="Times New Roman"/>
            <w:noProof/>
          </w:rPr>
          <w:t>Figure 3.8 Heat transfer coefficient as a function of the mean flow velocity with heating on (a) both the walls, and (b) single wall</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_Toc177755207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85</w:t>
        </w:r>
        <w:r w:rsidRPr="00B44E75">
          <w:rPr>
            <w:rFonts w:ascii="Times New Roman" w:hAnsi="Times New Roman" w:cs="Times New Roman"/>
            <w:noProof/>
            <w:webHidden/>
          </w:rPr>
          <w:fldChar w:fldCharType="end"/>
        </w:r>
      </w:hyperlink>
    </w:p>
    <w:p w14:paraId="66F1A5AC" w14:textId="3DA0B128"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08" w:history="1">
        <w:r w:rsidRPr="00B44E75">
          <w:rPr>
            <w:rStyle w:val="Hyperlink"/>
            <w:rFonts w:ascii="Times New Roman" w:hAnsi="Times New Roman" w:cs="Times New Roman"/>
            <w:noProof/>
          </w:rPr>
          <w:t>Figure 3.9 Nusselt number enhancement values for heating on (a) both the walls, and (b) single wall, with respect to thermally fully developed flow in smooth channel as predicted by Dittus-Boelter correlation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_Toc177755208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87</w:t>
        </w:r>
        <w:r w:rsidRPr="00B44E75">
          <w:rPr>
            <w:rFonts w:ascii="Times New Roman" w:hAnsi="Times New Roman" w:cs="Times New Roman"/>
            <w:noProof/>
            <w:webHidden/>
          </w:rPr>
          <w:fldChar w:fldCharType="end"/>
        </w:r>
      </w:hyperlink>
    </w:p>
    <w:p w14:paraId="5F6D9658" w14:textId="53C9E8F0"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09" w:history="1">
        <w:r w:rsidRPr="00B44E75">
          <w:rPr>
            <w:rStyle w:val="Hyperlink"/>
            <w:rFonts w:ascii="Times New Roman" w:hAnsi="Times New Roman" w:cs="Times New Roman"/>
            <w:noProof/>
          </w:rPr>
          <w:t>Figure 3.10 Nusselt number enhancement values for heating on (a) both the walls, and (b) single wall, with respect to thermally developing flow in a smooth channel</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_Toc177755209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89</w:t>
        </w:r>
        <w:r w:rsidRPr="00B44E75">
          <w:rPr>
            <w:rFonts w:ascii="Times New Roman" w:hAnsi="Times New Roman" w:cs="Times New Roman"/>
            <w:noProof/>
            <w:webHidden/>
          </w:rPr>
          <w:fldChar w:fldCharType="end"/>
        </w:r>
      </w:hyperlink>
    </w:p>
    <w:p w14:paraId="0A2D862A" w14:textId="2F901155"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10" w:history="1">
        <w:r w:rsidRPr="00B44E75">
          <w:rPr>
            <w:rStyle w:val="Hyperlink"/>
            <w:rFonts w:ascii="Times New Roman" w:hAnsi="Times New Roman" w:cs="Times New Roman"/>
            <w:noProof/>
          </w:rPr>
          <w:t>Figure 3.11 (a) Pressure gradient vs mean flow velocity, and (b) friction factor vs Reynolds number</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_Toc177755210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91</w:t>
        </w:r>
        <w:r w:rsidRPr="00B44E75">
          <w:rPr>
            <w:rFonts w:ascii="Times New Roman" w:hAnsi="Times New Roman" w:cs="Times New Roman"/>
            <w:noProof/>
            <w:webHidden/>
          </w:rPr>
          <w:fldChar w:fldCharType="end"/>
        </w:r>
      </w:hyperlink>
    </w:p>
    <w:p w14:paraId="0F80A4B8" w14:textId="227C45DD"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11" w:history="1">
        <w:r w:rsidRPr="00B44E75">
          <w:rPr>
            <w:rStyle w:val="Hyperlink"/>
            <w:rFonts w:ascii="Times New Roman" w:hAnsi="Times New Roman" w:cs="Times New Roman"/>
            <w:noProof/>
          </w:rPr>
          <w:t>Figure 3.12 Friction factor augmentation vs Reynolds number</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_Toc177755211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92</w:t>
        </w:r>
        <w:r w:rsidRPr="00B44E75">
          <w:rPr>
            <w:rFonts w:ascii="Times New Roman" w:hAnsi="Times New Roman" w:cs="Times New Roman"/>
            <w:noProof/>
            <w:webHidden/>
          </w:rPr>
          <w:fldChar w:fldCharType="end"/>
        </w:r>
      </w:hyperlink>
    </w:p>
    <w:p w14:paraId="553BE7CE" w14:textId="18B0BDFA"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12" w:history="1">
        <w:r w:rsidRPr="00B44E75">
          <w:rPr>
            <w:rStyle w:val="Hyperlink"/>
            <w:rFonts w:ascii="Times New Roman" w:hAnsi="Times New Roman" w:cs="Times New Roman"/>
            <w:noProof/>
          </w:rPr>
          <w:t>Figure 3.13 Heat transfer coefficient vas pumping power requirements with heating on (a) both the walls, and (b) single wall</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_Toc177755212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93</w:t>
        </w:r>
        <w:r w:rsidRPr="00B44E75">
          <w:rPr>
            <w:rFonts w:ascii="Times New Roman" w:hAnsi="Times New Roman" w:cs="Times New Roman"/>
            <w:noProof/>
            <w:webHidden/>
          </w:rPr>
          <w:fldChar w:fldCharType="end"/>
        </w:r>
      </w:hyperlink>
    </w:p>
    <w:p w14:paraId="7638B62E" w14:textId="4FB85DD5"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13" w:history="1">
        <w:r w:rsidRPr="00B44E75">
          <w:rPr>
            <w:rStyle w:val="Hyperlink"/>
            <w:rFonts w:ascii="Times New Roman" w:hAnsi="Times New Roman" w:cs="Times New Roman"/>
            <w:noProof/>
          </w:rPr>
          <w:t>Figure 3.14 Thermal-hydraulic performance with respect to Reynolds number with heating on (a) both the walls, and (b) single wall considering fully developed flow conditions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_Toc177755213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94</w:t>
        </w:r>
        <w:r w:rsidRPr="00B44E75">
          <w:rPr>
            <w:rFonts w:ascii="Times New Roman" w:hAnsi="Times New Roman" w:cs="Times New Roman"/>
            <w:noProof/>
            <w:webHidden/>
          </w:rPr>
          <w:fldChar w:fldCharType="end"/>
        </w:r>
      </w:hyperlink>
    </w:p>
    <w:p w14:paraId="78B1F593" w14:textId="3898F9A7"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14" w:history="1">
        <w:r w:rsidRPr="00B44E75">
          <w:rPr>
            <w:rStyle w:val="Hyperlink"/>
            <w:rFonts w:ascii="Times New Roman" w:hAnsi="Times New Roman" w:cs="Times New Roman"/>
            <w:noProof/>
          </w:rPr>
          <w:t>Figure 3.15 Thermal-hydraulic performance with respect to Reynolds number with heating on (a) both the walls, and (b) single wall considering developing flow conditions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_Toc177755214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96</w:t>
        </w:r>
        <w:r w:rsidRPr="00B44E75">
          <w:rPr>
            <w:rFonts w:ascii="Times New Roman" w:hAnsi="Times New Roman" w:cs="Times New Roman"/>
            <w:noProof/>
            <w:webHidden/>
          </w:rPr>
          <w:fldChar w:fldCharType="end"/>
        </w:r>
      </w:hyperlink>
    </w:p>
    <w:p w14:paraId="5E26F3C6" w14:textId="3C8C3F7D"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15" w:history="1">
        <w:r w:rsidRPr="00B44E75">
          <w:rPr>
            <w:rStyle w:val="Hyperlink"/>
            <w:rFonts w:ascii="Times New Roman" w:hAnsi="Times New Roman" w:cs="Times New Roman"/>
            <w:iCs/>
            <w:noProof/>
          </w:rPr>
          <w:t>Figure 3.16 Comparison of THPs of the investigated samples with prior publications. Nuntakulamarat et al. [3.39], Rao et al. [3.40], Parbat et al. [3.13]</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_Toc177755215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96</w:t>
        </w:r>
        <w:r w:rsidRPr="00B44E75">
          <w:rPr>
            <w:rFonts w:ascii="Times New Roman" w:hAnsi="Times New Roman" w:cs="Times New Roman"/>
            <w:noProof/>
            <w:webHidden/>
          </w:rPr>
          <w:fldChar w:fldCharType="end"/>
        </w:r>
      </w:hyperlink>
    </w:p>
    <w:p w14:paraId="1762D803" w14:textId="38FDDB90"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16" w:history="1">
        <w:r w:rsidRPr="00B44E75">
          <w:rPr>
            <w:rStyle w:val="Hyperlink"/>
            <w:rFonts w:ascii="Times New Roman" w:hAnsi="Times New Roman" w:cs="Times New Roman"/>
            <w:noProof/>
          </w:rPr>
          <w:t>Figure 4.1 Schematic of the falling-particle receiver system coupled with power cycle [4.2]</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_Toc177755216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106</w:t>
        </w:r>
        <w:r w:rsidRPr="00B44E75">
          <w:rPr>
            <w:rFonts w:ascii="Times New Roman" w:hAnsi="Times New Roman" w:cs="Times New Roman"/>
            <w:noProof/>
            <w:webHidden/>
          </w:rPr>
          <w:fldChar w:fldCharType="end"/>
        </w:r>
      </w:hyperlink>
    </w:p>
    <w:p w14:paraId="46059FD7" w14:textId="22950B15"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17" w:history="1">
        <w:r w:rsidRPr="00B44E75">
          <w:rPr>
            <w:rStyle w:val="Hyperlink"/>
            <w:rFonts w:ascii="Times New Roman" w:hAnsi="Times New Roman" w:cs="Times New Roman"/>
            <w:noProof/>
          </w:rPr>
          <w:t>Figure 4.2 (a) Schematic of experimental set-up used for granular flow visualization (not drawn to scale), (b) additively manufactured Octet lattice packed between enclosure of acrylic glass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_Toc177755217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112</w:t>
        </w:r>
        <w:r w:rsidRPr="00B44E75">
          <w:rPr>
            <w:rFonts w:ascii="Times New Roman" w:hAnsi="Times New Roman" w:cs="Times New Roman"/>
            <w:noProof/>
            <w:webHidden/>
          </w:rPr>
          <w:fldChar w:fldCharType="end"/>
        </w:r>
      </w:hyperlink>
    </w:p>
    <w:p w14:paraId="60D1D026" w14:textId="32523145"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18" w:history="1">
        <w:r w:rsidRPr="00B44E75">
          <w:rPr>
            <w:rStyle w:val="Hyperlink"/>
            <w:rFonts w:ascii="Times New Roman" w:hAnsi="Times New Roman" w:cs="Times New Roman"/>
            <w:noProof/>
          </w:rPr>
          <w:t>Figure 4.3 Geometrical dimensions of the hopper and lattice section in the computational domain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_Toc177755218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112</w:t>
        </w:r>
        <w:r w:rsidRPr="00B44E75">
          <w:rPr>
            <w:rFonts w:ascii="Times New Roman" w:hAnsi="Times New Roman" w:cs="Times New Roman"/>
            <w:noProof/>
            <w:webHidden/>
          </w:rPr>
          <w:fldChar w:fldCharType="end"/>
        </w:r>
      </w:hyperlink>
    </w:p>
    <w:p w14:paraId="6C2B21DC" w14:textId="22ED44E7"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19" w:history="1">
        <w:r w:rsidRPr="00B44E75">
          <w:rPr>
            <w:rStyle w:val="Hyperlink"/>
            <w:rFonts w:ascii="Times New Roman" w:hAnsi="Times New Roman" w:cs="Times New Roman"/>
            <w:noProof/>
          </w:rPr>
          <w:t>Figure 4.4 Particles settled in the hopper before being discharged through the Octet lattice</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_Toc177755219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116</w:t>
        </w:r>
        <w:r w:rsidRPr="00B44E75">
          <w:rPr>
            <w:rFonts w:ascii="Times New Roman" w:hAnsi="Times New Roman" w:cs="Times New Roman"/>
            <w:noProof/>
            <w:webHidden/>
          </w:rPr>
          <w:fldChar w:fldCharType="end"/>
        </w:r>
      </w:hyperlink>
    </w:p>
    <w:p w14:paraId="4DBEEFE1" w14:textId="5A2907CE"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20" w:history="1">
        <w:r w:rsidRPr="00B44E75">
          <w:rPr>
            <w:rStyle w:val="Hyperlink"/>
            <w:rFonts w:ascii="Times New Roman" w:hAnsi="Times New Roman" w:cs="Times New Roman"/>
            <w:noProof/>
          </w:rPr>
          <w:t>Figure 4.5 Particle-size distribution profiles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_Toc177755220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116</w:t>
        </w:r>
        <w:r w:rsidRPr="00B44E75">
          <w:rPr>
            <w:rFonts w:ascii="Times New Roman" w:hAnsi="Times New Roman" w:cs="Times New Roman"/>
            <w:noProof/>
            <w:webHidden/>
          </w:rPr>
          <w:fldChar w:fldCharType="end"/>
        </w:r>
      </w:hyperlink>
    </w:p>
    <w:p w14:paraId="3105676D" w14:textId="43E55F17"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21" w:history="1">
        <w:r w:rsidRPr="00B44E75">
          <w:rPr>
            <w:rStyle w:val="Hyperlink"/>
            <w:rFonts w:ascii="Times New Roman" w:hAnsi="Times New Roman" w:cs="Times New Roman"/>
            <w:noProof/>
          </w:rPr>
          <w:t>Figure 4.6 Spring-dashpot model for interaction in the normal and tangential directions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_Toc177755221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117</w:t>
        </w:r>
        <w:r w:rsidRPr="00B44E75">
          <w:rPr>
            <w:rFonts w:ascii="Times New Roman" w:hAnsi="Times New Roman" w:cs="Times New Roman"/>
            <w:noProof/>
            <w:webHidden/>
          </w:rPr>
          <w:fldChar w:fldCharType="end"/>
        </w:r>
      </w:hyperlink>
    </w:p>
    <w:p w14:paraId="375D8E86" w14:textId="622686F9"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22" w:history="1">
        <w:r w:rsidRPr="00B44E75">
          <w:rPr>
            <w:rStyle w:val="Hyperlink"/>
            <w:rFonts w:ascii="Times New Roman" w:hAnsi="Times New Roman" w:cs="Times New Roman"/>
            <w:noProof/>
          </w:rPr>
          <w:t>Figure 4.7 Comparison of mass flow rates obtained from DEM simulations for three different particle-wall sliding friction coefficients against the experimental data</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_Toc177755222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123</w:t>
        </w:r>
        <w:r w:rsidRPr="00B44E75">
          <w:rPr>
            <w:rFonts w:ascii="Times New Roman" w:hAnsi="Times New Roman" w:cs="Times New Roman"/>
            <w:noProof/>
            <w:webHidden/>
          </w:rPr>
          <w:fldChar w:fldCharType="end"/>
        </w:r>
      </w:hyperlink>
    </w:p>
    <w:p w14:paraId="1B3180ED" w14:textId="6C2D5116"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23" w:history="1">
        <w:r w:rsidRPr="00B44E75">
          <w:rPr>
            <w:rStyle w:val="Hyperlink"/>
            <w:rFonts w:ascii="Times New Roman" w:hAnsi="Times New Roman" w:cs="Times New Roman"/>
            <w:noProof/>
          </w:rPr>
          <w:t>Figure 4.8 Comparison of mass flow rates obtained from DEM simulations for two different rolling friction models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_Toc177755223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124</w:t>
        </w:r>
        <w:r w:rsidRPr="00B44E75">
          <w:rPr>
            <w:rFonts w:ascii="Times New Roman" w:hAnsi="Times New Roman" w:cs="Times New Roman"/>
            <w:noProof/>
            <w:webHidden/>
          </w:rPr>
          <w:fldChar w:fldCharType="end"/>
        </w:r>
      </w:hyperlink>
    </w:p>
    <w:p w14:paraId="552BBA32" w14:textId="2C31215D"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24" w:history="1">
        <w:r w:rsidRPr="00B44E75">
          <w:rPr>
            <w:rStyle w:val="Hyperlink"/>
            <w:rFonts w:ascii="Times New Roman" w:hAnsi="Times New Roman" w:cs="Times New Roman"/>
            <w:noProof/>
          </w:rPr>
          <w:t>Figure 4.9 Instantaneous images of the free-fall of particles in three different lattices taken during experiments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_Toc177755224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125</w:t>
        </w:r>
        <w:r w:rsidRPr="00B44E75">
          <w:rPr>
            <w:rFonts w:ascii="Times New Roman" w:hAnsi="Times New Roman" w:cs="Times New Roman"/>
            <w:noProof/>
            <w:webHidden/>
          </w:rPr>
          <w:fldChar w:fldCharType="end"/>
        </w:r>
      </w:hyperlink>
    </w:p>
    <w:p w14:paraId="0992EF8D" w14:textId="038366DD"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25" w:history="1">
        <w:r w:rsidRPr="00B44E75">
          <w:rPr>
            <w:rStyle w:val="Hyperlink"/>
            <w:rFonts w:ascii="Times New Roman" w:hAnsi="Times New Roman" w:cs="Times New Roman"/>
            <w:noProof/>
          </w:rPr>
          <w:t>Figure 4.10 (a) Instantaneous image of the free-fall of particles from DEM simulations with particles colored with their local flow velocities, (b) zoomed-in view of the front side of the channel, and (c) zoomed-in side view of the channel</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_Toc177755225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126</w:t>
        </w:r>
        <w:r w:rsidRPr="00B44E75">
          <w:rPr>
            <w:rFonts w:ascii="Times New Roman" w:hAnsi="Times New Roman" w:cs="Times New Roman"/>
            <w:noProof/>
            <w:webHidden/>
          </w:rPr>
          <w:fldChar w:fldCharType="end"/>
        </w:r>
      </w:hyperlink>
    </w:p>
    <w:p w14:paraId="64FCB077" w14:textId="2562581E"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26" w:history="1">
        <w:r w:rsidRPr="00B44E75">
          <w:rPr>
            <w:rStyle w:val="Hyperlink"/>
            <w:rFonts w:ascii="Times New Roman" w:hAnsi="Times New Roman" w:cs="Times New Roman"/>
            <w:noProof/>
          </w:rPr>
          <w:t>Figure 4.11 Image of the particles taken after the completion of the DEM simulation showing accumulation in the junction regions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_Toc177755226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127</w:t>
        </w:r>
        <w:r w:rsidRPr="00B44E75">
          <w:rPr>
            <w:rFonts w:ascii="Times New Roman" w:hAnsi="Times New Roman" w:cs="Times New Roman"/>
            <w:noProof/>
            <w:webHidden/>
          </w:rPr>
          <w:fldChar w:fldCharType="end"/>
        </w:r>
      </w:hyperlink>
    </w:p>
    <w:p w14:paraId="4D0AA091" w14:textId="1F8A41C9"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27" w:history="1">
        <w:r w:rsidRPr="00B44E75">
          <w:rPr>
            <w:rStyle w:val="Hyperlink"/>
            <w:rFonts w:ascii="Times New Roman" w:hAnsi="Times New Roman" w:cs="Times New Roman"/>
            <w:noProof/>
          </w:rPr>
          <w:t>Figure 4.12 Temporal evolution of mass flow rate profiles for three lattice porosities obtained from DEM simulations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_Toc177755227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128</w:t>
        </w:r>
        <w:r w:rsidRPr="00B44E75">
          <w:rPr>
            <w:rFonts w:ascii="Times New Roman" w:hAnsi="Times New Roman" w:cs="Times New Roman"/>
            <w:noProof/>
            <w:webHidden/>
          </w:rPr>
          <w:fldChar w:fldCharType="end"/>
        </w:r>
      </w:hyperlink>
    </w:p>
    <w:p w14:paraId="2BBEC4A0" w14:textId="2A4FE235"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28" w:history="1">
        <w:r w:rsidRPr="00B44E75">
          <w:rPr>
            <w:rStyle w:val="Hyperlink"/>
            <w:rFonts w:ascii="Times New Roman" w:hAnsi="Times New Roman" w:cs="Times New Roman"/>
            <w:noProof/>
          </w:rPr>
          <w:t>Figure 4.13 (a) Experimentally obtained mass flow rates for three different particle batches as a function of lattice porosity, (b) comparison of mean mass flow rates obtained from the experiments and DEM simulations for CP 30/60 particles as a function of lattice porosity</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_Toc177755228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129</w:t>
        </w:r>
        <w:r w:rsidRPr="00B44E75">
          <w:rPr>
            <w:rFonts w:ascii="Times New Roman" w:hAnsi="Times New Roman" w:cs="Times New Roman"/>
            <w:noProof/>
            <w:webHidden/>
          </w:rPr>
          <w:fldChar w:fldCharType="end"/>
        </w:r>
      </w:hyperlink>
    </w:p>
    <w:p w14:paraId="508A01D2" w14:textId="539B51B5"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29" w:history="1">
        <w:r w:rsidRPr="00B44E75">
          <w:rPr>
            <w:rStyle w:val="Hyperlink"/>
            <w:rFonts w:ascii="Times New Roman" w:hAnsi="Times New Roman" w:cs="Times New Roman"/>
            <w:noProof/>
          </w:rPr>
          <w:t>Figure 4.14 Experimentally obtained mass flow rates for three different lattice porosities as a function of particle diameter</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_Toc177755229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130</w:t>
        </w:r>
        <w:r w:rsidRPr="00B44E75">
          <w:rPr>
            <w:rFonts w:ascii="Times New Roman" w:hAnsi="Times New Roman" w:cs="Times New Roman"/>
            <w:noProof/>
            <w:webHidden/>
          </w:rPr>
          <w:fldChar w:fldCharType="end"/>
        </w:r>
      </w:hyperlink>
    </w:p>
    <w:p w14:paraId="5974AB01" w14:textId="26F9DFE9"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30" w:history="1">
        <w:r w:rsidRPr="00B44E75">
          <w:rPr>
            <w:rStyle w:val="Hyperlink"/>
            <w:rFonts w:ascii="Times New Roman" w:hAnsi="Times New Roman" w:cs="Times New Roman"/>
            <w:noProof/>
          </w:rPr>
          <w:t>Figure 5.1 Concentrating solar power plant [5.2] and representation of particle-to-sCO2 heat exchanger; present study focused on particle-side heat transfer enhancement</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_Toc177755230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144</w:t>
        </w:r>
        <w:r w:rsidRPr="00B44E75">
          <w:rPr>
            <w:rFonts w:ascii="Times New Roman" w:hAnsi="Times New Roman" w:cs="Times New Roman"/>
            <w:noProof/>
            <w:webHidden/>
          </w:rPr>
          <w:fldChar w:fldCharType="end"/>
        </w:r>
      </w:hyperlink>
    </w:p>
    <w:p w14:paraId="6BD13DC5" w14:textId="02B8E786"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31" w:history="1">
        <w:r w:rsidRPr="00B44E75">
          <w:rPr>
            <w:rStyle w:val="Hyperlink"/>
            <w:rFonts w:ascii="Times New Roman" w:hAnsi="Times New Roman" w:cs="Times New Roman"/>
            <w:noProof/>
          </w:rPr>
          <w:t>Figure 5.2 Three samples of different porosities tested for effective thermal conductivity (dimensions in top figure in mm, scale in sample images in inches)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_Toc177755231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146</w:t>
        </w:r>
        <w:r w:rsidRPr="00B44E75">
          <w:rPr>
            <w:rFonts w:ascii="Times New Roman" w:hAnsi="Times New Roman" w:cs="Times New Roman"/>
            <w:noProof/>
            <w:webHidden/>
          </w:rPr>
          <w:fldChar w:fldCharType="end"/>
        </w:r>
      </w:hyperlink>
    </w:p>
    <w:p w14:paraId="553BAACC" w14:textId="5086ACAC"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32" w:history="1">
        <w:r w:rsidRPr="00B44E75">
          <w:rPr>
            <w:rStyle w:val="Hyperlink"/>
            <w:rFonts w:ascii="Times New Roman" w:hAnsi="Times New Roman" w:cs="Times New Roman"/>
            <w:noProof/>
          </w:rPr>
          <w:t xml:space="preserve">Figure 5.3 </w:t>
        </w:r>
        <w:r w:rsidRPr="00B44E75">
          <w:rPr>
            <w:rStyle w:val="Hyperlink"/>
            <w:rFonts w:ascii="Times New Roman" w:eastAsia="Calibri" w:hAnsi="Times New Roman" w:cs="Times New Roman"/>
            <w:noProof/>
          </w:rPr>
          <w:t xml:space="preserve">(a) Experimental setup for </w:t>
        </w:r>
        <w:r w:rsidRPr="00B44E75">
          <w:rPr>
            <w:rStyle w:val="Hyperlink"/>
            <w:rFonts w:ascii="Times New Roman" w:eastAsia="Calibri" w:hAnsi="Times New Roman" w:cs="Times New Roman"/>
            <w:i/>
            <w:iCs/>
            <w:noProof/>
          </w:rPr>
          <w:t>k</w:t>
        </w:r>
        <w:r w:rsidRPr="00B44E75">
          <w:rPr>
            <w:rStyle w:val="Hyperlink"/>
            <w:rFonts w:ascii="Times New Roman" w:eastAsia="Calibri" w:hAnsi="Times New Roman" w:cs="Times New Roman"/>
            <w:noProof/>
            <w:vertAlign w:val="subscript"/>
          </w:rPr>
          <w:t xml:space="preserve">eff </w:t>
        </w:r>
        <w:r w:rsidRPr="00B44E75">
          <w:rPr>
            <w:rStyle w:val="Hyperlink"/>
            <w:rFonts w:ascii="Times New Roman" w:eastAsia="Calibri" w:hAnsi="Times New Roman" w:cs="Times New Roman"/>
            <w:noProof/>
          </w:rPr>
          <w:t>determination, (b) unidirectional heat flow obtained via patch heater and cold sink (bottom)</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_Toc177755232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147</w:t>
        </w:r>
        <w:r w:rsidRPr="00B44E75">
          <w:rPr>
            <w:rFonts w:ascii="Times New Roman" w:hAnsi="Times New Roman" w:cs="Times New Roman"/>
            <w:noProof/>
            <w:webHidden/>
          </w:rPr>
          <w:fldChar w:fldCharType="end"/>
        </w:r>
      </w:hyperlink>
    </w:p>
    <w:p w14:paraId="6D14343D" w14:textId="31041602"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33" w:history="1">
        <w:r w:rsidRPr="00B44E75">
          <w:rPr>
            <w:rStyle w:val="Hyperlink"/>
            <w:rFonts w:ascii="Times New Roman" w:hAnsi="Times New Roman" w:cs="Times New Roman"/>
            <w:noProof/>
          </w:rPr>
          <w:t>Figure 5.4 (a) Schematic of the experimental setup (not drawn to scale), (b) zoom-in view of heat transfer section, (c) additively manufactured sandwich-type Octet panel in SS316L</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_Toc177755233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149</w:t>
        </w:r>
        <w:r w:rsidRPr="00B44E75">
          <w:rPr>
            <w:rFonts w:ascii="Times New Roman" w:hAnsi="Times New Roman" w:cs="Times New Roman"/>
            <w:noProof/>
            <w:webHidden/>
          </w:rPr>
          <w:fldChar w:fldCharType="end"/>
        </w:r>
      </w:hyperlink>
    </w:p>
    <w:p w14:paraId="3B250A16" w14:textId="4C120B15"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34" w:history="1">
        <w:r w:rsidRPr="00B44E75">
          <w:rPr>
            <w:rStyle w:val="Hyperlink"/>
            <w:rFonts w:ascii="Times New Roman" w:hAnsi="Times New Roman" w:cs="Times New Roman"/>
            <w:noProof/>
          </w:rPr>
          <w:t>Figure 5.5 Particle heat transfer test facility</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_Toc177755234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152</w:t>
        </w:r>
        <w:r w:rsidRPr="00B44E75">
          <w:rPr>
            <w:rFonts w:ascii="Times New Roman" w:hAnsi="Times New Roman" w:cs="Times New Roman"/>
            <w:noProof/>
            <w:webHidden/>
          </w:rPr>
          <w:fldChar w:fldCharType="end"/>
        </w:r>
      </w:hyperlink>
    </w:p>
    <w:p w14:paraId="1700C6A3" w14:textId="1085399B"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35" w:history="1">
        <w:r w:rsidRPr="00B44E75">
          <w:rPr>
            <w:rStyle w:val="Hyperlink"/>
            <w:rFonts w:ascii="Times New Roman" w:hAnsi="Times New Roman" w:cs="Times New Roman"/>
            <w:noProof/>
          </w:rPr>
          <w:t>Figure 5.6 Particle heat transfer test facility</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_Toc177755235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154</w:t>
        </w:r>
        <w:r w:rsidRPr="00B44E75">
          <w:rPr>
            <w:rFonts w:ascii="Times New Roman" w:hAnsi="Times New Roman" w:cs="Times New Roman"/>
            <w:noProof/>
            <w:webHidden/>
          </w:rPr>
          <w:fldChar w:fldCharType="end"/>
        </w:r>
      </w:hyperlink>
    </w:p>
    <w:p w14:paraId="13D10A1F" w14:textId="288A79E1"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36" w:history="1">
        <w:r w:rsidRPr="00B44E75">
          <w:rPr>
            <w:rStyle w:val="Hyperlink"/>
            <w:rFonts w:ascii="Times New Roman" w:hAnsi="Times New Roman" w:cs="Times New Roman"/>
            <w:noProof/>
          </w:rPr>
          <w:t>Figure 5.7 Effective thermal conductivity of Octet lattice (void space occupied by air)</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_Toc177755236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156</w:t>
        </w:r>
        <w:r w:rsidRPr="00B44E75">
          <w:rPr>
            <w:rFonts w:ascii="Times New Roman" w:hAnsi="Times New Roman" w:cs="Times New Roman"/>
            <w:noProof/>
            <w:webHidden/>
          </w:rPr>
          <w:fldChar w:fldCharType="end"/>
        </w:r>
      </w:hyperlink>
    </w:p>
    <w:p w14:paraId="557E15DC" w14:textId="3BC42BE3"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37" w:history="1">
        <w:r w:rsidRPr="00B44E75">
          <w:rPr>
            <w:rStyle w:val="Hyperlink"/>
            <w:rFonts w:ascii="Times New Roman" w:hAnsi="Times New Roman" w:cs="Times New Roman"/>
            <w:noProof/>
          </w:rPr>
          <w:t xml:space="preserve">Figure 5.8 </w:t>
        </w:r>
        <w:r w:rsidRPr="00B44E75">
          <w:rPr>
            <w:rStyle w:val="Hyperlink"/>
            <w:rFonts w:ascii="Times New Roman" w:eastAsia="Calibri" w:hAnsi="Times New Roman" w:cs="Times New Roman"/>
            <w:noProof/>
          </w:rPr>
          <w:t xml:space="preserve">Effective thermal conductivity of Octet lattice (void space occupied by particles) and </w:t>
        </w:r>
        <w:r w:rsidRPr="00B44E75">
          <w:rPr>
            <w:rStyle w:val="Hyperlink"/>
            <w:rFonts w:ascii="Times New Roman" w:eastAsia="Calibri" w:hAnsi="Times New Roman" w:cs="Times New Roman"/>
            <w:i/>
            <w:noProof/>
          </w:rPr>
          <w:t>k</w:t>
        </w:r>
        <w:r w:rsidRPr="00B44E75">
          <w:rPr>
            <w:rStyle w:val="Hyperlink"/>
            <w:rFonts w:ascii="Times New Roman" w:eastAsia="Calibri" w:hAnsi="Times New Roman" w:cs="Times New Roman"/>
            <w:noProof/>
            <w:vertAlign w:val="subscript"/>
          </w:rPr>
          <w:t>eff</w:t>
        </w:r>
        <w:r w:rsidRPr="00B44E75">
          <w:rPr>
            <w:rStyle w:val="Hyperlink"/>
            <w:rFonts w:ascii="Times New Roman" w:eastAsia="Calibri" w:hAnsi="Times New Roman" w:cs="Times New Roman"/>
            <w:noProof/>
          </w:rPr>
          <w:t xml:space="preserve"> enhancement factor (</w:t>
        </w:r>
        <w:r w:rsidRPr="00B44E75">
          <w:rPr>
            <w:rStyle w:val="Hyperlink"/>
            <w:rFonts w:ascii="Times New Roman" w:eastAsia="Calibri" w:hAnsi="Times New Roman" w:cs="Times New Roman"/>
            <w:i/>
            <w:noProof/>
          </w:rPr>
          <w:t>η</w:t>
        </w:r>
        <w:r w:rsidRPr="00B44E75">
          <w:rPr>
            <w:rStyle w:val="Hyperlink"/>
            <w:rFonts w:ascii="Times New Roman" w:eastAsia="Calibri" w:hAnsi="Times New Roman" w:cs="Times New Roman"/>
            <w:noProof/>
          </w:rPr>
          <w:t>) with respect to packed bed of particles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_Toc177755237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157</w:t>
        </w:r>
        <w:r w:rsidRPr="00B44E75">
          <w:rPr>
            <w:rFonts w:ascii="Times New Roman" w:hAnsi="Times New Roman" w:cs="Times New Roman"/>
            <w:noProof/>
            <w:webHidden/>
          </w:rPr>
          <w:fldChar w:fldCharType="end"/>
        </w:r>
      </w:hyperlink>
    </w:p>
    <w:p w14:paraId="61198784" w14:textId="441D3EED"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38" w:history="1">
        <w:r w:rsidRPr="00B44E75">
          <w:rPr>
            <w:rStyle w:val="Hyperlink"/>
            <w:rFonts w:ascii="Times New Roman" w:hAnsi="Times New Roman" w:cs="Times New Roman"/>
            <w:noProof/>
          </w:rPr>
          <w:t>Figure 5.9 Heat transfer coefficient in the periodic regime, variation presented with respect to average air flow velocity (measured at the inlet of the porous section) [channel diameter-based Reynolds numbers varied between 3,000 and 13,000 for SS316L and SS420 samples]</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_Toc177755238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158</w:t>
        </w:r>
        <w:r w:rsidRPr="00B44E75">
          <w:rPr>
            <w:rFonts w:ascii="Times New Roman" w:hAnsi="Times New Roman" w:cs="Times New Roman"/>
            <w:noProof/>
            <w:webHidden/>
          </w:rPr>
          <w:fldChar w:fldCharType="end"/>
        </w:r>
      </w:hyperlink>
    </w:p>
    <w:p w14:paraId="2B70B0B1" w14:textId="7A9A5EE5"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39" w:history="1">
        <w:r w:rsidRPr="00B44E75">
          <w:rPr>
            <w:rStyle w:val="Hyperlink"/>
            <w:rFonts w:ascii="Times New Roman" w:hAnsi="Times New Roman" w:cs="Times New Roman"/>
            <w:noProof/>
          </w:rPr>
          <w:t>Figure 5.10 Transient convective heat transfer coefficient at five different locations in the streamwise direction for three particle types (Octet panel porosity of 0.88, SS316L), (a) CP 40/100, (b) CP 30/60, (c) HSP 20/40</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_Toc177755239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160</w:t>
        </w:r>
        <w:r w:rsidRPr="00B44E75">
          <w:rPr>
            <w:rFonts w:ascii="Times New Roman" w:hAnsi="Times New Roman" w:cs="Times New Roman"/>
            <w:noProof/>
            <w:webHidden/>
          </w:rPr>
          <w:fldChar w:fldCharType="end"/>
        </w:r>
      </w:hyperlink>
    </w:p>
    <w:p w14:paraId="1D3732B2" w14:textId="5C98FEB2"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40" w:history="1">
        <w:r w:rsidRPr="00B44E75">
          <w:rPr>
            <w:rStyle w:val="Hyperlink"/>
            <w:rFonts w:ascii="Times New Roman" w:hAnsi="Times New Roman" w:cs="Times New Roman"/>
            <w:noProof/>
          </w:rPr>
          <w:t>Figure 5.11 Time-averaged heat transfer coefficient in the periodic heat transfer regime, variation presented with respect to particle diameter</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_Toc177755240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161</w:t>
        </w:r>
        <w:r w:rsidRPr="00B44E75">
          <w:rPr>
            <w:rFonts w:ascii="Times New Roman" w:hAnsi="Times New Roman" w:cs="Times New Roman"/>
            <w:noProof/>
            <w:webHidden/>
          </w:rPr>
          <w:fldChar w:fldCharType="end"/>
        </w:r>
      </w:hyperlink>
    </w:p>
    <w:p w14:paraId="69A09993" w14:textId="04E1EA8A" w:rsidR="00AF1AFB" w:rsidRPr="00B44E75" w:rsidRDefault="00AF1AFB" w:rsidP="00B44E75">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77755241" w:history="1">
        <w:r w:rsidRPr="00B44E75">
          <w:rPr>
            <w:rStyle w:val="Hyperlink"/>
            <w:rFonts w:ascii="Times New Roman" w:hAnsi="Times New Roman" w:cs="Times New Roman"/>
            <w:noProof/>
          </w:rPr>
          <w:t>Figure 5.12 (a) Time-averaged convective heat transfer coefficient variation with streamwise location, (b) enhancement factor of heat transfer coefficient with respect to streamwise location</w:t>
        </w:r>
        <w:r w:rsidRPr="00B44E75">
          <w:rPr>
            <w:rFonts w:ascii="Times New Roman" w:hAnsi="Times New Roman" w:cs="Times New Roman"/>
            <w:noProof/>
            <w:webHidden/>
          </w:rPr>
          <w:tab/>
        </w:r>
        <w:r w:rsidRPr="00B44E75">
          <w:rPr>
            <w:rFonts w:ascii="Times New Roman" w:hAnsi="Times New Roman" w:cs="Times New Roman"/>
            <w:noProof/>
            <w:webHidden/>
          </w:rPr>
          <w:fldChar w:fldCharType="begin"/>
        </w:r>
        <w:r w:rsidRPr="00B44E75">
          <w:rPr>
            <w:rFonts w:ascii="Times New Roman" w:hAnsi="Times New Roman" w:cs="Times New Roman"/>
            <w:noProof/>
            <w:webHidden/>
          </w:rPr>
          <w:instrText xml:space="preserve"> PAGEREF _Toc177755241 \h </w:instrText>
        </w:r>
        <w:r w:rsidRPr="00B44E75">
          <w:rPr>
            <w:rFonts w:ascii="Times New Roman" w:hAnsi="Times New Roman" w:cs="Times New Roman"/>
            <w:noProof/>
            <w:webHidden/>
          </w:rPr>
        </w:r>
        <w:r w:rsidRPr="00B44E75">
          <w:rPr>
            <w:rFonts w:ascii="Times New Roman" w:hAnsi="Times New Roman" w:cs="Times New Roman"/>
            <w:noProof/>
            <w:webHidden/>
          </w:rPr>
          <w:fldChar w:fldCharType="separate"/>
        </w:r>
        <w:r w:rsidR="00B44E75" w:rsidRPr="00B44E75">
          <w:rPr>
            <w:rFonts w:ascii="Times New Roman" w:hAnsi="Times New Roman" w:cs="Times New Roman"/>
            <w:noProof/>
            <w:webHidden/>
          </w:rPr>
          <w:t>162</w:t>
        </w:r>
        <w:r w:rsidRPr="00B44E75">
          <w:rPr>
            <w:rFonts w:ascii="Times New Roman" w:hAnsi="Times New Roman" w:cs="Times New Roman"/>
            <w:noProof/>
            <w:webHidden/>
          </w:rPr>
          <w:fldChar w:fldCharType="end"/>
        </w:r>
      </w:hyperlink>
    </w:p>
    <w:p w14:paraId="2A6F8097" w14:textId="51307E1C" w:rsidR="003C1575" w:rsidRPr="00B44E75" w:rsidRDefault="00665C7E" w:rsidP="00B44E75">
      <w:pPr>
        <w:numPr>
          <w:ilvl w:val="12"/>
          <w:numId w:val="0"/>
        </w:numPr>
        <w:spacing w:line="276" w:lineRule="auto"/>
        <w:rPr>
          <w:rFonts w:ascii="Times New Roman" w:hAnsi="Times New Roman" w:cs="Times New Roman"/>
        </w:rPr>
        <w:sectPr w:rsidR="003C1575" w:rsidRPr="00B44E75" w:rsidSect="008A4E30">
          <w:headerReference w:type="even" r:id="rId8"/>
          <w:headerReference w:type="default" r:id="rId9"/>
          <w:footerReference w:type="even" r:id="rId10"/>
          <w:footerReference w:type="default" r:id="rId11"/>
          <w:headerReference w:type="first" r:id="rId12"/>
          <w:footerReference w:type="first" r:id="rId13"/>
          <w:pgSz w:w="12240" w:h="15840" w:code="1"/>
          <w:pgMar w:top="1440" w:right="1800" w:bottom="1872" w:left="1800" w:header="720" w:footer="1440" w:gutter="0"/>
          <w:pgNumType w:fmt="lowerRoman" w:start="1"/>
          <w:cols w:space="720"/>
          <w:noEndnote/>
          <w:titlePg/>
        </w:sectPr>
      </w:pPr>
      <w:r w:rsidRPr="00B44E75">
        <w:rPr>
          <w:rFonts w:ascii="Times New Roman" w:hAnsi="Times New Roman" w:cs="Times New Roman"/>
        </w:rPr>
        <w:fldChar w:fldCharType="end"/>
      </w:r>
    </w:p>
    <w:p w14:paraId="6D877A02" w14:textId="1FCD0A08" w:rsidR="00236E6D" w:rsidRPr="008F5202" w:rsidRDefault="00FE12BA" w:rsidP="00AF1AFB">
      <w:pPr>
        <w:pStyle w:val="Heading1"/>
      </w:pPr>
      <w:bookmarkStart w:id="0" w:name="_Toc420995896"/>
      <w:bookmarkStart w:id="1" w:name="_Toc422997483"/>
      <w:bookmarkStart w:id="2" w:name="_Toc177758129"/>
      <w:r>
        <w:lastRenderedPageBreak/>
        <w:t>:</w:t>
      </w:r>
      <w:r w:rsidR="00965FBD" w:rsidRPr="008F5202">
        <w:br/>
      </w:r>
      <w:bookmarkStart w:id="3" w:name="_Toc427156466"/>
      <w:r>
        <w:t xml:space="preserve">GENERAL INTRODUCTION &amp; </w:t>
      </w:r>
      <w:r w:rsidR="003D63DF" w:rsidRPr="008F5202">
        <w:t>Literature Review</w:t>
      </w:r>
      <w:bookmarkEnd w:id="0"/>
      <w:bookmarkEnd w:id="1"/>
      <w:bookmarkEnd w:id="2"/>
      <w:bookmarkEnd w:id="3"/>
      <w:r w:rsidR="00236E6D" w:rsidRPr="008F5202">
        <w:tab/>
      </w:r>
    </w:p>
    <w:p w14:paraId="66AF6640" w14:textId="3135EBC7" w:rsidR="00ED0DEE" w:rsidRPr="008F5202" w:rsidRDefault="00236E6D" w:rsidP="00C15C10">
      <w:pPr>
        <w:numPr>
          <w:ilvl w:val="12"/>
          <w:numId w:val="0"/>
        </w:numPr>
        <w:spacing w:line="360" w:lineRule="auto"/>
        <w:jc w:val="both"/>
        <w:rPr>
          <w:rFonts w:ascii="Times New Roman" w:hAnsi="Times New Roman" w:cs="Times New Roman"/>
        </w:rPr>
      </w:pPr>
      <w:r w:rsidRPr="008F5202">
        <w:rPr>
          <w:rFonts w:ascii="Times New Roman" w:hAnsi="Times New Roman" w:cs="Times New Roman"/>
        </w:rPr>
        <w:tab/>
      </w:r>
      <w:bookmarkStart w:id="4" w:name="_Toc420995900"/>
      <w:bookmarkStart w:id="5" w:name="_Toc422997487"/>
      <w:r w:rsidR="00ED0DEE" w:rsidRPr="008F5202">
        <w:rPr>
          <w:rFonts w:ascii="Times New Roman" w:hAnsi="Times New Roman" w:cs="Times New Roman"/>
        </w:rPr>
        <w:t xml:space="preserve">The renewable energy sources, including wind, solar, hydro, and geothermal, have been extensively investigated in many geographical areas worldwide. According to International Energy Agency (IEA), the contribution of renewable energy sources to worldwide electricity generation is rapidly increasing with 38% share recorded in 2022 </w:t>
      </w:r>
      <w:r w:rsidR="00ED0DEE" w:rsidRPr="008F5202">
        <w:rPr>
          <w:rFonts w:ascii="Times New Roman" w:hAnsi="Times New Roman" w:cs="Times New Roman"/>
        </w:rPr>
        <w:t>[1.1]</w:t>
      </w:r>
      <w:r w:rsidR="00ED0DEE" w:rsidRPr="008F5202">
        <w:rPr>
          <w:rFonts w:ascii="Times New Roman" w:hAnsi="Times New Roman" w:cs="Times New Roman"/>
        </w:rPr>
        <w:t xml:space="preserve">. Solar energy has become the predominant form of clean energy due to its widespread availability throughout the year. According to the IEA, solar energy accounted for 10.3% of worldwide electricity output in 2022. It is expected that solar energy would have the most substantial growth in the foreseeable future, mostly attributed to the ongoing reduction in the cost of solar energy-based power generation. According to IEA, there is a projected increase in global solar capacity from 843 gigawatts (GW) in 2022 to 2,800 GW by 2030 </w:t>
      </w:r>
      <w:r w:rsidR="00ED0DEE" w:rsidRPr="008F5202">
        <w:rPr>
          <w:rFonts w:ascii="Times New Roman" w:hAnsi="Times New Roman" w:cs="Times New Roman"/>
        </w:rPr>
        <w:t>[1.2]</w:t>
      </w:r>
      <w:r w:rsidR="00ED0DEE" w:rsidRPr="008F5202">
        <w:rPr>
          <w:rFonts w:ascii="Times New Roman" w:hAnsi="Times New Roman" w:cs="Times New Roman"/>
        </w:rPr>
        <w:t xml:space="preserve">. It is projected that the solar market in the United States would experience a threefold increase in size by the year 2028, resulting in the installation of approximately 375 GW of solar power </w:t>
      </w:r>
      <w:r w:rsidR="00ED0DEE" w:rsidRPr="008F5202">
        <w:rPr>
          <w:rFonts w:ascii="Times New Roman" w:hAnsi="Times New Roman" w:cs="Times New Roman"/>
        </w:rPr>
        <w:t>[1.3,1.4]</w:t>
      </w:r>
      <w:r w:rsidR="00ED0DEE" w:rsidRPr="008F5202">
        <w:rPr>
          <w:rFonts w:ascii="Times New Roman" w:hAnsi="Times New Roman" w:cs="Times New Roman"/>
        </w:rPr>
        <w:t xml:space="preserve">. As of now, solar photovoltaic (PV) stands as the most economically viable technology and is a prevalent method for harnessing solar energy. CSP is anticipated to have a substantial impact, particularly in large-scale solar initiatives. Concentrating Solar Power (CSP) plants have the capability to offer dependable and dispatchable electricity, which is of utmost importance in ensuring the stability of the power grid. Furthermore, CSP technology exhibits an advantage over PV due to its ability to facilitate thermal energy storage (TES), whereas PV technology involves the use of costly batteries. </w:t>
      </w:r>
    </w:p>
    <w:p w14:paraId="71F29F61" w14:textId="77777777" w:rsidR="00ED0DEE" w:rsidRPr="00ED0DEE" w:rsidRDefault="00ED0DEE" w:rsidP="00C15C10">
      <w:pPr>
        <w:numPr>
          <w:ilvl w:val="12"/>
          <w:numId w:val="0"/>
        </w:numPr>
        <w:spacing w:line="360" w:lineRule="auto"/>
        <w:jc w:val="both"/>
        <w:rPr>
          <w:rFonts w:ascii="Times New Roman" w:hAnsi="Times New Roman" w:cs="Times New Roman"/>
        </w:rPr>
      </w:pPr>
    </w:p>
    <w:p w14:paraId="03D94F4B" w14:textId="7CB38306"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The predominant form of TES technology employed in CSP facilities is based on molten salts. This system effectively stores thermal energy by utilizing a mixture of sodium nitrate and potassium nitrate in a molten state. Molten salts have the capability to attain elevated temperatures, reaching up to 565</w:t>
      </w:r>
      <w:r w:rsidRPr="00ED0DEE">
        <w:rPr>
          <w:rFonts w:ascii="Times New Roman" w:hAnsi="Times New Roman" w:cs="Times New Roman"/>
        </w:rPr>
        <w:sym w:font="Symbol" w:char="F0B0"/>
      </w:r>
      <w:r w:rsidRPr="00ED0DEE">
        <w:rPr>
          <w:rFonts w:ascii="Times New Roman" w:hAnsi="Times New Roman" w:cs="Times New Roman"/>
        </w:rPr>
        <w:t xml:space="preserve">C. This characteristic enables molten salt TES systems to store large amounts of energy and generate electricity over prolonged durations, </w:t>
      </w:r>
      <w:r w:rsidRPr="00ED0DEE">
        <w:rPr>
          <w:rFonts w:ascii="Times New Roman" w:hAnsi="Times New Roman" w:cs="Times New Roman"/>
        </w:rPr>
        <w:lastRenderedPageBreak/>
        <w:t>including during the absence of solar radiation. Some examples of current CSP power storage projects include the Andasol Solar Power Facility in Spain, the Crescent Dunes Solar Power Plant in Nevada USA, and the Noor Energy Complex in Morocco, which have molten salt TES systems capable of storing enough energy to generate electricity for 7.5, 10, and 7 hours without sunlight, respectively [</w:t>
      </w:r>
      <w:r w:rsidRPr="008F5202">
        <w:rPr>
          <w:rFonts w:ascii="Times New Roman" w:hAnsi="Times New Roman" w:cs="Times New Roman"/>
        </w:rPr>
        <w:t>1.</w:t>
      </w:r>
      <w:r w:rsidRPr="00ED0DEE">
        <w:rPr>
          <w:rFonts w:ascii="Times New Roman" w:hAnsi="Times New Roman" w:cs="Times New Roman"/>
        </w:rPr>
        <w:t>5]. Despite being extensively utilized in modern CSP facilities, the implementation of molten salt encounters various obstacles, including its high cost [</w:t>
      </w:r>
      <w:r w:rsidRPr="008F5202">
        <w:rPr>
          <w:rFonts w:ascii="Times New Roman" w:hAnsi="Times New Roman" w:cs="Times New Roman"/>
        </w:rPr>
        <w:t>1.</w:t>
      </w:r>
      <w:r w:rsidRPr="00ED0DEE">
        <w:rPr>
          <w:rFonts w:ascii="Times New Roman" w:hAnsi="Times New Roman" w:cs="Times New Roman"/>
        </w:rPr>
        <w:t>6], corrosive effects on CSP components [</w:t>
      </w:r>
      <w:r w:rsidRPr="008F5202">
        <w:rPr>
          <w:rFonts w:ascii="Times New Roman" w:hAnsi="Times New Roman" w:cs="Times New Roman"/>
        </w:rPr>
        <w:t>1.</w:t>
      </w:r>
      <w:r w:rsidRPr="00ED0DEE">
        <w:rPr>
          <w:rFonts w:ascii="Times New Roman" w:hAnsi="Times New Roman" w:cs="Times New Roman"/>
        </w:rPr>
        <w:t>7], and the possibility of system malfunctions arising from salt solidification [</w:t>
      </w:r>
      <w:r w:rsidRPr="008F5202">
        <w:rPr>
          <w:rFonts w:ascii="Times New Roman" w:hAnsi="Times New Roman" w:cs="Times New Roman"/>
        </w:rPr>
        <w:t>1.</w:t>
      </w:r>
      <w:r w:rsidRPr="00ED0DEE">
        <w:rPr>
          <w:rFonts w:ascii="Times New Roman" w:hAnsi="Times New Roman" w:cs="Times New Roman"/>
        </w:rPr>
        <w:t>8]. Furthermore, the existing molten salt technique is based on a binary composition including 60% sodium nitrate (NaNO</w:t>
      </w:r>
      <w:r w:rsidRPr="00ED0DEE">
        <w:rPr>
          <w:rFonts w:ascii="Times New Roman" w:hAnsi="Times New Roman" w:cs="Times New Roman"/>
          <w:vertAlign w:val="subscript"/>
        </w:rPr>
        <w:t>3</w:t>
      </w:r>
      <w:r w:rsidRPr="00ED0DEE">
        <w:rPr>
          <w:rFonts w:ascii="Times New Roman" w:hAnsi="Times New Roman" w:cs="Times New Roman"/>
        </w:rPr>
        <w:t>) and 40% potassium nitrate (KNO</w:t>
      </w:r>
      <w:r w:rsidRPr="00ED0DEE">
        <w:rPr>
          <w:rFonts w:ascii="Times New Roman" w:hAnsi="Times New Roman" w:cs="Times New Roman"/>
          <w:vertAlign w:val="subscript"/>
        </w:rPr>
        <w:t>3</w:t>
      </w:r>
      <w:r w:rsidRPr="00ED0DEE">
        <w:rPr>
          <w:rFonts w:ascii="Times New Roman" w:hAnsi="Times New Roman" w:cs="Times New Roman"/>
        </w:rPr>
        <w:t>), which exhibits a tendency to deteriorate when subjected to temperatures over 565</w:t>
      </w:r>
      <w:r w:rsidRPr="00ED0DEE">
        <w:rPr>
          <w:rFonts w:ascii="Times New Roman" w:hAnsi="Times New Roman" w:cs="Times New Roman"/>
        </w:rPr>
        <w:sym w:font="Symbol" w:char="F0B0"/>
      </w:r>
      <w:r w:rsidRPr="00ED0DEE">
        <w:rPr>
          <w:rFonts w:ascii="Times New Roman" w:hAnsi="Times New Roman" w:cs="Times New Roman"/>
        </w:rPr>
        <w:t>C [</w:t>
      </w:r>
      <w:r w:rsidRPr="008F5202">
        <w:rPr>
          <w:rFonts w:ascii="Times New Roman" w:hAnsi="Times New Roman" w:cs="Times New Roman"/>
        </w:rPr>
        <w:t>1.</w:t>
      </w:r>
      <w:r w:rsidRPr="00ED0DEE">
        <w:rPr>
          <w:rFonts w:ascii="Times New Roman" w:hAnsi="Times New Roman" w:cs="Times New Roman"/>
        </w:rPr>
        <w:t>9]. These issues inhibit the employment of molten salt-based solutions in operational environments with temperatures exceeding 700</w:t>
      </w:r>
      <w:r w:rsidRPr="00ED0DEE">
        <w:rPr>
          <w:rFonts w:ascii="Times New Roman" w:hAnsi="Times New Roman" w:cs="Times New Roman"/>
        </w:rPr>
        <w:sym w:font="Symbol" w:char="F0B0"/>
      </w:r>
      <w:r w:rsidRPr="00ED0DEE">
        <w:rPr>
          <w:rFonts w:ascii="Times New Roman" w:hAnsi="Times New Roman" w:cs="Times New Roman"/>
        </w:rPr>
        <w:t xml:space="preserve">C- a critical need to advance the levelized cost of electricity targets for solar-based power generation. Higher operating temperatures augment power generation efficiency by improving the thermodynamic efficiency of the power cycle. </w:t>
      </w:r>
    </w:p>
    <w:p w14:paraId="42C397E2" w14:textId="77777777" w:rsidR="00ED0DEE" w:rsidRPr="00ED0DEE" w:rsidRDefault="00ED0DEE" w:rsidP="00C15C10">
      <w:pPr>
        <w:numPr>
          <w:ilvl w:val="12"/>
          <w:numId w:val="0"/>
        </w:numPr>
        <w:spacing w:line="360" w:lineRule="auto"/>
        <w:jc w:val="both"/>
        <w:rPr>
          <w:rFonts w:ascii="Times New Roman" w:hAnsi="Times New Roman" w:cs="Times New Roman"/>
        </w:rPr>
      </w:pPr>
    </w:p>
    <w:p w14:paraId="64A6964F" w14:textId="1A20321E"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The ongoing development of next generation CSP facilities, also referred to as Gen3 CSP plants in the U.S., aims to enhance the efficiency, cost-effectiveness, and reliability of CSP technology. Gen3 CSP plants in the U.S. aim to operate at elevated temperatures [</w:t>
      </w:r>
      <w:r w:rsidR="00C15C10" w:rsidRPr="008F5202">
        <w:rPr>
          <w:rFonts w:ascii="Times New Roman" w:hAnsi="Times New Roman" w:cs="Times New Roman"/>
        </w:rPr>
        <w:t>1.</w:t>
      </w:r>
      <w:r w:rsidRPr="00ED0DEE">
        <w:rPr>
          <w:rFonts w:ascii="Times New Roman" w:hAnsi="Times New Roman" w:cs="Times New Roman"/>
        </w:rPr>
        <w:t>10], have alternative heat transfer fluids such as more thermally stable molten salts [</w:t>
      </w:r>
      <w:r w:rsidR="00C15C10" w:rsidRPr="008F5202">
        <w:rPr>
          <w:rFonts w:ascii="Times New Roman" w:hAnsi="Times New Roman" w:cs="Times New Roman"/>
        </w:rPr>
        <w:t>1.</w:t>
      </w:r>
      <w:r w:rsidRPr="00ED0DEE">
        <w:rPr>
          <w:rFonts w:ascii="Times New Roman" w:hAnsi="Times New Roman" w:cs="Times New Roman"/>
        </w:rPr>
        <w:t>11] and utilize supercritical fluids (SCFs), advanced solar collectors, and innovative thermal energy storage devices [</w:t>
      </w:r>
      <w:r w:rsidR="00C15C10" w:rsidRPr="008F5202">
        <w:rPr>
          <w:rFonts w:ascii="Times New Roman" w:hAnsi="Times New Roman" w:cs="Times New Roman"/>
        </w:rPr>
        <w:t>1.</w:t>
      </w:r>
      <w:r w:rsidRPr="00ED0DEE">
        <w:rPr>
          <w:rFonts w:ascii="Times New Roman" w:hAnsi="Times New Roman" w:cs="Times New Roman"/>
        </w:rPr>
        <w:t>12]. Gen3 CSP was launched by the U.S. Department of Energy (DOE) in 2017 with the primary objective to achieve a significant reduction in the cost of energy generated by CSP below $0.05 per kilowatt-hour (kWh) by 2030 [</w:t>
      </w:r>
      <w:r w:rsidR="00C15C10" w:rsidRPr="008F5202">
        <w:rPr>
          <w:rFonts w:ascii="Times New Roman" w:hAnsi="Times New Roman" w:cs="Times New Roman"/>
        </w:rPr>
        <w:t>1.</w:t>
      </w:r>
      <w:r w:rsidRPr="00ED0DEE">
        <w:rPr>
          <w:rFonts w:ascii="Times New Roman" w:hAnsi="Times New Roman" w:cs="Times New Roman"/>
        </w:rPr>
        <w:t>13]. The Gen3-CSP plants will be required to operate at temperatures over 700°C [</w:t>
      </w:r>
      <w:r w:rsidR="00C15C10" w:rsidRPr="008F5202">
        <w:rPr>
          <w:rFonts w:ascii="Times New Roman" w:hAnsi="Times New Roman" w:cs="Times New Roman"/>
        </w:rPr>
        <w:t>1.</w:t>
      </w:r>
      <w:r w:rsidRPr="00ED0DEE">
        <w:rPr>
          <w:rFonts w:ascii="Times New Roman" w:hAnsi="Times New Roman" w:cs="Times New Roman"/>
        </w:rPr>
        <w:t>14], leading to enhanced efficiency in electricity generation. The operation at elevated temperatures enables the exploitation of power cycles that are considerably more efficient, employing alternative working fluid, i.e., supercritical carbon dioxide (sCO</w:t>
      </w:r>
      <w:r w:rsidRPr="00ED0DEE">
        <w:rPr>
          <w:rFonts w:ascii="Times New Roman" w:hAnsi="Times New Roman" w:cs="Times New Roman"/>
          <w:vertAlign w:val="subscript"/>
        </w:rPr>
        <w:t>2</w:t>
      </w:r>
      <w:r w:rsidRPr="00ED0DEE">
        <w:rPr>
          <w:rFonts w:ascii="Times New Roman" w:hAnsi="Times New Roman" w:cs="Times New Roman"/>
        </w:rPr>
        <w:t>) as opposed to traditional steam. sCO</w:t>
      </w:r>
      <w:r w:rsidRPr="00ED0DEE">
        <w:rPr>
          <w:rFonts w:ascii="Times New Roman" w:hAnsi="Times New Roman" w:cs="Times New Roman"/>
          <w:vertAlign w:val="subscript"/>
        </w:rPr>
        <w:t>2</w:t>
      </w:r>
      <w:r w:rsidRPr="00ED0DEE">
        <w:rPr>
          <w:rFonts w:ascii="Times New Roman" w:hAnsi="Times New Roman" w:cs="Times New Roman"/>
        </w:rPr>
        <w:t>-based power cycles have the potential to exhibit superior thermal efficiencies compared to the traditional steam-based cycles. sCO</w:t>
      </w:r>
      <w:r w:rsidRPr="00ED0DEE">
        <w:rPr>
          <w:rFonts w:ascii="Times New Roman" w:hAnsi="Times New Roman" w:cs="Times New Roman"/>
          <w:vertAlign w:val="subscript"/>
        </w:rPr>
        <w:t>2</w:t>
      </w:r>
      <w:r w:rsidRPr="00ED0DEE">
        <w:rPr>
          <w:rFonts w:ascii="Times New Roman" w:hAnsi="Times New Roman" w:cs="Times New Roman"/>
        </w:rPr>
        <w:t xml:space="preserve"> exhibits non-flammability and </w:t>
      </w:r>
      <w:r w:rsidRPr="00ED0DEE">
        <w:rPr>
          <w:rFonts w:ascii="Times New Roman" w:hAnsi="Times New Roman" w:cs="Times New Roman"/>
        </w:rPr>
        <w:lastRenderedPageBreak/>
        <w:t>chemical stability at elevated temperatures. The process of CO</w:t>
      </w:r>
      <w:r w:rsidRPr="00ED0DEE">
        <w:rPr>
          <w:rFonts w:ascii="Times New Roman" w:hAnsi="Times New Roman" w:cs="Times New Roman"/>
          <w:vertAlign w:val="subscript"/>
        </w:rPr>
        <w:t>2</w:t>
      </w:r>
      <w:r w:rsidRPr="00ED0DEE">
        <w:rPr>
          <w:rFonts w:ascii="Times New Roman" w:hAnsi="Times New Roman" w:cs="Times New Roman"/>
        </w:rPr>
        <w:t xml:space="preserve"> condensation during heat rejection facilitates seamless integration with heating and cooling systems, hence enabling the combined, generation of power and heating/cooling functionalities. </w:t>
      </w:r>
    </w:p>
    <w:p w14:paraId="65E15367" w14:textId="77777777" w:rsidR="00ED0DEE" w:rsidRPr="00ED0DEE" w:rsidRDefault="00ED0DEE" w:rsidP="00C15C10">
      <w:pPr>
        <w:numPr>
          <w:ilvl w:val="12"/>
          <w:numId w:val="0"/>
        </w:numPr>
        <w:spacing w:line="360" w:lineRule="auto"/>
        <w:jc w:val="both"/>
        <w:rPr>
          <w:rFonts w:ascii="Times New Roman" w:hAnsi="Times New Roman" w:cs="Times New Roman"/>
        </w:rPr>
      </w:pPr>
    </w:p>
    <w:p w14:paraId="1049762E" w14:textId="5502C2A3"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The integration of sCO</w:t>
      </w:r>
      <w:r w:rsidRPr="00ED0DEE">
        <w:rPr>
          <w:rFonts w:ascii="Times New Roman" w:hAnsi="Times New Roman" w:cs="Times New Roman"/>
          <w:vertAlign w:val="subscript"/>
        </w:rPr>
        <w:t>2</w:t>
      </w:r>
      <w:r w:rsidRPr="00ED0DEE">
        <w:rPr>
          <w:rFonts w:ascii="Times New Roman" w:hAnsi="Times New Roman" w:cs="Times New Roman"/>
        </w:rPr>
        <w:t>-based power cycles into the CSP technology shows promising outcomes towards the DOE’s goals of levelized cost of electricity (LCoE) of $0.05/kWh [</w:t>
      </w:r>
      <w:r w:rsidR="00C15C10" w:rsidRPr="008F5202">
        <w:rPr>
          <w:rFonts w:ascii="Times New Roman" w:hAnsi="Times New Roman" w:cs="Times New Roman"/>
        </w:rPr>
        <w:t>1.</w:t>
      </w:r>
      <w:r w:rsidRPr="00ED0DEE">
        <w:rPr>
          <w:rFonts w:ascii="Times New Roman" w:hAnsi="Times New Roman" w:cs="Times New Roman"/>
        </w:rPr>
        <w:t>13]. The heat transfer media (HTM) research is divided in three categories/ pathways: (1) liquid pathway (molten salts), (2) particle pathway, and (3) gas phase pathway, among which, the particle pathway is considered the most promising. Further technology maturation in the particle pathway is subjected to some challenges, which includes the difficulty in efficiently heating the particles at the solar receiver, efficiently extracting the thermal energy from the particles and its transfer to the cold side of the heat exchanger, erosion, attrition, conveyance, and parasitic loss. In addition to that, ceramic particles that are known for their high solar absorptivity and thermal stability, tend to have low intrinsic thermal conductivity [</w:t>
      </w:r>
      <w:r w:rsidR="00C15C10" w:rsidRPr="008F5202">
        <w:rPr>
          <w:rFonts w:ascii="Times New Roman" w:hAnsi="Times New Roman" w:cs="Times New Roman"/>
        </w:rPr>
        <w:t>1.</w:t>
      </w:r>
      <w:r w:rsidRPr="00ED0DEE">
        <w:rPr>
          <w:rFonts w:ascii="Times New Roman" w:hAnsi="Times New Roman" w:cs="Times New Roman"/>
        </w:rPr>
        <w:t>15,</w:t>
      </w:r>
      <w:r w:rsidR="00C15C10" w:rsidRPr="008F5202">
        <w:rPr>
          <w:rFonts w:ascii="Times New Roman" w:hAnsi="Times New Roman" w:cs="Times New Roman"/>
        </w:rPr>
        <w:t>1.</w:t>
      </w:r>
      <w:r w:rsidRPr="00ED0DEE">
        <w:rPr>
          <w:rFonts w:ascii="Times New Roman" w:hAnsi="Times New Roman" w:cs="Times New Roman"/>
        </w:rPr>
        <w:t>16]. Due to the low thermal conductivity, significant improvements in heat transfer at the particle side of the heat exchanger are required to maximize the performance of the particle-to-sCO</w:t>
      </w:r>
      <w:r w:rsidRPr="00ED0DEE">
        <w:rPr>
          <w:rFonts w:ascii="Times New Roman" w:hAnsi="Times New Roman" w:cs="Times New Roman"/>
          <w:vertAlign w:val="subscript"/>
        </w:rPr>
        <w:t>2</w:t>
      </w:r>
      <w:r w:rsidRPr="00ED0DEE">
        <w:rPr>
          <w:rFonts w:ascii="Times New Roman" w:hAnsi="Times New Roman" w:cs="Times New Roman"/>
        </w:rPr>
        <w:t xml:space="preserve"> heat exchanger and hence boost the power plant's efficiency. One of the configurations for particle-to-sCO</w:t>
      </w:r>
      <w:r w:rsidRPr="00ED0DEE">
        <w:rPr>
          <w:rFonts w:ascii="Times New Roman" w:hAnsi="Times New Roman" w:cs="Times New Roman"/>
          <w:vertAlign w:val="subscript"/>
        </w:rPr>
        <w:t>2</w:t>
      </w:r>
      <w:r w:rsidRPr="00ED0DEE">
        <w:rPr>
          <w:rFonts w:ascii="Times New Roman" w:hAnsi="Times New Roman" w:cs="Times New Roman"/>
        </w:rPr>
        <w:t xml:space="preserve"> heat exchanger, is shell-and-plate, where particles move between adjacent parallel plates under the influence of gravity in a packed bed manner and is commonly known as moving packed bed heat exchanger (MPBHE) [</w:t>
      </w:r>
      <w:r w:rsidR="00C15C10" w:rsidRPr="008F5202">
        <w:rPr>
          <w:rFonts w:ascii="Times New Roman" w:hAnsi="Times New Roman" w:cs="Times New Roman"/>
        </w:rPr>
        <w:t>1.</w:t>
      </w:r>
      <w:r w:rsidRPr="00ED0DEE">
        <w:rPr>
          <w:rFonts w:ascii="Times New Roman" w:hAnsi="Times New Roman" w:cs="Times New Roman"/>
        </w:rPr>
        <w:t>17]. Note that MPBHEs can also be found in shell-and-tube configurations, however, the shell-and-plate configuration is considered more suitable than the former, in terms of factors such as, cost, heat transfer, structural reliability, manufacturability, parasitic losses, scalability, erosion etc. [</w:t>
      </w:r>
      <w:r w:rsidR="00C15C10" w:rsidRPr="008F5202">
        <w:rPr>
          <w:rFonts w:ascii="Times New Roman" w:hAnsi="Times New Roman" w:cs="Times New Roman"/>
        </w:rPr>
        <w:t>1.</w:t>
      </w:r>
      <w:r w:rsidRPr="00ED0DEE">
        <w:rPr>
          <w:rFonts w:ascii="Times New Roman" w:hAnsi="Times New Roman" w:cs="Times New Roman"/>
        </w:rPr>
        <w:t xml:space="preserve">18]. </w:t>
      </w:r>
    </w:p>
    <w:p w14:paraId="6D477B6E" w14:textId="77777777" w:rsidR="00ED0DEE" w:rsidRPr="00ED0DEE" w:rsidRDefault="00ED0DEE" w:rsidP="00C15C10">
      <w:pPr>
        <w:numPr>
          <w:ilvl w:val="12"/>
          <w:numId w:val="0"/>
        </w:numPr>
        <w:spacing w:line="360" w:lineRule="auto"/>
        <w:jc w:val="both"/>
        <w:rPr>
          <w:rFonts w:ascii="Times New Roman" w:hAnsi="Times New Roman" w:cs="Times New Roman"/>
        </w:rPr>
      </w:pPr>
    </w:p>
    <w:p w14:paraId="6A57180E" w14:textId="3CCE8988"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The MPBHEs are widely utilized in a variety of applications including heat recovery, solid drying, filtration, and thermochemical conversion [</w:t>
      </w:r>
      <w:r w:rsidR="00C15C10" w:rsidRPr="008F5202">
        <w:rPr>
          <w:rFonts w:ascii="Times New Roman" w:hAnsi="Times New Roman" w:cs="Times New Roman"/>
        </w:rPr>
        <w:t>1.</w:t>
      </w:r>
      <w:r w:rsidRPr="00ED0DEE">
        <w:rPr>
          <w:rFonts w:ascii="Times New Roman" w:hAnsi="Times New Roman" w:cs="Times New Roman"/>
        </w:rPr>
        <w:t>19]. In context with particle-to-sCO</w:t>
      </w:r>
      <w:r w:rsidRPr="00ED0DEE">
        <w:rPr>
          <w:rFonts w:ascii="Times New Roman" w:hAnsi="Times New Roman" w:cs="Times New Roman"/>
          <w:vertAlign w:val="subscript"/>
        </w:rPr>
        <w:t>2</w:t>
      </w:r>
      <w:r w:rsidRPr="00ED0DEE">
        <w:rPr>
          <w:rFonts w:ascii="Times New Roman" w:hAnsi="Times New Roman" w:cs="Times New Roman"/>
        </w:rPr>
        <w:t xml:space="preserve"> heat exchangers, the heat exchanged between the moving packed bed with the parallel plates is poor, due to low inherent thermal conductivity of the packed bed of particles in motion, improper contact between particles and walls, and void space between the particles </w:t>
      </w:r>
      <w:r w:rsidRPr="00ED0DEE">
        <w:rPr>
          <w:rFonts w:ascii="Times New Roman" w:hAnsi="Times New Roman" w:cs="Times New Roman"/>
        </w:rPr>
        <w:lastRenderedPageBreak/>
        <w:t>even in moving packed bed configuration. Fang et al. [</w:t>
      </w:r>
      <w:r w:rsidR="00C15C10" w:rsidRPr="008F5202">
        <w:rPr>
          <w:rFonts w:ascii="Times New Roman" w:hAnsi="Times New Roman" w:cs="Times New Roman"/>
        </w:rPr>
        <w:t>1.</w:t>
      </w:r>
      <w:r w:rsidRPr="00ED0DEE">
        <w:rPr>
          <w:rFonts w:ascii="Times New Roman" w:hAnsi="Times New Roman" w:cs="Times New Roman"/>
        </w:rPr>
        <w:t>20] explored a parallel shell-and-plate design, and found that the distance between the heat transfer plates (channel width) significantly influences the heat transfer between the particles and the fluid. The authors observed that narrow channel leads to a higher local heat transfer coefficient. Isaza et al. [</w:t>
      </w:r>
      <w:r w:rsidR="00C15C10" w:rsidRPr="008F5202">
        <w:rPr>
          <w:rFonts w:ascii="Times New Roman" w:hAnsi="Times New Roman" w:cs="Times New Roman"/>
        </w:rPr>
        <w:t>1.</w:t>
      </w:r>
      <w:r w:rsidRPr="00ED0DEE">
        <w:rPr>
          <w:rFonts w:ascii="Times New Roman" w:hAnsi="Times New Roman" w:cs="Times New Roman"/>
        </w:rPr>
        <w:t>21,</w:t>
      </w:r>
      <w:r w:rsidR="00C15C10" w:rsidRPr="008F5202">
        <w:rPr>
          <w:rFonts w:ascii="Times New Roman" w:hAnsi="Times New Roman" w:cs="Times New Roman"/>
        </w:rPr>
        <w:t>1.</w:t>
      </w:r>
      <w:r w:rsidRPr="00ED0DEE">
        <w:rPr>
          <w:rFonts w:ascii="Times New Roman" w:hAnsi="Times New Roman" w:cs="Times New Roman"/>
        </w:rPr>
        <w:t>22] presented analytical solutions for the heat transfer in parallel plate heat exchanger in both co-current [</w:t>
      </w:r>
      <w:r w:rsidR="00C15C10" w:rsidRPr="008F5202">
        <w:rPr>
          <w:rFonts w:ascii="Times New Roman" w:hAnsi="Times New Roman" w:cs="Times New Roman"/>
        </w:rPr>
        <w:t>1.</w:t>
      </w:r>
      <w:r w:rsidRPr="00ED0DEE">
        <w:rPr>
          <w:rFonts w:ascii="Times New Roman" w:hAnsi="Times New Roman" w:cs="Times New Roman"/>
        </w:rPr>
        <w:t>21] and counter-current configurations [</w:t>
      </w:r>
      <w:r w:rsidR="00C15C10" w:rsidRPr="008F5202">
        <w:rPr>
          <w:rFonts w:ascii="Times New Roman" w:hAnsi="Times New Roman" w:cs="Times New Roman"/>
        </w:rPr>
        <w:t>1.</w:t>
      </w:r>
      <w:r w:rsidRPr="00ED0DEE">
        <w:rPr>
          <w:rFonts w:ascii="Times New Roman" w:hAnsi="Times New Roman" w:cs="Times New Roman"/>
        </w:rPr>
        <w:t xml:space="preserve">22], under simplified conditions where the moving solid bed was considered as a homogeneous medium under local thermal equilibrium. The results underscored the impact of the Biot number on the temperature gradient near the walls, highlighting the importance of particles’ effective thermal conductivity on the heat exchanger's performance. The study also affirmed that a smaller width between the plates enhances the heat transfer coefficient. However, flow visualization revealed that extremely narrow distances between the plates could lead to temporary particle bridging, impeding the flow which leads to poor heat transfer performance. Besides the plate width, the particle thermal conductivity and void fraction were found to significantly affect the thermal performance of a parallel plate heat exchanger. </w:t>
      </w:r>
    </w:p>
    <w:p w14:paraId="2A42BCE9" w14:textId="77777777" w:rsidR="00ED0DEE" w:rsidRPr="00ED0DEE" w:rsidRDefault="00ED0DEE" w:rsidP="00C15C10">
      <w:pPr>
        <w:numPr>
          <w:ilvl w:val="12"/>
          <w:numId w:val="0"/>
        </w:numPr>
        <w:spacing w:line="360" w:lineRule="auto"/>
        <w:jc w:val="both"/>
        <w:rPr>
          <w:rFonts w:ascii="Times New Roman" w:hAnsi="Times New Roman" w:cs="Times New Roman"/>
        </w:rPr>
      </w:pPr>
    </w:p>
    <w:p w14:paraId="5D55F8BB" w14:textId="723BF52F"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Yin et al. [</w:t>
      </w:r>
      <w:r w:rsidR="00C15C10" w:rsidRPr="008F5202">
        <w:rPr>
          <w:rFonts w:ascii="Times New Roman" w:hAnsi="Times New Roman" w:cs="Times New Roman"/>
        </w:rPr>
        <w:t>1.</w:t>
      </w:r>
      <w:r w:rsidRPr="00ED0DEE">
        <w:rPr>
          <w:rFonts w:ascii="Times New Roman" w:hAnsi="Times New Roman" w:cs="Times New Roman"/>
        </w:rPr>
        <w:t>23] demonstrated that an increase in particle diameter resulted in increased effective thermal conductivity of the packed bed, albeit at the expense of a reduced overall heat transfer coefficient. Conversely, a higher particle void fraction led to a decrease in both the effective thermal conductivity and the overall heat transfer coefficient. An experimental study by Maskalunas et al. [</w:t>
      </w:r>
      <w:r w:rsidR="00C15C10" w:rsidRPr="008F5202">
        <w:rPr>
          <w:rFonts w:ascii="Times New Roman" w:hAnsi="Times New Roman" w:cs="Times New Roman"/>
        </w:rPr>
        <w:t>1.</w:t>
      </w:r>
      <w:r w:rsidRPr="00ED0DEE">
        <w:rPr>
          <w:rFonts w:ascii="Times New Roman" w:hAnsi="Times New Roman" w:cs="Times New Roman"/>
        </w:rPr>
        <w:t>24] showed that a heat transfer coefficient of 350 W/m</w:t>
      </w:r>
      <w:r w:rsidRPr="00ED0DEE">
        <w:rPr>
          <w:rFonts w:ascii="Times New Roman" w:hAnsi="Times New Roman" w:cs="Times New Roman"/>
          <w:vertAlign w:val="superscript"/>
        </w:rPr>
        <w:t>2</w:t>
      </w:r>
      <w:r w:rsidRPr="00ED0DEE">
        <w:rPr>
          <w:rFonts w:ascii="Times New Roman" w:hAnsi="Times New Roman" w:cs="Times New Roman"/>
        </w:rPr>
        <w:t>K can be achieved. The experiments were conducted with silica sand particles of varying diameters moving between heated parallel plates, simplified the measurement of the heat transfer coefficient as it obviated the need for heating the particles. Despite the promising findings, most research on parallel plate heat exchangers has primarily focused on the effects of particle properties and the distance between the plates, leaving room for further exploration. The simplicity of the parallel plate heat exchanger design makes it a promising candidate for their implementation in CSP power plants’ particle-to-sCO</w:t>
      </w:r>
      <w:r w:rsidRPr="00ED0DEE">
        <w:rPr>
          <w:rFonts w:ascii="Times New Roman" w:hAnsi="Times New Roman" w:cs="Times New Roman"/>
          <w:vertAlign w:val="subscript"/>
        </w:rPr>
        <w:t>2</w:t>
      </w:r>
      <w:r w:rsidRPr="00ED0DEE">
        <w:rPr>
          <w:rFonts w:ascii="Times New Roman" w:hAnsi="Times New Roman" w:cs="Times New Roman"/>
        </w:rPr>
        <w:t xml:space="preserve"> heat exchangers. However, as mentioned above, the convective heat transfer between the MPB </w:t>
      </w:r>
      <w:r w:rsidRPr="00ED0DEE">
        <w:rPr>
          <w:rFonts w:ascii="Times New Roman" w:hAnsi="Times New Roman" w:cs="Times New Roman"/>
        </w:rPr>
        <w:lastRenderedPageBreak/>
        <w:t>and parallel plates is generally low. Further, a long parallel plate channel leads to the development of thermal boundary layer, which increases in size, resulting in inferior heat transfer. One way to address this issue was proposed in [</w:t>
      </w:r>
      <w:r w:rsidR="00C15C10" w:rsidRPr="008F5202">
        <w:rPr>
          <w:rFonts w:ascii="Times New Roman" w:hAnsi="Times New Roman" w:cs="Times New Roman"/>
        </w:rPr>
        <w:t>1.</w:t>
      </w:r>
      <w:r w:rsidRPr="00ED0DEE">
        <w:rPr>
          <w:rFonts w:ascii="Times New Roman" w:hAnsi="Times New Roman" w:cs="Times New Roman"/>
        </w:rPr>
        <w:t xml:space="preserve">17] through incorporation of smaller banks, however, this design feature comes at a significant upfront cost, as well as higher accumulated operational and maintenance costs. </w:t>
      </w:r>
    </w:p>
    <w:p w14:paraId="4633FFB7" w14:textId="77777777" w:rsidR="00ED0DEE" w:rsidRPr="00ED0DEE" w:rsidRDefault="00ED0DEE" w:rsidP="00C15C10">
      <w:pPr>
        <w:numPr>
          <w:ilvl w:val="12"/>
          <w:numId w:val="0"/>
        </w:numPr>
        <w:spacing w:line="360" w:lineRule="auto"/>
        <w:jc w:val="both"/>
        <w:rPr>
          <w:rFonts w:ascii="Times New Roman" w:hAnsi="Times New Roman" w:cs="Times New Roman"/>
        </w:rPr>
      </w:pPr>
    </w:p>
    <w:p w14:paraId="53E5EAE4" w14:textId="77777777"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 xml:space="preserve">Literature review suggests that low heat transfer coefficient on the particle side is considered a </w:t>
      </w:r>
      <w:r w:rsidRPr="00ED0DEE">
        <w:rPr>
          <w:rFonts w:ascii="Times New Roman" w:hAnsi="Times New Roman" w:cs="Times New Roman"/>
          <w:i/>
          <w:iCs/>
        </w:rPr>
        <w:t xml:space="preserve">bottleneck </w:t>
      </w:r>
      <w:r w:rsidRPr="00ED0DEE">
        <w:rPr>
          <w:rFonts w:ascii="Times New Roman" w:hAnsi="Times New Roman" w:cs="Times New Roman"/>
        </w:rPr>
        <w:t>in the employment of shell-and-plate configuration with MPB for particle-to-sCO</w:t>
      </w:r>
      <w:r w:rsidRPr="00ED0DEE">
        <w:rPr>
          <w:rFonts w:ascii="Times New Roman" w:hAnsi="Times New Roman" w:cs="Times New Roman"/>
          <w:vertAlign w:val="subscript"/>
        </w:rPr>
        <w:t>2</w:t>
      </w:r>
      <w:r w:rsidRPr="00ED0DEE">
        <w:rPr>
          <w:rFonts w:ascii="Times New Roman" w:hAnsi="Times New Roman" w:cs="Times New Roman"/>
        </w:rPr>
        <w:t xml:space="preserve"> heat exchanger. The particle side thermal transport can be increased by modifying the parallel plate configuration for a fixed channel width. The first design consideration is channel width since particle heat transfer significantly depends on this factor. This parameter also affects the reliability in the particles’ flowability, if reduced below a certain level for a given particle size distribution. To this end, particle channel widths between 4-10 mm have potential, as currently, the most explored particle diameter varies between 100-500 microns. Now, for a certain channel width, the parallel plate domain needs to be modified, to achieve higher thermal transport. One way to enhance heat transfer between the moving packed and the parallel plates, is to install obstacles/bluff bodies such that particles interact with them and move around them, which causes local velocity enhancement and increases the conjugate heat transfer capabilities. Although there have been some limited computational studies on understanding the MPB flow around obstructions, they are mostly inspired by the shell-and-tube arrangement, where particles move in the shell and the tubes carry a suitable working fluid. In a shell-and-plate configuration, particles moving between two parallel plates and secondary fluid to which heat is to be transferred moves in minichannels bonded on the parallel plates. The fundamental studies on MPB around obstructions can be leveraged to develop advanced concepts for shell-and-plate particle-to-sCO</w:t>
      </w:r>
      <w:r w:rsidRPr="00ED0DEE">
        <w:rPr>
          <w:rFonts w:ascii="Times New Roman" w:hAnsi="Times New Roman" w:cs="Times New Roman"/>
          <w:vertAlign w:val="subscript"/>
        </w:rPr>
        <w:t>2</w:t>
      </w:r>
      <w:r w:rsidRPr="00ED0DEE">
        <w:rPr>
          <w:rFonts w:ascii="Times New Roman" w:hAnsi="Times New Roman" w:cs="Times New Roman"/>
        </w:rPr>
        <w:t xml:space="preserve"> heat exchanger, with a focus on enhancing the particle-side heat transfer coefficient. </w:t>
      </w:r>
    </w:p>
    <w:p w14:paraId="36711DBF" w14:textId="77777777" w:rsidR="00ED0DEE" w:rsidRPr="00ED0DEE" w:rsidRDefault="00ED0DEE" w:rsidP="00C15C10">
      <w:pPr>
        <w:numPr>
          <w:ilvl w:val="12"/>
          <w:numId w:val="0"/>
        </w:numPr>
        <w:spacing w:line="360" w:lineRule="auto"/>
        <w:jc w:val="both"/>
        <w:rPr>
          <w:rFonts w:ascii="Times New Roman" w:hAnsi="Times New Roman" w:cs="Times New Roman"/>
        </w:rPr>
      </w:pPr>
    </w:p>
    <w:p w14:paraId="2C8EF7F6" w14:textId="2A69A9CA"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Deng et al. [</w:t>
      </w:r>
      <w:r w:rsidR="00C15C10" w:rsidRPr="008F5202">
        <w:rPr>
          <w:rFonts w:ascii="Times New Roman" w:hAnsi="Times New Roman" w:cs="Times New Roman"/>
        </w:rPr>
        <w:t>1.</w:t>
      </w:r>
      <w:r w:rsidRPr="00ED0DEE">
        <w:rPr>
          <w:rFonts w:ascii="Times New Roman" w:hAnsi="Times New Roman" w:cs="Times New Roman"/>
        </w:rPr>
        <w:t xml:space="preserve">25] carried out experimental and numerical study on MPB of particles through staggered arrangement of circular tubes. Through discrete element modeling </w:t>
      </w:r>
      <w:r w:rsidRPr="00ED0DEE">
        <w:rPr>
          <w:rFonts w:ascii="Times New Roman" w:hAnsi="Times New Roman" w:cs="Times New Roman"/>
        </w:rPr>
        <w:lastRenderedPageBreak/>
        <w:t>(DEM), the high and low velocity zones of particles were identified, where typically, the zones above the pins had low particle flow velocities, while particles moved faster in between two adjacent pins. An experimental study was conducted by Dai et al. [</w:t>
      </w:r>
      <w:r w:rsidR="00C15C10" w:rsidRPr="008F5202">
        <w:rPr>
          <w:rFonts w:ascii="Times New Roman" w:hAnsi="Times New Roman" w:cs="Times New Roman"/>
        </w:rPr>
        <w:t>1.</w:t>
      </w:r>
      <w:r w:rsidRPr="00ED0DEE">
        <w:rPr>
          <w:rFonts w:ascii="Times New Roman" w:hAnsi="Times New Roman" w:cs="Times New Roman"/>
        </w:rPr>
        <w:t>26], where the authors studied the movement of three types of particles, with one of them being glass beads, around circular obstruction. A similar trend on high and low velocity zones as observed in [</w:t>
      </w:r>
      <w:r w:rsidR="00C15C10" w:rsidRPr="008F5202">
        <w:rPr>
          <w:rFonts w:ascii="Times New Roman" w:hAnsi="Times New Roman" w:cs="Times New Roman"/>
        </w:rPr>
        <w:t>1.</w:t>
      </w:r>
      <w:r w:rsidRPr="00ED0DEE">
        <w:rPr>
          <w:rFonts w:ascii="Times New Roman" w:hAnsi="Times New Roman" w:cs="Times New Roman"/>
        </w:rPr>
        <w:t>25] was observed by the authors in [</w:t>
      </w:r>
      <w:r w:rsidR="00C15C10" w:rsidRPr="008F5202">
        <w:rPr>
          <w:rFonts w:ascii="Times New Roman" w:hAnsi="Times New Roman" w:cs="Times New Roman"/>
        </w:rPr>
        <w:t>1.</w:t>
      </w:r>
      <w:r w:rsidRPr="00ED0DEE">
        <w:rPr>
          <w:rFonts w:ascii="Times New Roman" w:hAnsi="Times New Roman" w:cs="Times New Roman"/>
        </w:rPr>
        <w:t>26]. In [</w:t>
      </w:r>
      <w:r w:rsidR="00C15C10" w:rsidRPr="008F5202">
        <w:rPr>
          <w:rFonts w:ascii="Times New Roman" w:hAnsi="Times New Roman" w:cs="Times New Roman"/>
        </w:rPr>
        <w:t>1.</w:t>
      </w:r>
      <w:r w:rsidRPr="00ED0DEE">
        <w:rPr>
          <w:rFonts w:ascii="Times New Roman" w:hAnsi="Times New Roman" w:cs="Times New Roman"/>
        </w:rPr>
        <w:t>26], the void zones were also identified around the circular obstruction, where particles were not present. Such zones are detrimental to heat exchange between particles and circular walls. A combined particle image velocimetry (PIV) and DEM study was carried out by Bartsch and Zunft [</w:t>
      </w:r>
      <w:r w:rsidR="00C15C10" w:rsidRPr="008F5202">
        <w:rPr>
          <w:rFonts w:ascii="Times New Roman" w:hAnsi="Times New Roman" w:cs="Times New Roman"/>
        </w:rPr>
        <w:t>1.</w:t>
      </w:r>
      <w:r w:rsidRPr="00ED0DEE">
        <w:rPr>
          <w:rFonts w:ascii="Times New Roman" w:hAnsi="Times New Roman" w:cs="Times New Roman"/>
        </w:rPr>
        <w:t>27], where this void region just downstream of the cylindrical pin was studied in detail for a staggered arrangement of cylindrical obstructions. It was shown that particle velocity increased around the sides of the cylinders, while two distinct low heat transfer zones were also identified. These zones correspond to the area right above the cylinders where particle motion is effectively non-existent, and the other zones is the region right downstream of the cylinders which does not even feature particles. These zones can be called ‘dead/stagnant’ and ‘void’ zones, respectively. One approach to address the so called ‘dead’ and ‘void’ zones is to modify the circular profile of the obstruction. Tian et al. [</w:t>
      </w:r>
      <w:r w:rsidR="00C15C10" w:rsidRPr="008F5202">
        <w:rPr>
          <w:rFonts w:ascii="Times New Roman" w:hAnsi="Times New Roman" w:cs="Times New Roman"/>
        </w:rPr>
        <w:t>1.</w:t>
      </w:r>
      <w:r w:rsidRPr="00ED0DEE">
        <w:rPr>
          <w:rFonts w:ascii="Times New Roman" w:hAnsi="Times New Roman" w:cs="Times New Roman"/>
        </w:rPr>
        <w:t>28] studied circular, elliptical and hexagonal tubes through DEM, to characterize the MPB flow and heat transfer around these obstructions. The elliptical shape alleviated some of the stagnation concerns, while significantly improving the void zone, particularly when the ellipse was elongated in the direction of MPB. In a follow-up study, the authors in [</w:t>
      </w:r>
      <w:r w:rsidR="00C15C10" w:rsidRPr="008F5202">
        <w:rPr>
          <w:rFonts w:ascii="Times New Roman" w:hAnsi="Times New Roman" w:cs="Times New Roman"/>
        </w:rPr>
        <w:t>1.</w:t>
      </w:r>
      <w:r w:rsidRPr="00ED0DEE">
        <w:rPr>
          <w:rFonts w:ascii="Times New Roman" w:hAnsi="Times New Roman" w:cs="Times New Roman"/>
        </w:rPr>
        <w:t>28] carried out a DEM study [</w:t>
      </w:r>
      <w:r w:rsidR="00C15C10" w:rsidRPr="008F5202">
        <w:rPr>
          <w:rFonts w:ascii="Times New Roman" w:hAnsi="Times New Roman" w:cs="Times New Roman"/>
        </w:rPr>
        <w:t>1.</w:t>
      </w:r>
      <w:r w:rsidRPr="00ED0DEE">
        <w:rPr>
          <w:rFonts w:ascii="Times New Roman" w:hAnsi="Times New Roman" w:cs="Times New Roman"/>
        </w:rPr>
        <w:t xml:space="preserve">29] on a trapezoidal obstruction with smoothened corners, and reported a 14% increase in heat transfer compared to parallel plate. </w:t>
      </w:r>
    </w:p>
    <w:p w14:paraId="03CB6E77" w14:textId="77777777" w:rsidR="00ED0DEE" w:rsidRPr="00ED0DEE" w:rsidRDefault="00ED0DEE" w:rsidP="00C15C10">
      <w:pPr>
        <w:numPr>
          <w:ilvl w:val="12"/>
          <w:numId w:val="0"/>
        </w:numPr>
        <w:spacing w:line="360" w:lineRule="auto"/>
        <w:jc w:val="both"/>
        <w:rPr>
          <w:rFonts w:ascii="Times New Roman" w:hAnsi="Times New Roman" w:cs="Times New Roman"/>
        </w:rPr>
      </w:pPr>
    </w:p>
    <w:p w14:paraId="2E597365" w14:textId="77777777"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 xml:space="preserve">Literature review on the methods to enhance heat transfer between moving packed bed through obstruction suggests that very limited studies have been carried out, with most studies on shell-and-tube configuration which involves long tubes resulting in two-dimensional flow around the tubes. The studies carried out on the obstructions in context with the shell-and-plate heat exchangers, where a solid pin joins the two parallel plates, are also sparse, and largely limited to computations. Furthermore, the effect of spacing of two </w:t>
      </w:r>
      <w:r w:rsidRPr="00ED0DEE">
        <w:rPr>
          <w:rFonts w:ascii="Times New Roman" w:hAnsi="Times New Roman" w:cs="Times New Roman"/>
        </w:rPr>
        <w:lastRenderedPageBreak/>
        <w:t xml:space="preserve">parallel plates on heat transfer is profound, and this aspect is not studied in reference to obstructions’ employment in closely spaced parallel plates. To this end, we have carried out a comprehensive experimental study to understand the fundamental flow and thermal transport of MPB of particles through an inline arrangement of cylindrical obstructions, where the plate spacing was varied between 3 to 7 mm, which represents the state-of-the-art shell-and-plate heat exchangers. The particles’ flow-field near the wall is captured through a novel optical flow method, and the local heat transfer coefficient is determined by carrying out quasi steady state experiments. Following sections provide details on the different experimental setups employed for the study of flow and thermal transport of MPB of particles, test section details, flow, and heat transfer measurement technique, followed by uncertainty analysis, results and their discussion, and concluding remarks. </w:t>
      </w:r>
    </w:p>
    <w:p w14:paraId="38ACAAF4" w14:textId="1A87CC81"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Lattice structures have emerged as a promising alternative to open-cell metal foams for enhancing heat transfer in various engineering applications. The periodic and well-defined geometry of lattice structures offers distinct advantages over the random organization of fibers/struts in metal foams. The regular arrangement of struts in lattice structures results in desired flow distribution in the passages and controlled flow mixing. Additionally, the interconnected network of struts provides high specific surface area, which is crucial for effective heat exchange between the solid and fluid phases. Numerous experimental and numerical studies have been conducted to investigate the hydraulic and thermal properties of lattice structures. Truss-based lattice structure is a class of cellular materials that is characterized by an organized arrangement of interconnected struts or walls, delineating a network of voids. These structures, which are composed of interconnected struts or plates, exhibit high strength-to-weight ratios and high surface area-to-volume ratios, making them attractive for lightweight and multi-functional designs [</w:t>
      </w:r>
      <w:r w:rsidR="00C15C10" w:rsidRPr="008F5202">
        <w:rPr>
          <w:rFonts w:ascii="Times New Roman" w:hAnsi="Times New Roman" w:cs="Times New Roman"/>
        </w:rPr>
        <w:t>1.</w:t>
      </w:r>
      <w:r w:rsidRPr="00ED0DEE">
        <w:rPr>
          <w:rFonts w:ascii="Times New Roman" w:hAnsi="Times New Roman" w:cs="Times New Roman"/>
        </w:rPr>
        <w:t xml:space="preserve">30]. The lattice struts are connected to form a stable three dimensional structure that can withstand large mechanical loads . These type of structures are also used in the construction of bridges, towers, and other large structures . Lattice structures have garnered significant attention in various engineering applications due to their unique properties and the advantages they offer over conventional structures. Lattice structures can be tailored to achieve specific mechanical properties, such as high compressive strength, excellent elastic isotropy, and high specific </w:t>
      </w:r>
      <w:r w:rsidRPr="00ED0DEE">
        <w:rPr>
          <w:rFonts w:ascii="Times New Roman" w:hAnsi="Times New Roman" w:cs="Times New Roman"/>
        </w:rPr>
        <w:lastRenderedPageBreak/>
        <w:t>energy absorption, by optimizing their geometrical parameters [</w:t>
      </w:r>
      <w:r w:rsidR="00C15C10" w:rsidRPr="008F5202">
        <w:rPr>
          <w:rFonts w:ascii="Times New Roman" w:hAnsi="Times New Roman" w:cs="Times New Roman"/>
        </w:rPr>
        <w:t>1.</w:t>
      </w:r>
      <w:r w:rsidRPr="00ED0DEE">
        <w:rPr>
          <w:rFonts w:ascii="Times New Roman" w:hAnsi="Times New Roman" w:cs="Times New Roman"/>
        </w:rPr>
        <w:t>31]. These structures often present higher porosities leading to improved fluid flow and heat transfer for air and particles [</w:t>
      </w:r>
      <w:r w:rsidR="00C15C10" w:rsidRPr="008F5202">
        <w:rPr>
          <w:rFonts w:ascii="Times New Roman" w:hAnsi="Times New Roman" w:cs="Times New Roman"/>
        </w:rPr>
        <w:t>1.</w:t>
      </w:r>
      <w:r w:rsidRPr="00ED0DEE">
        <w:rPr>
          <w:rFonts w:ascii="Times New Roman" w:hAnsi="Times New Roman" w:cs="Times New Roman"/>
        </w:rPr>
        <w:t>32,</w:t>
      </w:r>
      <w:r w:rsidR="00C15C10" w:rsidRPr="008F5202">
        <w:rPr>
          <w:rFonts w:ascii="Times New Roman" w:hAnsi="Times New Roman" w:cs="Times New Roman"/>
        </w:rPr>
        <w:t>1.</w:t>
      </w:r>
      <w:r w:rsidRPr="00ED0DEE">
        <w:rPr>
          <w:rFonts w:ascii="Times New Roman" w:hAnsi="Times New Roman" w:cs="Times New Roman"/>
        </w:rPr>
        <w:t>33].  It is known that truss-based lattice structures offer a better buckling resistance compared to other types of lattice structures such as reinforced grid-like and bio-inspired lattices due to their unique design achieved through inverse methods [</w:t>
      </w:r>
      <w:r w:rsidR="00C15C10" w:rsidRPr="008F5202">
        <w:rPr>
          <w:rFonts w:ascii="Times New Roman" w:hAnsi="Times New Roman" w:cs="Times New Roman"/>
        </w:rPr>
        <w:t>1.</w:t>
      </w:r>
      <w:r w:rsidRPr="00ED0DEE">
        <w:rPr>
          <w:rFonts w:ascii="Times New Roman" w:hAnsi="Times New Roman" w:cs="Times New Roman"/>
        </w:rPr>
        <w:t>34]. Truss-based lattices such as octet truss and plate-hybrid lattices, offer superior elastic isotropy and energy absorption compared to other lattice structures due to their unique design and material alignment [</w:t>
      </w:r>
      <w:r w:rsidR="00C15C10" w:rsidRPr="008F5202">
        <w:rPr>
          <w:rFonts w:ascii="Times New Roman" w:hAnsi="Times New Roman" w:cs="Times New Roman"/>
        </w:rPr>
        <w:t>1.</w:t>
      </w:r>
      <w:r w:rsidRPr="00ED0DEE">
        <w:rPr>
          <w:rFonts w:ascii="Times New Roman" w:hAnsi="Times New Roman" w:cs="Times New Roman"/>
        </w:rPr>
        <w:t>31]. In addition, these types of the structures have an important advantage of being self-supporting during additive manufacturing which is helpful in building complex shaped lattice-based heat exchangers. Due to their superior structural strength and lightweight nature, lattice structures can be designed with topology optimization technique to reduce the weight and material usage, thereby reducing the unit cost of production and manufacturing time [</w:t>
      </w:r>
      <w:r w:rsidR="00C15C10" w:rsidRPr="008F5202">
        <w:rPr>
          <w:rFonts w:ascii="Times New Roman" w:hAnsi="Times New Roman" w:cs="Times New Roman"/>
        </w:rPr>
        <w:t>1.</w:t>
      </w:r>
      <w:r w:rsidRPr="00ED0DEE">
        <w:rPr>
          <w:rFonts w:ascii="Times New Roman" w:hAnsi="Times New Roman" w:cs="Times New Roman"/>
        </w:rPr>
        <w:t>35,</w:t>
      </w:r>
      <w:r w:rsidR="00C15C10" w:rsidRPr="008F5202">
        <w:rPr>
          <w:rFonts w:ascii="Times New Roman" w:hAnsi="Times New Roman" w:cs="Times New Roman"/>
        </w:rPr>
        <w:t>1.</w:t>
      </w:r>
      <w:r w:rsidRPr="00ED0DEE">
        <w:rPr>
          <w:rFonts w:ascii="Times New Roman" w:hAnsi="Times New Roman" w:cs="Times New Roman"/>
        </w:rPr>
        <w:t>36]. Additive Manufacturing (AM) techniques, particularly Electron Beam Melting (EBM), are widely used due to their ability to directly manufacture complex 3D models, including lattice structures with intricate geometries [</w:t>
      </w:r>
      <w:r w:rsidR="00C15C10" w:rsidRPr="008F5202">
        <w:rPr>
          <w:rFonts w:ascii="Times New Roman" w:hAnsi="Times New Roman" w:cs="Times New Roman"/>
        </w:rPr>
        <w:t>1.</w:t>
      </w:r>
      <w:r w:rsidRPr="00ED0DEE">
        <w:rPr>
          <w:rFonts w:ascii="Times New Roman" w:hAnsi="Times New Roman" w:cs="Times New Roman"/>
        </w:rPr>
        <w:t>37–</w:t>
      </w:r>
      <w:r w:rsidR="00C15C10" w:rsidRPr="008F5202">
        <w:rPr>
          <w:rFonts w:ascii="Times New Roman" w:hAnsi="Times New Roman" w:cs="Times New Roman"/>
        </w:rPr>
        <w:t>1.</w:t>
      </w:r>
      <w:r w:rsidRPr="00ED0DEE">
        <w:rPr>
          <w:rFonts w:ascii="Times New Roman" w:hAnsi="Times New Roman" w:cs="Times New Roman"/>
        </w:rPr>
        <w:t>39]. This process is well-suited for creating lightweight structures with superior mechanical properties, such as the octet-truss lattice structure [</w:t>
      </w:r>
      <w:r w:rsidR="00C15C10" w:rsidRPr="008F5202">
        <w:rPr>
          <w:rFonts w:ascii="Times New Roman" w:hAnsi="Times New Roman" w:cs="Times New Roman"/>
        </w:rPr>
        <w:t>1.</w:t>
      </w:r>
      <w:r w:rsidRPr="00ED0DEE">
        <w:rPr>
          <w:rFonts w:ascii="Times New Roman" w:hAnsi="Times New Roman" w:cs="Times New Roman"/>
        </w:rPr>
        <w:t>40]. To overcome the limitations of traditional AM processes and enhance the energy absorption capabilities of truss-based lattices, hybrid manufacturing approaches have also been developed. For example, a combination of AM and metal casting has been used to produce aluminum alloy lattice structures, which were then experimentally evaluated for their performance under different compressive loads [</w:t>
      </w:r>
      <w:r w:rsidR="00EA4E2B" w:rsidRPr="008F5202">
        <w:rPr>
          <w:rFonts w:ascii="Times New Roman" w:hAnsi="Times New Roman" w:cs="Times New Roman"/>
        </w:rPr>
        <w:t>1.</w:t>
      </w:r>
      <w:r w:rsidRPr="00ED0DEE">
        <w:rPr>
          <w:rFonts w:ascii="Times New Roman" w:hAnsi="Times New Roman" w:cs="Times New Roman"/>
        </w:rPr>
        <w:t>41]. This hybrid approach combines the design freedom of AM with the material properties of cast metals to optimize the specific internal energy absorption of the structures [</w:t>
      </w:r>
      <w:r w:rsidR="00C15C10" w:rsidRPr="008F5202">
        <w:rPr>
          <w:rFonts w:ascii="Times New Roman" w:hAnsi="Times New Roman" w:cs="Times New Roman"/>
        </w:rPr>
        <w:t>1.</w:t>
      </w:r>
      <w:r w:rsidRPr="00ED0DEE">
        <w:rPr>
          <w:rFonts w:ascii="Times New Roman" w:hAnsi="Times New Roman" w:cs="Times New Roman"/>
        </w:rPr>
        <w:t xml:space="preserve">42]. </w:t>
      </w:r>
    </w:p>
    <w:p w14:paraId="5327347F" w14:textId="66D7F927"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The performance of truss-based lattice structures is greatly influenced by critical design parameters, such as the topology of the unit cell, the overall porosity of unit cell, physical size of the unit cell which determines the strut diameter, and their arrangement in three dimensions [</w:t>
      </w:r>
      <w:r w:rsidR="00C15C10" w:rsidRPr="008F5202">
        <w:rPr>
          <w:rFonts w:ascii="Times New Roman" w:hAnsi="Times New Roman" w:cs="Times New Roman"/>
        </w:rPr>
        <w:t>1.</w:t>
      </w:r>
      <w:r w:rsidRPr="00ED0DEE">
        <w:rPr>
          <w:rFonts w:ascii="Times New Roman" w:hAnsi="Times New Roman" w:cs="Times New Roman"/>
        </w:rPr>
        <w:t>37,</w:t>
      </w:r>
      <w:r w:rsidR="00C15C10" w:rsidRPr="008F5202">
        <w:rPr>
          <w:rFonts w:ascii="Times New Roman" w:hAnsi="Times New Roman" w:cs="Times New Roman"/>
        </w:rPr>
        <w:t>1.</w:t>
      </w:r>
      <w:r w:rsidRPr="00ED0DEE">
        <w:rPr>
          <w:rFonts w:ascii="Times New Roman" w:hAnsi="Times New Roman" w:cs="Times New Roman"/>
        </w:rPr>
        <w:t>43,</w:t>
      </w:r>
      <w:r w:rsidR="00C15C10" w:rsidRPr="008F5202">
        <w:rPr>
          <w:rFonts w:ascii="Times New Roman" w:hAnsi="Times New Roman" w:cs="Times New Roman"/>
        </w:rPr>
        <w:t>1.</w:t>
      </w:r>
      <w:r w:rsidRPr="00ED0DEE">
        <w:rPr>
          <w:rFonts w:ascii="Times New Roman" w:hAnsi="Times New Roman" w:cs="Times New Roman"/>
        </w:rPr>
        <w:t>44]. The effective properties of lattice trusses are significantly determined by structural factors, including the Maxwell stability parameter, the coordination number, and the truss thickness [</w:t>
      </w:r>
      <w:r w:rsidR="00C15C10" w:rsidRPr="008F5202">
        <w:rPr>
          <w:rFonts w:ascii="Times New Roman" w:hAnsi="Times New Roman" w:cs="Times New Roman"/>
        </w:rPr>
        <w:t>1.</w:t>
      </w:r>
      <w:r w:rsidRPr="00ED0DEE">
        <w:rPr>
          <w:rFonts w:ascii="Times New Roman" w:hAnsi="Times New Roman" w:cs="Times New Roman"/>
        </w:rPr>
        <w:t xml:space="preserve">45]. Moreover, the porosity level in lattice </w:t>
      </w:r>
      <w:r w:rsidRPr="00ED0DEE">
        <w:rPr>
          <w:rFonts w:ascii="Times New Roman" w:hAnsi="Times New Roman" w:cs="Times New Roman"/>
        </w:rPr>
        <w:lastRenderedPageBreak/>
        <w:t>structures plays a vital role in the osseointegration and load-bearing capacity of implants [</w:t>
      </w:r>
      <w:r w:rsidR="00C15C10" w:rsidRPr="008F5202">
        <w:rPr>
          <w:rFonts w:ascii="Times New Roman" w:hAnsi="Times New Roman" w:cs="Times New Roman"/>
        </w:rPr>
        <w:t>1.</w:t>
      </w:r>
      <w:r w:rsidRPr="00ED0DEE">
        <w:rPr>
          <w:rFonts w:ascii="Times New Roman" w:hAnsi="Times New Roman" w:cs="Times New Roman"/>
        </w:rPr>
        <w:t>34]. By optimizing these variables, it is possible to enhance the specific internal energy and overall performance of lattice structures, thereby increasing their efficiency in various applications, such as energy absorption and medical implants. In addition, recent advancements in computational technologies have facilitated the refinement of lattice structure designs to address specific requirements, further improving their performance and functionality.</w:t>
      </w:r>
    </w:p>
    <w:p w14:paraId="2215CE85" w14:textId="10ED6E60"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Truss-based lattice structures are also known for their effective heat dissipation capabilities. The enhancement in heat transfer can be attributed to their unique design and structure. The lattice structure helps in increasing the surface area for heat exchange with the surrounding fluid, resulting in improved thermal performance [</w:t>
      </w:r>
      <w:r w:rsidR="00C15C10" w:rsidRPr="008F5202">
        <w:rPr>
          <w:rFonts w:ascii="Times New Roman" w:hAnsi="Times New Roman" w:cs="Times New Roman"/>
        </w:rPr>
        <w:t>1.</w:t>
      </w:r>
      <w:r w:rsidRPr="00ED0DEE">
        <w:rPr>
          <w:rFonts w:ascii="Times New Roman" w:hAnsi="Times New Roman" w:cs="Times New Roman"/>
        </w:rPr>
        <w:t>46,</w:t>
      </w:r>
      <w:r w:rsidR="00C15C10" w:rsidRPr="008F5202">
        <w:rPr>
          <w:rFonts w:ascii="Times New Roman" w:hAnsi="Times New Roman" w:cs="Times New Roman"/>
        </w:rPr>
        <w:t>1.</w:t>
      </w:r>
      <w:r w:rsidRPr="00ED0DEE">
        <w:rPr>
          <w:rFonts w:ascii="Times New Roman" w:hAnsi="Times New Roman" w:cs="Times New Roman"/>
        </w:rPr>
        <w:t>47]. The use of these structures in heat exchangers has the potential for developing more efficient and effective thermal systems [</w:t>
      </w:r>
      <w:r w:rsidR="00C15C10" w:rsidRPr="008F5202">
        <w:rPr>
          <w:rFonts w:ascii="Times New Roman" w:hAnsi="Times New Roman" w:cs="Times New Roman"/>
        </w:rPr>
        <w:t>1.</w:t>
      </w:r>
      <w:r w:rsidRPr="00ED0DEE">
        <w:rPr>
          <w:rFonts w:ascii="Times New Roman" w:hAnsi="Times New Roman" w:cs="Times New Roman"/>
        </w:rPr>
        <w:t>48]. The high effective thermal conductivity achieved with the addition of lattice structure is also an important aspect of enhancing the overall heat transfer. The effective thermal conductivity is inversely proportional to the unit cell porosity. Further, for forced convection applications which involves pumping of fluid, the pressure drop is also inversely proportional to the lattice porosity. Hence, there exists a trade-off between achieving high effective thermal conductivity and low pressure drop – both cannot be achieved simultaneously. AM-based fabrication provides the design freedom to explore moderate porosity levels to strike a balance between gain in heat transfer with the penalty on pressure drop. Further, the truss-based lattice structures can be strong and lightweight, which means they can support a lot of weight without being heavy while having high stiffness, meaning they don’t bend easily [</w:t>
      </w:r>
      <w:r w:rsidR="00C15C10" w:rsidRPr="008F5202">
        <w:rPr>
          <w:rFonts w:ascii="Times New Roman" w:hAnsi="Times New Roman" w:cs="Times New Roman"/>
        </w:rPr>
        <w:t>1.</w:t>
      </w:r>
      <w:r w:rsidRPr="00ED0DEE">
        <w:rPr>
          <w:rFonts w:ascii="Times New Roman" w:hAnsi="Times New Roman" w:cs="Times New Roman"/>
        </w:rPr>
        <w:t xml:space="preserve">43], which is useful for manufacturing high pressure/high temperature heat exchangers. </w:t>
      </w:r>
    </w:p>
    <w:p w14:paraId="39A08AC0" w14:textId="68E64C5C"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From the multifunctional property perspective, the commonly explored unit cell topologies include cubic, octet, BCC, Octahedron, among others [</w:t>
      </w:r>
      <w:r w:rsidR="00C15C10" w:rsidRPr="008F5202">
        <w:rPr>
          <w:rFonts w:ascii="Times New Roman" w:hAnsi="Times New Roman" w:cs="Times New Roman"/>
        </w:rPr>
        <w:t>1.</w:t>
      </w:r>
      <w:r w:rsidRPr="00ED0DEE">
        <w:rPr>
          <w:rFonts w:ascii="Times New Roman" w:hAnsi="Times New Roman" w:cs="Times New Roman"/>
        </w:rPr>
        <w:t xml:space="preserve">49]. Each topology has its own distinct characteristics, such as mechanical strength, stiffness, and heat transfer performance. The choice of unit cell topology depends on the specific requirements of the application, such as load-bearing capacity, effective thermal conductivity, interstitial heat transfer coefficient, permeability, and inertial coefficient. Our previous experimental work </w:t>
      </w:r>
      <w:r w:rsidRPr="00ED0DEE">
        <w:rPr>
          <w:rFonts w:ascii="Times New Roman" w:hAnsi="Times New Roman" w:cs="Times New Roman"/>
        </w:rPr>
        <w:lastRenderedPageBreak/>
        <w:t>on the thermal and flow transport characteristics of additively manufactured lattice structures   involved the study of four-unit cell topologies: Octet, FD-Cube, Tetrakaidecahedron (TKD), and Cube. It was found that Octet provided the highest heat transfer performance, while Cube yielded the lowest values. These studies contribute to understanding the influence of topology, porosity, and manufacturing methods on the thermal-hydraulic characteristics of lattice structures for heat transfer applications. Numerical study on the conjugate heat transfer performance and pressure drop of TKD, Octet, and Dodecahedron at a fixed lattice porosity of 0.9 showed that the TKD lattice exhibited the highest overall wall heat transfer coefficient and the lowest pressure drop, while octet lattice had the highest flow resistance. The conjugate heat transfer coefficient was found to be dependent on the thickness of struts in contact with the endwall, unit cell topology, and flow velocities/Reynolds number [</w:t>
      </w:r>
      <w:r w:rsidR="00C15C10" w:rsidRPr="008F5202">
        <w:rPr>
          <w:rFonts w:ascii="Times New Roman" w:hAnsi="Times New Roman" w:cs="Times New Roman"/>
        </w:rPr>
        <w:t>1.</w:t>
      </w:r>
      <w:r w:rsidRPr="00ED0DEE">
        <w:rPr>
          <w:rFonts w:ascii="Times New Roman" w:hAnsi="Times New Roman" w:cs="Times New Roman"/>
        </w:rPr>
        <w:t>50]. A study by Narkhede et al. [</w:t>
      </w:r>
      <w:r w:rsidR="00C15C10" w:rsidRPr="008F5202">
        <w:rPr>
          <w:rFonts w:ascii="Times New Roman" w:hAnsi="Times New Roman" w:cs="Times New Roman"/>
        </w:rPr>
        <w:t>1.</w:t>
      </w:r>
      <w:r w:rsidRPr="00ED0DEE">
        <w:rPr>
          <w:rFonts w:ascii="Times New Roman" w:hAnsi="Times New Roman" w:cs="Times New Roman"/>
        </w:rPr>
        <w:t>51] showed that when comparing the heat transfer performance of tetrahedral and pyramid lattices at a unit cell length-to-lattice truss diameter ratio (L/D) of 5, the tetrahedral topology offered less pressure drop compared to the pyramidal lattice topology due to fewer lattice members per unit cell. In addition to unit cell topology, the diameter and length of the struts within the lattice structure play a crucial role in determining its properties. For instance, strut diameter and length can influence the temperature field and cooling rate by affecting the heat transfer paths and induce localized temperature variations [</w:t>
      </w:r>
      <w:r w:rsidR="00C15C10" w:rsidRPr="008F5202">
        <w:rPr>
          <w:rFonts w:ascii="Times New Roman" w:hAnsi="Times New Roman" w:cs="Times New Roman"/>
        </w:rPr>
        <w:t>1.</w:t>
      </w:r>
      <w:r w:rsidRPr="00ED0DEE">
        <w:rPr>
          <w:rFonts w:ascii="Times New Roman" w:hAnsi="Times New Roman" w:cs="Times New Roman"/>
        </w:rPr>
        <w:t>52]. The struts’ diameter and length also affect the porosity. In general, it is known that high porosity allows easier fluid flow or low pressure drop. The impact of lattice porosity on heat transfer is both significant and multifaceted as some authors have delved into the role of porosity in enhancing or reducing heat transfer within porous media [</w:t>
      </w:r>
      <w:r w:rsidR="00C15C10" w:rsidRPr="008F5202">
        <w:rPr>
          <w:rFonts w:ascii="Times New Roman" w:hAnsi="Times New Roman" w:cs="Times New Roman"/>
        </w:rPr>
        <w:t>1.</w:t>
      </w:r>
      <w:r w:rsidRPr="00ED0DEE">
        <w:rPr>
          <w:rFonts w:ascii="Times New Roman" w:hAnsi="Times New Roman" w:cs="Times New Roman"/>
        </w:rPr>
        <w:t>53]. The permeability of various structures are greatly influenced by their porosity, with ordered structures exhibiting higher permeability compared to their randomized counterparts [</w:t>
      </w:r>
      <w:r w:rsidR="00C15C10" w:rsidRPr="008F5202">
        <w:rPr>
          <w:rFonts w:ascii="Times New Roman" w:hAnsi="Times New Roman" w:cs="Times New Roman"/>
        </w:rPr>
        <w:t>1.</w:t>
      </w:r>
      <w:r w:rsidRPr="00ED0DEE">
        <w:rPr>
          <w:rFonts w:ascii="Times New Roman" w:hAnsi="Times New Roman" w:cs="Times New Roman"/>
        </w:rPr>
        <w:t>54]. Furthermore, the geometry of the pores also play a crucial role in natural convection, as certain shapes have been shown to lead to increased Nusselt numbers [</w:t>
      </w:r>
      <w:r w:rsidR="00C15C10" w:rsidRPr="008F5202">
        <w:rPr>
          <w:rFonts w:ascii="Times New Roman" w:hAnsi="Times New Roman" w:cs="Times New Roman"/>
        </w:rPr>
        <w:t>1.</w:t>
      </w:r>
      <w:r w:rsidRPr="00ED0DEE">
        <w:rPr>
          <w:rFonts w:ascii="Times New Roman" w:hAnsi="Times New Roman" w:cs="Times New Roman"/>
        </w:rPr>
        <w:t xml:space="preserve">55].  </w:t>
      </w:r>
    </w:p>
    <w:p w14:paraId="5EF7B7B2" w14:textId="755EB192"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 xml:space="preserve">In addition to topology, strut diameter and length, the choice of material for the truss-based lattice structure significantly affects its thermal and mechanical properties. Common materials include metals (e.g., aluminum, copper, steel), polymers, and ceramics. The </w:t>
      </w:r>
      <w:r w:rsidRPr="00ED0DEE">
        <w:rPr>
          <w:rFonts w:ascii="Times New Roman" w:hAnsi="Times New Roman" w:cs="Times New Roman"/>
        </w:rPr>
        <w:lastRenderedPageBreak/>
        <w:t>material's thermal conductivity, specific heat capacity, and mechanical strength should be considered when selecting the appropriate material for the application. In our previous study on lattice heat transfer [</w:t>
      </w:r>
      <w:r w:rsidR="00C15C10" w:rsidRPr="008F5202">
        <w:rPr>
          <w:rFonts w:ascii="Times New Roman" w:hAnsi="Times New Roman" w:cs="Times New Roman"/>
        </w:rPr>
        <w:t>1.</w:t>
      </w:r>
      <w:r w:rsidRPr="00ED0DEE">
        <w:rPr>
          <w:rFonts w:ascii="Times New Roman" w:hAnsi="Times New Roman" w:cs="Times New Roman"/>
        </w:rPr>
        <w:t>32], we have tested the effective thermal conductivity and heat transfer coefficient of both air and particle flow through Octet lattice structure. The results showed that lattice structure manufactured from Stainless Steel 420 (SS420) resulted in superior heat transfer coefficient measurement and effective thermal conductivity for both air and particles as working fluid or convective agents. The octet-truss lattice offers a promising framework for optimizing mechanical properties and porosity in various applications. Such control over structural characteristics is a testament to the adaptability of lattice designs when facing diverse functional demands. This adaptability is equally crucial when considering thermal applications, where heat transfer mechanisms play a defining role in the performance and efficiency of a system [</w:t>
      </w:r>
      <w:r w:rsidR="00C15C10" w:rsidRPr="008F5202">
        <w:rPr>
          <w:rFonts w:ascii="Times New Roman" w:hAnsi="Times New Roman" w:cs="Times New Roman"/>
        </w:rPr>
        <w:t>1.</w:t>
      </w:r>
      <w:r w:rsidRPr="00ED0DEE">
        <w:rPr>
          <w:rFonts w:ascii="Times New Roman" w:hAnsi="Times New Roman" w:cs="Times New Roman"/>
        </w:rPr>
        <w:t>56]. Furthermore, the octet-truss lattice can be combined with other structural elements, such as plates, to create hybrid lattice structures that exhibit excellent elastic isotropy, high compressive strength, and high specific energy absorption [</w:t>
      </w:r>
      <w:r w:rsidR="00C15C10" w:rsidRPr="008F5202">
        <w:rPr>
          <w:rFonts w:ascii="Times New Roman" w:hAnsi="Times New Roman" w:cs="Times New Roman"/>
        </w:rPr>
        <w:t>1.</w:t>
      </w:r>
      <w:r w:rsidRPr="00ED0DEE">
        <w:rPr>
          <w:rFonts w:ascii="Times New Roman" w:hAnsi="Times New Roman" w:cs="Times New Roman"/>
        </w:rPr>
        <w:t>31].</w:t>
      </w:r>
    </w:p>
    <w:p w14:paraId="604F2099" w14:textId="77777777" w:rsidR="00ED0DEE" w:rsidRPr="00ED0DEE" w:rsidRDefault="00ED0DEE" w:rsidP="00C15C10">
      <w:pPr>
        <w:numPr>
          <w:ilvl w:val="12"/>
          <w:numId w:val="0"/>
        </w:numPr>
        <w:spacing w:line="360" w:lineRule="auto"/>
        <w:jc w:val="both"/>
        <w:rPr>
          <w:rFonts w:ascii="Times New Roman" w:hAnsi="Times New Roman" w:cs="Times New Roman"/>
          <w:b/>
          <w:bCs/>
          <w:i/>
          <w:iCs/>
        </w:rPr>
      </w:pPr>
      <w:r w:rsidRPr="00ED0DEE">
        <w:rPr>
          <w:rFonts w:ascii="Times New Roman" w:hAnsi="Times New Roman" w:cs="Times New Roman"/>
          <w:b/>
          <w:bCs/>
          <w:i/>
          <w:iCs/>
        </w:rPr>
        <w:t>Lattice structures’ interaction with moving packed bed of particles</w:t>
      </w:r>
    </w:p>
    <w:p w14:paraId="56A26DDD" w14:textId="194F4297"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Transitioning from the macro design elements of lattice structures to the microscopic interactions within particle heat transfer, we encounter a multifaceted arena of thermal dynamics. The fundamental mechanism of particle heat transfer is complex since it involves conduction between interacting particles, conduction between particle and wall, convection between particle and fluid, as well as radiation between the particles. Additional factors can influence the heat transfer in each of these fundamental mechanisms such as dispersed phase heat transfer which becomes more important in fluidized beds, packed bed density, and gas layer induced between particle MPB and heat transfer walls [</w:t>
      </w:r>
      <w:r w:rsidR="00C15C10" w:rsidRPr="008F5202">
        <w:rPr>
          <w:rFonts w:ascii="Times New Roman" w:hAnsi="Times New Roman" w:cs="Times New Roman"/>
        </w:rPr>
        <w:t>1.</w:t>
      </w:r>
      <w:r w:rsidRPr="00ED0DEE">
        <w:rPr>
          <w:rFonts w:ascii="Times New Roman" w:hAnsi="Times New Roman" w:cs="Times New Roman"/>
        </w:rPr>
        <w:t>57–</w:t>
      </w:r>
      <w:r w:rsidR="00C15C10" w:rsidRPr="008F5202">
        <w:rPr>
          <w:rFonts w:ascii="Times New Roman" w:hAnsi="Times New Roman" w:cs="Times New Roman"/>
        </w:rPr>
        <w:t>1.</w:t>
      </w:r>
      <w:r w:rsidRPr="00ED0DEE">
        <w:rPr>
          <w:rFonts w:ascii="Times New Roman" w:hAnsi="Times New Roman" w:cs="Times New Roman"/>
        </w:rPr>
        <w:t>59]. Here, the understanding of heat conduction through solids, a process governed by temperature gradients and the thermal conductivity of the materials, is imperative, along with the lattice's ability to influence flow and thermal pathways [</w:t>
      </w:r>
      <w:r w:rsidR="00C15C10" w:rsidRPr="008F5202">
        <w:rPr>
          <w:rFonts w:ascii="Times New Roman" w:hAnsi="Times New Roman" w:cs="Times New Roman"/>
        </w:rPr>
        <w:t>1.</w:t>
      </w:r>
      <w:r w:rsidRPr="00ED0DEE">
        <w:rPr>
          <w:rFonts w:ascii="Times New Roman" w:hAnsi="Times New Roman" w:cs="Times New Roman"/>
        </w:rPr>
        <w:t>57–</w:t>
      </w:r>
      <w:r w:rsidR="00C15C10" w:rsidRPr="008F5202">
        <w:rPr>
          <w:rFonts w:ascii="Times New Roman" w:hAnsi="Times New Roman" w:cs="Times New Roman"/>
        </w:rPr>
        <w:t>1.</w:t>
      </w:r>
      <w:r w:rsidRPr="00ED0DEE">
        <w:rPr>
          <w:rFonts w:ascii="Times New Roman" w:hAnsi="Times New Roman" w:cs="Times New Roman"/>
        </w:rPr>
        <w:t>59]. The subsequent section delves into these intricacies, detailing the fundamental mechanisms of particle heat transfer and the consequential effects of lattice integration.</w:t>
      </w:r>
    </w:p>
    <w:p w14:paraId="305DA0C9" w14:textId="57373FFE"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lastRenderedPageBreak/>
        <w:t>Multiple factors influence the heat transfer of particles in packed beds, such as particle thermal conductivity, specific heat capacity, particle diameter, heat transfer surface material, and the distance between heat transfer plates in parallel plate moving packed bed (MPB) heat exchangers. An analytical solution to heat transfer in packed bed was provided by Isaza et al. [</w:t>
      </w:r>
      <w:r w:rsidR="00C15C10" w:rsidRPr="008F5202">
        <w:rPr>
          <w:rFonts w:ascii="Times New Roman" w:hAnsi="Times New Roman" w:cs="Times New Roman"/>
        </w:rPr>
        <w:t>1.</w:t>
      </w:r>
      <w:r w:rsidRPr="00ED0DEE">
        <w:rPr>
          <w:rFonts w:ascii="Times New Roman" w:hAnsi="Times New Roman" w:cs="Times New Roman"/>
        </w:rPr>
        <w:t>60] for a counter current parallel plate heat exchanger. It was shown that that the heat transfer is influenced by the Biot number, the heat capacity ratio, and the number of transfer units (NTU). The thermal conductivity of particle, mean particle diameter and particle size distribution affects the conduction heat transfer [</w:t>
      </w:r>
      <w:r w:rsidR="00C15C10" w:rsidRPr="008F5202">
        <w:rPr>
          <w:rFonts w:ascii="Times New Roman" w:hAnsi="Times New Roman" w:cs="Times New Roman"/>
        </w:rPr>
        <w:t>1.</w:t>
      </w:r>
      <w:r w:rsidRPr="00ED0DEE">
        <w:rPr>
          <w:rFonts w:ascii="Times New Roman" w:hAnsi="Times New Roman" w:cs="Times New Roman"/>
        </w:rPr>
        <w:t>61]. Zhang et al.  used the discrete element method (DEM) for simulating individual particle flow, coupled with a heat transfer model to study the effect of particle size distribution (PSD) on heat transfer in moving packed bed heat exchangers. The authors found that wider PSD enhances particle size segregation and flow instability around a circular tube, which positively affects particle renewal in the stagnation zone and reduces local heat transfer resistance, resulting in up to ~10% increase in the total heat transfer coefficient between particle flow and the tube wall. Furthermore, a binary distribution PSD showed a ~30% increase in heat transfer compared to mono-sized PSD. Overall, it was shown that smaller particle size provide higher heat transfer coefficient [</w:t>
      </w:r>
      <w:r w:rsidR="00C15C10" w:rsidRPr="008F5202">
        <w:rPr>
          <w:rFonts w:ascii="Times New Roman" w:hAnsi="Times New Roman" w:cs="Times New Roman"/>
        </w:rPr>
        <w:t>1.</w:t>
      </w:r>
      <w:r w:rsidRPr="00ED0DEE">
        <w:rPr>
          <w:rFonts w:ascii="Times New Roman" w:hAnsi="Times New Roman" w:cs="Times New Roman"/>
        </w:rPr>
        <w:t>62]. On the other hand, an increase in particle diameter showed an increase in the effective thermal conductivity of the packed bed [</w:t>
      </w:r>
      <w:r w:rsidR="00C15C10" w:rsidRPr="008F5202">
        <w:rPr>
          <w:rFonts w:ascii="Times New Roman" w:hAnsi="Times New Roman" w:cs="Times New Roman"/>
        </w:rPr>
        <w:t>1.</w:t>
      </w:r>
      <w:r w:rsidRPr="00ED0DEE">
        <w:rPr>
          <w:rFonts w:ascii="Times New Roman" w:hAnsi="Times New Roman" w:cs="Times New Roman"/>
        </w:rPr>
        <w:t>63].  Common methods for modeling and simulating particle heat transfer include Discrete Element Method (DEM)  and continuum modeling [</w:t>
      </w:r>
      <w:r w:rsidR="00C15C10" w:rsidRPr="008F5202">
        <w:rPr>
          <w:rFonts w:ascii="Times New Roman" w:hAnsi="Times New Roman" w:cs="Times New Roman"/>
        </w:rPr>
        <w:t>1.</w:t>
      </w:r>
      <w:r w:rsidRPr="00ED0DEE">
        <w:rPr>
          <w:rFonts w:ascii="Times New Roman" w:hAnsi="Times New Roman" w:cs="Times New Roman"/>
        </w:rPr>
        <w:t>64,</w:t>
      </w:r>
      <w:r w:rsidR="00C15C10" w:rsidRPr="008F5202">
        <w:rPr>
          <w:rFonts w:ascii="Times New Roman" w:hAnsi="Times New Roman" w:cs="Times New Roman"/>
        </w:rPr>
        <w:t>1.</w:t>
      </w:r>
      <w:r w:rsidRPr="00ED0DEE">
        <w:rPr>
          <w:rFonts w:ascii="Times New Roman" w:hAnsi="Times New Roman" w:cs="Times New Roman"/>
        </w:rPr>
        <w:t>65]. DEM is widely used to study particle flow and heat transfer in various geometries, such as tubes and plates. Continuum modeling is employed to investigate heat transfer in moving packed-bed heat exchangers. The contact resistance between particles and the wall affects the overall heat transfer coefficient [</w:t>
      </w:r>
      <w:r w:rsidR="00C15C10" w:rsidRPr="008F5202">
        <w:rPr>
          <w:rFonts w:ascii="Times New Roman" w:hAnsi="Times New Roman" w:cs="Times New Roman"/>
        </w:rPr>
        <w:t>1.</w:t>
      </w:r>
      <w:r w:rsidRPr="00ED0DEE">
        <w:rPr>
          <w:rFonts w:ascii="Times New Roman" w:hAnsi="Times New Roman" w:cs="Times New Roman"/>
        </w:rPr>
        <w:t>59,</w:t>
      </w:r>
      <w:r w:rsidR="00C15C10" w:rsidRPr="008F5202">
        <w:rPr>
          <w:rFonts w:ascii="Times New Roman" w:hAnsi="Times New Roman" w:cs="Times New Roman"/>
        </w:rPr>
        <w:t>1.</w:t>
      </w:r>
      <w:r w:rsidRPr="00ED0DEE">
        <w:rPr>
          <w:rFonts w:ascii="Times New Roman" w:hAnsi="Times New Roman" w:cs="Times New Roman"/>
        </w:rPr>
        <w:t xml:space="preserve">66]. In addition to that, particle flow around circular surfaces is affected by stagnation and void zones which decreases the effective heat transfer area between the particles and the tube . </w:t>
      </w:r>
    </w:p>
    <w:p w14:paraId="12EE0F45" w14:textId="7A4C861F"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 xml:space="preserve">Particle heat transfer has numerous applications in various industrial processes and systems. In moving packed beds, such as those used in iron ore sintering, cement production, and waste heat recovery, particle heat transfer is crucial for the design and optimization of heat exchangers, prediction of temperature distribution, and analysis of </w:t>
      </w:r>
      <w:r w:rsidRPr="00ED0DEE">
        <w:rPr>
          <w:rFonts w:ascii="Times New Roman" w:hAnsi="Times New Roman" w:cs="Times New Roman"/>
        </w:rPr>
        <w:lastRenderedPageBreak/>
        <w:t>cooling rate [</w:t>
      </w:r>
      <w:r w:rsidR="00C15C10" w:rsidRPr="008F5202">
        <w:rPr>
          <w:rFonts w:ascii="Times New Roman" w:hAnsi="Times New Roman" w:cs="Times New Roman"/>
        </w:rPr>
        <w:t>1.</w:t>
      </w:r>
      <w:r w:rsidRPr="00ED0DEE">
        <w:rPr>
          <w:rFonts w:ascii="Times New Roman" w:hAnsi="Times New Roman" w:cs="Times New Roman"/>
        </w:rPr>
        <w:t>48]. Packed beds are widely used in the chemical industry, and particle heat transfer plays a significant role in enhancing heat transfer between gas and solid states inside these beds [</w:t>
      </w:r>
      <w:r w:rsidR="00C15C10" w:rsidRPr="008F5202">
        <w:rPr>
          <w:rFonts w:ascii="Times New Roman" w:hAnsi="Times New Roman" w:cs="Times New Roman"/>
        </w:rPr>
        <w:t>1.</w:t>
      </w:r>
      <w:r w:rsidRPr="00ED0DEE">
        <w:rPr>
          <w:rFonts w:ascii="Times New Roman" w:hAnsi="Times New Roman" w:cs="Times New Roman"/>
        </w:rPr>
        <w:t>33,</w:t>
      </w:r>
      <w:r w:rsidR="00C15C10" w:rsidRPr="008F5202">
        <w:rPr>
          <w:rFonts w:ascii="Times New Roman" w:hAnsi="Times New Roman" w:cs="Times New Roman"/>
        </w:rPr>
        <w:t>1.</w:t>
      </w:r>
      <w:r w:rsidRPr="00ED0DEE">
        <w:rPr>
          <w:rFonts w:ascii="Times New Roman" w:hAnsi="Times New Roman" w:cs="Times New Roman"/>
        </w:rPr>
        <w:t>48,</w:t>
      </w:r>
      <w:r w:rsidR="00C15C10" w:rsidRPr="008F5202">
        <w:rPr>
          <w:rFonts w:ascii="Times New Roman" w:hAnsi="Times New Roman" w:cs="Times New Roman"/>
        </w:rPr>
        <w:t>1.</w:t>
      </w:r>
      <w:r w:rsidRPr="00ED0DEE">
        <w:rPr>
          <w:rFonts w:ascii="Times New Roman" w:hAnsi="Times New Roman" w:cs="Times New Roman"/>
        </w:rPr>
        <w:t>49]. In concentrating solar power (CSP) systems, particles are being employed as thermal energy storage (TES) medium due to their high thermal stability and natural abundance, as well as heat transfer fluid (HTF). Unlike molten salt, which is the state-of-the-art solar thermal energy storage medium that can only withstand temperatures up to 565°C, particles such as silica sand and aluminum oxide can be heated to temperatures exceeding 1,000°C without significant thermal degradation [</w:t>
      </w:r>
      <w:r w:rsidR="00C15C10" w:rsidRPr="008F5202">
        <w:rPr>
          <w:rFonts w:ascii="Times New Roman" w:hAnsi="Times New Roman" w:cs="Times New Roman"/>
        </w:rPr>
        <w:t>1.</w:t>
      </w:r>
      <w:r w:rsidRPr="00ED0DEE">
        <w:rPr>
          <w:rFonts w:ascii="Times New Roman" w:hAnsi="Times New Roman" w:cs="Times New Roman"/>
        </w:rPr>
        <w:t>67,</w:t>
      </w:r>
      <w:r w:rsidR="00C15C10" w:rsidRPr="008F5202">
        <w:rPr>
          <w:rFonts w:ascii="Times New Roman" w:hAnsi="Times New Roman" w:cs="Times New Roman"/>
        </w:rPr>
        <w:t>1.</w:t>
      </w:r>
      <w:r w:rsidRPr="00ED0DEE">
        <w:rPr>
          <w:rFonts w:ascii="Times New Roman" w:hAnsi="Times New Roman" w:cs="Times New Roman"/>
        </w:rPr>
        <w:t>68]. However, particles having low thermal conductivity impose a challenge for their implementation in CSP-TES applications. Significant research activities are ongoing to address this limitation by improving the heat transfer at the particle level of MPB heat exchanger. Techniques such as fluidization of the packed bed are proposed and have shown to be effective in enhancing heat transfer at the particle level, however at the cost of parasitic power drawn by the air fluidization and the added complexity to the heat exchanger design [</w:t>
      </w:r>
      <w:r w:rsidR="00C15C10" w:rsidRPr="008F5202">
        <w:rPr>
          <w:rFonts w:ascii="Times New Roman" w:hAnsi="Times New Roman" w:cs="Times New Roman"/>
        </w:rPr>
        <w:t>1.</w:t>
      </w:r>
      <w:r w:rsidRPr="00ED0DEE">
        <w:rPr>
          <w:rFonts w:ascii="Times New Roman" w:hAnsi="Times New Roman" w:cs="Times New Roman"/>
        </w:rPr>
        <w:t>69].  One other technique of improving the heat transfer in particle packed beds is to increase the surface area of the heat transfer. Different heat enhancement geometries have been studied [</w:t>
      </w:r>
      <w:r w:rsidR="00C15C10" w:rsidRPr="008F5202">
        <w:rPr>
          <w:rFonts w:ascii="Times New Roman" w:hAnsi="Times New Roman" w:cs="Times New Roman"/>
        </w:rPr>
        <w:t>1.</w:t>
      </w:r>
      <w:r w:rsidRPr="00ED0DEE">
        <w:rPr>
          <w:rFonts w:ascii="Times New Roman" w:hAnsi="Times New Roman" w:cs="Times New Roman"/>
        </w:rPr>
        <w:t>70]. Increasing the specific surface area leads to an increase in heat transfer by packing the maximum heat transfer surface into a relatively small volume of the heat exchanger. The increased specific surface can also act as a mechanism to agitate particles, which also contributes to the heat transfer enhancement. The studies on MPB heat exchangers have been primarily focused on shell-and-tube with tube bundles carrying the secondary fluid, and shell-and-plate with plate minichannels carrying the working fluid. The flow around the tube bundles is hindered by stagnation and void zones occurring at the top and bottom of the tubes, respectively. Measurement of particle flow around the tubes showed that maximum particle flow velocity occurs around the horizontal sides of the tube [</w:t>
      </w:r>
      <w:r w:rsidR="00C15C10" w:rsidRPr="008F5202">
        <w:rPr>
          <w:rFonts w:ascii="Times New Roman" w:hAnsi="Times New Roman" w:cs="Times New Roman"/>
        </w:rPr>
        <w:t>1.</w:t>
      </w:r>
      <w:r w:rsidRPr="00ED0DEE">
        <w:rPr>
          <w:rFonts w:ascii="Times New Roman" w:hAnsi="Times New Roman" w:cs="Times New Roman"/>
        </w:rPr>
        <w:t>71,</w:t>
      </w:r>
      <w:r w:rsidR="00C15C10" w:rsidRPr="008F5202">
        <w:rPr>
          <w:rFonts w:ascii="Times New Roman" w:hAnsi="Times New Roman" w:cs="Times New Roman"/>
        </w:rPr>
        <w:t>1.</w:t>
      </w:r>
      <w:r w:rsidRPr="00ED0DEE">
        <w:rPr>
          <w:rFonts w:ascii="Times New Roman" w:hAnsi="Times New Roman" w:cs="Times New Roman"/>
        </w:rPr>
        <w:t>72]. In addition to that, flow patterns such as funnel- and arch-shaped flow patterns are observed in MPB flow in presence of tube bundles. These flow patterns are influenced by the arrangement of the tubes [</w:t>
      </w:r>
      <w:r w:rsidR="00C15C10" w:rsidRPr="008F5202">
        <w:rPr>
          <w:rFonts w:ascii="Times New Roman" w:hAnsi="Times New Roman" w:cs="Times New Roman"/>
        </w:rPr>
        <w:t>1.</w:t>
      </w:r>
      <w:r w:rsidRPr="00ED0DEE">
        <w:rPr>
          <w:rFonts w:ascii="Times New Roman" w:hAnsi="Times New Roman" w:cs="Times New Roman"/>
        </w:rPr>
        <w:t>73]. Various methods have been proposed to enhance heat transfer in tube bundle moving packed bed heat exchangers, primarily by minimizing the stagnation and void zones. Niegsch et al. [</w:t>
      </w:r>
      <w:r w:rsidR="00C15C10" w:rsidRPr="008F5202">
        <w:rPr>
          <w:rFonts w:ascii="Times New Roman" w:hAnsi="Times New Roman" w:cs="Times New Roman"/>
        </w:rPr>
        <w:t>1.</w:t>
      </w:r>
      <w:r w:rsidRPr="00ED0DEE">
        <w:rPr>
          <w:rFonts w:ascii="Times New Roman" w:hAnsi="Times New Roman" w:cs="Times New Roman"/>
        </w:rPr>
        <w:t xml:space="preserve">74] </w:t>
      </w:r>
      <w:r w:rsidRPr="00ED0DEE">
        <w:rPr>
          <w:rFonts w:ascii="Times New Roman" w:hAnsi="Times New Roman" w:cs="Times New Roman"/>
        </w:rPr>
        <w:lastRenderedPageBreak/>
        <w:t>showed that the local heat transfer coefficient is lower at the upper and lower parts of the tube due to stagnation and void regions, respectively. Zhoutuo et al. [</w:t>
      </w:r>
      <w:r w:rsidR="00C15C10" w:rsidRPr="008F5202">
        <w:rPr>
          <w:rFonts w:ascii="Times New Roman" w:hAnsi="Times New Roman" w:cs="Times New Roman"/>
        </w:rPr>
        <w:t>1.</w:t>
      </w:r>
      <w:r w:rsidRPr="00ED0DEE">
        <w:rPr>
          <w:rFonts w:ascii="Times New Roman" w:hAnsi="Times New Roman" w:cs="Times New Roman"/>
        </w:rPr>
        <w:t>75] found that helically shaped tubes eliminate these regions, and hence, improving heat transfer. Staggered tube arrangements [</w:t>
      </w:r>
      <w:r w:rsidR="00C15C10" w:rsidRPr="008F5202">
        <w:rPr>
          <w:rFonts w:ascii="Times New Roman" w:hAnsi="Times New Roman" w:cs="Times New Roman"/>
        </w:rPr>
        <w:t>1.</w:t>
      </w:r>
      <w:r w:rsidRPr="00ED0DEE">
        <w:rPr>
          <w:rFonts w:ascii="Times New Roman" w:hAnsi="Times New Roman" w:cs="Times New Roman"/>
        </w:rPr>
        <w:t>61] and increased horizontal tube density [</w:t>
      </w:r>
      <w:r w:rsidR="00C15C10" w:rsidRPr="008F5202">
        <w:rPr>
          <w:rFonts w:ascii="Times New Roman" w:hAnsi="Times New Roman" w:cs="Times New Roman"/>
        </w:rPr>
        <w:t>1.</w:t>
      </w:r>
      <w:r w:rsidRPr="00ED0DEE">
        <w:rPr>
          <w:rFonts w:ascii="Times New Roman" w:hAnsi="Times New Roman" w:cs="Times New Roman"/>
        </w:rPr>
        <w:t>76] also enhance heat transfer by increasing particle-wall contact and velocity. Agitators [</w:t>
      </w:r>
      <w:r w:rsidR="00C15C10" w:rsidRPr="008F5202">
        <w:rPr>
          <w:rFonts w:ascii="Times New Roman" w:hAnsi="Times New Roman" w:cs="Times New Roman"/>
        </w:rPr>
        <w:t>1.</w:t>
      </w:r>
      <w:r w:rsidRPr="00ED0DEE">
        <w:rPr>
          <w:rFonts w:ascii="Times New Roman" w:hAnsi="Times New Roman" w:cs="Times New Roman"/>
        </w:rPr>
        <w:t>77] and tube vibration [</w:t>
      </w:r>
      <w:r w:rsidR="00C15C10" w:rsidRPr="008F5202">
        <w:rPr>
          <w:rFonts w:ascii="Times New Roman" w:hAnsi="Times New Roman" w:cs="Times New Roman"/>
        </w:rPr>
        <w:t>1.</w:t>
      </w:r>
      <w:r w:rsidRPr="00ED0DEE">
        <w:rPr>
          <w:rFonts w:ascii="Times New Roman" w:hAnsi="Times New Roman" w:cs="Times New Roman"/>
        </w:rPr>
        <w:t>78] have reduced void regions, resulting in overall improved heat transfer. However, vibration may increase tube wear. Shell-and-plate HEs are superior compared to the shell-and-tube counterparts in the particle-to-supercritical carbon dioxide (CO</w:t>
      </w:r>
      <w:r w:rsidRPr="00ED0DEE">
        <w:rPr>
          <w:rFonts w:ascii="Times New Roman" w:hAnsi="Times New Roman" w:cs="Times New Roman"/>
          <w:vertAlign w:val="subscript"/>
        </w:rPr>
        <w:t>2</w:t>
      </w:r>
      <w:r w:rsidRPr="00ED0DEE">
        <w:rPr>
          <w:rFonts w:ascii="Times New Roman" w:hAnsi="Times New Roman" w:cs="Times New Roman"/>
        </w:rPr>
        <w:t>) heat exchanger configurations. Despite the potential for parallel plate MPB HEs to enhance heat transfer, there is a paucity of research focusing on particle-level improvements in thermal transport. The few existing studies have primarily investigated the impact of reducing the distance between parallel plates [</w:t>
      </w:r>
      <w:r w:rsidR="00C15C10" w:rsidRPr="008F5202">
        <w:rPr>
          <w:rFonts w:ascii="Times New Roman" w:hAnsi="Times New Roman" w:cs="Times New Roman"/>
        </w:rPr>
        <w:t>1.</w:t>
      </w:r>
      <w:r w:rsidRPr="00ED0DEE">
        <w:rPr>
          <w:rFonts w:ascii="Times New Roman" w:hAnsi="Times New Roman" w:cs="Times New Roman"/>
        </w:rPr>
        <w:t xml:space="preserve">65]. However, the utilization of lattice structures to augment heat transfer in parallel plate heat exchangers remains unexplored. </w:t>
      </w:r>
    </w:p>
    <w:p w14:paraId="51CC9226" w14:textId="77777777"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 xml:space="preserve">Previous work by our research group focused on the heat transfer characteristics of octet lattice structures for air/particles as convective heat transfer agents. The current study aims to expand this knowledge by exploring a broader range of lattice topologies. The novelty of the present work lies in the comprehensive investigation of heat transfer performance for particles with four different lattice topologies, providing valuable insights into the effectiveness of these structures in enhancing particle-based convective heat transfer. In addition to the heat transfer characterization of moving packed bed of particle flow through the lattice structure, this study also employs an optical flow algorithm to determine the MPB velocity magnitude and direction, a technique that has not been previously used for particle flow characterization in the context of lattice structures. The main motivation behind this research is twofold: </w:t>
      </w:r>
    </w:p>
    <w:p w14:paraId="300F8B9B" w14:textId="77777777" w:rsidR="00ED0DEE" w:rsidRPr="00ED0DEE" w:rsidRDefault="00ED0DEE" w:rsidP="00C15C10">
      <w:pPr>
        <w:numPr>
          <w:ilvl w:val="0"/>
          <w:numId w:val="17"/>
        </w:numPr>
        <w:spacing w:line="360" w:lineRule="auto"/>
        <w:jc w:val="both"/>
        <w:rPr>
          <w:rFonts w:ascii="Times New Roman" w:hAnsi="Times New Roman" w:cs="Times New Roman"/>
        </w:rPr>
      </w:pPr>
      <w:r w:rsidRPr="00ED0DEE">
        <w:rPr>
          <w:rFonts w:ascii="Times New Roman" w:hAnsi="Times New Roman" w:cs="Times New Roman"/>
        </w:rPr>
        <w:t xml:space="preserve">It aims to develop a deeper understanding of the heat transfer behavior of these lattice structures with both particles and air. Air-based experiments were conducted in the present study due to two reasons: (a) the particle-based channels can be further improved by counter fluidization by air, for which, the understanding of the heat transfer characteristics of airflow through series of </w:t>
      </w:r>
      <w:r w:rsidRPr="00ED0DEE">
        <w:rPr>
          <w:rFonts w:ascii="Times New Roman" w:hAnsi="Times New Roman" w:cs="Times New Roman"/>
        </w:rPr>
        <w:lastRenderedPageBreak/>
        <w:t xml:space="preserve">lattice structures is imperative, (b) a wide range of applications require air-based cooling, for which the quantified convection results will be useful. </w:t>
      </w:r>
    </w:p>
    <w:p w14:paraId="5F6B7DF1" w14:textId="77777777" w:rsidR="00ED0DEE" w:rsidRPr="00ED0DEE" w:rsidRDefault="00ED0DEE" w:rsidP="00C15C10">
      <w:pPr>
        <w:numPr>
          <w:ilvl w:val="0"/>
          <w:numId w:val="17"/>
        </w:numPr>
        <w:spacing w:line="360" w:lineRule="auto"/>
        <w:jc w:val="both"/>
        <w:rPr>
          <w:rFonts w:ascii="Times New Roman" w:hAnsi="Times New Roman" w:cs="Times New Roman"/>
        </w:rPr>
      </w:pPr>
      <w:r w:rsidRPr="00ED0DEE">
        <w:rPr>
          <w:rFonts w:ascii="Times New Roman" w:hAnsi="Times New Roman" w:cs="Times New Roman"/>
        </w:rPr>
        <w:t>This work is motivated by the increasing demand for efficient particle-based heat exchangers, particularly in the context of next generation concentrated solar power (CSP) applications. In these applications, effective heat transfer between particles and sCO</w:t>
      </w:r>
      <w:r w:rsidRPr="00ED0DEE">
        <w:rPr>
          <w:rFonts w:ascii="Times New Roman" w:hAnsi="Times New Roman" w:cs="Times New Roman"/>
          <w:vertAlign w:val="subscript"/>
        </w:rPr>
        <w:t>2</w:t>
      </w:r>
      <w:r w:rsidRPr="00ED0DEE">
        <w:rPr>
          <w:rFonts w:ascii="Times New Roman" w:hAnsi="Times New Roman" w:cs="Times New Roman"/>
        </w:rPr>
        <w:t xml:space="preserve"> is crucial for optimizing system performance and efficiency. </w:t>
      </w:r>
    </w:p>
    <w:p w14:paraId="39CB6F14" w14:textId="77777777" w:rsidR="00ED0DEE" w:rsidRPr="00ED0DEE" w:rsidRDefault="00ED0DEE" w:rsidP="00C15C10">
      <w:pPr>
        <w:numPr>
          <w:ilvl w:val="12"/>
          <w:numId w:val="0"/>
        </w:numPr>
        <w:spacing w:line="360" w:lineRule="auto"/>
        <w:jc w:val="both"/>
        <w:rPr>
          <w:rFonts w:ascii="Times New Roman" w:hAnsi="Times New Roman" w:cs="Times New Roman"/>
        </w:rPr>
      </w:pPr>
      <w:r w:rsidRPr="00ED0DEE">
        <w:rPr>
          <w:rFonts w:ascii="Times New Roman" w:hAnsi="Times New Roman" w:cs="Times New Roman"/>
        </w:rPr>
        <w:t>By addressing the identified research gap and presenting novel findings on the heat transfer performance of various lattice topologies with particles, this study contributes to the advancement of particle-based enhanced heat transfer technologies. The insights gained from this work have the potential to guide the design and development of high-performance heat exchangers for particles, ultimately supporting the implementation of more efficient and sustainable CSP systems.</w:t>
      </w:r>
    </w:p>
    <w:p w14:paraId="4C7114A7" w14:textId="77777777" w:rsidR="00ED0DEE" w:rsidRPr="008F5202" w:rsidRDefault="00ED0DEE" w:rsidP="00C15C10">
      <w:pPr>
        <w:pStyle w:val="Heading2"/>
      </w:pPr>
      <w:bookmarkStart w:id="6" w:name="_Toc177758130"/>
      <w:r w:rsidRPr="008F5202">
        <w:t>References</w:t>
      </w:r>
      <w:bookmarkEnd w:id="6"/>
    </w:p>
    <w:p w14:paraId="293221F6" w14:textId="70715C34"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1]</w:t>
      </w:r>
      <w:r w:rsidRPr="00ED0DEE">
        <w:rPr>
          <w:rFonts w:ascii="Times New Roman" w:hAnsi="Times New Roman" w:cs="Times New Roman"/>
        </w:rPr>
        <w:tab/>
        <w:t>2022, “Renewables 2022 – Analysis,” IEA. [Online]. Available: https://www.iea.org/reports/renewables-2022. [Accessed: 28-Mar-2024].</w:t>
      </w:r>
    </w:p>
    <w:p w14:paraId="034DA54D" w14:textId="23464125"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2]</w:t>
      </w:r>
      <w:r w:rsidRPr="00ED0DEE">
        <w:rPr>
          <w:rFonts w:ascii="Times New Roman" w:hAnsi="Times New Roman" w:cs="Times New Roman"/>
        </w:rPr>
        <w:tab/>
        <w:t>“Solar,” IEA. [Online]. Available: https://www.iea.org/energy-system/renewables/solar-pv. [Accessed: 28-Mar-2024].</w:t>
      </w:r>
    </w:p>
    <w:p w14:paraId="54CB20A9" w14:textId="36136D92"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3]</w:t>
      </w:r>
      <w:r w:rsidRPr="00ED0DEE">
        <w:rPr>
          <w:rFonts w:ascii="Times New Roman" w:hAnsi="Times New Roman" w:cs="Times New Roman"/>
        </w:rPr>
        <w:tab/>
        <w:t>“U.S. Solar Market Insight | SEIA.” [Online]. Available: https://www.seia.org/us-solar-market-insight. [Accessed: 28-Mar-2024].</w:t>
      </w:r>
    </w:p>
    <w:p w14:paraId="0FB0DB40" w14:textId="3A087F9D"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4]</w:t>
      </w:r>
      <w:r w:rsidRPr="00ED0DEE">
        <w:rPr>
          <w:rFonts w:ascii="Times New Roman" w:hAnsi="Times New Roman" w:cs="Times New Roman"/>
        </w:rPr>
        <w:tab/>
        <w:t>2022, “World Energy Outlook 2022 – Analysis,” IEA. [Online]. Available: https://www.iea.org/reports/world-energy-outlook-2022. [Accessed: 28-Mar-2024].</w:t>
      </w:r>
    </w:p>
    <w:p w14:paraId="0ED7E74B" w14:textId="76364CFB"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5]</w:t>
      </w:r>
      <w:r w:rsidRPr="00ED0DEE">
        <w:rPr>
          <w:rFonts w:ascii="Times New Roman" w:hAnsi="Times New Roman" w:cs="Times New Roman"/>
        </w:rPr>
        <w:tab/>
        <w:t>“Concentrating Solar Power Projects by Country | Concentrating Solar Power Projects | NREL.” [Online]. Available: https://solarpaces.nrel.gov/by-country. [Accessed: 28-Mar-2024].</w:t>
      </w:r>
    </w:p>
    <w:p w14:paraId="0BD0CED6" w14:textId="1B595367"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6]</w:t>
      </w:r>
      <w:r w:rsidRPr="00ED0DEE">
        <w:rPr>
          <w:rFonts w:ascii="Times New Roman" w:hAnsi="Times New Roman" w:cs="Times New Roman"/>
        </w:rPr>
        <w:tab/>
        <w:t xml:space="preserve">Zhao, B., Cheng, M., Liu, C., and Dai, Z., 2018, “System-Level Performance Optimization of Molten-Salt Packed-Bed Thermal Energy Storage for Concentrating Solar Power,” Appl. Energy, </w:t>
      </w:r>
      <w:r w:rsidRPr="00ED0DEE">
        <w:rPr>
          <w:rFonts w:ascii="Times New Roman" w:hAnsi="Times New Roman" w:cs="Times New Roman"/>
          <w:b/>
          <w:bCs/>
        </w:rPr>
        <w:t>226</w:t>
      </w:r>
      <w:r w:rsidRPr="00ED0DEE">
        <w:rPr>
          <w:rFonts w:ascii="Times New Roman" w:hAnsi="Times New Roman" w:cs="Times New Roman"/>
        </w:rPr>
        <w:t>, pp. 225–239. https://doi.org/10.1016/j.apenergy.2018.05.081.</w:t>
      </w:r>
    </w:p>
    <w:p w14:paraId="649BB01F" w14:textId="7C5DAB05"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lastRenderedPageBreak/>
        <w:t>[</w:t>
      </w:r>
      <w:r w:rsidR="00C15C10" w:rsidRPr="008F5202">
        <w:rPr>
          <w:rFonts w:ascii="Times New Roman" w:hAnsi="Times New Roman" w:cs="Times New Roman"/>
        </w:rPr>
        <w:t>1.</w:t>
      </w:r>
      <w:r w:rsidRPr="00ED0DEE">
        <w:rPr>
          <w:rFonts w:ascii="Times New Roman" w:hAnsi="Times New Roman" w:cs="Times New Roman"/>
        </w:rPr>
        <w:t>7]</w:t>
      </w:r>
      <w:r w:rsidRPr="00ED0DEE">
        <w:rPr>
          <w:rFonts w:ascii="Times New Roman" w:hAnsi="Times New Roman" w:cs="Times New Roman"/>
        </w:rPr>
        <w:tab/>
        <w:t>Wei, X., Yang, C., Lu, J., Wang, W., and Ding, J., 2017, “The Mechanism of NO</w:t>
      </w:r>
      <w:r w:rsidRPr="00ED0DEE">
        <w:rPr>
          <w:rFonts w:ascii="Times New Roman" w:hAnsi="Times New Roman" w:cs="Times New Roman"/>
          <w:i/>
          <w:iCs/>
        </w:rPr>
        <w:t>x</w:t>
      </w:r>
      <w:r w:rsidRPr="00ED0DEE">
        <w:rPr>
          <w:rFonts w:ascii="Times New Roman" w:hAnsi="Times New Roman" w:cs="Times New Roman"/>
        </w:rPr>
        <w:t xml:space="preserve"> Emissions from Binary Molten Nitrate Salts Contacting Nickel Base Alloy in Thermal Energy Storage Process,” Appl. Energy, </w:t>
      </w:r>
      <w:r w:rsidRPr="00ED0DEE">
        <w:rPr>
          <w:rFonts w:ascii="Times New Roman" w:hAnsi="Times New Roman" w:cs="Times New Roman"/>
          <w:b/>
          <w:bCs/>
        </w:rPr>
        <w:t>207</w:t>
      </w:r>
      <w:r w:rsidRPr="00ED0DEE">
        <w:rPr>
          <w:rFonts w:ascii="Times New Roman" w:hAnsi="Times New Roman" w:cs="Times New Roman"/>
        </w:rPr>
        <w:t>, pp. 265–273. https://doi.org/10.1016/j.apenergy.2017.06.109.</w:t>
      </w:r>
    </w:p>
    <w:p w14:paraId="43C080EF" w14:textId="5B87724A"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8]</w:t>
      </w:r>
      <w:r w:rsidRPr="00ED0DEE">
        <w:rPr>
          <w:rFonts w:ascii="Times New Roman" w:hAnsi="Times New Roman" w:cs="Times New Roman"/>
        </w:rPr>
        <w:tab/>
        <w:t xml:space="preserve">Guccione, S., and Guedez, R., 2023, “Techno-Economic Optimization of Molten Salt Based CSP Plants through Integration of Supercritical CO2 Cycles and Hybridization with PV and Electric Heaters,” Energy, </w:t>
      </w:r>
      <w:r w:rsidRPr="00ED0DEE">
        <w:rPr>
          <w:rFonts w:ascii="Times New Roman" w:hAnsi="Times New Roman" w:cs="Times New Roman"/>
          <w:b/>
          <w:bCs/>
        </w:rPr>
        <w:t>283</w:t>
      </w:r>
      <w:r w:rsidRPr="00ED0DEE">
        <w:rPr>
          <w:rFonts w:ascii="Times New Roman" w:hAnsi="Times New Roman" w:cs="Times New Roman"/>
        </w:rPr>
        <w:t>, p. 128528. https://doi.org/10.1016/j.energy.2023.128528.</w:t>
      </w:r>
    </w:p>
    <w:p w14:paraId="4B1F2B56" w14:textId="6BEBD224"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9]</w:t>
      </w:r>
      <w:r w:rsidRPr="00ED0DEE">
        <w:rPr>
          <w:rFonts w:ascii="Times New Roman" w:hAnsi="Times New Roman" w:cs="Times New Roman"/>
        </w:rPr>
        <w:tab/>
        <w:t xml:space="preserve">Gong, Q., Hanke, A., Kessel, F., Bonk, A., Bauer, T., and Ding, W., 2023, “Molten Chloride Salt Technology for Next-Generation CSP Plants: Selection of Cold Tank Structural Material Utilizing Corrosion Control at 500 °C,” Sol. Energy Mater. Sol. Cells, </w:t>
      </w:r>
      <w:r w:rsidRPr="00ED0DEE">
        <w:rPr>
          <w:rFonts w:ascii="Times New Roman" w:hAnsi="Times New Roman" w:cs="Times New Roman"/>
          <w:b/>
          <w:bCs/>
        </w:rPr>
        <w:t>253</w:t>
      </w:r>
      <w:r w:rsidRPr="00ED0DEE">
        <w:rPr>
          <w:rFonts w:ascii="Times New Roman" w:hAnsi="Times New Roman" w:cs="Times New Roman"/>
        </w:rPr>
        <w:t>, p. 112233. https://doi.org/10.1016/j.solmat.2023.112233.</w:t>
      </w:r>
    </w:p>
    <w:p w14:paraId="05CE6C45" w14:textId="306369FD"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10]</w:t>
      </w:r>
      <w:r w:rsidRPr="00ED0DEE">
        <w:rPr>
          <w:rFonts w:ascii="Times New Roman" w:hAnsi="Times New Roman" w:cs="Times New Roman"/>
        </w:rPr>
        <w:tab/>
        <w:t xml:space="preserve">Turchi, C. S., Gage, S., Martinek, J., Jape, S., Armijo, K., Coventry, J., Pye, J., Asselineau, C.-A., Venn, F., Logie, W., Fontalvo, A., Wang, S., McNaughton, R., Potter, D., Steinberg, T., and Will, G., 2021, </w:t>
      </w:r>
      <w:r w:rsidRPr="00ED0DEE">
        <w:rPr>
          <w:rFonts w:ascii="Times New Roman" w:hAnsi="Times New Roman" w:cs="Times New Roman"/>
          <w:i/>
          <w:iCs/>
        </w:rPr>
        <w:t>CSP Gen3: Liquid-Phase Pathway to SunShot</w:t>
      </w:r>
      <w:r w:rsidRPr="00ED0DEE">
        <w:rPr>
          <w:rFonts w:ascii="Times New Roman" w:hAnsi="Times New Roman" w:cs="Times New Roman"/>
        </w:rPr>
        <w:t>, NREL/TP-5700-79323, National Renewable Energy Lab. (NREL), Golden, CO (United States); Sandia National Lab. (SNL-NM), Albuquerque, NM (United States); Australian National Univ., Canberra, ACT (Australia); Commonwealth Scientific and Industrial Research Organization (CSIRO), Newcastle, NSW (Australia); Queensland Univ. of Technology, Brisbane (Australia). https://doi.org/10.2172/1807668.</w:t>
      </w:r>
    </w:p>
    <w:p w14:paraId="5B1C475D" w14:textId="3FA0399A"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11]</w:t>
      </w:r>
      <w:r w:rsidRPr="00ED0DEE">
        <w:rPr>
          <w:rFonts w:ascii="Times New Roman" w:hAnsi="Times New Roman" w:cs="Times New Roman"/>
        </w:rPr>
        <w:tab/>
        <w:t xml:space="preserve">Ding, W., and Bauer, T., 2021, “Progress in Research and Development of Molten Chloride Salt Technology for Next Generation Concentrated Solar Power Plants,” Engineering, </w:t>
      </w:r>
      <w:r w:rsidRPr="00ED0DEE">
        <w:rPr>
          <w:rFonts w:ascii="Times New Roman" w:hAnsi="Times New Roman" w:cs="Times New Roman"/>
          <w:b/>
          <w:bCs/>
        </w:rPr>
        <w:t>7</w:t>
      </w:r>
      <w:r w:rsidRPr="00ED0DEE">
        <w:rPr>
          <w:rFonts w:ascii="Times New Roman" w:hAnsi="Times New Roman" w:cs="Times New Roman"/>
        </w:rPr>
        <w:t>(3), pp. 334–347. https://doi.org/10.1016/j.eng.2020.06.027.</w:t>
      </w:r>
    </w:p>
    <w:p w14:paraId="66EAB2BE" w14:textId="132DC059"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12]</w:t>
      </w:r>
      <w:r w:rsidRPr="00ED0DEE">
        <w:rPr>
          <w:rFonts w:ascii="Times New Roman" w:hAnsi="Times New Roman" w:cs="Times New Roman"/>
        </w:rPr>
        <w:tab/>
        <w:t xml:space="preserve">Mehos, M., Turchi, C., Vidal, J., Wagner, M., Ma, Z., Ho, C., Kolb, W., Andraka, C., and Kruizenga, A., 2017, </w:t>
      </w:r>
      <w:r w:rsidRPr="00ED0DEE">
        <w:rPr>
          <w:rFonts w:ascii="Times New Roman" w:hAnsi="Times New Roman" w:cs="Times New Roman"/>
          <w:i/>
          <w:iCs/>
        </w:rPr>
        <w:t>Concentrating Solar Power Gen3 Demonstration Roadmap</w:t>
      </w:r>
      <w:r w:rsidRPr="00ED0DEE">
        <w:rPr>
          <w:rFonts w:ascii="Times New Roman" w:hAnsi="Times New Roman" w:cs="Times New Roman"/>
        </w:rPr>
        <w:t>, NREL/TP--5500-67464, 1338899. https://doi.org/10.2172/1338899.</w:t>
      </w:r>
    </w:p>
    <w:p w14:paraId="54D81BCF" w14:textId="68E78D3F"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13]</w:t>
      </w:r>
      <w:r w:rsidRPr="00ED0DEE">
        <w:rPr>
          <w:rFonts w:ascii="Times New Roman" w:hAnsi="Times New Roman" w:cs="Times New Roman"/>
        </w:rPr>
        <w:tab/>
        <w:t>Murphy, C., Cole, W., Sun, Y., Mehos, M., Turchi, C., and Maclaurin, G., 2019, “The Potential Role of Concentrating Solar Power within the Context of DOE’s 2030 Solar Cost Targets.” [Online]. Available: https://research-</w:t>
      </w:r>
      <w:r w:rsidRPr="00ED0DEE">
        <w:rPr>
          <w:rFonts w:ascii="Times New Roman" w:hAnsi="Times New Roman" w:cs="Times New Roman"/>
        </w:rPr>
        <w:lastRenderedPageBreak/>
        <w:t>hub.nrel.gov/en/publications/the-potential-role-of-concentrating-solar-power-within-the-contex. [Accessed: 28-Mar-2024].</w:t>
      </w:r>
    </w:p>
    <w:p w14:paraId="01AFA68D" w14:textId="48FE3BE2"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14]</w:t>
      </w:r>
      <w:r w:rsidRPr="00ED0DEE">
        <w:rPr>
          <w:rFonts w:ascii="Times New Roman" w:hAnsi="Times New Roman" w:cs="Times New Roman"/>
        </w:rPr>
        <w:tab/>
        <w:t xml:space="preserve">Mancini, T. R., Gary, J. A., Kolb, G. J., and Ho, C. K., 2011, </w:t>
      </w:r>
      <w:r w:rsidRPr="00ED0DEE">
        <w:rPr>
          <w:rFonts w:ascii="Times New Roman" w:hAnsi="Times New Roman" w:cs="Times New Roman"/>
          <w:i/>
          <w:iCs/>
        </w:rPr>
        <w:t>Power Tower Technology Roadmap and Cost Reduction Plan.</w:t>
      </w:r>
      <w:r w:rsidRPr="00ED0DEE">
        <w:rPr>
          <w:rFonts w:ascii="Times New Roman" w:hAnsi="Times New Roman" w:cs="Times New Roman"/>
        </w:rPr>
        <w:t>, SAND2011-2419, Sandia National Laboratories (SNL), Albuquerque, NM, and Livermore, CA (United States). https://doi.org/10.2172/1011644.</w:t>
      </w:r>
    </w:p>
    <w:p w14:paraId="4A95143D" w14:textId="715093C7"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15]</w:t>
      </w:r>
      <w:r w:rsidRPr="00ED0DEE">
        <w:rPr>
          <w:rFonts w:ascii="Times New Roman" w:hAnsi="Times New Roman" w:cs="Times New Roman"/>
        </w:rPr>
        <w:tab/>
        <w:t xml:space="preserve">Farchado, M., San Vicente, G., Barandica, N., Sutter, F., Alkan, G., Sánchez-Señorán, D., and Ángel Morales, 2024, “Performance Improvement of CSP Particle Receivers by Depositing Spinel Absorber Coatings,” Sol. Energy Mater. Sol. Cells, </w:t>
      </w:r>
      <w:r w:rsidRPr="00ED0DEE">
        <w:rPr>
          <w:rFonts w:ascii="Times New Roman" w:hAnsi="Times New Roman" w:cs="Times New Roman"/>
          <w:b/>
          <w:bCs/>
        </w:rPr>
        <w:t>266</w:t>
      </w:r>
      <w:r w:rsidRPr="00ED0DEE">
        <w:rPr>
          <w:rFonts w:ascii="Times New Roman" w:hAnsi="Times New Roman" w:cs="Times New Roman"/>
        </w:rPr>
        <w:t>, p. 112681. https://doi.org/10.1016/j.solmat.2023.112681.</w:t>
      </w:r>
    </w:p>
    <w:p w14:paraId="543637A9" w14:textId="777C2542"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16]</w:t>
      </w:r>
      <w:r w:rsidRPr="00ED0DEE">
        <w:rPr>
          <w:rFonts w:ascii="Times New Roman" w:hAnsi="Times New Roman" w:cs="Times New Roman"/>
        </w:rPr>
        <w:tab/>
        <w:t xml:space="preserve">Chung, K. M., Zeng, J., Adapa, S. R., Feng, T., Bagepalli, M. V., Loutzenhiser, P. G., Albrecht, K. J., Ho, C. K., and Chen, R., 2021, “Measurement and Analysis of Thermal Conductivity of Ceramic Particle Beds for Solar Thermal Energy Storage,” Sol. Energy Mater. Sol. Cells, </w:t>
      </w:r>
      <w:r w:rsidRPr="00ED0DEE">
        <w:rPr>
          <w:rFonts w:ascii="Times New Roman" w:hAnsi="Times New Roman" w:cs="Times New Roman"/>
          <w:b/>
          <w:bCs/>
        </w:rPr>
        <w:t>230</w:t>
      </w:r>
      <w:r w:rsidRPr="00ED0DEE">
        <w:rPr>
          <w:rFonts w:ascii="Times New Roman" w:hAnsi="Times New Roman" w:cs="Times New Roman"/>
        </w:rPr>
        <w:t>, p. 111271. https://doi.org/10.1016/j.solmat.2021.111271.</w:t>
      </w:r>
    </w:p>
    <w:p w14:paraId="3F023486" w14:textId="66F8E638"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17]</w:t>
      </w:r>
      <w:r w:rsidRPr="00ED0DEE">
        <w:rPr>
          <w:rFonts w:ascii="Times New Roman" w:hAnsi="Times New Roman" w:cs="Times New Roman"/>
        </w:rPr>
        <w:tab/>
        <w:t xml:space="preserve">Albrecht, K. J., and Ho, C. K., 2019, “Design and Operating Considerations for a Shell-and-Plate, Moving Packed-Bed, Particle-to-sCO2 Heat Exchanger,” Sol. Energy, </w:t>
      </w:r>
      <w:r w:rsidRPr="00ED0DEE">
        <w:rPr>
          <w:rFonts w:ascii="Times New Roman" w:hAnsi="Times New Roman" w:cs="Times New Roman"/>
          <w:b/>
          <w:bCs/>
        </w:rPr>
        <w:t>178</w:t>
      </w:r>
      <w:r w:rsidRPr="00ED0DEE">
        <w:rPr>
          <w:rFonts w:ascii="Times New Roman" w:hAnsi="Times New Roman" w:cs="Times New Roman"/>
        </w:rPr>
        <w:t>, pp. 331–340. https://doi.org/10.1016/j.solener.2018.11.065.</w:t>
      </w:r>
    </w:p>
    <w:p w14:paraId="52A5C242" w14:textId="4EFD6FF4"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18]</w:t>
      </w:r>
      <w:r w:rsidRPr="00ED0DEE">
        <w:rPr>
          <w:rFonts w:ascii="Times New Roman" w:hAnsi="Times New Roman" w:cs="Times New Roman"/>
        </w:rPr>
        <w:tab/>
        <w:t xml:space="preserve">Ho, C. K., Carlson, M., Albrecht, K. J., Ma, Z., Jeter, S., and Nguyen, C. M., 2019, “Evaluation of Alternative Designs for a High Temperature Particle-to-sCO2 Heat Exchanger,” J. Sol. Energy Eng., </w:t>
      </w:r>
      <w:r w:rsidRPr="00ED0DEE">
        <w:rPr>
          <w:rFonts w:ascii="Times New Roman" w:hAnsi="Times New Roman" w:cs="Times New Roman"/>
          <w:b/>
          <w:bCs/>
        </w:rPr>
        <w:t>141</w:t>
      </w:r>
      <w:r w:rsidRPr="00ED0DEE">
        <w:rPr>
          <w:rFonts w:ascii="Times New Roman" w:hAnsi="Times New Roman" w:cs="Times New Roman"/>
        </w:rPr>
        <w:t>(021001). https://doi.org/10.1115/1.4042225.</w:t>
      </w:r>
    </w:p>
    <w:p w14:paraId="3C1A460D" w14:textId="40F1FE0C"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19]</w:t>
      </w:r>
      <w:r w:rsidRPr="00ED0DEE">
        <w:rPr>
          <w:rFonts w:ascii="Times New Roman" w:hAnsi="Times New Roman" w:cs="Times New Roman"/>
        </w:rPr>
        <w:tab/>
        <w:t xml:space="preserve">Almendros-Ibáñez, J. A., Soria-Verdugo, A., Ruiz-Rivas, U., and Santana, D., 2011, “Solid Conduction Effects and Design Criteria in Moving Bed Heat Exchangers,” Appl. Therm. Eng., </w:t>
      </w:r>
      <w:r w:rsidRPr="00ED0DEE">
        <w:rPr>
          <w:rFonts w:ascii="Times New Roman" w:hAnsi="Times New Roman" w:cs="Times New Roman"/>
          <w:b/>
          <w:bCs/>
        </w:rPr>
        <w:t>31</w:t>
      </w:r>
      <w:r w:rsidRPr="00ED0DEE">
        <w:rPr>
          <w:rFonts w:ascii="Times New Roman" w:hAnsi="Times New Roman" w:cs="Times New Roman"/>
        </w:rPr>
        <w:t>(6), pp. 1200–1207. https://doi.org/10.1016/j.applthermaleng.2010.12.021.</w:t>
      </w:r>
    </w:p>
    <w:p w14:paraId="56FE4606" w14:textId="4599A64D"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20]</w:t>
      </w:r>
      <w:r w:rsidRPr="00ED0DEE">
        <w:rPr>
          <w:rFonts w:ascii="Times New Roman" w:hAnsi="Times New Roman" w:cs="Times New Roman"/>
        </w:rPr>
        <w:tab/>
        <w:t xml:space="preserve">Fang, W., Chen, S., Xu, J., and Zeng, K., 2021, “Predicting Heat Transfer Coefficient of a Shell-and-Plate, Moving Packed-Bed Particle-to-sCO2 Heat Exchanger for Concentrating Solar Power,” Energy, </w:t>
      </w:r>
      <w:r w:rsidRPr="00ED0DEE">
        <w:rPr>
          <w:rFonts w:ascii="Times New Roman" w:hAnsi="Times New Roman" w:cs="Times New Roman"/>
          <w:b/>
          <w:bCs/>
        </w:rPr>
        <w:t>217</w:t>
      </w:r>
      <w:r w:rsidRPr="00ED0DEE">
        <w:rPr>
          <w:rFonts w:ascii="Times New Roman" w:hAnsi="Times New Roman" w:cs="Times New Roman"/>
        </w:rPr>
        <w:t>, p. 119389. https://doi.org/10.1016/j.energy.2020.119389.</w:t>
      </w:r>
    </w:p>
    <w:p w14:paraId="73D14432" w14:textId="01868341"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lastRenderedPageBreak/>
        <w:t>[</w:t>
      </w:r>
      <w:r w:rsidR="00C15C10" w:rsidRPr="008F5202">
        <w:rPr>
          <w:rFonts w:ascii="Times New Roman" w:hAnsi="Times New Roman" w:cs="Times New Roman"/>
        </w:rPr>
        <w:t>1.</w:t>
      </w:r>
      <w:r w:rsidRPr="00ED0DEE">
        <w:rPr>
          <w:rFonts w:ascii="Times New Roman" w:hAnsi="Times New Roman" w:cs="Times New Roman"/>
        </w:rPr>
        <w:t>21]</w:t>
      </w:r>
      <w:r w:rsidRPr="00ED0DEE">
        <w:rPr>
          <w:rFonts w:ascii="Times New Roman" w:hAnsi="Times New Roman" w:cs="Times New Roman"/>
        </w:rPr>
        <w:tab/>
        <w:t xml:space="preserve">Isaza, P. A., Warnica, W. D., and Bussmann, M., 2015, “Co-Current Parallel-Plate Moving Bed Heat Exchanger: An Analytical Solution,” Int. J. Heat Mass Transf., </w:t>
      </w:r>
      <w:r w:rsidRPr="00ED0DEE">
        <w:rPr>
          <w:rFonts w:ascii="Times New Roman" w:hAnsi="Times New Roman" w:cs="Times New Roman"/>
          <w:b/>
          <w:bCs/>
        </w:rPr>
        <w:t>87</w:t>
      </w:r>
      <w:r w:rsidRPr="00ED0DEE">
        <w:rPr>
          <w:rFonts w:ascii="Times New Roman" w:hAnsi="Times New Roman" w:cs="Times New Roman"/>
        </w:rPr>
        <w:t>, pp. 616–624. https://doi.org/10.1016/j.ijheatmasstransfer.2015.02.079.</w:t>
      </w:r>
    </w:p>
    <w:p w14:paraId="3E322135" w14:textId="0100F461"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22]</w:t>
      </w:r>
      <w:r w:rsidRPr="00ED0DEE">
        <w:rPr>
          <w:rFonts w:ascii="Times New Roman" w:hAnsi="Times New Roman" w:cs="Times New Roman"/>
        </w:rPr>
        <w:tab/>
        <w:t xml:space="preserve">Isaza, P. A., Warnica, W. D., and Bussmann, M., 2015, “Counter-Current Parallel-Plate Moving Bed Heat Exchanger: An Analytical Solution,” Int. J. Heat Mass Transf., </w:t>
      </w:r>
      <w:r w:rsidRPr="00ED0DEE">
        <w:rPr>
          <w:rFonts w:ascii="Times New Roman" w:hAnsi="Times New Roman" w:cs="Times New Roman"/>
          <w:b/>
          <w:bCs/>
        </w:rPr>
        <w:t>87</w:t>
      </w:r>
      <w:r w:rsidRPr="00ED0DEE">
        <w:rPr>
          <w:rFonts w:ascii="Times New Roman" w:hAnsi="Times New Roman" w:cs="Times New Roman"/>
        </w:rPr>
        <w:t>, pp. 625–635. https://doi.org/10.1016/j.ijheatmasstransfer.2015.02.056.</w:t>
      </w:r>
    </w:p>
    <w:p w14:paraId="2430CF96" w14:textId="06651F9E"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23]</w:t>
      </w:r>
      <w:r w:rsidRPr="00ED0DEE">
        <w:rPr>
          <w:rFonts w:ascii="Times New Roman" w:hAnsi="Times New Roman" w:cs="Times New Roman"/>
        </w:rPr>
        <w:tab/>
        <w:t xml:space="preserve">Yin, J.-M., Zheng, Q.-Y., and Zhang, X.-R., 2020, “Heat Transfer Model of a Particle Energy Storage-Based Moving Packed Bed Heat Exchanger,” Energy Storage, </w:t>
      </w:r>
      <w:r w:rsidRPr="00ED0DEE">
        <w:rPr>
          <w:rFonts w:ascii="Times New Roman" w:hAnsi="Times New Roman" w:cs="Times New Roman"/>
          <w:b/>
          <w:bCs/>
        </w:rPr>
        <w:t>2</w:t>
      </w:r>
      <w:r w:rsidRPr="00ED0DEE">
        <w:rPr>
          <w:rFonts w:ascii="Times New Roman" w:hAnsi="Times New Roman" w:cs="Times New Roman"/>
        </w:rPr>
        <w:t>(1), p. e113. https://doi.org/10.1002/est2.113.</w:t>
      </w:r>
    </w:p>
    <w:p w14:paraId="7F988574" w14:textId="2BC9ABAA"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24]</w:t>
      </w:r>
      <w:r w:rsidRPr="00ED0DEE">
        <w:rPr>
          <w:rFonts w:ascii="Times New Roman" w:hAnsi="Times New Roman" w:cs="Times New Roman"/>
        </w:rPr>
        <w:tab/>
        <w:t xml:space="preserve">Maskalunas, J., Nellis, G., and Anderson, M., 2022, “The Heat Transfer Coefficient Associated with a Moving Packed Bed of Silica Particles Flowing through Parallel Plates,” Sol. Energy, </w:t>
      </w:r>
      <w:r w:rsidRPr="00ED0DEE">
        <w:rPr>
          <w:rFonts w:ascii="Times New Roman" w:hAnsi="Times New Roman" w:cs="Times New Roman"/>
          <w:b/>
          <w:bCs/>
        </w:rPr>
        <w:t>234</w:t>
      </w:r>
      <w:r w:rsidRPr="00ED0DEE">
        <w:rPr>
          <w:rFonts w:ascii="Times New Roman" w:hAnsi="Times New Roman" w:cs="Times New Roman"/>
        </w:rPr>
        <w:t>, pp. 294–303. https://doi.org/10.1016/j.solener.2022.01.052.</w:t>
      </w:r>
    </w:p>
    <w:p w14:paraId="1944BCC9" w14:textId="0A260F28"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25]</w:t>
      </w:r>
      <w:r w:rsidRPr="00ED0DEE">
        <w:rPr>
          <w:rFonts w:ascii="Times New Roman" w:hAnsi="Times New Roman" w:cs="Times New Roman"/>
        </w:rPr>
        <w:tab/>
        <w:t xml:space="preserve">Deng, S., Wen, Z., Lou, G., Zhang, D., Su, F., Liu, X., and Dou, R., 2020, “Process of Particles Flow across Staggered Tubes in Moving Bed,” Chem. Eng. Sci., </w:t>
      </w:r>
      <w:r w:rsidRPr="00ED0DEE">
        <w:rPr>
          <w:rFonts w:ascii="Times New Roman" w:hAnsi="Times New Roman" w:cs="Times New Roman"/>
          <w:b/>
          <w:bCs/>
        </w:rPr>
        <w:t>217</w:t>
      </w:r>
      <w:r w:rsidRPr="00ED0DEE">
        <w:rPr>
          <w:rFonts w:ascii="Times New Roman" w:hAnsi="Times New Roman" w:cs="Times New Roman"/>
        </w:rPr>
        <w:t>, p. 115507. https://doi.org/10.1016/j.ces.2020.115507.</w:t>
      </w:r>
    </w:p>
    <w:p w14:paraId="7D0B386B" w14:textId="783A2AD7"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26]</w:t>
      </w:r>
      <w:r w:rsidRPr="00ED0DEE">
        <w:rPr>
          <w:rFonts w:ascii="Times New Roman" w:hAnsi="Times New Roman" w:cs="Times New Roman"/>
        </w:rPr>
        <w:tab/>
        <w:t xml:space="preserve">Dai, Y. L., Liu, X. J., and Xia, D., 2020, “Flow Characteristics of Three Typical Granular Materials in near 2D Moving Beds,” Powder Technol., </w:t>
      </w:r>
      <w:r w:rsidRPr="00ED0DEE">
        <w:rPr>
          <w:rFonts w:ascii="Times New Roman" w:hAnsi="Times New Roman" w:cs="Times New Roman"/>
          <w:b/>
          <w:bCs/>
        </w:rPr>
        <w:t>373</w:t>
      </w:r>
      <w:r w:rsidRPr="00ED0DEE">
        <w:rPr>
          <w:rFonts w:ascii="Times New Roman" w:hAnsi="Times New Roman" w:cs="Times New Roman"/>
        </w:rPr>
        <w:t>, pp. 220–231. https://doi.org/10.1016/j.powtec.2020.06.057.</w:t>
      </w:r>
    </w:p>
    <w:p w14:paraId="32805310" w14:textId="5D7D3AB4"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27]</w:t>
      </w:r>
      <w:r w:rsidRPr="00ED0DEE">
        <w:rPr>
          <w:rFonts w:ascii="Times New Roman" w:hAnsi="Times New Roman" w:cs="Times New Roman"/>
        </w:rPr>
        <w:tab/>
        <w:t xml:space="preserve">Bartsch, P., and Zunft, S., 2019, “Granular Flow around the Horizontal Tubes of a Particle Heat Exchanger: DEM-Simulation and Experimental Validation,” Sol. Energy, </w:t>
      </w:r>
      <w:r w:rsidRPr="00ED0DEE">
        <w:rPr>
          <w:rFonts w:ascii="Times New Roman" w:hAnsi="Times New Roman" w:cs="Times New Roman"/>
          <w:b/>
          <w:bCs/>
        </w:rPr>
        <w:t>182</w:t>
      </w:r>
      <w:r w:rsidRPr="00ED0DEE">
        <w:rPr>
          <w:rFonts w:ascii="Times New Roman" w:hAnsi="Times New Roman" w:cs="Times New Roman"/>
        </w:rPr>
        <w:t>, pp. 48–56. https://doi.org/10.1016/j.solener.2019.01.086.</w:t>
      </w:r>
    </w:p>
    <w:p w14:paraId="7FFF5FC1" w14:textId="053A20A2"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28]</w:t>
      </w:r>
      <w:r w:rsidRPr="00ED0DEE">
        <w:rPr>
          <w:rFonts w:ascii="Times New Roman" w:hAnsi="Times New Roman" w:cs="Times New Roman"/>
        </w:rPr>
        <w:tab/>
        <w:t xml:space="preserve">Tian, X., Yang, J., Guo, Z., Wang, Q., and Sunden, B., 2020, “Numerical Study of Heat Transfer in Gravity-Driven Dense Particle Flow around a Hexagonal Tube,” Powder Technol., </w:t>
      </w:r>
      <w:r w:rsidRPr="00ED0DEE">
        <w:rPr>
          <w:rFonts w:ascii="Times New Roman" w:hAnsi="Times New Roman" w:cs="Times New Roman"/>
          <w:b/>
          <w:bCs/>
        </w:rPr>
        <w:t>367</w:t>
      </w:r>
      <w:r w:rsidRPr="00ED0DEE">
        <w:rPr>
          <w:rFonts w:ascii="Times New Roman" w:hAnsi="Times New Roman" w:cs="Times New Roman"/>
        </w:rPr>
        <w:t>, pp. 285–295. https://doi.org/10.1016/j.powtec.2020.04.001.</w:t>
      </w:r>
    </w:p>
    <w:p w14:paraId="0309723E" w14:textId="067FFD33"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29]</w:t>
      </w:r>
      <w:r w:rsidRPr="00ED0DEE">
        <w:rPr>
          <w:rFonts w:ascii="Times New Roman" w:hAnsi="Times New Roman" w:cs="Times New Roman"/>
        </w:rPr>
        <w:tab/>
        <w:t xml:space="preserve">Tian, X., Zhu, F., Guo, Z., Zhang, J., Yang, J., and Wang, Q., 2022, “Numerical Investigation of Gravity-Driven Particle Flow along the Trapezoidal Corrugated Plate for a Moving Packed Bed Heat Exchanger,” Powder Technol., </w:t>
      </w:r>
      <w:r w:rsidRPr="00ED0DEE">
        <w:rPr>
          <w:rFonts w:ascii="Times New Roman" w:hAnsi="Times New Roman" w:cs="Times New Roman"/>
          <w:b/>
          <w:bCs/>
        </w:rPr>
        <w:t>405</w:t>
      </w:r>
      <w:r w:rsidRPr="00ED0DEE">
        <w:rPr>
          <w:rFonts w:ascii="Times New Roman" w:hAnsi="Times New Roman" w:cs="Times New Roman"/>
        </w:rPr>
        <w:t>, p. 117526. https://doi.org/10.1016/j.powtec.2022.117526.</w:t>
      </w:r>
    </w:p>
    <w:p w14:paraId="1C706335" w14:textId="50A54219"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lastRenderedPageBreak/>
        <w:t>[</w:t>
      </w:r>
      <w:r w:rsidR="00C15C10" w:rsidRPr="008F5202">
        <w:rPr>
          <w:rFonts w:ascii="Times New Roman" w:hAnsi="Times New Roman" w:cs="Times New Roman"/>
        </w:rPr>
        <w:t>1.</w:t>
      </w:r>
      <w:r w:rsidRPr="00ED0DEE">
        <w:rPr>
          <w:rFonts w:ascii="Times New Roman" w:hAnsi="Times New Roman" w:cs="Times New Roman"/>
        </w:rPr>
        <w:t>30]</w:t>
      </w:r>
      <w:r w:rsidRPr="00ED0DEE">
        <w:rPr>
          <w:rFonts w:ascii="Times New Roman" w:hAnsi="Times New Roman" w:cs="Times New Roman"/>
        </w:rPr>
        <w:tab/>
        <w:t xml:space="preserve">Jost, E. W., Moore, D. G., and Saldana, C., 2021, “Evolution of Global and Local Deformation in Additively Manufactured Octet Truss Lattice Structures,” Addit. Manuf. Lett., </w:t>
      </w:r>
      <w:r w:rsidRPr="00ED0DEE">
        <w:rPr>
          <w:rFonts w:ascii="Times New Roman" w:hAnsi="Times New Roman" w:cs="Times New Roman"/>
          <w:b/>
          <w:bCs/>
        </w:rPr>
        <w:t>1</w:t>
      </w:r>
      <w:r w:rsidRPr="00ED0DEE">
        <w:rPr>
          <w:rFonts w:ascii="Times New Roman" w:hAnsi="Times New Roman" w:cs="Times New Roman"/>
        </w:rPr>
        <w:t>, p. 100010. https://doi.org/10.1016/j.addlet.2021.100010.</w:t>
      </w:r>
    </w:p>
    <w:p w14:paraId="1E9AA1F4" w14:textId="77568402"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31]</w:t>
      </w:r>
      <w:r w:rsidRPr="00ED0DEE">
        <w:rPr>
          <w:rFonts w:ascii="Times New Roman" w:hAnsi="Times New Roman" w:cs="Times New Roman"/>
        </w:rPr>
        <w:tab/>
        <w:t xml:space="preserve">Yu, T., Li, X., Zhao, M., Guo, X., Ding, J., Qu, S., Kwok, T. W. J., Li, T., Song, X., and Chua, B. W., 2023, “Truss and Plate Hybrid Lattice Structures: Simulation and Experimental Investigations of Isotropy, Large-Strain Deformation, and Mechanisms,” Mater. Today Commun., </w:t>
      </w:r>
      <w:r w:rsidRPr="00ED0DEE">
        <w:rPr>
          <w:rFonts w:ascii="Times New Roman" w:hAnsi="Times New Roman" w:cs="Times New Roman"/>
          <w:b/>
          <w:bCs/>
        </w:rPr>
        <w:t>35</w:t>
      </w:r>
      <w:r w:rsidRPr="00ED0DEE">
        <w:rPr>
          <w:rFonts w:ascii="Times New Roman" w:hAnsi="Times New Roman" w:cs="Times New Roman"/>
        </w:rPr>
        <w:t>, p. 106344. https://doi.org/10.1016/j.mtcomm.2023.106344.</w:t>
      </w:r>
    </w:p>
    <w:p w14:paraId="2D43D2E0" w14:textId="7583C9A8"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32]</w:t>
      </w:r>
      <w:r w:rsidRPr="00ED0DEE">
        <w:rPr>
          <w:rFonts w:ascii="Times New Roman" w:hAnsi="Times New Roman" w:cs="Times New Roman"/>
        </w:rPr>
        <w:tab/>
        <w:t xml:space="preserve">Youssef Aider, Inderjot Kaur, Ashreet Mishra, Like Li, Hee-Min Cho, Janna Martinek, Zhiwen Ma, and Prashant Singh, 2023, “Heat Transfer Characteristics of Particle and Air Flow Through Additively Manufactured Lattice Frame Material Based on Octet-Shape Topology,” J. Sol. Energy Eng.-Trans. Asme, </w:t>
      </w:r>
      <w:r w:rsidRPr="00ED0DEE">
        <w:rPr>
          <w:rFonts w:ascii="Times New Roman" w:hAnsi="Times New Roman" w:cs="Times New Roman"/>
          <w:b/>
          <w:bCs/>
        </w:rPr>
        <w:t>145</w:t>
      </w:r>
      <w:r w:rsidRPr="00ED0DEE">
        <w:rPr>
          <w:rFonts w:ascii="Times New Roman" w:hAnsi="Times New Roman" w:cs="Times New Roman"/>
        </w:rPr>
        <w:t>(6). https://doi.org/10.1115/1.4062196.</w:t>
      </w:r>
    </w:p>
    <w:p w14:paraId="1DFDAEEC" w14:textId="25B74534"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33]</w:t>
      </w:r>
      <w:r w:rsidRPr="00ED0DEE">
        <w:rPr>
          <w:rFonts w:ascii="Times New Roman" w:hAnsi="Times New Roman" w:cs="Times New Roman"/>
        </w:rPr>
        <w:tab/>
        <w:t xml:space="preserve">Kaur, I., Aider, Y., Cho, H., and Singh, P., 2024, “Granular Flow in Novel Octet Shape–Based Lattice Frame Material,” J. Sol. Energy Eng., </w:t>
      </w:r>
      <w:r w:rsidRPr="00ED0DEE">
        <w:rPr>
          <w:rFonts w:ascii="Times New Roman" w:hAnsi="Times New Roman" w:cs="Times New Roman"/>
          <w:b/>
          <w:bCs/>
        </w:rPr>
        <w:t>146</w:t>
      </w:r>
      <w:r w:rsidRPr="00ED0DEE">
        <w:rPr>
          <w:rFonts w:ascii="Times New Roman" w:hAnsi="Times New Roman" w:cs="Times New Roman"/>
        </w:rPr>
        <w:t>(3).</w:t>
      </w:r>
    </w:p>
    <w:p w14:paraId="282C5B84" w14:textId="65445638"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34]</w:t>
      </w:r>
      <w:r w:rsidRPr="00ED0DEE">
        <w:rPr>
          <w:rFonts w:ascii="Times New Roman" w:hAnsi="Times New Roman" w:cs="Times New Roman"/>
        </w:rPr>
        <w:tab/>
        <w:t xml:space="preserve">Maurizi, M., Gao, C., and Berto, F., 2022, “Inverse Design of Truss Lattice Materials with Superior Buckling Resistance,” Npj Comput. Mater., </w:t>
      </w:r>
      <w:r w:rsidRPr="00ED0DEE">
        <w:rPr>
          <w:rFonts w:ascii="Times New Roman" w:hAnsi="Times New Roman" w:cs="Times New Roman"/>
          <w:b/>
          <w:bCs/>
        </w:rPr>
        <w:t>8</w:t>
      </w:r>
      <w:r w:rsidRPr="00ED0DEE">
        <w:rPr>
          <w:rFonts w:ascii="Times New Roman" w:hAnsi="Times New Roman" w:cs="Times New Roman"/>
        </w:rPr>
        <w:t>(1), p. 247. https://doi.org/10.1038/s41524-022-00938-w.</w:t>
      </w:r>
    </w:p>
    <w:p w14:paraId="48BFB13E" w14:textId="3C8638D3"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35]</w:t>
      </w:r>
      <w:r w:rsidRPr="00ED0DEE">
        <w:rPr>
          <w:rFonts w:ascii="Times New Roman" w:hAnsi="Times New Roman" w:cs="Times New Roman"/>
        </w:rPr>
        <w:tab/>
        <w:t xml:space="preserve">Flores, I., Kretzschmar, N., Azman, A. H., Chekurov, S., Pedersen, D. B., and Chaudhuri, A., 2020, “Implications of Lattice Structures on Economics and Productivity of Metal Powder Bed Fusion,” Addit. Manuf., </w:t>
      </w:r>
      <w:r w:rsidRPr="00ED0DEE">
        <w:rPr>
          <w:rFonts w:ascii="Times New Roman" w:hAnsi="Times New Roman" w:cs="Times New Roman"/>
          <w:b/>
          <w:bCs/>
        </w:rPr>
        <w:t>31</w:t>
      </w:r>
      <w:r w:rsidRPr="00ED0DEE">
        <w:rPr>
          <w:rFonts w:ascii="Times New Roman" w:hAnsi="Times New Roman" w:cs="Times New Roman"/>
        </w:rPr>
        <w:t>, p. 100947. https://doi.org/10.1016/j.addma.2019.100947.</w:t>
      </w:r>
    </w:p>
    <w:p w14:paraId="7CFF6CA3" w14:textId="7578A9FB"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36]</w:t>
      </w:r>
      <w:r w:rsidRPr="00ED0DEE">
        <w:rPr>
          <w:rFonts w:ascii="Times New Roman" w:hAnsi="Times New Roman" w:cs="Times New Roman"/>
        </w:rPr>
        <w:tab/>
        <w:t xml:space="preserve">Zhu, J., Zhou, H., Wang, C., Zhou, L., Yuan, S., and Zhang, W., 2021, “A Review of Topology Optimization for Additive Manufacturing: Status and Challenges,” Chin. J. Aeronaut., </w:t>
      </w:r>
      <w:r w:rsidRPr="00ED0DEE">
        <w:rPr>
          <w:rFonts w:ascii="Times New Roman" w:hAnsi="Times New Roman" w:cs="Times New Roman"/>
          <w:b/>
          <w:bCs/>
        </w:rPr>
        <w:t>34</w:t>
      </w:r>
      <w:r w:rsidRPr="00ED0DEE">
        <w:rPr>
          <w:rFonts w:ascii="Times New Roman" w:hAnsi="Times New Roman" w:cs="Times New Roman"/>
        </w:rPr>
        <w:t>(1), pp. 91–110. https://doi.org/10.1016/j.cja.2020.09.020.</w:t>
      </w:r>
    </w:p>
    <w:p w14:paraId="6DF7B69A" w14:textId="674E61B6"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37]</w:t>
      </w:r>
      <w:r w:rsidRPr="00ED0DEE">
        <w:rPr>
          <w:rFonts w:ascii="Times New Roman" w:hAnsi="Times New Roman" w:cs="Times New Roman"/>
        </w:rPr>
        <w:tab/>
        <w:t xml:space="preserve">Manuel Umanzor, Romesh C. Batra, Christopher B. Williams, and Alan Druschitz, 2023, “Parametric Study on the Performance of Cast Lattice Structures Loaded at Low Strain-Rates,” JOM, </w:t>
      </w:r>
      <w:r w:rsidRPr="00ED0DEE">
        <w:rPr>
          <w:rFonts w:ascii="Times New Roman" w:hAnsi="Times New Roman" w:cs="Times New Roman"/>
          <w:b/>
          <w:bCs/>
        </w:rPr>
        <w:t>75</w:t>
      </w:r>
      <w:r w:rsidRPr="00ED0DEE">
        <w:rPr>
          <w:rFonts w:ascii="Times New Roman" w:hAnsi="Times New Roman" w:cs="Times New Roman"/>
        </w:rPr>
        <w:t>(6), pp. 1–13. https://doi.org/10.1007/s11837-023-05812-8.</w:t>
      </w:r>
    </w:p>
    <w:p w14:paraId="532528DB" w14:textId="4780096D"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38]</w:t>
      </w:r>
      <w:r w:rsidRPr="00ED0DEE">
        <w:rPr>
          <w:rFonts w:ascii="Times New Roman" w:hAnsi="Times New Roman" w:cs="Times New Roman"/>
        </w:rPr>
        <w:tab/>
        <w:t xml:space="preserve">Boris van Sosin, Daniil Rodin, H. O. Sliusarenko, Michael Bartoň, Michael Bartoň, and Gershon Elber, 2021, “The Construction of Conforming-to-Shape Truss </w:t>
      </w:r>
      <w:r w:rsidRPr="00ED0DEE">
        <w:rPr>
          <w:rFonts w:ascii="Times New Roman" w:hAnsi="Times New Roman" w:cs="Times New Roman"/>
        </w:rPr>
        <w:lastRenderedPageBreak/>
        <w:t xml:space="preserve">Lattice Structures via 3D Sphere Packing,” Comput.-Aided Des., </w:t>
      </w:r>
      <w:r w:rsidRPr="00ED0DEE">
        <w:rPr>
          <w:rFonts w:ascii="Times New Roman" w:hAnsi="Times New Roman" w:cs="Times New Roman"/>
          <w:b/>
          <w:bCs/>
        </w:rPr>
        <w:t>132</w:t>
      </w:r>
      <w:r w:rsidRPr="00ED0DEE">
        <w:rPr>
          <w:rFonts w:ascii="Times New Roman" w:hAnsi="Times New Roman" w:cs="Times New Roman"/>
        </w:rPr>
        <w:t>, p. 102962. https://doi.org/10.1016/J.CAD.2020.102962.</w:t>
      </w:r>
    </w:p>
    <w:p w14:paraId="539D3D96" w14:textId="28CFB607"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39]</w:t>
      </w:r>
      <w:r w:rsidRPr="00ED0DEE">
        <w:rPr>
          <w:rFonts w:ascii="Times New Roman" w:hAnsi="Times New Roman" w:cs="Times New Roman"/>
        </w:rPr>
        <w:tab/>
        <w:t xml:space="preserve">Neils, A., Dong, L., and Wadley, H., 2022, “The Small-Scale Limits of Electron Beam Melt Additive Manufactured Ti–6Al–4V Octet-Truss Lattices,” AIP Adv., </w:t>
      </w:r>
      <w:r w:rsidRPr="00ED0DEE">
        <w:rPr>
          <w:rFonts w:ascii="Times New Roman" w:hAnsi="Times New Roman" w:cs="Times New Roman"/>
          <w:b/>
          <w:bCs/>
        </w:rPr>
        <w:t>12</w:t>
      </w:r>
      <w:r w:rsidRPr="00ED0DEE">
        <w:rPr>
          <w:rFonts w:ascii="Times New Roman" w:hAnsi="Times New Roman" w:cs="Times New Roman"/>
        </w:rPr>
        <w:t>(9), p. 095021. https://doi.org/10.1063/5.0094155.</w:t>
      </w:r>
    </w:p>
    <w:p w14:paraId="52509023" w14:textId="2BB7ACAF"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40]</w:t>
      </w:r>
      <w:r w:rsidRPr="00ED0DEE">
        <w:rPr>
          <w:rFonts w:ascii="Times New Roman" w:hAnsi="Times New Roman" w:cs="Times New Roman"/>
        </w:rPr>
        <w:tab/>
        <w:t>Pierre-Thomas Doutre, Christelle Grandvallet, L. Gobet, Frédéric Vignat, and Rémy Dendievel, 2023, “Influence of Fillets onto Mechanical Properties of Octet-Truss Lattice Structures.”</w:t>
      </w:r>
    </w:p>
    <w:p w14:paraId="77B67716" w14:textId="030E2CD1"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41]</w:t>
      </w:r>
      <w:r w:rsidRPr="00ED0DEE">
        <w:rPr>
          <w:rFonts w:ascii="Times New Roman" w:hAnsi="Times New Roman" w:cs="Times New Roman"/>
        </w:rPr>
        <w:tab/>
        <w:t xml:space="preserve">Zhuangzhuang Wang, Xiaofei Cao, Haoming Yang, Xiao Du, Binlin Ma, Qiu-Ju Zheng, Zhishuai Wan, and Ying Li, 2023, “Additively-Manufactured 3D Truss-Lattice Materials for Enhanced Mechanical Performance and Tunable Anisotropy: Simulations &amp; Experiments,” Thin-Walled Struct., </w:t>
      </w:r>
      <w:r w:rsidRPr="00ED0DEE">
        <w:rPr>
          <w:rFonts w:ascii="Times New Roman" w:hAnsi="Times New Roman" w:cs="Times New Roman"/>
          <w:b/>
          <w:bCs/>
        </w:rPr>
        <w:t>183</w:t>
      </w:r>
      <w:r w:rsidRPr="00ED0DEE">
        <w:rPr>
          <w:rFonts w:ascii="Times New Roman" w:hAnsi="Times New Roman" w:cs="Times New Roman"/>
        </w:rPr>
        <w:t>, pp. 110439–110439. https://doi.org/10.1016/j.tws.2022.110439.</w:t>
      </w:r>
    </w:p>
    <w:p w14:paraId="2E03882C" w14:textId="34E1ADAB"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42]</w:t>
      </w:r>
      <w:r w:rsidRPr="00ED0DEE">
        <w:rPr>
          <w:rFonts w:ascii="Times New Roman" w:hAnsi="Times New Roman" w:cs="Times New Roman"/>
        </w:rPr>
        <w:tab/>
        <w:t xml:space="preserve">Alexander Marutyan, 2022, “Optimization of Truss Lattices from Profile Pipes (Bent-Welded Profiles),” Stroit. Meh. Rasč Sooruž., </w:t>
      </w:r>
      <w:r w:rsidRPr="00ED0DEE">
        <w:rPr>
          <w:rFonts w:ascii="Times New Roman" w:hAnsi="Times New Roman" w:cs="Times New Roman"/>
          <w:b/>
          <w:bCs/>
        </w:rPr>
        <w:t>302</w:t>
      </w:r>
      <w:r w:rsidRPr="00ED0DEE">
        <w:rPr>
          <w:rFonts w:ascii="Times New Roman" w:hAnsi="Times New Roman" w:cs="Times New Roman"/>
        </w:rPr>
        <w:t>(3), pp. 71–78. https://doi.org/10.37538/0039-2383.2022.3.71.78.</w:t>
      </w:r>
    </w:p>
    <w:p w14:paraId="588BB927" w14:textId="377844BA"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43]</w:t>
      </w:r>
      <w:r w:rsidRPr="00ED0DEE">
        <w:rPr>
          <w:rFonts w:ascii="Times New Roman" w:hAnsi="Times New Roman" w:cs="Times New Roman"/>
        </w:rPr>
        <w:tab/>
        <w:t xml:space="preserve">Jiyeon Kim, Dong Hwan Jung, and Yongwoo Kwon, 2022, “Numerical Study on the Quantitative Structure-Property Relation of Lattice Truss Metals,” Mater. Trans., </w:t>
      </w:r>
      <w:r w:rsidRPr="00ED0DEE">
        <w:rPr>
          <w:rFonts w:ascii="Times New Roman" w:hAnsi="Times New Roman" w:cs="Times New Roman"/>
          <w:b/>
          <w:bCs/>
        </w:rPr>
        <w:t>63</w:t>
      </w:r>
      <w:r w:rsidRPr="00ED0DEE">
        <w:rPr>
          <w:rFonts w:ascii="Times New Roman" w:hAnsi="Times New Roman" w:cs="Times New Roman"/>
        </w:rPr>
        <w:t>(10), pp. 1317–1322. https://doi.org/10.2320/matertrans.mt-mb2022015.</w:t>
      </w:r>
    </w:p>
    <w:p w14:paraId="034AFDB7" w14:textId="77777777"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[44]</w:t>
      </w:r>
      <w:r w:rsidRPr="00ED0DEE">
        <w:rPr>
          <w:rFonts w:ascii="Times New Roman" w:hAnsi="Times New Roman" w:cs="Times New Roman"/>
        </w:rPr>
        <w:tab/>
        <w:t>Mohammad Zahid Khan, Jitendra Bhaskar, and Anand Kumar, 2023, “Design and Analysis of Strut-Based Lattice Structure Cranial Implant,” J. Mech. Eng. Sci., pp. 9307–9314. https://doi.org/10.15282/jmes.17.1.2023.1.0735.</w:t>
      </w:r>
    </w:p>
    <w:p w14:paraId="6EF40236" w14:textId="192A195F"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45]</w:t>
      </w:r>
      <w:r w:rsidRPr="00ED0DEE">
        <w:rPr>
          <w:rFonts w:ascii="Times New Roman" w:hAnsi="Times New Roman" w:cs="Times New Roman"/>
        </w:rPr>
        <w:tab/>
        <w:t xml:space="preserve">Tohid Dastan, Reza Jafari Nedoushan, Mohammad Sheikhzadeh, and Woong-Ryeol Yu, 2023, “Designs of Lattice Truss Core Sandwich Structures with Improved Compressive Strength and Stiffness,” J. Compos. Mater., </w:t>
      </w:r>
      <w:r w:rsidRPr="00ED0DEE">
        <w:rPr>
          <w:rFonts w:ascii="Times New Roman" w:hAnsi="Times New Roman" w:cs="Times New Roman"/>
          <w:b/>
          <w:bCs/>
        </w:rPr>
        <w:t>57</w:t>
      </w:r>
      <w:r w:rsidRPr="00ED0DEE">
        <w:rPr>
          <w:rFonts w:ascii="Times New Roman" w:hAnsi="Times New Roman" w:cs="Times New Roman"/>
        </w:rPr>
        <w:t>(15), pp. 2367–2387. https://doi.org/10.1177/00219983231160277.</w:t>
      </w:r>
    </w:p>
    <w:p w14:paraId="2205BC52" w14:textId="6FE9FBBC"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46]</w:t>
      </w:r>
      <w:r w:rsidRPr="00ED0DEE">
        <w:rPr>
          <w:rFonts w:ascii="Times New Roman" w:hAnsi="Times New Roman" w:cs="Times New Roman"/>
        </w:rPr>
        <w:tab/>
        <w:t xml:space="preserve">Lotfi, B., and Sunden, B. A., 2023, “A Novel Trussed Fin-and-Elliptical Tube Heat Exchanger with Periodic Cellular Lattice Structures,” Int. J. Numer. Methods Heat Fluid Flow, </w:t>
      </w:r>
      <w:r w:rsidRPr="00ED0DEE">
        <w:rPr>
          <w:rFonts w:ascii="Times New Roman" w:hAnsi="Times New Roman" w:cs="Times New Roman"/>
          <w:b/>
          <w:bCs/>
        </w:rPr>
        <w:t>33</w:t>
      </w:r>
      <w:r w:rsidRPr="00ED0DEE">
        <w:rPr>
          <w:rFonts w:ascii="Times New Roman" w:hAnsi="Times New Roman" w:cs="Times New Roman"/>
        </w:rPr>
        <w:t>(3), pp. 1076–1115. https://doi.org/10.1108/HFF-04-2022-0206.</w:t>
      </w:r>
    </w:p>
    <w:p w14:paraId="51165328" w14:textId="7820898E"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lastRenderedPageBreak/>
        <w:t>[</w:t>
      </w:r>
      <w:r w:rsidR="00C15C10" w:rsidRPr="008F5202">
        <w:rPr>
          <w:rFonts w:ascii="Times New Roman" w:hAnsi="Times New Roman" w:cs="Times New Roman"/>
        </w:rPr>
        <w:t>1.</w:t>
      </w:r>
      <w:r w:rsidRPr="00ED0DEE">
        <w:rPr>
          <w:rFonts w:ascii="Times New Roman" w:hAnsi="Times New Roman" w:cs="Times New Roman"/>
        </w:rPr>
        <w:t>47]</w:t>
      </w:r>
      <w:r w:rsidRPr="00ED0DEE">
        <w:rPr>
          <w:rFonts w:ascii="Times New Roman" w:hAnsi="Times New Roman" w:cs="Times New Roman"/>
        </w:rPr>
        <w:tab/>
        <w:t xml:space="preserve">Daynes, S., and Feih, S., 2022, “Bio-Inspired Lattice Structure Optimisation with Strain Trajectory Aligned Trusses,” Mater. Des., </w:t>
      </w:r>
      <w:r w:rsidRPr="00ED0DEE">
        <w:rPr>
          <w:rFonts w:ascii="Times New Roman" w:hAnsi="Times New Roman" w:cs="Times New Roman"/>
          <w:b/>
          <w:bCs/>
        </w:rPr>
        <w:t>213</w:t>
      </w:r>
      <w:r w:rsidRPr="00ED0DEE">
        <w:rPr>
          <w:rFonts w:ascii="Times New Roman" w:hAnsi="Times New Roman" w:cs="Times New Roman"/>
        </w:rPr>
        <w:t>, p. 110320. https://doi.org/10.1016/j.matdes.2021.110320.</w:t>
      </w:r>
    </w:p>
    <w:p w14:paraId="6080F64D" w14:textId="17A917DC"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48]</w:t>
      </w:r>
      <w:r w:rsidRPr="00ED0DEE">
        <w:rPr>
          <w:rFonts w:ascii="Times New Roman" w:hAnsi="Times New Roman" w:cs="Times New Roman"/>
        </w:rPr>
        <w:tab/>
        <w:t xml:space="preserve">Babak Lotfi and Bengt Sundén, 2022, “A Novel Trussed Fin-and-Elliptical Tube Heat Exchanger with Periodic Cellular Lattice Structures,” </w:t>
      </w:r>
      <w:r w:rsidRPr="00ED0DEE">
        <w:rPr>
          <w:rFonts w:ascii="Times New Roman" w:hAnsi="Times New Roman" w:cs="Times New Roman"/>
          <w:b/>
          <w:bCs/>
        </w:rPr>
        <w:t>33</w:t>
      </w:r>
      <w:r w:rsidRPr="00ED0DEE">
        <w:rPr>
          <w:rFonts w:ascii="Times New Roman" w:hAnsi="Times New Roman" w:cs="Times New Roman"/>
        </w:rPr>
        <w:t>(3), pp. 1076–1115. https://doi.org/10.1108/hff-04-2022-0206.</w:t>
      </w:r>
    </w:p>
    <w:p w14:paraId="4E75E0D5" w14:textId="58B8BBD9"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49]</w:t>
      </w:r>
      <w:r w:rsidRPr="00ED0DEE">
        <w:rPr>
          <w:rFonts w:ascii="Times New Roman" w:hAnsi="Times New Roman" w:cs="Times New Roman"/>
        </w:rPr>
        <w:tab/>
        <w:t xml:space="preserve">Yin, H., Zhang, W., Zhu, L., Meng, F., Liu, J., and Wen, G., 2023, “Review on Lattice Structures for Energy Absorption Properties,” Compos. Struct., </w:t>
      </w:r>
      <w:r w:rsidRPr="00ED0DEE">
        <w:rPr>
          <w:rFonts w:ascii="Times New Roman" w:hAnsi="Times New Roman" w:cs="Times New Roman"/>
          <w:b/>
          <w:bCs/>
        </w:rPr>
        <w:t>304</w:t>
      </w:r>
      <w:r w:rsidRPr="00ED0DEE">
        <w:rPr>
          <w:rFonts w:ascii="Times New Roman" w:hAnsi="Times New Roman" w:cs="Times New Roman"/>
        </w:rPr>
        <w:t>, p. 116397. https://doi.org/10.1016/j.compstruct.2022.116397.</w:t>
      </w:r>
    </w:p>
    <w:p w14:paraId="1B3F24B2" w14:textId="4AC8C1F4"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50]</w:t>
      </w:r>
      <w:r w:rsidRPr="00ED0DEE">
        <w:rPr>
          <w:rFonts w:ascii="Times New Roman" w:hAnsi="Times New Roman" w:cs="Times New Roman"/>
        </w:rPr>
        <w:tab/>
        <w:t xml:space="preserve">Inderjot Kaur and Prashant Singh, 2022, “Conjugate Heat Transfer in Lattice Frame Materials Based on Novel Unit Cell Topologies,” Numer. Heat Transf. Part -Appl., </w:t>
      </w:r>
      <w:r w:rsidRPr="00ED0DEE">
        <w:rPr>
          <w:rFonts w:ascii="Times New Roman" w:hAnsi="Times New Roman" w:cs="Times New Roman"/>
          <w:b/>
          <w:bCs/>
        </w:rPr>
        <w:t>82</w:t>
      </w:r>
      <w:r w:rsidRPr="00ED0DEE">
        <w:rPr>
          <w:rFonts w:ascii="Times New Roman" w:hAnsi="Times New Roman" w:cs="Times New Roman"/>
        </w:rPr>
        <w:t>(12), pp. 788–801. https://doi.org/10.1080/10407782.2022.2083874.</w:t>
      </w:r>
    </w:p>
    <w:p w14:paraId="606F87EB" w14:textId="3DA679F8"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51]</w:t>
      </w:r>
      <w:r w:rsidRPr="00ED0DEE">
        <w:rPr>
          <w:rFonts w:ascii="Times New Roman" w:hAnsi="Times New Roman" w:cs="Times New Roman"/>
        </w:rPr>
        <w:tab/>
        <w:t>Swapnil Narkhede, Anirban Sur, and Ratnesh Tiwari, 2023, “The Effects of Topological Configuration and Geometric Parameters on Heat Transfer and Fluid Flow Characteristics of Lattice-Based Heat Sinks,” Numer. Heat Transf. Part -Appl., pp. 1–20. https://doi.org/10.1080/10407782.2023.2205182.</w:t>
      </w:r>
    </w:p>
    <w:p w14:paraId="31BE389C" w14:textId="7F929216"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52]</w:t>
      </w:r>
      <w:r w:rsidRPr="00ED0DEE">
        <w:rPr>
          <w:rFonts w:ascii="Times New Roman" w:hAnsi="Times New Roman" w:cs="Times New Roman"/>
        </w:rPr>
        <w:tab/>
        <w:t xml:space="preserve">David Downing, Martin Leary, Matthew McMillan, Ahmad Al-Ghamdi, and Milan Brandt, 2020, “Heat Transfer in Lattice Structures during Metal Additive Manufacturing: Numerical Exploration of Temperature Field Evolution,” Rapid Prototyp. J., </w:t>
      </w:r>
      <w:r w:rsidRPr="00ED0DEE">
        <w:rPr>
          <w:rFonts w:ascii="Times New Roman" w:hAnsi="Times New Roman" w:cs="Times New Roman"/>
          <w:b/>
          <w:bCs/>
        </w:rPr>
        <w:t>26</w:t>
      </w:r>
      <w:r w:rsidRPr="00ED0DEE">
        <w:rPr>
          <w:rFonts w:ascii="Times New Roman" w:hAnsi="Times New Roman" w:cs="Times New Roman"/>
        </w:rPr>
        <w:t>(5), pp. 911–928. https://doi.org/10.1108/RPJ-11-2018-0288.</w:t>
      </w:r>
    </w:p>
    <w:p w14:paraId="698E8446" w14:textId="292F2D99"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53]</w:t>
      </w:r>
      <w:r w:rsidRPr="00ED0DEE">
        <w:rPr>
          <w:rFonts w:ascii="Times New Roman" w:hAnsi="Times New Roman" w:cs="Times New Roman"/>
        </w:rPr>
        <w:tab/>
        <w:t xml:space="preserve">Shuang Liu, Linfeng Jiang, Kai Leong Chong, Xiaojue Zhu, Zhen-Hua Wan, Roberto Verzicco, Richard J. A. M. Stevens, Detlef Lohse, and Chao Sun, 2020, “From Rayleigh─Bénard Convection to Porous-Media Convection: How Porosity Affects Heat Transfer and Flow Structure,” J. Fluid Mech., </w:t>
      </w:r>
      <w:r w:rsidRPr="00ED0DEE">
        <w:rPr>
          <w:rFonts w:ascii="Times New Roman" w:hAnsi="Times New Roman" w:cs="Times New Roman"/>
          <w:b/>
          <w:bCs/>
        </w:rPr>
        <w:t>895</w:t>
      </w:r>
      <w:r w:rsidRPr="00ED0DEE">
        <w:rPr>
          <w:rFonts w:ascii="Times New Roman" w:hAnsi="Times New Roman" w:cs="Times New Roman"/>
        </w:rPr>
        <w:t>. https://doi.org/10.1017/JFM.2020.309.</w:t>
      </w:r>
    </w:p>
    <w:p w14:paraId="1B7555D6" w14:textId="0414BEF8"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54]</w:t>
      </w:r>
      <w:r w:rsidRPr="00ED0DEE">
        <w:rPr>
          <w:rFonts w:ascii="Times New Roman" w:hAnsi="Times New Roman" w:cs="Times New Roman"/>
        </w:rPr>
        <w:tab/>
        <w:t xml:space="preserve">Fu Jiale, Zhang Tiechen, Li Menghan, Li Su, Xianglin Zhong, and Xiaori Liu, 2019, “Study on Flow and Heat Transfer Characteristics of Porous Media in Engine Particulate Filters Based on Lattice Boltzmann Method,” Energies, </w:t>
      </w:r>
      <w:r w:rsidRPr="00ED0DEE">
        <w:rPr>
          <w:rFonts w:ascii="Times New Roman" w:hAnsi="Times New Roman" w:cs="Times New Roman"/>
          <w:b/>
          <w:bCs/>
        </w:rPr>
        <w:t>12</w:t>
      </w:r>
      <w:r w:rsidRPr="00ED0DEE">
        <w:rPr>
          <w:rFonts w:ascii="Times New Roman" w:hAnsi="Times New Roman" w:cs="Times New Roman"/>
        </w:rPr>
        <w:t>(17), p. 3319. https://doi.org/10.3390/EN12173319.</w:t>
      </w:r>
    </w:p>
    <w:p w14:paraId="7F6AB580" w14:textId="2BC7F0C1"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lastRenderedPageBreak/>
        <w:t>[</w:t>
      </w:r>
      <w:r w:rsidR="00C15C10" w:rsidRPr="008F5202">
        <w:rPr>
          <w:rFonts w:ascii="Times New Roman" w:hAnsi="Times New Roman" w:cs="Times New Roman"/>
        </w:rPr>
        <w:t>1.</w:t>
      </w:r>
      <w:r w:rsidRPr="00ED0DEE">
        <w:rPr>
          <w:rFonts w:ascii="Times New Roman" w:hAnsi="Times New Roman" w:cs="Times New Roman"/>
        </w:rPr>
        <w:t>55]</w:t>
      </w:r>
      <w:r w:rsidRPr="00ED0DEE">
        <w:rPr>
          <w:rFonts w:ascii="Times New Roman" w:hAnsi="Times New Roman" w:cs="Times New Roman"/>
        </w:rPr>
        <w:tab/>
        <w:t xml:space="preserve">Yousef Kazemian, Mohammad Javad Sayyari, and Javad Abolfazli Esfahani, 2021, “Effects of Pore Geometry on the Natural Convective Heat Transmission in a Porous Cavity: A Lattice Boltzmann Simulation,” J. Therm. Anal. Calorim., </w:t>
      </w:r>
      <w:r w:rsidRPr="00ED0DEE">
        <w:rPr>
          <w:rFonts w:ascii="Times New Roman" w:hAnsi="Times New Roman" w:cs="Times New Roman"/>
          <w:b/>
          <w:bCs/>
        </w:rPr>
        <w:t>143</w:t>
      </w:r>
      <w:r w:rsidRPr="00ED0DEE">
        <w:rPr>
          <w:rFonts w:ascii="Times New Roman" w:hAnsi="Times New Roman" w:cs="Times New Roman"/>
        </w:rPr>
        <w:t>(3), pp. 2557–2575. https://doi.org/10.1007/S10973-020-10342-5.</w:t>
      </w:r>
    </w:p>
    <w:p w14:paraId="3BC1E9A2" w14:textId="34803496"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56]</w:t>
      </w:r>
      <w:r w:rsidRPr="00ED0DEE">
        <w:rPr>
          <w:rFonts w:ascii="Times New Roman" w:hAnsi="Times New Roman" w:cs="Times New Roman"/>
        </w:rPr>
        <w:tab/>
        <w:t xml:space="preserve">Feng, J., Liu, B., Lin, Z., and Fu, J., 2021, “Isotropic Octet-Truss Lattice Structure Design and Anisotropy Control Strategies for Implant Application,” Mater. Des., </w:t>
      </w:r>
      <w:r w:rsidRPr="00ED0DEE">
        <w:rPr>
          <w:rFonts w:ascii="Times New Roman" w:hAnsi="Times New Roman" w:cs="Times New Roman"/>
          <w:b/>
          <w:bCs/>
        </w:rPr>
        <w:t>203</w:t>
      </w:r>
      <w:r w:rsidRPr="00ED0DEE">
        <w:rPr>
          <w:rFonts w:ascii="Times New Roman" w:hAnsi="Times New Roman" w:cs="Times New Roman"/>
        </w:rPr>
        <w:t>, p. 109595. https://doi.org/10.1016/j.matdes.2021.109595.</w:t>
      </w:r>
    </w:p>
    <w:p w14:paraId="192CC8B1" w14:textId="5FF84C1C"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57]</w:t>
      </w:r>
      <w:r w:rsidRPr="00ED0DEE">
        <w:rPr>
          <w:rFonts w:ascii="Times New Roman" w:hAnsi="Times New Roman" w:cs="Times New Roman"/>
        </w:rPr>
        <w:tab/>
        <w:t xml:space="preserve">Wang, S., Xu, C., Liu, W., and Liu, Z., 2019, “Numerical Study on Heat Transfer Performance in Packed Bed,” Energies, </w:t>
      </w:r>
      <w:r w:rsidRPr="00ED0DEE">
        <w:rPr>
          <w:rFonts w:ascii="Times New Roman" w:hAnsi="Times New Roman" w:cs="Times New Roman"/>
          <w:b/>
          <w:bCs/>
        </w:rPr>
        <w:t>12</w:t>
      </w:r>
      <w:r w:rsidRPr="00ED0DEE">
        <w:rPr>
          <w:rFonts w:ascii="Times New Roman" w:hAnsi="Times New Roman" w:cs="Times New Roman"/>
        </w:rPr>
        <w:t>(3), p. 414. https://doi.org/10.3390/en12030414.</w:t>
      </w:r>
    </w:p>
    <w:p w14:paraId="661BE3CC" w14:textId="5994448A"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58]</w:t>
      </w:r>
      <w:r w:rsidRPr="00ED0DEE">
        <w:rPr>
          <w:rFonts w:ascii="Times New Roman" w:hAnsi="Times New Roman" w:cs="Times New Roman"/>
        </w:rPr>
        <w:tab/>
        <w:t xml:space="preserve">Oschmann, T., and Kruggel-Emden, H., 2017, “Numerical and Experimental Investigation of the Heat Transfer of Spherical Particles in a Packed Bed with an Implicit 3D Finite Difference Approach,” Granul. Matter, </w:t>
      </w:r>
      <w:r w:rsidRPr="00ED0DEE">
        <w:rPr>
          <w:rFonts w:ascii="Times New Roman" w:hAnsi="Times New Roman" w:cs="Times New Roman"/>
          <w:b/>
          <w:bCs/>
        </w:rPr>
        <w:t>19</w:t>
      </w:r>
      <w:r w:rsidRPr="00ED0DEE">
        <w:rPr>
          <w:rFonts w:ascii="Times New Roman" w:hAnsi="Times New Roman" w:cs="Times New Roman"/>
        </w:rPr>
        <w:t>(3), p. 47. https://doi.org/10.1007/s10035-017-0711-z.</w:t>
      </w:r>
    </w:p>
    <w:p w14:paraId="56FEFD79" w14:textId="7B5D4AB7"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59]</w:t>
      </w:r>
      <w:r w:rsidRPr="00ED0DEE">
        <w:rPr>
          <w:rFonts w:ascii="Times New Roman" w:hAnsi="Times New Roman" w:cs="Times New Roman"/>
        </w:rPr>
        <w:tab/>
        <w:t xml:space="preserve">Zhang, R., Yang, H., Lu, J., and Wu, Y., 2013, “Theoretical and Experimental Analysis of Bed-to-Wall Heat Transfer in Heat Recovery Processing,” Powder Technol., </w:t>
      </w:r>
      <w:r w:rsidRPr="00ED0DEE">
        <w:rPr>
          <w:rFonts w:ascii="Times New Roman" w:hAnsi="Times New Roman" w:cs="Times New Roman"/>
          <w:b/>
          <w:bCs/>
        </w:rPr>
        <w:t>249</w:t>
      </w:r>
      <w:r w:rsidRPr="00ED0DEE">
        <w:rPr>
          <w:rFonts w:ascii="Times New Roman" w:hAnsi="Times New Roman" w:cs="Times New Roman"/>
        </w:rPr>
        <w:t>, pp. 186–195. https://doi.org/10.1016/j.powtec.2013.08.017.</w:t>
      </w:r>
    </w:p>
    <w:p w14:paraId="0F4EE82C" w14:textId="6B3AFBD5"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60]</w:t>
      </w:r>
      <w:r w:rsidRPr="00ED0DEE">
        <w:rPr>
          <w:rFonts w:ascii="Times New Roman" w:hAnsi="Times New Roman" w:cs="Times New Roman"/>
        </w:rPr>
        <w:tab/>
        <w:t xml:space="preserve">Isaza, P. A., Warnica, W. D., and Bussmann, M., 2015, “Counter-Current Parallel-Plate Moving Bed Heat Exchanger: An Analytical Solution,” Int. J. Heat Mass Transf., </w:t>
      </w:r>
      <w:r w:rsidRPr="00ED0DEE">
        <w:rPr>
          <w:rFonts w:ascii="Times New Roman" w:hAnsi="Times New Roman" w:cs="Times New Roman"/>
          <w:b/>
          <w:bCs/>
        </w:rPr>
        <w:t>87</w:t>
      </w:r>
      <w:r w:rsidRPr="00ED0DEE">
        <w:rPr>
          <w:rFonts w:ascii="Times New Roman" w:hAnsi="Times New Roman" w:cs="Times New Roman"/>
        </w:rPr>
        <w:t>, pp. 625–635. https://doi.org/10.1016/j.ijheatmasstransfer.2015.02.056.</w:t>
      </w:r>
    </w:p>
    <w:p w14:paraId="612D91F6" w14:textId="256AC9AC"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61]</w:t>
      </w:r>
      <w:r w:rsidRPr="00ED0DEE">
        <w:rPr>
          <w:rFonts w:ascii="Times New Roman" w:hAnsi="Times New Roman" w:cs="Times New Roman"/>
        </w:rPr>
        <w:tab/>
        <w:t xml:space="preserve">Qiu, L., Sang, D., Feng, Y., Huang, H., and Zhang, X., 2020, “Study on Heat Transfer of Process Intensification in Moving Bed Reactor Based on the Discrete Element Method,” Chem. Eng. Process. - Process Intensif., </w:t>
      </w:r>
      <w:r w:rsidRPr="00ED0DEE">
        <w:rPr>
          <w:rFonts w:ascii="Times New Roman" w:hAnsi="Times New Roman" w:cs="Times New Roman"/>
          <w:b/>
          <w:bCs/>
        </w:rPr>
        <w:t>151</w:t>
      </w:r>
      <w:r w:rsidRPr="00ED0DEE">
        <w:rPr>
          <w:rFonts w:ascii="Times New Roman" w:hAnsi="Times New Roman" w:cs="Times New Roman"/>
        </w:rPr>
        <w:t>, p. 107915. https://doi.org/10.1016/j.cep.2020.107915.</w:t>
      </w:r>
    </w:p>
    <w:p w14:paraId="2C456A21" w14:textId="5CC31083"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62]</w:t>
      </w:r>
      <w:r w:rsidRPr="00ED0DEE">
        <w:rPr>
          <w:rFonts w:ascii="Times New Roman" w:hAnsi="Times New Roman" w:cs="Times New Roman"/>
        </w:rPr>
        <w:tab/>
        <w:t xml:space="preserve">Zheng, Y., Dong, H., Cai, J., Feng, J., Zhao, L., Liu, J., and Zhang, S., 2019, “Experimental Investigation of Volumetric Heat Transfer Coefficient in Vertical Moving-Bed for Sinter Waste Heat Recovery,” Appl. Therm. Eng., </w:t>
      </w:r>
      <w:r w:rsidRPr="00ED0DEE">
        <w:rPr>
          <w:rFonts w:ascii="Times New Roman" w:hAnsi="Times New Roman" w:cs="Times New Roman"/>
          <w:b/>
          <w:bCs/>
        </w:rPr>
        <w:t>151</w:t>
      </w:r>
      <w:r w:rsidRPr="00ED0DEE">
        <w:rPr>
          <w:rFonts w:ascii="Times New Roman" w:hAnsi="Times New Roman" w:cs="Times New Roman"/>
        </w:rPr>
        <w:t>, pp. 335–343. https://doi.org/10.1016/j.applthermaleng.2019.01.055.</w:t>
      </w:r>
    </w:p>
    <w:p w14:paraId="7E052CB5" w14:textId="1173DD81"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lastRenderedPageBreak/>
        <w:t>[</w:t>
      </w:r>
      <w:r w:rsidR="00C15C10" w:rsidRPr="008F5202">
        <w:rPr>
          <w:rFonts w:ascii="Times New Roman" w:hAnsi="Times New Roman" w:cs="Times New Roman"/>
        </w:rPr>
        <w:t>1.</w:t>
      </w:r>
      <w:r w:rsidRPr="00ED0DEE">
        <w:rPr>
          <w:rFonts w:ascii="Times New Roman" w:hAnsi="Times New Roman" w:cs="Times New Roman"/>
        </w:rPr>
        <w:t>63]</w:t>
      </w:r>
      <w:r w:rsidRPr="00ED0DEE">
        <w:rPr>
          <w:rFonts w:ascii="Times New Roman" w:hAnsi="Times New Roman" w:cs="Times New Roman"/>
        </w:rPr>
        <w:tab/>
        <w:t xml:space="preserve">Gao, H., Liu, Y., Zheng, B., Sun, P., Lu, M., and Tian, G., 2020, “Fractal Heat Conduction Model of Semi-Coke Bed in Waste Heat Recovery Heat Exchanger,” J. Clean. Prod., </w:t>
      </w:r>
      <w:r w:rsidRPr="00ED0DEE">
        <w:rPr>
          <w:rFonts w:ascii="Times New Roman" w:hAnsi="Times New Roman" w:cs="Times New Roman"/>
          <w:b/>
          <w:bCs/>
        </w:rPr>
        <w:t>258</w:t>
      </w:r>
      <w:r w:rsidRPr="00ED0DEE">
        <w:rPr>
          <w:rFonts w:ascii="Times New Roman" w:hAnsi="Times New Roman" w:cs="Times New Roman"/>
        </w:rPr>
        <w:t>, p. 120663. https://doi.org/10.1016/j.jclepro.2020.120663.</w:t>
      </w:r>
    </w:p>
    <w:p w14:paraId="279108DA" w14:textId="5A784C79"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64]</w:t>
      </w:r>
      <w:r w:rsidRPr="00ED0DEE">
        <w:rPr>
          <w:rFonts w:ascii="Times New Roman" w:hAnsi="Times New Roman" w:cs="Times New Roman"/>
        </w:rPr>
        <w:tab/>
        <w:t xml:space="preserve">Bartsch, P., and Zunft, S., 2019, “Numerical Investigation of Dense Granular Flow around Horizontal Tubes: Qualification of CFD Model with Validated DEM Model,” Sol. Energy, </w:t>
      </w:r>
      <w:r w:rsidRPr="00ED0DEE">
        <w:rPr>
          <w:rFonts w:ascii="Times New Roman" w:hAnsi="Times New Roman" w:cs="Times New Roman"/>
          <w:b/>
          <w:bCs/>
        </w:rPr>
        <w:t>182</w:t>
      </w:r>
      <w:r w:rsidRPr="00ED0DEE">
        <w:rPr>
          <w:rFonts w:ascii="Times New Roman" w:hAnsi="Times New Roman" w:cs="Times New Roman"/>
        </w:rPr>
        <w:t>, pp. 298–303. https://doi.org/10.1016/j.solener.2019.01.087.</w:t>
      </w:r>
    </w:p>
    <w:p w14:paraId="020D58A8" w14:textId="1AA025E6"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65]</w:t>
      </w:r>
      <w:r w:rsidRPr="00ED0DEE">
        <w:rPr>
          <w:rFonts w:ascii="Times New Roman" w:hAnsi="Times New Roman" w:cs="Times New Roman"/>
        </w:rPr>
        <w:tab/>
        <w:t xml:space="preserve">Fang, W., Chen, S., Xu, J., and Zeng, K., 2021, “Predicting Heat Transfer Coefficient of a Shell-and-Plate, Moving Packed-Bed Particle-to-sCO2 Heat Exchanger for Concentrating Solar Power,” Energy, </w:t>
      </w:r>
      <w:r w:rsidRPr="00ED0DEE">
        <w:rPr>
          <w:rFonts w:ascii="Times New Roman" w:hAnsi="Times New Roman" w:cs="Times New Roman"/>
          <w:b/>
          <w:bCs/>
        </w:rPr>
        <w:t>217</w:t>
      </w:r>
      <w:r w:rsidRPr="00ED0DEE">
        <w:rPr>
          <w:rFonts w:ascii="Times New Roman" w:hAnsi="Times New Roman" w:cs="Times New Roman"/>
        </w:rPr>
        <w:t>, p. 119389. https://doi.org/10.1016/j.energy.2020.119389.</w:t>
      </w:r>
    </w:p>
    <w:p w14:paraId="550EE71E" w14:textId="3908576F"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66]</w:t>
      </w:r>
      <w:r w:rsidRPr="00ED0DEE">
        <w:rPr>
          <w:rFonts w:ascii="Times New Roman" w:hAnsi="Times New Roman" w:cs="Times New Roman"/>
        </w:rPr>
        <w:tab/>
        <w:t xml:space="preserve">Guo, Z., Tian, X., Tan, Z., Yang, J., Zhang, S., and Wang, Q., 2021, “Numerical Investigation of Heat Resistances in Uniform Dense Granular Flows along a Vertical Plate,” Powder Technol., </w:t>
      </w:r>
      <w:r w:rsidRPr="00ED0DEE">
        <w:rPr>
          <w:rFonts w:ascii="Times New Roman" w:hAnsi="Times New Roman" w:cs="Times New Roman"/>
          <w:b/>
          <w:bCs/>
        </w:rPr>
        <w:t>385</w:t>
      </w:r>
      <w:r w:rsidRPr="00ED0DEE">
        <w:rPr>
          <w:rFonts w:ascii="Times New Roman" w:hAnsi="Times New Roman" w:cs="Times New Roman"/>
        </w:rPr>
        <w:t>, pp. 396–408. https://doi.org/10.1016/j.powtec.2021.02.051.</w:t>
      </w:r>
    </w:p>
    <w:p w14:paraId="37C54BAF" w14:textId="2C23ED03"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67]</w:t>
      </w:r>
      <w:r w:rsidRPr="00ED0DEE">
        <w:rPr>
          <w:rFonts w:ascii="Times New Roman" w:hAnsi="Times New Roman" w:cs="Times New Roman"/>
        </w:rPr>
        <w:tab/>
        <w:t xml:space="preserve">Wilson, G., Sahoo, S., Sabharwal, P., and Bindra, H., 2019, “Chapter Seven - Packed Bed Thermal Storage for LWRs,” </w:t>
      </w:r>
      <w:r w:rsidRPr="00ED0DEE">
        <w:rPr>
          <w:rFonts w:ascii="Times New Roman" w:hAnsi="Times New Roman" w:cs="Times New Roman"/>
          <w:i/>
          <w:iCs/>
        </w:rPr>
        <w:t>Storage and Hybridization of Nuclear Energy</w:t>
      </w:r>
      <w:r w:rsidRPr="00ED0DEE">
        <w:rPr>
          <w:rFonts w:ascii="Times New Roman" w:hAnsi="Times New Roman" w:cs="Times New Roman"/>
        </w:rPr>
        <w:t>, H. Bindra, and S. Revankar, eds., Academic Press, pp. 229–248. https://doi.org/10.1016/B978-0-12-813975-2.00007-7.</w:t>
      </w:r>
    </w:p>
    <w:p w14:paraId="26F544A1" w14:textId="66986E5E"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68]</w:t>
      </w:r>
      <w:r w:rsidRPr="00ED0DEE">
        <w:rPr>
          <w:rFonts w:ascii="Times New Roman" w:hAnsi="Times New Roman" w:cs="Times New Roman"/>
        </w:rPr>
        <w:tab/>
        <w:t xml:space="preserve">Díaz-Heras, M., Calderón, A., Navarro, M., Almendros-Ibáñez, J. A., Fernández, A. I., and Barreneche, C., 2021, “Characterization and Testing of Solid Particles to Be Used in CSP Plants: Aging and Fluidization Tests,” Sol. Energy Mater. Sol. Cells, </w:t>
      </w:r>
      <w:r w:rsidRPr="00ED0DEE">
        <w:rPr>
          <w:rFonts w:ascii="Times New Roman" w:hAnsi="Times New Roman" w:cs="Times New Roman"/>
          <w:b/>
          <w:bCs/>
        </w:rPr>
        <w:t>219</w:t>
      </w:r>
      <w:r w:rsidRPr="00ED0DEE">
        <w:rPr>
          <w:rFonts w:ascii="Times New Roman" w:hAnsi="Times New Roman" w:cs="Times New Roman"/>
        </w:rPr>
        <w:t>, p. 110793. https://doi.org/10.1016/j.solmat.2020.110793.</w:t>
      </w:r>
    </w:p>
    <w:p w14:paraId="2A5695FA" w14:textId="1FC98503"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69]</w:t>
      </w:r>
      <w:r w:rsidRPr="00ED0DEE">
        <w:rPr>
          <w:rFonts w:ascii="Times New Roman" w:hAnsi="Times New Roman" w:cs="Times New Roman"/>
        </w:rPr>
        <w:tab/>
        <w:t>Ma, Z., and Martinek, J., 2017, “Fluidized-Bed Heat Transfer Modeling for the Development of Particle/Supercritical-CO2 Heat Exchanger,” American Society of Mechanical Engineers Digital Collection. https://doi.org/10.1115/ES2017-3098.</w:t>
      </w:r>
    </w:p>
    <w:p w14:paraId="56C46838" w14:textId="5AA44B17"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70]</w:t>
      </w:r>
      <w:r w:rsidRPr="00ED0DEE">
        <w:rPr>
          <w:rFonts w:ascii="Times New Roman" w:hAnsi="Times New Roman" w:cs="Times New Roman"/>
        </w:rPr>
        <w:tab/>
        <w:t xml:space="preserve">Jiang, B., Xia, D., Guo, H., Xiao, L., Qu, H., and Liu, X., 2019, “Efficient Waste Heat Recovery System for High-Temperature Solid Particles Based on Heat Transfer Enhancement,” Appl. Therm. Eng., </w:t>
      </w:r>
      <w:r w:rsidRPr="00ED0DEE">
        <w:rPr>
          <w:rFonts w:ascii="Times New Roman" w:hAnsi="Times New Roman" w:cs="Times New Roman"/>
          <w:b/>
          <w:bCs/>
        </w:rPr>
        <w:t>155</w:t>
      </w:r>
      <w:r w:rsidRPr="00ED0DEE">
        <w:rPr>
          <w:rFonts w:ascii="Times New Roman" w:hAnsi="Times New Roman" w:cs="Times New Roman"/>
        </w:rPr>
        <w:t>, pp. 166–174. https://doi.org/10.1016/j.applthermaleng.2019.03.101.</w:t>
      </w:r>
    </w:p>
    <w:p w14:paraId="47DF025C" w14:textId="463723DA"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lastRenderedPageBreak/>
        <w:t>[</w:t>
      </w:r>
      <w:r w:rsidR="00C15C10" w:rsidRPr="008F5202">
        <w:rPr>
          <w:rFonts w:ascii="Times New Roman" w:hAnsi="Times New Roman" w:cs="Times New Roman"/>
        </w:rPr>
        <w:t>1.</w:t>
      </w:r>
      <w:r w:rsidRPr="00ED0DEE">
        <w:rPr>
          <w:rFonts w:ascii="Times New Roman" w:hAnsi="Times New Roman" w:cs="Times New Roman"/>
        </w:rPr>
        <w:t>71]</w:t>
      </w:r>
      <w:r w:rsidRPr="00ED0DEE">
        <w:rPr>
          <w:rFonts w:ascii="Times New Roman" w:hAnsi="Times New Roman" w:cs="Times New Roman"/>
        </w:rPr>
        <w:tab/>
        <w:t xml:space="preserve">Dai, Y. L., Liu, X. J., and Xia, D., 2020, “Flow Characteristics of Three Typical Granular Materials in near 2D Moving Beds,” Powder Technol., </w:t>
      </w:r>
      <w:r w:rsidRPr="00ED0DEE">
        <w:rPr>
          <w:rFonts w:ascii="Times New Roman" w:hAnsi="Times New Roman" w:cs="Times New Roman"/>
          <w:b/>
          <w:bCs/>
        </w:rPr>
        <w:t>373</w:t>
      </w:r>
      <w:r w:rsidRPr="00ED0DEE">
        <w:rPr>
          <w:rFonts w:ascii="Times New Roman" w:hAnsi="Times New Roman" w:cs="Times New Roman"/>
        </w:rPr>
        <w:t>, pp. 220–231. https://doi.org/10.1016/j.powtec.2020.06.057.</w:t>
      </w:r>
    </w:p>
    <w:p w14:paraId="516A7157" w14:textId="30B8E875"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72]</w:t>
      </w:r>
      <w:r w:rsidRPr="00ED0DEE">
        <w:rPr>
          <w:rFonts w:ascii="Times New Roman" w:hAnsi="Times New Roman" w:cs="Times New Roman"/>
        </w:rPr>
        <w:tab/>
        <w:t xml:space="preserve">Bartsch, P., and Zunft, S., 2019, “Granular Flow around the Horizontal Tubes of a Particle Heat Exchanger: DEM-Simulation and Experimental Validation,” Sol. Energy, </w:t>
      </w:r>
      <w:r w:rsidRPr="00ED0DEE">
        <w:rPr>
          <w:rFonts w:ascii="Times New Roman" w:hAnsi="Times New Roman" w:cs="Times New Roman"/>
          <w:b/>
          <w:bCs/>
        </w:rPr>
        <w:t>182</w:t>
      </w:r>
      <w:r w:rsidRPr="00ED0DEE">
        <w:rPr>
          <w:rFonts w:ascii="Times New Roman" w:hAnsi="Times New Roman" w:cs="Times New Roman"/>
        </w:rPr>
        <w:t>, pp. 48–56. https://doi.org/10.1016/j.solener.2019.01.086.</w:t>
      </w:r>
    </w:p>
    <w:p w14:paraId="7B8B0259" w14:textId="53E6867C"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73]</w:t>
      </w:r>
      <w:r w:rsidRPr="00ED0DEE">
        <w:rPr>
          <w:rFonts w:ascii="Times New Roman" w:hAnsi="Times New Roman" w:cs="Times New Roman"/>
        </w:rPr>
        <w:tab/>
        <w:t xml:space="preserve">Qiu, L., Sang, D., Feng, Y., and Zhang, X., 2020, “Experimental Study on Particle Flow Characteristics of Three-Dimensional Moving Bed,” Powder Technol., </w:t>
      </w:r>
      <w:r w:rsidRPr="00ED0DEE">
        <w:rPr>
          <w:rFonts w:ascii="Times New Roman" w:hAnsi="Times New Roman" w:cs="Times New Roman"/>
          <w:b/>
          <w:bCs/>
        </w:rPr>
        <w:t>374</w:t>
      </w:r>
      <w:r w:rsidRPr="00ED0DEE">
        <w:rPr>
          <w:rFonts w:ascii="Times New Roman" w:hAnsi="Times New Roman" w:cs="Times New Roman"/>
        </w:rPr>
        <w:t>, pp. 399–408. https://doi.org/10.1016/j.powtec.2020.07.061.</w:t>
      </w:r>
    </w:p>
    <w:p w14:paraId="1EE6182E" w14:textId="464A8888"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74]</w:t>
      </w:r>
      <w:r w:rsidRPr="00ED0DEE">
        <w:rPr>
          <w:rFonts w:ascii="Times New Roman" w:hAnsi="Times New Roman" w:cs="Times New Roman"/>
        </w:rPr>
        <w:tab/>
        <w:t xml:space="preserve">Niegsch, J., Köneke, D., and Weinspach, P.-M., 1994, “Heat Transfer and Flow of Bulk Solids in a Moving Bed,” Chem. Eng. Process. Process Intensif., </w:t>
      </w:r>
      <w:r w:rsidRPr="00ED0DEE">
        <w:rPr>
          <w:rFonts w:ascii="Times New Roman" w:hAnsi="Times New Roman" w:cs="Times New Roman"/>
          <w:b/>
          <w:bCs/>
        </w:rPr>
        <w:t>33</w:t>
      </w:r>
      <w:r w:rsidRPr="00ED0DEE">
        <w:rPr>
          <w:rFonts w:ascii="Times New Roman" w:hAnsi="Times New Roman" w:cs="Times New Roman"/>
        </w:rPr>
        <w:t>(2), pp. 73–89. https://doi.org/10.1016/0255-2701(94)85006-2.</w:t>
      </w:r>
    </w:p>
    <w:p w14:paraId="7C3A5C52" w14:textId="14787252"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75]</w:t>
      </w:r>
      <w:r w:rsidRPr="00ED0DEE">
        <w:rPr>
          <w:rFonts w:ascii="Times New Roman" w:hAnsi="Times New Roman" w:cs="Times New Roman"/>
        </w:rPr>
        <w:tab/>
        <w:t xml:space="preserve">Tan, Z., Guo, Z., Yang, J., and Wang, Q., 2019, “Numerical Investigation of Heat Transfer for Elliptical Tube in Granular Flow Using DEM,” Energy Procedia, </w:t>
      </w:r>
      <w:r w:rsidRPr="00ED0DEE">
        <w:rPr>
          <w:rFonts w:ascii="Times New Roman" w:hAnsi="Times New Roman" w:cs="Times New Roman"/>
          <w:b/>
          <w:bCs/>
        </w:rPr>
        <w:t>158</w:t>
      </w:r>
      <w:r w:rsidRPr="00ED0DEE">
        <w:rPr>
          <w:rFonts w:ascii="Times New Roman" w:hAnsi="Times New Roman" w:cs="Times New Roman"/>
        </w:rPr>
        <w:t>, pp. 5504–5509. https://doi.org/10.1016/j.egypro.2019.01.595.</w:t>
      </w:r>
    </w:p>
    <w:p w14:paraId="65F4BE28" w14:textId="354C2F30"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76]</w:t>
      </w:r>
      <w:r w:rsidRPr="00ED0DEE">
        <w:rPr>
          <w:rFonts w:ascii="Times New Roman" w:hAnsi="Times New Roman" w:cs="Times New Roman"/>
        </w:rPr>
        <w:tab/>
        <w:t xml:space="preserve">Baumann, T., and Zunft, S., 2015, “Development and Performance Assessment of a Moving Bed Heat Exchanger for Solar Central Receiver Power Plants,” Energy Procedia, </w:t>
      </w:r>
      <w:r w:rsidRPr="00ED0DEE">
        <w:rPr>
          <w:rFonts w:ascii="Times New Roman" w:hAnsi="Times New Roman" w:cs="Times New Roman"/>
          <w:b/>
          <w:bCs/>
        </w:rPr>
        <w:t>69</w:t>
      </w:r>
      <w:r w:rsidRPr="00ED0DEE">
        <w:rPr>
          <w:rFonts w:ascii="Times New Roman" w:hAnsi="Times New Roman" w:cs="Times New Roman"/>
        </w:rPr>
        <w:t>, pp. 748–757. https://doi.org/10.1016/j.egypro.2015.03.085.</w:t>
      </w:r>
    </w:p>
    <w:p w14:paraId="792FF4D8" w14:textId="1099FD18" w:rsidR="00ED0DEE" w:rsidRPr="00ED0DEE" w:rsidRDefault="00ED0DEE" w:rsidP="00C15C10">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77]</w:t>
      </w:r>
      <w:r w:rsidRPr="00ED0DEE">
        <w:rPr>
          <w:rFonts w:ascii="Times New Roman" w:hAnsi="Times New Roman" w:cs="Times New Roman"/>
        </w:rPr>
        <w:tab/>
        <w:t xml:space="preserve">Jiang, B., Xia, D., Zhang, H., Pei, H., and Liu, X., 2020, “Effective Waste Heat Recovery from Industrial High-Temperature Granules: A Moving Bed Indirect Heat Exchanger with Embedded Agitation,” Energy, </w:t>
      </w:r>
      <w:r w:rsidRPr="00ED0DEE">
        <w:rPr>
          <w:rFonts w:ascii="Times New Roman" w:hAnsi="Times New Roman" w:cs="Times New Roman"/>
          <w:b/>
          <w:bCs/>
        </w:rPr>
        <w:t>208</w:t>
      </w:r>
      <w:r w:rsidRPr="00ED0DEE">
        <w:rPr>
          <w:rFonts w:ascii="Times New Roman" w:hAnsi="Times New Roman" w:cs="Times New Roman"/>
        </w:rPr>
        <w:t>, p. 118346. https://doi.org/10.1016/j.energy.2020.118346.</w:t>
      </w:r>
    </w:p>
    <w:p w14:paraId="03372165" w14:textId="301A9C20" w:rsidR="008F5202" w:rsidRPr="00AF1AFB" w:rsidRDefault="00ED0DEE" w:rsidP="00AF1AFB">
      <w:pPr>
        <w:numPr>
          <w:ilvl w:val="12"/>
          <w:numId w:val="0"/>
        </w:numPr>
        <w:spacing w:line="360" w:lineRule="auto"/>
        <w:rPr>
          <w:rFonts w:ascii="Times New Roman" w:hAnsi="Times New Roman" w:cs="Times New Roman"/>
        </w:rPr>
      </w:pPr>
      <w:r w:rsidRPr="00ED0DEE">
        <w:rPr>
          <w:rFonts w:ascii="Times New Roman" w:hAnsi="Times New Roman" w:cs="Times New Roman"/>
        </w:rPr>
        <w:t>[</w:t>
      </w:r>
      <w:r w:rsidR="00C15C10" w:rsidRPr="008F5202">
        <w:rPr>
          <w:rFonts w:ascii="Times New Roman" w:hAnsi="Times New Roman" w:cs="Times New Roman"/>
        </w:rPr>
        <w:t>1.</w:t>
      </w:r>
      <w:r w:rsidRPr="00ED0DEE">
        <w:rPr>
          <w:rFonts w:ascii="Times New Roman" w:hAnsi="Times New Roman" w:cs="Times New Roman"/>
        </w:rPr>
        <w:t>78]</w:t>
      </w:r>
      <w:r w:rsidRPr="00ED0DEE">
        <w:rPr>
          <w:rFonts w:ascii="Times New Roman" w:hAnsi="Times New Roman" w:cs="Times New Roman"/>
        </w:rPr>
        <w:tab/>
        <w:t xml:space="preserve">Guo, Z., Zhang, S., Tian, X., Yang, J., and Wang, Q., 2020, “Numerical Investigation of Tube Oscillation in Gravity-Driven Granular Flow with Heat Transfer by Discrete Element Method,” Energy, </w:t>
      </w:r>
      <w:r w:rsidRPr="00ED0DEE">
        <w:rPr>
          <w:rFonts w:ascii="Times New Roman" w:hAnsi="Times New Roman" w:cs="Times New Roman"/>
          <w:b/>
          <w:bCs/>
        </w:rPr>
        <w:t>207</w:t>
      </w:r>
      <w:r w:rsidRPr="00ED0DEE">
        <w:rPr>
          <w:rFonts w:ascii="Times New Roman" w:hAnsi="Times New Roman" w:cs="Times New Roman"/>
        </w:rPr>
        <w:t>, p. 118203. https://doi.org/10.1016/j.energy.2020.118203.</w:t>
      </w:r>
      <w:r w:rsidR="00AF1AFB">
        <w:rPr>
          <w:rFonts w:ascii="Times New Roman" w:hAnsi="Times New Roman" w:cs="Times New Roman"/>
        </w:rPr>
        <w:br w:type="page"/>
      </w:r>
    </w:p>
    <w:p w14:paraId="13A7982D" w14:textId="47B2313C" w:rsidR="00236E6D" w:rsidRPr="008F5202" w:rsidRDefault="00FE12BA" w:rsidP="00AF1AFB">
      <w:pPr>
        <w:pStyle w:val="Heading1"/>
      </w:pPr>
      <w:bookmarkStart w:id="7" w:name="_Toc177758131"/>
      <w:r>
        <w:rPr>
          <w:sz w:val="24"/>
        </w:rPr>
        <w:lastRenderedPageBreak/>
        <w:t>:</w:t>
      </w:r>
      <w:r w:rsidR="006D474B" w:rsidRPr="008F5202">
        <w:rPr>
          <w:sz w:val="24"/>
        </w:rPr>
        <w:br/>
      </w:r>
      <w:bookmarkStart w:id="8" w:name="_Hlk82884403"/>
      <w:bookmarkEnd w:id="4"/>
      <w:bookmarkEnd w:id="5"/>
      <w:bookmarkEnd w:id="8"/>
      <w:r w:rsidR="003C42BC" w:rsidRPr="008F5202">
        <w:t>Periodic heat transfer characteristics of additively manufactured lattices</w:t>
      </w:r>
      <w:bookmarkEnd w:id="7"/>
      <w:r w:rsidR="003C42BC" w:rsidRPr="008F5202">
        <w:t xml:space="preserve"> </w:t>
      </w:r>
    </w:p>
    <w:p w14:paraId="1F85A7E1" w14:textId="77777777" w:rsidR="004F08CE" w:rsidRPr="008F5202" w:rsidRDefault="004F08CE" w:rsidP="004F08CE">
      <w:pPr>
        <w:spacing w:line="360" w:lineRule="auto"/>
        <w:rPr>
          <w:rFonts w:ascii="Times New Roman" w:hAnsi="Times New Roman" w:cs="Times New Roman"/>
        </w:rPr>
      </w:pPr>
    </w:p>
    <w:p w14:paraId="658618AF" w14:textId="6F084D85" w:rsidR="00236E6D" w:rsidRPr="008F5202" w:rsidRDefault="003C42BC" w:rsidP="003C42BC">
      <w:pPr>
        <w:pStyle w:val="Heading2"/>
      </w:pPr>
      <w:bookmarkStart w:id="9" w:name="_Toc177758132"/>
      <w:r w:rsidRPr="008F5202">
        <w:t>Abstract</w:t>
      </w:r>
      <w:bookmarkEnd w:id="9"/>
    </w:p>
    <w:p w14:paraId="3C78665E" w14:textId="3A1272C9" w:rsidR="003C42BC" w:rsidRPr="008F5202" w:rsidRDefault="003C42BC" w:rsidP="00C15C10">
      <w:pPr>
        <w:spacing w:line="360" w:lineRule="auto"/>
        <w:rPr>
          <w:rFonts w:ascii="Times New Roman" w:eastAsia="Calibri" w:hAnsi="Times New Roman" w:cs="Times New Roman"/>
        </w:rPr>
      </w:pPr>
      <w:r w:rsidRPr="008F5202">
        <w:rPr>
          <w:rFonts w:ascii="Times New Roman" w:eastAsia="Calibri" w:hAnsi="Times New Roman" w:cs="Times New Roman"/>
        </w:rPr>
        <w:t xml:space="preserve">In the present study, the flow and heat transfer characteristics of lattices with four different unit cell topologies, namely, (a) Octet, (b) FD-Cube, (c) Tetrakaidecahedron (TKD), and (d) Cube were investigated with air as the working fluid. All the samples had the designed porosity of ~ 0.88 and unit cell size of 10 mm. The distribution of local heat transfer coefficient revealed that depending on the unit cell topology, the flow became thermally developed after travelling over five or six rows of unit cells in streamwise direction. The heat transfer coefficient values in thermally developed zones were similar for Octet, FD-Cube and TKD. Overall heat transfer coefficient provided by Octet, FD-Cube, and TKD was in the range of ~216 </w:t>
      </w:r>
      <m:oMath>
        <m:f>
          <m:fPr>
            <m:type m:val="lin"/>
            <m:ctrlPr>
              <w:rPr>
                <w:rFonts w:ascii="Cambria Math" w:eastAsia="Calibri" w:hAnsi="Cambria Math" w:cs="Times New Roman"/>
              </w:rPr>
            </m:ctrlPr>
          </m:fPr>
          <m:num>
            <m:r>
              <w:rPr>
                <w:rFonts w:ascii="Cambria Math" w:eastAsia="Calibri" w:hAnsi="Cambria Math" w:cs="Times New Roman"/>
              </w:rPr>
              <m:t>W</m:t>
            </m:r>
          </m:num>
          <m:den>
            <m:sSup>
              <m:sSupPr>
                <m:ctrlPr>
                  <w:rPr>
                    <w:rFonts w:ascii="Cambria Math" w:eastAsia="Calibri" w:hAnsi="Cambria Math" w:cs="Times New Roman"/>
                  </w:rPr>
                </m:ctrlPr>
              </m:sSupPr>
              <m:e>
                <m:r>
                  <w:rPr>
                    <w:rFonts w:ascii="Cambria Math" w:eastAsia="Calibri" w:hAnsi="Cambria Math" w:cs="Times New Roman"/>
                  </w:rPr>
                  <m:t>m</m:t>
                </m:r>
              </m:e>
              <m:sup>
                <m:r>
                  <m:rPr>
                    <m:sty m:val="p"/>
                  </m:rPr>
                  <w:rPr>
                    <w:rFonts w:ascii="Cambria Math" w:eastAsia="Calibri" w:hAnsi="Cambria Math" w:cs="Times New Roman"/>
                  </w:rPr>
                  <m:t>2</m:t>
                </m:r>
              </m:sup>
            </m:sSup>
            <m:r>
              <w:rPr>
                <w:rFonts w:ascii="Cambria Math" w:eastAsia="Calibri" w:hAnsi="Cambria Math" w:cs="Times New Roman"/>
              </w:rPr>
              <m:t>K</m:t>
            </m:r>
          </m:den>
        </m:f>
      </m:oMath>
      <w:r w:rsidRPr="008F5202">
        <w:rPr>
          <w:rFonts w:ascii="Times New Roman" w:eastAsia="Calibri" w:hAnsi="Times New Roman" w:cs="Times New Roman"/>
        </w:rPr>
        <w:t xml:space="preserve"> to 415</w:t>
      </w:r>
      <m:oMath>
        <m:r>
          <m:rPr>
            <m:sty m:val="p"/>
          </m:rPr>
          <w:rPr>
            <w:rFonts w:ascii="Cambria Math" w:eastAsia="Calibri" w:hAnsi="Cambria Math" w:cs="Times New Roman"/>
          </w:rPr>
          <m:t xml:space="preserve"> </m:t>
        </m:r>
        <m:f>
          <m:fPr>
            <m:type m:val="lin"/>
            <m:ctrlPr>
              <w:rPr>
                <w:rFonts w:ascii="Cambria Math" w:eastAsia="Calibri" w:hAnsi="Cambria Math" w:cs="Times New Roman"/>
              </w:rPr>
            </m:ctrlPr>
          </m:fPr>
          <m:num>
            <m:r>
              <w:rPr>
                <w:rFonts w:ascii="Cambria Math" w:eastAsia="Calibri" w:hAnsi="Cambria Math" w:cs="Times New Roman"/>
              </w:rPr>
              <m:t>W</m:t>
            </m:r>
          </m:num>
          <m:den>
            <m:sSup>
              <m:sSupPr>
                <m:ctrlPr>
                  <w:rPr>
                    <w:rFonts w:ascii="Cambria Math" w:eastAsia="Calibri" w:hAnsi="Cambria Math" w:cs="Times New Roman"/>
                  </w:rPr>
                </m:ctrlPr>
              </m:sSupPr>
              <m:e>
                <m:r>
                  <w:rPr>
                    <w:rFonts w:ascii="Cambria Math" w:eastAsia="Calibri" w:hAnsi="Cambria Math" w:cs="Times New Roman"/>
                  </w:rPr>
                  <m:t>m</m:t>
                </m:r>
              </m:e>
              <m:sup>
                <m:r>
                  <m:rPr>
                    <m:sty m:val="p"/>
                  </m:rPr>
                  <w:rPr>
                    <w:rFonts w:ascii="Cambria Math" w:eastAsia="Calibri" w:hAnsi="Cambria Math" w:cs="Times New Roman"/>
                  </w:rPr>
                  <m:t>2</m:t>
                </m:r>
              </m:sup>
            </m:sSup>
            <m:r>
              <w:rPr>
                <w:rFonts w:ascii="Cambria Math" w:eastAsia="Calibri" w:hAnsi="Cambria Math" w:cs="Times New Roman"/>
              </w:rPr>
              <m:t>K</m:t>
            </m:r>
          </m:den>
        </m:f>
      </m:oMath>
      <w:r w:rsidRPr="008F5202">
        <w:rPr>
          <w:rFonts w:ascii="Times New Roman" w:eastAsia="Calibri" w:hAnsi="Times New Roman" w:cs="Times New Roman"/>
        </w:rPr>
        <w:t xml:space="preserve"> and Cube yielded the lowest heat transfer coefficient values between 167</w:t>
      </w:r>
      <m:oMath>
        <m:f>
          <m:fPr>
            <m:type m:val="lin"/>
            <m:ctrlPr>
              <w:rPr>
                <w:rFonts w:ascii="Cambria Math" w:eastAsia="Calibri" w:hAnsi="Cambria Math" w:cs="Times New Roman"/>
              </w:rPr>
            </m:ctrlPr>
          </m:fPr>
          <m:num>
            <m:r>
              <m:rPr>
                <m:sty m:val="p"/>
              </m:rPr>
              <w:rPr>
                <w:rFonts w:ascii="Cambria Math" w:eastAsia="Calibri" w:hAnsi="Cambria Math" w:cs="Times New Roman"/>
              </w:rPr>
              <m:t xml:space="preserve"> </m:t>
            </m:r>
            <m:r>
              <w:rPr>
                <w:rFonts w:ascii="Cambria Math" w:eastAsia="Calibri" w:hAnsi="Cambria Math" w:cs="Times New Roman"/>
              </w:rPr>
              <m:t>W</m:t>
            </m:r>
          </m:num>
          <m:den>
            <m:sSup>
              <m:sSupPr>
                <m:ctrlPr>
                  <w:rPr>
                    <w:rFonts w:ascii="Cambria Math" w:eastAsia="Calibri" w:hAnsi="Cambria Math" w:cs="Times New Roman"/>
                  </w:rPr>
                </m:ctrlPr>
              </m:sSupPr>
              <m:e>
                <m:r>
                  <w:rPr>
                    <w:rFonts w:ascii="Cambria Math" w:eastAsia="Calibri" w:hAnsi="Cambria Math" w:cs="Times New Roman"/>
                  </w:rPr>
                  <m:t>m</m:t>
                </m:r>
              </m:e>
              <m:sup>
                <m:r>
                  <m:rPr>
                    <m:sty m:val="p"/>
                  </m:rPr>
                  <w:rPr>
                    <w:rFonts w:ascii="Cambria Math" w:eastAsia="Calibri" w:hAnsi="Cambria Math" w:cs="Times New Roman"/>
                  </w:rPr>
                  <m:t>2</m:t>
                </m:r>
              </m:sup>
            </m:sSup>
            <m:r>
              <w:rPr>
                <w:rFonts w:ascii="Cambria Math" w:eastAsia="Calibri" w:hAnsi="Cambria Math" w:cs="Times New Roman"/>
              </w:rPr>
              <m:t>K</m:t>
            </m:r>
          </m:den>
        </m:f>
      </m:oMath>
      <w:r w:rsidRPr="008F5202">
        <w:rPr>
          <w:rFonts w:ascii="Times New Roman" w:eastAsia="Calibri" w:hAnsi="Times New Roman" w:cs="Times New Roman"/>
        </w:rPr>
        <w:t xml:space="preserve"> and 290 </w:t>
      </w:r>
      <m:oMath>
        <m:f>
          <m:fPr>
            <m:type m:val="lin"/>
            <m:ctrlPr>
              <w:rPr>
                <w:rFonts w:ascii="Cambria Math" w:eastAsia="Calibri" w:hAnsi="Cambria Math" w:cs="Times New Roman"/>
              </w:rPr>
            </m:ctrlPr>
          </m:fPr>
          <m:num>
            <m:r>
              <w:rPr>
                <w:rFonts w:ascii="Cambria Math" w:eastAsia="Calibri" w:hAnsi="Cambria Math" w:cs="Times New Roman"/>
              </w:rPr>
              <m:t>W</m:t>
            </m:r>
          </m:num>
          <m:den>
            <m:sSup>
              <m:sSupPr>
                <m:ctrlPr>
                  <w:rPr>
                    <w:rFonts w:ascii="Cambria Math" w:eastAsia="Calibri" w:hAnsi="Cambria Math" w:cs="Times New Roman"/>
                  </w:rPr>
                </m:ctrlPr>
              </m:sSupPr>
              <m:e>
                <m:r>
                  <w:rPr>
                    <w:rFonts w:ascii="Cambria Math" w:eastAsia="Calibri" w:hAnsi="Cambria Math" w:cs="Times New Roman"/>
                  </w:rPr>
                  <m:t>m</m:t>
                </m:r>
              </m:e>
              <m:sup>
                <m:r>
                  <m:rPr>
                    <m:sty m:val="p"/>
                  </m:rPr>
                  <w:rPr>
                    <w:rFonts w:ascii="Cambria Math" w:eastAsia="Calibri" w:hAnsi="Cambria Math" w:cs="Times New Roman"/>
                  </w:rPr>
                  <m:t>2</m:t>
                </m:r>
              </m:sup>
            </m:sSup>
            <m:r>
              <w:rPr>
                <w:rFonts w:ascii="Cambria Math" w:eastAsia="Calibri" w:hAnsi="Cambria Math" w:cs="Times New Roman"/>
              </w:rPr>
              <m:t>K</m:t>
            </m:r>
          </m:den>
        </m:f>
        <m:r>
          <m:rPr>
            <m:sty m:val="p"/>
          </m:rPr>
          <w:rPr>
            <w:rFonts w:ascii="Cambria Math" w:eastAsia="Calibri" w:hAnsi="Cambria Math" w:cs="Times New Roman"/>
          </w:rPr>
          <m:t xml:space="preserve">. </m:t>
        </m:r>
      </m:oMath>
      <w:r w:rsidRPr="008F5202">
        <w:rPr>
          <w:rFonts w:ascii="Times New Roman" w:eastAsia="Calibri" w:hAnsi="Times New Roman" w:cs="Times New Roman"/>
        </w:rPr>
        <w:t xml:space="preserve"> Three different characteristic length scales, viz. (a) channel hydraulic diameter, (b) pore-diameter, and (c) fiber-diameter were used to define the Nusselt number. The usage of pore-scale dimensions such as pore-diameter and fiber-diameter provided a very coherent data set for Nusselt number of all the topologies which helped in deriving a single correlation for predicting the thermal performance. The lattices provided heat transfer augmentation of 10-20 times higher than the smooth channel counterparts. Amongst all the investigated topologies, FD-Cube incurred the highest and Cube yielded the lowest pressure drop. It was also observed that convective heat transfer coefficients obtained for different lattices can be conveniently reported in Nusselt number forms with pore </w:t>
      </w:r>
      <w:r w:rsidRPr="008F5202">
        <w:rPr>
          <w:rFonts w:ascii="Times New Roman" w:eastAsia="Calibri" w:hAnsi="Times New Roman" w:cs="Times New Roman"/>
        </w:rPr>
        <w:lastRenderedPageBreak/>
        <w:t xml:space="preserve">diameter and/or fiber diameters as reference length scales, where such Nusselt numbers for different lattice configurations converges to a single trendline when plotted against Reynolds numbers (also based on same reference length scales). We have provided a single correlation for Nusselt numbers as a function of Reynolds numbers which fits all the lattice configurations studied here. Finally, the thermal-hydraulic performance of lattices is reported which had similar magnitude levels for all the investigated topologies and a single correlation has been proposed for THP covering all the configurations of present study. The investigated topologies provided THP of ~ 3 at the lowest investigated Reynolds number. </w:t>
      </w:r>
    </w:p>
    <w:p w14:paraId="1847A7D5" w14:textId="77777777" w:rsidR="003C42BC" w:rsidRPr="008F5202" w:rsidRDefault="003C42BC" w:rsidP="003C42BC">
      <w:pPr>
        <w:rPr>
          <w:rFonts w:ascii="Times New Roman" w:hAnsi="Times New Roman" w:cs="Times New Roman"/>
        </w:rPr>
      </w:pPr>
    </w:p>
    <w:p w14:paraId="646DE962" w14:textId="7704864B" w:rsidR="00E91931" w:rsidRPr="008F5202" w:rsidRDefault="003C42BC" w:rsidP="003C42BC">
      <w:pPr>
        <w:pStyle w:val="Heading2"/>
      </w:pPr>
      <w:bookmarkStart w:id="10" w:name="_Toc420995902"/>
      <w:bookmarkStart w:id="11" w:name="_Toc422997489"/>
      <w:bookmarkStart w:id="12" w:name="_Toc427156472"/>
      <w:bookmarkStart w:id="13" w:name="_Toc177758133"/>
      <w:r w:rsidRPr="008F5202">
        <w:t>Introduction</w:t>
      </w:r>
      <w:bookmarkEnd w:id="10"/>
      <w:bookmarkEnd w:id="11"/>
      <w:bookmarkEnd w:id="12"/>
      <w:bookmarkEnd w:id="13"/>
    </w:p>
    <w:p w14:paraId="00498AD9" w14:textId="6F7A2044" w:rsidR="0026401C" w:rsidRPr="008F5202" w:rsidRDefault="0026401C" w:rsidP="0026401C">
      <w:pPr>
        <w:spacing w:line="360" w:lineRule="auto"/>
        <w:ind w:firstLine="284"/>
        <w:contextualSpacing/>
        <w:jc w:val="both"/>
        <w:rPr>
          <w:rFonts w:ascii="Times New Roman" w:eastAsia="Calibri" w:hAnsi="Times New Roman" w:cs="Times New Roman"/>
        </w:rPr>
      </w:pPr>
      <w:r w:rsidRPr="008F5202">
        <w:rPr>
          <w:rFonts w:ascii="Times New Roman" w:eastAsia="Calibri" w:hAnsi="Times New Roman" w:cs="Times New Roman"/>
        </w:rPr>
        <w:t>Open-cell metal foams are an effective medium to augment the dissipation of high heat fluxes in several engineering applications. Tortuous flow path enabled enhanced flow mixing combined with flow stagnation with randomly organized</w:t>
      </w:r>
      <w:r w:rsidRPr="008F5202">
        <w:rPr>
          <w:rFonts w:ascii="Times New Roman" w:eastAsia="Calibri" w:hAnsi="Times New Roman" w:cs="Times New Roman"/>
          <w:sz w:val="18"/>
          <w:szCs w:val="18"/>
        </w:rPr>
        <w:t xml:space="preserve"> </w:t>
      </w:r>
      <w:r w:rsidRPr="008F5202">
        <w:rPr>
          <w:rFonts w:ascii="Times New Roman" w:eastAsia="Calibri" w:hAnsi="Times New Roman" w:cs="Times New Roman"/>
        </w:rPr>
        <w:t xml:space="preserve">fibers yield in superior thermal transport. The resultant high interfacial heat transfer coefficient in combination with high effective thermal conductivity and specific surface area makes the open-cell metal foams promising candidates for modern-day heat exchangers. </w:t>
      </w:r>
      <w:bookmarkStart w:id="14" w:name="_Hlk91941381"/>
      <w:r w:rsidRPr="008F5202">
        <w:rPr>
          <w:rFonts w:ascii="Times New Roman" w:eastAsia="Calibri" w:hAnsi="Times New Roman" w:cs="Times New Roman"/>
        </w:rPr>
        <w:t xml:space="preserve">Various experimental studies have characterized the hydraulic and thermal properties of metal foams. The superior thermal performance of the metal foams is because of conjugate thermal exchange between the metal and fluid at pore-scale. The numerical prediction of this conjugate performance requires </w:t>
      </w:r>
      <w:r w:rsidRPr="008F5202">
        <w:rPr>
          <w:rFonts w:ascii="Times New Roman" w:eastAsia="Calibri" w:hAnsi="Times New Roman" w:cs="Times New Roman"/>
          <w:i/>
          <w:iCs/>
        </w:rPr>
        <w:t>a priori</w:t>
      </w:r>
      <w:r w:rsidRPr="008F5202">
        <w:rPr>
          <w:rFonts w:ascii="Times New Roman" w:eastAsia="Calibri" w:hAnsi="Times New Roman" w:cs="Times New Roman"/>
        </w:rPr>
        <w:t xml:space="preserve"> knowledge of the interfacial heat transfer coefficient for the closure of the governing equations dictated by local-thermal non equilibrium (LTNE) boundary condition. Estimation of interfacial heat transfer coefficient through numerical simulations by imposing either constant heat flux or constant temperature thermal condition on the fiber walls is convenient, but few experimental procedures such as single-blow transient technique and fin-efficiency methods have been adopted by several authors to evaluate the same </w:t>
      </w:r>
      <w:r w:rsidR="008E7EC0" w:rsidRPr="008F5202">
        <w:rPr>
          <w:rFonts w:ascii="Times New Roman" w:eastAsia="Aptos" w:hAnsi="Times New Roman" w:cs="Times New Roman"/>
          <w14:ligatures w14:val="standardContextual"/>
        </w:rPr>
        <w:t>[2</w:t>
      </w:r>
      <w:r w:rsidRPr="008F5202">
        <w:rPr>
          <w:rFonts w:ascii="Times New Roman" w:eastAsia="Aptos" w:hAnsi="Times New Roman" w:cs="Times New Roman"/>
          <w14:ligatures w14:val="standardContextual"/>
        </w:rPr>
        <w:t>.1–</w:t>
      </w:r>
      <w:r w:rsidR="008E7EC0" w:rsidRPr="008F5202">
        <w:rPr>
          <w:rFonts w:ascii="Times New Roman" w:eastAsia="Aptos" w:hAnsi="Times New Roman" w:cs="Times New Roman"/>
          <w14:ligatures w14:val="standardContextual"/>
        </w:rPr>
        <w:t>2</w:t>
      </w:r>
      <w:r w:rsidRPr="008F5202">
        <w:rPr>
          <w:rFonts w:ascii="Times New Roman" w:eastAsia="Aptos" w:hAnsi="Times New Roman" w:cs="Times New Roman"/>
          <w14:ligatures w14:val="standardContextual"/>
        </w:rPr>
        <w:t>.3]</w:t>
      </w:r>
      <w:r w:rsidRPr="008F5202">
        <w:rPr>
          <w:rFonts w:ascii="Times New Roman" w:eastAsia="Calibri" w:hAnsi="Times New Roman" w:cs="Times New Roman"/>
        </w:rPr>
        <w:t>.</w:t>
      </w:r>
      <w:bookmarkEnd w:id="14"/>
      <w:r w:rsidRPr="008F5202">
        <w:rPr>
          <w:rFonts w:ascii="Times New Roman" w:eastAsia="Calibri" w:hAnsi="Times New Roman" w:cs="Times New Roman"/>
        </w:rPr>
        <w:t xml:space="preserve">The mechanical and shock-absorbing capabilities of the metal-foams are also well known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.4]</w:t>
      </w:r>
      <w:r w:rsidRPr="008F5202">
        <w:rPr>
          <w:rFonts w:ascii="Times New Roman" w:eastAsia="Calibri" w:hAnsi="Times New Roman" w:cs="Times New Roman"/>
        </w:rPr>
        <w:t xml:space="preserve"> which further extends their viability in applications demanding superior mechanical strength. Numerous studies in the past have been dedicated to understanding the thermal exchange processes in metal foams and quantifying the </w:t>
      </w:r>
      <w:r w:rsidRPr="008F5202">
        <w:rPr>
          <w:rFonts w:ascii="Times New Roman" w:eastAsia="Calibri" w:hAnsi="Times New Roman" w:cs="Times New Roman"/>
        </w:rPr>
        <w:lastRenderedPageBreak/>
        <w:t xml:space="preserve">associated parameters. Comprehensive reviews on these investigations have been provided by several authors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.5</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.6]</w:t>
      </w:r>
      <w:r w:rsidRPr="008F5202">
        <w:rPr>
          <w:rFonts w:ascii="Times New Roman" w:eastAsia="Calibri" w:hAnsi="Times New Roman" w:cs="Times New Roman"/>
        </w:rPr>
        <w:t>.</w:t>
      </w:r>
    </w:p>
    <w:p w14:paraId="2060525E" w14:textId="2786292F" w:rsidR="0026401C" w:rsidRPr="008F5202" w:rsidRDefault="0026401C" w:rsidP="0026401C">
      <w:pPr>
        <w:spacing w:line="360" w:lineRule="auto"/>
        <w:ind w:firstLine="284"/>
        <w:contextualSpacing/>
        <w:jc w:val="both"/>
        <w:rPr>
          <w:rFonts w:ascii="Times New Roman" w:eastAsia="Calibri" w:hAnsi="Times New Roman" w:cs="Times New Roman"/>
        </w:rPr>
      </w:pPr>
      <w:r w:rsidRPr="008F5202">
        <w:rPr>
          <w:rFonts w:ascii="Times New Roman" w:eastAsia="Calibri" w:hAnsi="Times New Roman" w:cs="Times New Roman"/>
        </w:rPr>
        <w:t xml:space="preserve">The performance of metal foams made through traditional </w:t>
      </w:r>
      <w:r w:rsidRPr="008F5202">
        <w:rPr>
          <w:rFonts w:ascii="Times New Roman" w:eastAsia="Calibri" w:hAnsi="Times New Roman" w:cs="Times New Roman"/>
          <w:i/>
          <w:iCs/>
        </w:rPr>
        <w:t xml:space="preserve">‘foaming’ </w:t>
      </w:r>
      <w:r w:rsidRPr="008F5202">
        <w:rPr>
          <w:rFonts w:ascii="Times New Roman" w:eastAsia="Calibri" w:hAnsi="Times New Roman" w:cs="Times New Roman"/>
        </w:rPr>
        <w:t xml:space="preserve">process is limited by several factors such as limited user control over unit cell topology, pore and fiber diameters, the inherent need for bonding agent at the fiber-endwall interface, etc. On the other hand, well-defined geometry, and periodic three-dimensional arrangement of a known Representative Unit Cell (RUC) are emerging as an alternative. Sandwich-type truss panels composed of Tetrahedral, Pyramidal, and Kagome shaped RUCs became very popular for their mechanical load bearing capabilities. The hydraulic and thermal characteristics of these structures were later reported by several researchers. A comprehensive review of these investigations can be found in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.7]</w:t>
      </w:r>
      <w:r w:rsidRPr="008F5202">
        <w:rPr>
          <w:rFonts w:ascii="Times New Roman" w:eastAsia="Calibri" w:hAnsi="Times New Roman" w:cs="Times New Roman"/>
        </w:rPr>
        <w:t xml:space="preserve">. Recently, flow losses and heat transfer properties of X-lattice core sandwich configuration were investigated by Yan et al.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.8</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.9]</w:t>
      </w:r>
      <w:r w:rsidRPr="008F5202">
        <w:rPr>
          <w:rFonts w:ascii="Times New Roman" w:eastAsia="Calibri" w:hAnsi="Times New Roman" w:cs="Times New Roman"/>
        </w:rPr>
        <w:t xml:space="preserve">. These lattices can be manufactured via wire-weaving, stamping, investment-casting, and sheet-folding techniques. Although these traditional techniques are capable of producing regular patterns of RUCs, the reticulation in three-dimensional block configuration becomes challenging with increasing complexity of the RUC architecture. Also, one has to still resort to brazing, welding, or some bonding agent to ensure perfect thermal contact of these traditionally manufactured regular lattices with the endwall. </w:t>
      </w:r>
    </w:p>
    <w:p w14:paraId="2A44A815" w14:textId="5C6A0F55" w:rsidR="0026401C" w:rsidRPr="008F5202" w:rsidRDefault="0026401C" w:rsidP="0026401C">
      <w:pPr>
        <w:spacing w:line="360" w:lineRule="auto"/>
        <w:ind w:firstLine="284"/>
        <w:contextualSpacing/>
        <w:jc w:val="both"/>
        <w:rPr>
          <w:rFonts w:ascii="Times New Roman" w:eastAsia="Calibri" w:hAnsi="Times New Roman" w:cs="Times New Roman"/>
        </w:rPr>
      </w:pPr>
      <w:r w:rsidRPr="008F5202">
        <w:rPr>
          <w:rFonts w:ascii="Times New Roman" w:eastAsia="Calibri" w:hAnsi="Times New Roman" w:cs="Times New Roman"/>
        </w:rPr>
        <w:t xml:space="preserve">Recent progress in metal additive manufacturing (AM) processes such as Binder Jetting, Direct Metal Laser Sintering (DMLS), and Selective Laser Melting (SLM) provides not only an opportunity to fabricate a monolithic structure of the lattice and endwall but also allows the construction of architecturally more complex and advanced RUCs. The increased user control due to CAD software and program-based working interface with the 3D printing machines makes the AM an attractive alternative to conventional metal foam fabrication technologies. Several topologies such as Octet, Rhombic-dodecahedron, Rhombi-octet, Face-centered cube (FCC), etc. are being investigated actively under the scenarios of forced convection, pool boiling, and buoyancy-driven flows. These lattices exhibit superior mechanical properties, for e.g., Octet demonstrates stretch-dominated deformation as opposed to the wall-bending failure mode of the stochastic metal foams under uniaxial loading conditions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.10]</w:t>
      </w:r>
      <w:r w:rsidRPr="008F5202">
        <w:rPr>
          <w:rFonts w:ascii="Times New Roman" w:eastAsia="Calibri" w:hAnsi="Times New Roman" w:cs="Times New Roman"/>
        </w:rPr>
        <w:t xml:space="preserve">. A detailed analysis of the thermal-hydraulic </w:t>
      </w:r>
      <w:r w:rsidRPr="008F5202">
        <w:rPr>
          <w:rFonts w:ascii="Times New Roman" w:eastAsia="Calibri" w:hAnsi="Times New Roman" w:cs="Times New Roman"/>
        </w:rPr>
        <w:lastRenderedPageBreak/>
        <w:t xml:space="preserve">performance of these structures has been reported by Kaur and Singh in prior investigations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.7</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.11]</w:t>
      </w:r>
      <w:r w:rsidRPr="008F5202">
        <w:rPr>
          <w:rFonts w:ascii="Times New Roman" w:eastAsia="Calibri" w:hAnsi="Times New Roman" w:cs="Times New Roman"/>
        </w:rPr>
        <w:t xml:space="preserve">. Critical review presented by the authors in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.7</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.11]</w:t>
      </w:r>
      <w:r w:rsidRPr="008F5202">
        <w:rPr>
          <w:rFonts w:ascii="Times New Roman" w:eastAsia="Calibri" w:hAnsi="Times New Roman" w:cs="Times New Roman"/>
        </w:rPr>
        <w:t xml:space="preserve"> articulated the limitations of AM technologies from the perspective of lattice construction for heat exchange applications. One of the challenges of these technologies is the inferior surface quality that is rendered to the lattices. The surface roughness profiles can significantly influence the heat transfer at the smaller realizable dimensional scales. The hydraulic and heat transfer results reported for an RUC lattice block built in a particular material with a selected AM process can vary from the exact same RUC lattice manufactured in same material but with a different AM process. Despite various limitations imposed by state-of-the-art AM technologies on fabrication of lattices with complex topologies, this topic should still be explored from the heat transfer perspective and efforts should be made towards quantifying the effects of roughness on local heat transfer. While AM field is witnessing rapid advancements, it is expected in near future that complex and smaller length scale unit cell topologies could be fabricated in alloys suitable for high temperature applications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.12</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.13]</w:t>
      </w:r>
      <w:r w:rsidRPr="008F5202">
        <w:rPr>
          <w:rFonts w:ascii="Times New Roman" w:eastAsia="Calibri" w:hAnsi="Times New Roman" w:cs="Times New Roman"/>
        </w:rPr>
        <w:t xml:space="preserve"> </w:t>
      </w:r>
    </w:p>
    <w:p w14:paraId="26F0FDE1" w14:textId="4523B0C5" w:rsidR="0026401C" w:rsidRPr="008F5202" w:rsidRDefault="0026401C" w:rsidP="0026401C">
      <w:pPr>
        <w:spacing w:line="360" w:lineRule="auto"/>
        <w:ind w:firstLine="284"/>
        <w:contextualSpacing/>
        <w:jc w:val="both"/>
        <w:rPr>
          <w:rFonts w:ascii="Times New Roman" w:eastAsia="Calibri" w:hAnsi="Times New Roman" w:cs="Times New Roman"/>
        </w:rPr>
      </w:pPr>
      <w:r w:rsidRPr="008F5202">
        <w:rPr>
          <w:rFonts w:ascii="Times New Roman" w:eastAsia="Calibri" w:hAnsi="Times New Roman" w:cs="Times New Roman"/>
        </w:rPr>
        <w:t xml:space="preserve">The experimental investigations on the metal foams and additively manufactured lattices typically report the mean flow and heat transfer properties. The common characteristics that are reported include pressure gradient, permeability, inertial coefficient, effective thermal conductivity, and endwall heat transfer coefficient. Correlations for predicting these variables and interfacial heat transfer coefficient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.14]</w:t>
      </w:r>
      <w:r w:rsidRPr="008F5202">
        <w:rPr>
          <w:rFonts w:ascii="Times New Roman" w:eastAsia="Calibri" w:hAnsi="Times New Roman" w:cs="Times New Roman"/>
        </w:rPr>
        <w:t xml:space="preserve"> have been proposed by several authors. The volume-averaged and pore-scale direct simulations have been extensively conducted to analyze the local flow and heat transfer phenomenon in metal foams. In volume-averaged simulations, the mean geometrical and thermo-physical properties of metal foam/fluid are used to solve for the temperature and velocity fields whereas in direct simulations, the actual pore-scale geometry is simulated. For periodic lattices, the pore-scale numerical investigations are convenient for well-defined RUCs. These numerical simulations are the primary source for analyzing the development of local flow and thermal features in metal foams and lattices. Very few experimental studies have discussed the thermal development of the flows in metal foams, and, to the best of author’s knowledge such studies are not present for the additively manufactured lattices. </w:t>
      </w:r>
    </w:p>
    <w:p w14:paraId="064868D3" w14:textId="6DBAFD1E" w:rsidR="0026401C" w:rsidRPr="008F5202" w:rsidRDefault="0026401C" w:rsidP="0026401C">
      <w:pPr>
        <w:spacing w:line="360" w:lineRule="auto"/>
        <w:ind w:firstLine="284"/>
        <w:contextualSpacing/>
        <w:jc w:val="both"/>
        <w:rPr>
          <w:rFonts w:ascii="Times New Roman" w:hAnsi="Times New Roman" w:cs="Times New Roman"/>
        </w:rPr>
      </w:pPr>
      <w:r w:rsidRPr="008F5202">
        <w:rPr>
          <w:rFonts w:ascii="Times New Roman" w:eastAsia="Calibri" w:hAnsi="Times New Roman" w:cs="Times New Roman"/>
        </w:rPr>
        <w:lastRenderedPageBreak/>
        <w:t xml:space="preserve">Dukhan et al.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.15]</w:t>
      </w:r>
      <w:r w:rsidRPr="008F5202">
        <w:rPr>
          <w:rFonts w:ascii="Times New Roman" w:eastAsia="Calibri" w:hAnsi="Times New Roman" w:cs="Times New Roman"/>
        </w:rPr>
        <w:t xml:space="preserve"> conducted steady-state heat transfer experiments on an aluminum foam (porosity </w:t>
      </w:r>
      <m:oMath>
        <m:r>
          <w:rPr>
            <w:rFonts w:ascii="Cambria Math" w:eastAsia="Calibri" w:hAnsi="Cambria Math" w:cs="Times New Roman"/>
          </w:rPr>
          <m:t>ε</m:t>
        </m:r>
      </m:oMath>
      <w:r w:rsidRPr="008F5202">
        <w:rPr>
          <w:rFonts w:ascii="Times New Roman" w:eastAsia="Calibri" w:hAnsi="Times New Roman" w:cs="Times New Roman"/>
        </w:rPr>
        <w:t xml:space="preserve">~ 0.876, 20 ppi) cylinder subjected to constant heat flux boundary condition with water as the working fluid. A wide range of mass flow rates was tested which spanned from Darcy to non-Darcy regime. In Darcy regime, the pressure gradient shows linear dependence on the mean flow velocity whereas in non-Darcy regime, the relationship becomes quadratic in nature due to inertial effects. The cylinder in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.15]</w:t>
      </w:r>
      <w:r w:rsidRPr="008F5202">
        <w:rPr>
          <w:rFonts w:ascii="Times New Roman" w:eastAsia="Calibri" w:hAnsi="Times New Roman" w:cs="Times New Roman"/>
        </w:rPr>
        <w:t xml:space="preserve"> had sufficient length in the mean flow direction to achieve thermally and hydrodynamically developed flow. Thermal entry length for Darcy flow was about two tube diameters irrespective of the mass flow rate. The Nusselt number in the fully developed region for Darcy flow was a constant value of ~124 and in non-Darcy regime the Nusselt number scaled with Reynolds number as Nu ~ </w:t>
      </w:r>
      <m:oMath>
        <m:r>
          <w:rPr>
            <w:rFonts w:ascii="Cambria Math" w:eastAsia="Calibri" w:hAnsi="Cambria Math" w:cs="Times New Roman"/>
          </w:rPr>
          <m:t>R</m:t>
        </m:r>
        <m:sSup>
          <m:sSupPr>
            <m:ctrlPr>
              <w:rPr>
                <w:rFonts w:ascii="Cambria Math" w:eastAsia="Calibri" w:hAnsi="Cambria Math" w:cs="Times New Roman"/>
                <w:i/>
              </w:rPr>
            </m:ctrlPr>
          </m:sSupPr>
          <m:e>
            <m:r>
              <w:rPr>
                <w:rFonts w:ascii="Cambria Math" w:eastAsia="Calibri" w:hAnsi="Cambria Math" w:cs="Times New Roman"/>
              </w:rPr>
              <m:t>e</m:t>
            </m:r>
          </m:e>
          <m:sup>
            <m:r>
              <w:rPr>
                <w:rFonts w:ascii="Cambria Math" w:eastAsia="Calibri" w:hAnsi="Cambria Math" w:cs="Times New Roman"/>
              </w:rPr>
              <m:t>0.53</m:t>
            </m:r>
          </m:sup>
        </m:sSup>
      </m:oMath>
      <w:r w:rsidRPr="008F5202">
        <w:rPr>
          <w:rFonts w:ascii="Times New Roman" w:hAnsi="Times New Roman" w:cs="Times New Roman"/>
        </w:rPr>
        <w:t xml:space="preserve">. In a different study, Arbak et al.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.16]</w:t>
      </w:r>
      <w:r w:rsidRPr="008F5202">
        <w:rPr>
          <w:rFonts w:ascii="Times New Roman" w:hAnsi="Times New Roman" w:cs="Times New Roman"/>
        </w:rPr>
        <w:t xml:space="preserve"> showed that 10- and 40- ppi samples (</w:t>
      </w:r>
      <m:oMath>
        <m:r>
          <w:rPr>
            <w:rFonts w:ascii="Cambria Math" w:eastAsia="Calibri" w:hAnsi="Cambria Math" w:cs="Times New Roman"/>
          </w:rPr>
          <m:t>ε</m:t>
        </m:r>
      </m:oMath>
      <w:r w:rsidRPr="008F5202">
        <w:rPr>
          <w:rFonts w:ascii="Times New Roman" w:eastAsia="Calibri" w:hAnsi="Times New Roman" w:cs="Times New Roman"/>
        </w:rPr>
        <w:t xml:space="preserve">~ 0.885) </w:t>
      </w:r>
      <w:r w:rsidRPr="008F5202">
        <w:rPr>
          <w:rFonts w:ascii="Times New Roman" w:hAnsi="Times New Roman" w:cs="Times New Roman"/>
        </w:rPr>
        <w:t xml:space="preserve">in a cylinder </w:t>
      </w:r>
      <w:r w:rsidRPr="008F5202">
        <w:rPr>
          <w:rFonts w:ascii="Times New Roman" w:eastAsia="Calibri" w:hAnsi="Times New Roman" w:cs="Times New Roman"/>
        </w:rPr>
        <w:t>had thermal entry length of 2.9 pipe diameters and 2.4 diameters, respectively, with water as the working fluid.</w:t>
      </w:r>
      <w:r w:rsidRPr="008F5202">
        <w:rPr>
          <w:rFonts w:ascii="Times New Roman" w:hAnsi="Times New Roman" w:cs="Times New Roman"/>
        </w:rPr>
        <w:t xml:space="preserve"> Noh et al.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.17]</w:t>
      </w:r>
      <w:r w:rsidRPr="008F5202">
        <w:rPr>
          <w:rFonts w:ascii="Times New Roman" w:hAnsi="Times New Roman" w:cs="Times New Roman"/>
        </w:rPr>
        <w:t xml:space="preserve"> used water as the working fluid and investigated an annulus filled with aluminum foam (</w:t>
      </w:r>
      <m:oMath>
        <m:r>
          <w:rPr>
            <w:rFonts w:ascii="Cambria Math" w:hAnsi="Cambria Math" w:cs="Times New Roman"/>
          </w:rPr>
          <m:t>ε</m:t>
        </m:r>
      </m:oMath>
      <w:r w:rsidRPr="008F5202">
        <w:rPr>
          <w:rFonts w:ascii="Times New Roman" w:hAnsi="Times New Roman" w:cs="Times New Roman"/>
        </w:rPr>
        <w:t xml:space="preserve">~0.90, 10 ppi) within non-Darcy regime. The Nusselt number showed decreasing trend for the entire length of the sample indicating that the flow was in developing state. Finally, the authors proposed a correlation for the Nusselt number as a function of Reynolds number, Prandtl number, and Darcy number. </w:t>
      </w:r>
    </w:p>
    <w:p w14:paraId="22EA1017" w14:textId="2FE41BFA" w:rsidR="0026401C" w:rsidRPr="008F5202" w:rsidRDefault="0026401C" w:rsidP="0026401C">
      <w:pPr>
        <w:spacing w:line="360" w:lineRule="auto"/>
        <w:ind w:firstLine="284"/>
        <w:contextualSpacing/>
        <w:jc w:val="both"/>
        <w:rPr>
          <w:rFonts w:ascii="Times New Roman" w:hAnsi="Times New Roman" w:cs="Times New Roman"/>
        </w:rPr>
      </w:pPr>
      <w:r w:rsidRPr="008F5202">
        <w:rPr>
          <w:rFonts w:ascii="Times New Roman" w:hAnsi="Times New Roman" w:cs="Times New Roman"/>
        </w:rPr>
        <w:t xml:space="preserve">Hooman et al.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.18]</w:t>
      </w:r>
      <w:r w:rsidRPr="008F5202">
        <w:rPr>
          <w:rFonts w:ascii="Times New Roman" w:hAnsi="Times New Roman" w:cs="Times New Roman"/>
        </w:rPr>
        <w:t xml:space="preserve"> and Haji-Sheikh et al.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.19]</w:t>
      </w:r>
      <w:r w:rsidRPr="008F5202">
        <w:rPr>
          <w:rFonts w:ascii="Times New Roman" w:hAnsi="Times New Roman" w:cs="Times New Roman"/>
        </w:rPr>
        <w:t xml:space="preserve"> performed numerical investigations on the thermal development phenomenon in porous media. Iasiello et al.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.20]</w:t>
      </w:r>
      <w:r w:rsidRPr="008F5202">
        <w:rPr>
          <w:rFonts w:ascii="Times New Roman" w:hAnsi="Times New Roman" w:cs="Times New Roman"/>
        </w:rPr>
        <w:t xml:space="preserve"> analyzed thermally developing flows in metal foams by conducting direct pore-scale simulations on an array of Kelvin structure (</w:t>
      </w:r>
      <m:oMath>
        <m:r>
          <w:rPr>
            <w:rFonts w:ascii="Cambria Math" w:hAnsi="Cambria Math" w:cs="Times New Roman"/>
          </w:rPr>
          <m:t>ε</m:t>
        </m:r>
      </m:oMath>
      <w:r w:rsidRPr="008F5202">
        <w:rPr>
          <w:rFonts w:ascii="Times New Roman" w:hAnsi="Times New Roman" w:cs="Times New Roman"/>
        </w:rPr>
        <w:t xml:space="preserve">~0.87). Non-conjugate simulations were performed where constant heat flux boundary condition was imposed on the fiber walls of the Kelvin cells. Kelvin structure used in this investigation is a commonly employed representative topology for the stochastic metal foams. The authors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.20]</w:t>
      </w:r>
      <w:r w:rsidRPr="008F5202">
        <w:rPr>
          <w:rFonts w:ascii="Times New Roman" w:hAnsi="Times New Roman" w:cs="Times New Roman"/>
        </w:rPr>
        <w:t xml:space="preserve"> proposed correlation for the Nusselt number in the thermally developed region as a function of Reynolds number and porosity as </w:t>
      </w:r>
      <w:r w:rsidRPr="008F5202">
        <w:rPr>
          <w:rFonts w:ascii="Times New Roman" w:eastAsia="Calibri" w:hAnsi="Times New Roman" w:cs="Times New Roman"/>
        </w:rPr>
        <w:t xml:space="preserve">Nu ~ </w:t>
      </w:r>
      <m:oMath>
        <m:r>
          <w:rPr>
            <w:rFonts w:ascii="Cambria Math" w:eastAsia="Calibri" w:hAnsi="Cambria Math" w:cs="Times New Roman"/>
          </w:rPr>
          <m:t>R</m:t>
        </m:r>
        <m:sSup>
          <m:sSupPr>
            <m:ctrlPr>
              <w:rPr>
                <w:rFonts w:ascii="Cambria Math" w:eastAsia="Calibri" w:hAnsi="Cambria Math" w:cs="Times New Roman"/>
                <w:i/>
              </w:rPr>
            </m:ctrlPr>
          </m:sSupPr>
          <m:e>
            <m:r>
              <w:rPr>
                <w:rFonts w:ascii="Cambria Math" w:eastAsia="Calibri" w:hAnsi="Cambria Math" w:cs="Times New Roman"/>
              </w:rPr>
              <m:t>e</m:t>
            </m:r>
          </m:e>
          <m:sup>
            <m:r>
              <w:rPr>
                <w:rFonts w:ascii="Cambria Math" w:eastAsia="Calibri" w:hAnsi="Cambria Math" w:cs="Times New Roman"/>
              </w:rPr>
              <m:t>0.454</m:t>
            </m:r>
          </m:sup>
        </m:sSup>
        <m:sSup>
          <m:sSupPr>
            <m:ctrlPr>
              <w:rPr>
                <w:rFonts w:ascii="Cambria Math" w:eastAsia="Calibri" w:hAnsi="Cambria Math" w:cs="Times New Roman"/>
                <w:i/>
              </w:rPr>
            </m:ctrlPr>
          </m:sSupPr>
          <m:e>
            <m:r>
              <w:rPr>
                <w:rFonts w:ascii="Cambria Math" w:eastAsia="Calibri" w:hAnsi="Cambria Math" w:cs="Times New Roman"/>
              </w:rPr>
              <m:t>ε</m:t>
            </m:r>
          </m:e>
          <m:sup>
            <m:r>
              <w:rPr>
                <w:rFonts w:ascii="Cambria Math" w:eastAsia="Calibri" w:hAnsi="Cambria Math" w:cs="Times New Roman"/>
              </w:rPr>
              <m:t>0.1644</m:t>
            </m:r>
          </m:sup>
        </m:sSup>
      </m:oMath>
      <w:r w:rsidRPr="008F5202">
        <w:rPr>
          <w:rFonts w:ascii="Times New Roman" w:hAnsi="Times New Roman" w:cs="Times New Roman"/>
        </w:rPr>
        <w:t xml:space="preserve">. Similar computational modelling procedure was followed by Wu et al.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.21]</w:t>
      </w:r>
      <w:r w:rsidRPr="008F5202">
        <w:rPr>
          <w:rFonts w:ascii="Times New Roman" w:hAnsi="Times New Roman" w:cs="Times New Roman"/>
        </w:rPr>
        <w:t xml:space="preserve"> to determine the thermal development effects in an array of Tetrakaidecahedron (similar to Kelvin cell with slight variations in fiber curvature) cell with isothermal boundary conditions. The authors proposed correlations for the local heat transfer </w:t>
      </w:r>
      <w:r w:rsidRPr="008F5202">
        <w:rPr>
          <w:rFonts w:ascii="Times New Roman" w:hAnsi="Times New Roman" w:cs="Times New Roman"/>
        </w:rPr>
        <w:lastRenderedPageBreak/>
        <w:t xml:space="preserve">coefficient as </w:t>
      </w:r>
      <w:r w:rsidRPr="008F5202">
        <w:rPr>
          <w:rFonts w:ascii="Times New Roman" w:eastAsia="Calibri" w:hAnsi="Times New Roman" w:cs="Times New Roman"/>
        </w:rPr>
        <w:t xml:space="preserve"> </w:t>
      </w:r>
      <m:oMath>
        <m:r>
          <w:rPr>
            <w:rFonts w:ascii="Cambria Math" w:eastAsia="Calibri" w:hAnsi="Cambria Math" w:cs="Times New Roman"/>
          </w:rPr>
          <m:t>N</m:t>
        </m:r>
        <m:sSub>
          <m:sSubPr>
            <m:ctrlPr>
              <w:rPr>
                <w:rFonts w:ascii="Cambria Math" w:eastAsia="Calibri" w:hAnsi="Cambria Math" w:cs="Times New Roman"/>
                <w:i/>
              </w:rPr>
            </m:ctrlPr>
          </m:sSubPr>
          <m:e>
            <m:r>
              <w:rPr>
                <w:rFonts w:ascii="Cambria Math" w:eastAsia="Calibri" w:hAnsi="Cambria Math" w:cs="Times New Roman"/>
              </w:rPr>
              <m:t>u</m:t>
            </m:r>
          </m:e>
          <m:sub>
            <m:r>
              <w:rPr>
                <w:rFonts w:ascii="Cambria Math" w:eastAsia="Calibri" w:hAnsi="Cambria Math" w:cs="Times New Roman"/>
              </w:rPr>
              <m:t>l</m:t>
            </m:r>
          </m:sub>
        </m:sSub>
      </m:oMath>
      <w:r w:rsidRPr="008F5202">
        <w:rPr>
          <w:rFonts w:ascii="Times New Roman" w:eastAsia="Calibri" w:hAnsi="Times New Roman" w:cs="Times New Roman"/>
        </w:rPr>
        <w:t>~</w:t>
      </w:r>
      <m:oMath>
        <m:r>
          <w:rPr>
            <w:rFonts w:ascii="Cambria Math" w:eastAsia="Calibri" w:hAnsi="Cambria Math" w:cs="Times New Roman"/>
          </w:rPr>
          <m:t xml:space="preserve"> R</m:t>
        </m:r>
        <m:sSup>
          <m:sSupPr>
            <m:ctrlPr>
              <w:rPr>
                <w:rFonts w:ascii="Cambria Math" w:eastAsia="Calibri" w:hAnsi="Cambria Math" w:cs="Times New Roman"/>
                <w:i/>
              </w:rPr>
            </m:ctrlPr>
          </m:sSupPr>
          <m:e>
            <m:r>
              <w:rPr>
                <w:rFonts w:ascii="Cambria Math" w:eastAsia="Calibri" w:hAnsi="Cambria Math" w:cs="Times New Roman"/>
              </w:rPr>
              <m:t>e</m:t>
            </m:r>
          </m:e>
          <m:sup>
            <m:r>
              <w:rPr>
                <w:rFonts w:ascii="Cambria Math" w:eastAsia="Calibri" w:hAnsi="Cambria Math" w:cs="Times New Roman"/>
              </w:rPr>
              <m:t>0.438</m:t>
            </m:r>
          </m:sup>
        </m:sSup>
        <m:sSup>
          <m:sSupPr>
            <m:ctrlPr>
              <w:rPr>
                <w:rFonts w:ascii="Cambria Math" w:eastAsia="Calibri" w:hAnsi="Cambria Math" w:cs="Times New Roman"/>
                <w:i/>
              </w:rPr>
            </m:ctrlPr>
          </m:sSupPr>
          <m:e>
            <m:r>
              <w:rPr>
                <w:rFonts w:ascii="Cambria Math" w:eastAsia="Calibri" w:hAnsi="Cambria Math" w:cs="Times New Roman"/>
              </w:rPr>
              <m:t>ε</m:t>
            </m:r>
          </m:e>
          <m:sup>
            <m:r>
              <w:rPr>
                <w:rFonts w:ascii="Cambria Math" w:eastAsia="Calibri" w:hAnsi="Cambria Math" w:cs="Times New Roman"/>
              </w:rPr>
              <m:t>0.38</m:t>
            </m:r>
          </m:sup>
        </m:sSup>
      </m:oMath>
      <w:r w:rsidRPr="008F5202">
        <w:rPr>
          <w:rFonts w:ascii="Times New Roman" w:hAnsi="Times New Roman" w:cs="Times New Roman"/>
        </w:rPr>
        <w:t xml:space="preserve">. Suleiman and Dukhan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.22]</w:t>
      </w:r>
      <w:r w:rsidRPr="008F5202">
        <w:rPr>
          <w:rFonts w:ascii="Times New Roman" w:hAnsi="Times New Roman" w:cs="Times New Roman"/>
        </w:rPr>
        <w:t xml:space="preserve"> also used idealized cell similar to Kelvin structure (</w:t>
      </w:r>
      <m:oMath>
        <m:r>
          <w:rPr>
            <w:rFonts w:ascii="Cambria Math" w:hAnsi="Cambria Math" w:cs="Times New Roman"/>
          </w:rPr>
          <m:t>ε</m:t>
        </m:r>
      </m:oMath>
      <w:r w:rsidRPr="008F5202">
        <w:rPr>
          <w:rFonts w:ascii="Times New Roman" w:hAnsi="Times New Roman" w:cs="Times New Roman"/>
        </w:rPr>
        <w:t xml:space="preserve">~0.949, 20 ppi) arranged in a two-dimensional array to analyze the thermal entrance region effects in the Darcy regime. Conjugate simulations with the constant heat flux boundary condition on the base wall attached to the array were performed. The authors concluded that thermally developing region extended up to ~ 30 cells in the streamwise direction from the entrance. </w:t>
      </w:r>
    </w:p>
    <w:p w14:paraId="6351F95D" w14:textId="4D896415" w:rsidR="004F08CE" w:rsidRPr="008F5202" w:rsidRDefault="0026401C" w:rsidP="00CF64CA">
      <w:pPr>
        <w:spacing w:line="360" w:lineRule="auto"/>
        <w:ind w:firstLine="284"/>
        <w:contextualSpacing/>
        <w:jc w:val="both"/>
        <w:rPr>
          <w:rFonts w:ascii="Times New Roman" w:hAnsi="Times New Roman" w:cs="Times New Roman"/>
        </w:rPr>
      </w:pPr>
      <w:r w:rsidRPr="008F5202">
        <w:rPr>
          <w:rFonts w:ascii="Times New Roman" w:hAnsi="Times New Roman" w:cs="Times New Roman"/>
        </w:rPr>
        <w:t xml:space="preserve">Several studies related to porous media exist and few significant studies assess the effects of thermally developing flows at the entrance of the test samples. In many scenarios, such as in electronic components where the space constraints strictly allow very compact-sized lattice heat exchangers, the flow might stay in the thermally developing state over the entire length of the lattice domain. The mean wall heat transfer coefficient calculated from the experiments is very useful for estimating the performance of such configurations. However, many engineering applications require active cooling over a significantly large heated surface area where the length of the lattice heat exchanger is sufficiently long for flows to become thermally developed and hence, heat transfer becomes periodic. Assessing the periodic nature of heat transfer is crucial for such configurations to quantify the relative benefits of different types of RUC topologies. In this study, the authors report findings from an experimental investigation on lattices composed of four different RUCs, namely, (a) Octet, (b) FD-Cube, (c) Tetrakaidecahedron (TKD), and (d) Cube, each having designed porosity of ~0.88 and unit cell size of ~10mm. The candidacy of these RUC topologies for thermal exchange applications to augment heat transfer has already been established by the authors in prior investigations </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.23</w:t>
      </w:r>
      <w:r w:rsidR="008E7EC0" w:rsidRPr="008F5202">
        <w:rPr>
          <w:rFonts w:ascii="Times New Roman" w:eastAsia="Aptos" w:hAnsi="Times New Roman" w:cs="Times New Roman"/>
          <w:kern w:val="2"/>
          <w14:ligatures w14:val="standardContextual"/>
        </w:rPr>
        <w:t>,2</w:t>
      </w:r>
      <w:r w:rsidRPr="008F5202">
        <w:rPr>
          <w:rFonts w:ascii="Times New Roman" w:eastAsia="Aptos" w:hAnsi="Times New Roman" w:cs="Times New Roman"/>
          <w:kern w:val="2"/>
          <w14:ligatures w14:val="standardContextual"/>
        </w:rPr>
        <w:t>.24]</w:t>
      </w:r>
      <w:r w:rsidRPr="008F5202">
        <w:rPr>
          <w:rFonts w:ascii="Times New Roman" w:hAnsi="Times New Roman" w:cs="Times New Roman"/>
        </w:rPr>
        <w:t xml:space="preserve">. The lattice samples considered in the current analysis were sandwiched between two substrate endwalls. Steady-state experiments were performed on the samples with constant heat flux boundary condition maintained on the endwalls during the test runs with air as the working fluid. The streamwise length of the samples was long enough to ensure that the periodicity in the heat transfer coefficient was achieved at some distance downstream of the entrance of the samples. The local distribution of the wall heat transfer coefficient, mean wall heat transfer coefficient, pressure gradient, Nusselt number based on different characteristic length scales, heat transfer and friction factor augmentation relative to smooth channel, and </w:t>
      </w:r>
      <w:r w:rsidRPr="008F5202">
        <w:rPr>
          <w:rFonts w:ascii="Times New Roman" w:hAnsi="Times New Roman" w:cs="Times New Roman"/>
        </w:rPr>
        <w:lastRenderedPageBreak/>
        <w:t xml:space="preserve">thermal-hydraulic performance of all the lattices is thoroughly discussed. Correlations for predicting the heat transfer performance of the investigated samples are also proposed.  </w:t>
      </w:r>
    </w:p>
    <w:p w14:paraId="28A8955E" w14:textId="02CFAA0F" w:rsidR="00CF64CA" w:rsidRPr="008F5202" w:rsidRDefault="00CF64CA" w:rsidP="00CF64CA">
      <w:pPr>
        <w:pStyle w:val="Heading2"/>
      </w:pPr>
      <w:bookmarkStart w:id="15" w:name="_Toc177758134"/>
      <w:r w:rsidRPr="008F5202">
        <w:t>Geometric details of the test samples</w:t>
      </w:r>
      <w:bookmarkEnd w:id="15"/>
    </w:p>
    <w:p w14:paraId="06F882BE" w14:textId="78E3BB56" w:rsidR="00CF64CA" w:rsidRPr="008F5202" w:rsidRDefault="00CF64CA" w:rsidP="00CF64CA">
      <w:pPr>
        <w:spacing w:line="360" w:lineRule="auto"/>
        <w:ind w:firstLine="284"/>
        <w:contextualSpacing/>
        <w:jc w:val="both"/>
        <w:rPr>
          <w:rFonts w:ascii="Times New Roman" w:eastAsiaTheme="minorEastAsia" w:hAnsi="Times New Roman" w:cs="Times New Roman"/>
        </w:rPr>
      </w:pPr>
      <w:r w:rsidRPr="008F5202">
        <w:rPr>
          <w:rFonts w:ascii="Times New Roman" w:hAnsi="Times New Roman" w:cs="Times New Roman"/>
        </w:rPr>
        <w:t xml:space="preserve">The four test samples were additively manufactured via </w:t>
      </w:r>
      <w:r w:rsidRPr="008F5202">
        <w:rPr>
          <w:rFonts w:ascii="Times New Roman" w:hAnsi="Times New Roman" w:cs="Times New Roman"/>
          <w:i/>
          <w:iCs/>
        </w:rPr>
        <w:t xml:space="preserve">Binder jetting </w:t>
      </w:r>
      <w:r w:rsidRPr="008F5202">
        <w:rPr>
          <w:rFonts w:ascii="Times New Roman" w:hAnsi="Times New Roman" w:cs="Times New Roman"/>
        </w:rPr>
        <w:t xml:space="preserve">in 420 Stainless Steel infiltrated with Bronze and the surface finish was achieved through the bead-blasting process. The metal powder size for 420 Stainless Steel was ~30 microns and layer thickness resolution was ~ 100 microns. The samples were printed on M-FX-0000 binder jetting machine which had total build volume of 400 mm </w:t>
      </w:r>
      <m:oMath>
        <m:r>
          <w:rPr>
            <w:rFonts w:ascii="Cambria Math" w:hAnsi="Cambria Math" w:cs="Times New Roman"/>
          </w:rPr>
          <m:t xml:space="preserve">× </m:t>
        </m:r>
      </m:oMath>
      <w:r w:rsidRPr="008F5202">
        <w:rPr>
          <w:rFonts w:ascii="Times New Roman" w:hAnsi="Times New Roman" w:cs="Times New Roman"/>
        </w:rPr>
        <w:t xml:space="preserve">250 mm </w:t>
      </w:r>
      <m:oMath>
        <m:r>
          <w:rPr>
            <w:rFonts w:ascii="Cambria Math" w:hAnsi="Cambria Math" w:cs="Times New Roman"/>
          </w:rPr>
          <m:t xml:space="preserve">× </m:t>
        </m:r>
      </m:oMath>
      <w:r w:rsidRPr="008F5202">
        <w:rPr>
          <w:rFonts w:ascii="Times New Roman" w:hAnsi="Times New Roman" w:cs="Times New Roman"/>
        </w:rPr>
        <w:t xml:space="preserve">250 mm. After printing the samples, the parts were cured in oven and later infiltrated with Bronze at high temperature. The matrix material was composed of 60% Stainless Steel and 40% Bronze providing the final solid thermal conductivity of ~20.8 </w:t>
      </w:r>
      <m:oMath>
        <m:f>
          <m:fPr>
            <m:type m:val="lin"/>
            <m:ctrlPr>
              <w:rPr>
                <w:rFonts w:ascii="Cambria Math" w:hAnsi="Cambria Math" w:cs="Times New Roman"/>
                <w:i/>
              </w:rPr>
            </m:ctrlPr>
          </m:fPr>
          <m:num>
            <m:r>
              <w:rPr>
                <w:rFonts w:ascii="Cambria Math" w:hAnsi="Cambria Math" w:cs="Times New Roman"/>
              </w:rPr>
              <m:t>W</m:t>
            </m:r>
          </m:num>
          <m:den>
            <m:r>
              <w:rPr>
                <w:rFonts w:ascii="Cambria Math" w:hAnsi="Cambria Math" w:cs="Times New Roman"/>
              </w:rPr>
              <m:t>mK</m:t>
            </m:r>
          </m:den>
        </m:f>
      </m:oMath>
      <w:r w:rsidRPr="008F5202">
        <w:rPr>
          <w:rFonts w:ascii="Times New Roman" w:eastAsiaTheme="minorEastAsia" w:hAnsi="Times New Roman" w:cs="Times New Roman"/>
        </w:rPr>
        <w:t xml:space="preserve"> (the measurement details are provided elsewhere </w:t>
      </w:r>
      <w:r w:rsidR="008E7EC0" w:rsidRPr="008F5202">
        <w:rPr>
          <w:rFonts w:ascii="Times New Roman" w:eastAsiaTheme="minorEastAsia" w:hAnsi="Times New Roman" w:cs="Times New Roman"/>
        </w:rPr>
        <w:t>[2</w:t>
      </w:r>
      <w:r w:rsidRPr="008F5202">
        <w:rPr>
          <w:rFonts w:ascii="Times New Roman" w:eastAsiaTheme="minorEastAsia" w:hAnsi="Times New Roman" w:cs="Times New Roman"/>
        </w:rPr>
        <w:t>.25]). The four RUCs of the manufactured lattices: (a) Octet, (b) FD-Cube, (c) TKD, and (d) Cube are presented in</w:t>
      </w:r>
      <w:r w:rsidR="001B15C3" w:rsidRPr="008F5202">
        <w:rPr>
          <w:rFonts w:ascii="Times New Roman" w:eastAsiaTheme="minorEastAsia" w:hAnsi="Times New Roman" w:cs="Times New Roman"/>
        </w:rPr>
        <w:t xml:space="preserve"> </w:t>
      </w:r>
      <w:r w:rsidR="001B15C3" w:rsidRPr="008F5202">
        <w:rPr>
          <w:rFonts w:ascii="Times New Roman" w:eastAsiaTheme="minorEastAsia" w:hAnsi="Times New Roman" w:cs="Times New Roman"/>
        </w:rPr>
        <w:fldChar w:fldCharType="begin"/>
      </w:r>
      <w:r w:rsidR="001B15C3" w:rsidRPr="008F5202">
        <w:rPr>
          <w:rFonts w:ascii="Times New Roman" w:eastAsiaTheme="minorEastAsia" w:hAnsi="Times New Roman" w:cs="Times New Roman"/>
        </w:rPr>
        <w:instrText xml:space="preserve"> REF _Ref177680309 \h  \* MERGEFORMAT </w:instrText>
      </w:r>
      <w:r w:rsidR="001B15C3" w:rsidRPr="008F5202">
        <w:rPr>
          <w:rFonts w:ascii="Times New Roman" w:eastAsiaTheme="minorEastAsia" w:hAnsi="Times New Roman" w:cs="Times New Roman"/>
        </w:rPr>
      </w:r>
      <w:r w:rsidR="001B15C3" w:rsidRPr="008F5202">
        <w:rPr>
          <w:rFonts w:ascii="Times New Roman" w:eastAsiaTheme="minorEastAsia" w:hAnsi="Times New Roman" w:cs="Times New Roman"/>
        </w:rPr>
        <w:fldChar w:fldCharType="separate"/>
      </w:r>
      <w:r w:rsidR="00AF1AFB" w:rsidRPr="00AF1AFB">
        <w:rPr>
          <w:rFonts w:ascii="Times New Roman" w:hAnsi="Times New Roman" w:cs="Times New Roman"/>
        </w:rPr>
        <w:t xml:space="preserve">Figure </w:t>
      </w:r>
      <w:r w:rsidR="00AF1AFB" w:rsidRPr="00AF1AFB">
        <w:rPr>
          <w:rFonts w:ascii="Times New Roman" w:hAnsi="Times New Roman" w:cs="Times New Roman"/>
          <w:noProof/>
        </w:rPr>
        <w:t>3.1</w:t>
      </w:r>
      <w:r w:rsidR="001B15C3"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The fibers of all the topologies were cylindrical (circular cross-section) in shape. </w:t>
      </w:r>
    </w:p>
    <w:p w14:paraId="099A2A1F" w14:textId="3077DF01" w:rsidR="001B15C3" w:rsidRPr="008F5202" w:rsidRDefault="001B15C3" w:rsidP="00CF64CA">
      <w:pPr>
        <w:spacing w:line="360" w:lineRule="auto"/>
        <w:ind w:firstLine="284"/>
        <w:contextualSpacing/>
        <w:jc w:val="both"/>
        <w:rPr>
          <w:rFonts w:ascii="Times New Roman" w:eastAsiaTheme="minorEastAsia" w:hAnsi="Times New Roman" w:cs="Times New Roman"/>
        </w:rPr>
      </w:pPr>
      <w:r w:rsidRPr="008F5202">
        <w:rPr>
          <w:rFonts w:ascii="Times New Roman" w:eastAsiaTheme="minorEastAsia" w:hAnsi="Times New Roman" w:cs="Times New Roman"/>
        </w:rPr>
        <w:t xml:space="preserve">Two types of lattices could be obtained by reticulating the FD-Cube cell in three-dimensional space. First method includes performing translational linear pattern of the single RUC and in the second method, one can mirror the RUC about the face of the cell. The FD-Cube lattice in the present investigation was obtained through the former procedure, i.e., by linearly patterning the unit cell. The final lattice section had the dimensions of 50 mm Х 50 mm Х 100 mm, the details of which are shown in </w:t>
      </w:r>
      <w:r w:rsidRPr="008F5202">
        <w:rPr>
          <w:rFonts w:ascii="Times New Roman" w:eastAsiaTheme="minorEastAsia" w:hAnsi="Times New Roman" w:cs="Times New Roman"/>
          <w:highlight w:val="yellow"/>
        </w:rPr>
        <w:fldChar w:fldCharType="begin"/>
      </w:r>
      <w:r w:rsidRPr="008F5202">
        <w:rPr>
          <w:rFonts w:ascii="Times New Roman" w:eastAsiaTheme="minorEastAsia" w:hAnsi="Times New Roman" w:cs="Times New Roman"/>
        </w:rPr>
        <w:instrText xml:space="preserve"> REF _Ref177680453 \h </w:instrText>
      </w:r>
      <w:r w:rsidRPr="008F5202">
        <w:rPr>
          <w:rFonts w:ascii="Times New Roman" w:eastAsiaTheme="minorEastAsia" w:hAnsi="Times New Roman" w:cs="Times New Roman"/>
          <w:highlight w:val="yellow"/>
        </w:rPr>
        <w:instrText xml:space="preserve"> \* MERGEFORMAT </w:instrText>
      </w:r>
      <w:r w:rsidRPr="008F5202">
        <w:rPr>
          <w:rFonts w:ascii="Times New Roman" w:eastAsiaTheme="minorEastAsia" w:hAnsi="Times New Roman" w:cs="Times New Roman"/>
          <w:highlight w:val="yellow"/>
        </w:rPr>
      </w:r>
      <w:r w:rsidRPr="008F5202">
        <w:rPr>
          <w:rFonts w:ascii="Times New Roman" w:eastAsiaTheme="minorEastAsia" w:hAnsi="Times New Roman" w:cs="Times New Roman"/>
          <w:highlight w:val="yellow"/>
        </w:rPr>
        <w:fldChar w:fldCharType="separate"/>
      </w:r>
      <w:r w:rsidR="00AF1AFB" w:rsidRPr="00AF1AFB">
        <w:rPr>
          <w:rFonts w:ascii="Times New Roman" w:hAnsi="Times New Roman" w:cs="Times New Roman"/>
        </w:rPr>
        <w:t xml:space="preserve">Figure </w:t>
      </w:r>
      <w:r w:rsidR="00AF1AFB" w:rsidRPr="00AF1AFB">
        <w:rPr>
          <w:rFonts w:ascii="Times New Roman" w:hAnsi="Times New Roman" w:cs="Times New Roman"/>
          <w:noProof/>
        </w:rPr>
        <w:t>3.2</w:t>
      </w:r>
      <w:r w:rsidRPr="008F5202">
        <w:rPr>
          <w:rFonts w:ascii="Times New Roman" w:eastAsiaTheme="minorEastAsia" w:hAnsi="Times New Roman" w:cs="Times New Roman"/>
          <w:highlight w:val="yellow"/>
        </w:rPr>
        <w:fldChar w:fldCharType="end"/>
      </w:r>
      <w:r w:rsidRPr="008F5202">
        <w:rPr>
          <w:rFonts w:ascii="Times New Roman" w:eastAsiaTheme="minorEastAsia" w:hAnsi="Times New Roman" w:cs="Times New Roman"/>
        </w:rPr>
        <w:t xml:space="preserve"> along with thermocouple slot locations. Each thermocouple slot reached to the center of the heated substrate walls (3.175 mm thick). The designed unit cell size and porosity of all the samples was 10 mm and ~0.88, respectively. There were five unit cells in the spanwise and normal directions whereas ten unit cells were organized in the direction of the mean flow (streamwise). Porosity (ε) and pore density (ppi) are two fundamental parameters that are required to characterize the metal foams morphologically, however, the definition and values of both these parameters have shown significant discrepancies across the metal foam literature. For the additively manufactured lattices in the current study, the pore shapes and number can be ambiguous too, therefore, cells per inch (cpi) is used in this study to describe the cell density. For the periodic lattices, unit cell size is always a known quantity </w:t>
      </w:r>
      <w:r w:rsidRPr="008F5202">
        <w:rPr>
          <w:rFonts w:ascii="Times New Roman" w:eastAsiaTheme="minorEastAsia" w:hAnsi="Times New Roman" w:cs="Times New Roman"/>
        </w:rPr>
        <w:lastRenderedPageBreak/>
        <w:t xml:space="preserve">irrespective of the RUC topology. The lattices in the present investigation had cell density of ~ 2.5 cpi. The in-house measured bulk porosities of the manufactured samples were slightly different from the designed porosity of ~ 0.88 (Table </w:t>
      </w:r>
      <w:r w:rsidR="008700FD" w:rsidRPr="008F5202">
        <w:rPr>
          <w:rFonts w:ascii="Times New Roman" w:eastAsiaTheme="minorEastAsia" w:hAnsi="Times New Roman" w:cs="Times New Roman"/>
        </w:rPr>
        <w:t>2.</w:t>
      </w:r>
      <w:r w:rsidRPr="008F5202">
        <w:rPr>
          <w:rFonts w:ascii="Times New Roman" w:eastAsiaTheme="minorEastAsia" w:hAnsi="Times New Roman" w:cs="Times New Roman"/>
        </w:rPr>
        <w:t xml:space="preserve">1). About 1.15% to 2.32% deviation was observed in the porosities of the fabricated samples relative to the intended CAD design porosity. The values of designed fiber diameters corresponding to each RUC are also shown in </w:t>
      </w:r>
      <w:r w:rsidRPr="008F5202">
        <w:rPr>
          <w:rFonts w:ascii="Times New Roman" w:eastAsiaTheme="minorEastAsia" w:hAnsi="Times New Roman" w:cs="Times New Roman"/>
        </w:rPr>
        <w:fldChar w:fldCharType="begin"/>
      </w:r>
      <w:r w:rsidRPr="008F5202">
        <w:rPr>
          <w:rFonts w:ascii="Times New Roman" w:eastAsiaTheme="minorEastAsia" w:hAnsi="Times New Roman" w:cs="Times New Roman"/>
        </w:rPr>
        <w:instrText xml:space="preserve"> REF _Ref177680596 \h  \* MERGEFORMAT </w:instrText>
      </w:r>
      <w:r w:rsidRPr="008F5202">
        <w:rPr>
          <w:rFonts w:ascii="Times New Roman" w:eastAsiaTheme="minorEastAsia" w:hAnsi="Times New Roman" w:cs="Times New Roman"/>
        </w:rPr>
      </w:r>
      <w:r w:rsidRPr="008F5202">
        <w:rPr>
          <w:rFonts w:ascii="Times New Roman" w:eastAsiaTheme="minorEastAsia" w:hAnsi="Times New Roman" w:cs="Times New Roman"/>
        </w:rPr>
        <w:fldChar w:fldCharType="separate"/>
      </w:r>
      <w:r w:rsidR="00AF1AFB" w:rsidRPr="00AF1AFB">
        <w:rPr>
          <w:rFonts w:ascii="Times New Roman" w:eastAsiaTheme="minorEastAsia" w:hAnsi="Times New Roman" w:cs="Times New Roman"/>
        </w:rPr>
        <w:t>Table 3.1</w:t>
      </w:r>
      <w:r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w:t>
      </w:r>
    </w:p>
    <w:p w14:paraId="5F8114CF" w14:textId="6A162C77" w:rsidR="001B15C3" w:rsidRPr="008F5202" w:rsidRDefault="001B15C3" w:rsidP="00CF64CA">
      <w:pPr>
        <w:spacing w:line="360" w:lineRule="auto"/>
        <w:ind w:firstLine="284"/>
        <w:contextualSpacing/>
        <w:jc w:val="both"/>
        <w:rPr>
          <w:rFonts w:ascii="Times New Roman" w:eastAsiaTheme="minorEastAsia" w:hAnsi="Times New Roman" w:cs="Times New Roman"/>
        </w:rPr>
      </w:pPr>
      <w:r w:rsidRPr="008F5202">
        <w:rPr>
          <w:rFonts w:ascii="Times New Roman" w:eastAsiaTheme="minorEastAsia" w:hAnsi="Times New Roman" w:cs="Times New Roman"/>
        </w:rPr>
        <w:t>Additive manufacturing processes render roughness on the surfaces of lattices and these roughness profiles can have spatial variation depending on the orientation of sample with respect to build direction, process parameters, and surface-treatments post manufacturing. The inherent surface roughness typically results in enhancement of heat transfer and pressure drop. The contribution of surface roughness in determining the relative ranking of different topologies based on their overall thermal-hydraulic performance becomes more profound when the order of roughness length scales are similar to that of morphological dimensions of lattices. The unit cell size in the current investigation was ~ 10 mm and the fiber diameters were ≥ 1 mm. The magnitudes of heat transfer coefficient and pressure drop of lattices reported herein may be slightly higher than what one would have obtained from these lattices if there was zero relative roughness. However, considering the scales of relative roughness with respect to the lattice dimensions, the reported relative trends or ranking of the investigated lattices can be considered independent of this roughness</w:t>
      </w:r>
    </w:p>
    <w:p w14:paraId="28FB3AC5" w14:textId="77777777" w:rsidR="00CF64CA" w:rsidRPr="008F5202" w:rsidRDefault="00CF64CA" w:rsidP="00CF64CA">
      <w:pPr>
        <w:keepNext/>
        <w:spacing w:line="360" w:lineRule="auto"/>
        <w:ind w:firstLine="284"/>
        <w:contextualSpacing/>
        <w:jc w:val="both"/>
        <w:rPr>
          <w:rFonts w:ascii="Times New Roman" w:hAnsi="Times New Roman" w:cs="Times New Roman"/>
        </w:rPr>
      </w:pPr>
      <w:r w:rsidRPr="008F5202">
        <w:rPr>
          <w:rFonts w:ascii="Times New Roman" w:eastAsiaTheme="minorEastAsia" w:hAnsi="Times New Roman" w:cs="Times New Roman"/>
          <w:noProof/>
          <w:sz w:val="18"/>
          <w:szCs w:val="18"/>
        </w:rPr>
        <w:lastRenderedPageBreak/>
        <w:drawing>
          <wp:inline distT="0" distB="0" distL="0" distR="0" wp14:anchorId="72A77CCA" wp14:editId="1E6B46B9">
            <wp:extent cx="4815205" cy="1234811"/>
            <wp:effectExtent l="0" t="0" r="444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4" cstate="print">
                      <a:extLst>
                        <a:ext uri="{28A0092B-C50C-407E-A947-70E740481C1C}">
                          <a14:useLocalDpi xmlns:a14="http://schemas.microsoft.com/office/drawing/2010/main" val="0"/>
                        </a:ext>
                      </a:extLst>
                    </a:blip>
                    <a:srcRect l="3596" t="3197" r="15375" b="59862"/>
                    <a:stretch/>
                  </pic:blipFill>
                  <pic:spPr bwMode="auto">
                    <a:xfrm>
                      <a:off x="0" y="0"/>
                      <a:ext cx="4816007" cy="1235017"/>
                    </a:xfrm>
                    <a:prstGeom prst="rect">
                      <a:avLst/>
                    </a:prstGeom>
                    <a:ln>
                      <a:noFill/>
                    </a:ln>
                    <a:extLst>
                      <a:ext uri="{53640926-AAD7-44D8-BBD7-CCE9431645EC}">
                        <a14:shadowObscured xmlns:a14="http://schemas.microsoft.com/office/drawing/2010/main"/>
                      </a:ext>
                    </a:extLst>
                  </pic:spPr>
                </pic:pic>
              </a:graphicData>
            </a:graphic>
          </wp:inline>
        </w:drawing>
      </w:r>
    </w:p>
    <w:p w14:paraId="393CBA2D" w14:textId="5D4E7D3E" w:rsidR="00CF64CA" w:rsidRPr="008F5202" w:rsidRDefault="00CF64CA" w:rsidP="008F5202">
      <w:pPr>
        <w:pStyle w:val="Caption"/>
        <w:rPr>
          <w:rFonts w:eastAsiaTheme="minorEastAsia"/>
        </w:rPr>
      </w:pPr>
      <w:bookmarkStart w:id="16" w:name="_Ref177680309"/>
      <w:bookmarkStart w:id="17" w:name="_Toc177755183"/>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w:t>
      </w:r>
      <w:r w:rsidR="003763D2" w:rsidRPr="008F5202">
        <w:fldChar w:fldCharType="end"/>
      </w:r>
      <w:bookmarkEnd w:id="16"/>
      <w:r w:rsidRPr="008F5202">
        <w:t xml:space="preserve"> Four representative unit cell (RUC) topologies of the investigated samples</w:t>
      </w:r>
      <w:bookmarkEnd w:id="17"/>
    </w:p>
    <w:p w14:paraId="68A30738" w14:textId="77777777" w:rsidR="001B15C3" w:rsidRPr="008F5202" w:rsidRDefault="001B15C3" w:rsidP="001B15C3">
      <w:pPr>
        <w:keepNext/>
        <w:spacing w:line="360" w:lineRule="auto"/>
        <w:ind w:firstLine="284"/>
        <w:contextualSpacing/>
        <w:jc w:val="both"/>
        <w:rPr>
          <w:rFonts w:ascii="Times New Roman" w:hAnsi="Times New Roman" w:cs="Times New Roman"/>
        </w:rPr>
      </w:pPr>
      <w:r w:rsidRPr="008F5202">
        <w:rPr>
          <w:rFonts w:ascii="Times New Roman" w:hAnsi="Times New Roman" w:cs="Times New Roman"/>
          <w:noProof/>
          <w:sz w:val="18"/>
          <w:szCs w:val="18"/>
        </w:rPr>
        <w:drawing>
          <wp:inline distT="0" distB="0" distL="0" distR="0" wp14:anchorId="5CDEB73B" wp14:editId="6728388F">
            <wp:extent cx="2462784" cy="1591423"/>
            <wp:effectExtent l="0" t="0" r="0" b="8890"/>
            <wp:docPr id="1282686011" name="Picture 128268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5" cstate="print">
                      <a:extLst>
                        <a:ext uri="{28A0092B-C50C-407E-A947-70E740481C1C}">
                          <a14:useLocalDpi xmlns:a14="http://schemas.microsoft.com/office/drawing/2010/main" val="0"/>
                        </a:ext>
                      </a:extLst>
                    </a:blip>
                    <a:srcRect l="23390" t="47407" r="32000" b="1346"/>
                    <a:stretch/>
                  </pic:blipFill>
                  <pic:spPr bwMode="auto">
                    <a:xfrm>
                      <a:off x="0" y="0"/>
                      <a:ext cx="2472012" cy="1597386"/>
                    </a:xfrm>
                    <a:prstGeom prst="rect">
                      <a:avLst/>
                    </a:prstGeom>
                    <a:ln>
                      <a:noFill/>
                    </a:ln>
                    <a:extLst>
                      <a:ext uri="{53640926-AAD7-44D8-BBD7-CCE9431645EC}">
                        <a14:shadowObscured xmlns:a14="http://schemas.microsoft.com/office/drawing/2010/main"/>
                      </a:ext>
                    </a:extLst>
                  </pic:spPr>
                </pic:pic>
              </a:graphicData>
            </a:graphic>
          </wp:inline>
        </w:drawing>
      </w:r>
    </w:p>
    <w:p w14:paraId="328BBEFB" w14:textId="083185E4" w:rsidR="00CF64CA" w:rsidRPr="008F5202" w:rsidRDefault="001B15C3" w:rsidP="008F5202">
      <w:pPr>
        <w:pStyle w:val="Caption"/>
      </w:pPr>
      <w:bookmarkStart w:id="18" w:name="_Ref177680453"/>
      <w:bookmarkStart w:id="19" w:name="_Toc177755184"/>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2</w:t>
      </w:r>
      <w:r w:rsidR="003763D2" w:rsidRPr="008F5202">
        <w:fldChar w:fldCharType="end"/>
      </w:r>
      <w:bookmarkEnd w:id="18"/>
      <w:r w:rsidRPr="008F5202">
        <w:t xml:space="preserve"> Dimensions of the printed samples</w:t>
      </w:r>
      <w:bookmarkEnd w:id="19"/>
    </w:p>
    <w:p w14:paraId="454C54D9" w14:textId="257B9598" w:rsidR="001B15C3" w:rsidRPr="008F5202" w:rsidRDefault="001B15C3" w:rsidP="008F5202">
      <w:pPr>
        <w:pStyle w:val="Caption"/>
      </w:pPr>
      <w:bookmarkStart w:id="20" w:name="_Ref177680596"/>
      <w:bookmarkStart w:id="21" w:name="_Toc177755173"/>
      <w:r w:rsidRPr="008F5202">
        <w:t xml:space="preserve">Table </w:t>
      </w:r>
      <w:r w:rsidR="00561B55" w:rsidRPr="008F5202">
        <w:fldChar w:fldCharType="begin"/>
      </w:r>
      <w:r w:rsidR="00561B55" w:rsidRPr="008F5202">
        <w:instrText xml:space="preserve"> STYLEREF 1 \s </w:instrText>
      </w:r>
      <w:r w:rsidR="00561B55" w:rsidRPr="008F5202">
        <w:fldChar w:fldCharType="separate"/>
      </w:r>
      <w:r w:rsidR="00AF1AFB">
        <w:rPr>
          <w:noProof/>
        </w:rPr>
        <w:t>2</w:t>
      </w:r>
      <w:r w:rsidR="00561B55" w:rsidRPr="008F5202">
        <w:fldChar w:fldCharType="end"/>
      </w:r>
      <w:r w:rsidR="00561B55" w:rsidRPr="008F5202">
        <w:t>.</w:t>
      </w:r>
      <w:r w:rsidR="00561B55" w:rsidRPr="008F5202">
        <w:fldChar w:fldCharType="begin"/>
      </w:r>
      <w:r w:rsidR="00561B55" w:rsidRPr="008F5202">
        <w:instrText xml:space="preserve"> SEQ Table \* ARABIC \s 1 </w:instrText>
      </w:r>
      <w:r w:rsidR="00561B55" w:rsidRPr="008F5202">
        <w:fldChar w:fldCharType="separate"/>
      </w:r>
      <w:r w:rsidR="00AF1AFB">
        <w:rPr>
          <w:noProof/>
        </w:rPr>
        <w:t>1</w:t>
      </w:r>
      <w:r w:rsidR="00561B55" w:rsidRPr="008F5202">
        <w:fldChar w:fldCharType="end"/>
      </w:r>
      <w:bookmarkEnd w:id="20"/>
      <w:r w:rsidRPr="008F5202">
        <w:t xml:space="preserve"> Measured porosity and designed fiber diameter of the investigated RUC</w:t>
      </w:r>
      <w:bookmarkEnd w:id="21"/>
    </w:p>
    <w:p w14:paraId="3A7B980D" w14:textId="5ECCC6CC" w:rsidR="001B15C3" w:rsidRPr="008F5202" w:rsidRDefault="001B15C3" w:rsidP="001B15C3">
      <w:pPr>
        <w:rPr>
          <w:rFonts w:ascii="Times New Roman" w:hAnsi="Times New Roman" w:cs="Times New Roman"/>
        </w:rPr>
      </w:pPr>
      <w:r w:rsidRPr="008F5202">
        <w:rPr>
          <w:rFonts w:ascii="Times New Roman" w:hAnsi="Times New Roman" w:cs="Times New Roman"/>
          <w:noProof/>
        </w:rPr>
        <w:drawing>
          <wp:inline distT="0" distB="0" distL="0" distR="0" wp14:anchorId="70F37A3D" wp14:editId="47A57936">
            <wp:extent cx="4174507" cy="1136393"/>
            <wp:effectExtent l="0" t="0" r="0" b="6985"/>
            <wp:docPr id="993002703" name="Picture 99300270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6"/>
                    <a:stretch>
                      <a:fillRect/>
                    </a:stretch>
                  </pic:blipFill>
                  <pic:spPr>
                    <a:xfrm>
                      <a:off x="0" y="0"/>
                      <a:ext cx="4243466" cy="1155165"/>
                    </a:xfrm>
                    <a:prstGeom prst="rect">
                      <a:avLst/>
                    </a:prstGeom>
                  </pic:spPr>
                </pic:pic>
              </a:graphicData>
            </a:graphic>
          </wp:inline>
        </w:drawing>
      </w:r>
    </w:p>
    <w:p w14:paraId="708EC73E" w14:textId="77777777" w:rsidR="001B15C3" w:rsidRPr="008F5202" w:rsidRDefault="001B15C3" w:rsidP="001B15C3">
      <w:pPr>
        <w:rPr>
          <w:rFonts w:ascii="Times New Roman" w:hAnsi="Times New Roman" w:cs="Times New Roman"/>
        </w:rPr>
      </w:pPr>
    </w:p>
    <w:p w14:paraId="65CCDB24" w14:textId="0A18B2C4" w:rsidR="001B15C3" w:rsidRPr="008F5202" w:rsidRDefault="001B15C3" w:rsidP="001B15C3">
      <w:pPr>
        <w:pStyle w:val="Heading2"/>
      </w:pPr>
      <w:bookmarkStart w:id="22" w:name="_Toc177758135"/>
      <w:r w:rsidRPr="008F5202">
        <w:t>Experimental setup</w:t>
      </w:r>
      <w:bookmarkEnd w:id="22"/>
    </w:p>
    <w:p w14:paraId="511270FC" w14:textId="2314C8F5" w:rsidR="001B15C3" w:rsidRPr="008F5202" w:rsidRDefault="00BF1169" w:rsidP="001B15C3">
      <w:pPr>
        <w:spacing w:line="360" w:lineRule="auto"/>
        <w:ind w:firstLine="284"/>
        <w:contextualSpacing/>
        <w:jc w:val="both"/>
        <w:rPr>
          <w:rFonts w:ascii="Times New Roman" w:eastAsiaTheme="minorEastAsia" w:hAnsi="Times New Roman" w:cs="Times New Roman"/>
        </w:rPr>
      </w:pPr>
      <w:r w:rsidRPr="008F5202">
        <w:rPr>
          <w:rFonts w:ascii="Times New Roman" w:eastAsiaTheme="minorEastAsia" w:hAnsi="Times New Roman" w:cs="Times New Roman"/>
        </w:rPr>
        <w:fldChar w:fldCharType="begin"/>
      </w:r>
      <w:r w:rsidRPr="008F5202">
        <w:rPr>
          <w:rFonts w:ascii="Times New Roman" w:eastAsiaTheme="minorEastAsia" w:hAnsi="Times New Roman" w:cs="Times New Roman"/>
        </w:rPr>
        <w:instrText xml:space="preserve"> REF _Ref177680859 \h  \* MERGEFORMAT </w:instrText>
      </w:r>
      <w:r w:rsidRPr="008F5202">
        <w:rPr>
          <w:rFonts w:ascii="Times New Roman" w:eastAsiaTheme="minorEastAsia" w:hAnsi="Times New Roman" w:cs="Times New Roman"/>
        </w:rPr>
      </w:r>
      <w:r w:rsidRPr="008F5202">
        <w:rPr>
          <w:rFonts w:ascii="Times New Roman" w:eastAsiaTheme="minorEastAsia" w:hAnsi="Times New Roman" w:cs="Times New Roman"/>
        </w:rPr>
        <w:fldChar w:fldCharType="separate"/>
      </w:r>
      <w:r w:rsidR="00AF1AFB" w:rsidRPr="00AF1AFB">
        <w:rPr>
          <w:rFonts w:ascii="Times New Roman" w:eastAsiaTheme="minorEastAsia" w:hAnsi="Times New Roman" w:cs="Times New Roman"/>
        </w:rPr>
        <w:t>Figure 2.3</w:t>
      </w:r>
      <w:r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w:t>
      </w:r>
      <w:r w:rsidR="001B15C3" w:rsidRPr="008F5202">
        <w:rPr>
          <w:rFonts w:ascii="Times New Roman" w:eastAsiaTheme="minorEastAsia" w:hAnsi="Times New Roman" w:cs="Times New Roman"/>
        </w:rPr>
        <w:t xml:space="preserve">shows the components of the experimental facility used in the present study. Air was the working fluid in this investigation and was drawn from a compressed air tank maintained at ~ 1MPa. A pressure regulator was placed downstream of the compressor to adjust the mass flow rate to a desired value. The air was directed to an ASME orifice plate for flow metering. Differential pressure across the orifice meter, static air pressure upstream of the orifice plate and air temperature were measured using Dwyer 477AV-2 (0-10 kPa) [accuracy: </w:t>
      </w:r>
      <m:oMath>
        <m:r>
          <m:rPr>
            <m:sty m:val="p"/>
          </m:rPr>
          <w:rPr>
            <w:rFonts w:ascii="Cambria Math" w:eastAsiaTheme="minorEastAsia" w:hAnsi="Cambria Math" w:cs="Times New Roman"/>
          </w:rPr>
          <m:t>±0.5%</m:t>
        </m:r>
      </m:oMath>
      <w:r w:rsidR="001B15C3" w:rsidRPr="008F5202">
        <w:rPr>
          <w:rFonts w:ascii="Times New Roman" w:eastAsiaTheme="minorEastAsia" w:hAnsi="Times New Roman" w:cs="Times New Roman"/>
        </w:rPr>
        <w:t xml:space="preserve"> Full Scale (F.S.)], Dwyer DPG-002 (0-100 kPa) [accuracy: </w:t>
      </w:r>
      <m:oMath>
        <m:r>
          <m:rPr>
            <m:sty m:val="p"/>
          </m:rPr>
          <w:rPr>
            <w:rFonts w:ascii="Cambria Math" w:eastAsiaTheme="minorEastAsia" w:hAnsi="Cambria Math" w:cs="Times New Roman"/>
          </w:rPr>
          <m:t>±0.25%</m:t>
        </m:r>
      </m:oMath>
      <w:r w:rsidR="001B15C3" w:rsidRPr="008F5202">
        <w:rPr>
          <w:rFonts w:ascii="Times New Roman" w:eastAsiaTheme="minorEastAsia" w:hAnsi="Times New Roman" w:cs="Times New Roman"/>
        </w:rPr>
        <w:t xml:space="preserve"> F.S.] and fast response T-type thermocouple [accuracy: </w:t>
      </w:r>
      <m:oMath>
        <m:r>
          <m:rPr>
            <m:sty m:val="p"/>
          </m:rPr>
          <w:rPr>
            <w:rFonts w:ascii="Cambria Math" w:eastAsiaTheme="minorEastAsia" w:hAnsi="Cambria Math" w:cs="Times New Roman"/>
          </w:rPr>
          <m:t>±0.5℃</m:t>
        </m:r>
      </m:oMath>
      <w:r w:rsidR="001B15C3" w:rsidRPr="008F5202">
        <w:rPr>
          <w:rFonts w:ascii="Times New Roman" w:eastAsiaTheme="minorEastAsia" w:hAnsi="Times New Roman" w:cs="Times New Roman"/>
        </w:rPr>
        <w:t xml:space="preserve">], respectively, </w:t>
      </w:r>
      <w:r w:rsidR="001B15C3" w:rsidRPr="008F5202">
        <w:rPr>
          <w:rFonts w:ascii="Times New Roman" w:eastAsiaTheme="minorEastAsia" w:hAnsi="Times New Roman" w:cs="Times New Roman"/>
        </w:rPr>
        <w:lastRenderedPageBreak/>
        <w:t>which were then fed into an in-house MATLAB code to determine the mass flow rate. The metered flow was then passed through a control valve regulating the flow into the test section. The transition of the flow from circular pipe to square duct was executed with the help of a diffuser.</w:t>
      </w:r>
    </w:p>
    <w:p w14:paraId="4B856344" w14:textId="6E92DD39" w:rsidR="001B15C3" w:rsidRPr="008F5202" w:rsidRDefault="00BF1169" w:rsidP="001B15C3">
      <w:pPr>
        <w:spacing w:line="360" w:lineRule="auto"/>
        <w:ind w:firstLine="284"/>
        <w:contextualSpacing/>
        <w:jc w:val="both"/>
        <w:rPr>
          <w:rFonts w:ascii="Times New Roman" w:eastAsiaTheme="minorEastAsia" w:hAnsi="Times New Roman" w:cs="Times New Roman"/>
        </w:rPr>
      </w:pPr>
      <w:r w:rsidRPr="008F5202">
        <w:rPr>
          <w:rFonts w:ascii="Times New Roman" w:eastAsiaTheme="minorEastAsia" w:hAnsi="Times New Roman" w:cs="Times New Roman"/>
        </w:rPr>
        <w:fldChar w:fldCharType="begin"/>
      </w:r>
      <w:r w:rsidRPr="008F5202">
        <w:rPr>
          <w:rFonts w:ascii="Times New Roman" w:eastAsiaTheme="minorEastAsia" w:hAnsi="Times New Roman" w:cs="Times New Roman"/>
        </w:rPr>
        <w:instrText xml:space="preserve"> REF _Ref177681117 \h  \* MERGEFORMAT </w:instrText>
      </w:r>
      <w:r w:rsidRPr="008F5202">
        <w:rPr>
          <w:rFonts w:ascii="Times New Roman" w:eastAsiaTheme="minorEastAsia" w:hAnsi="Times New Roman" w:cs="Times New Roman"/>
        </w:rPr>
      </w:r>
      <w:r w:rsidRPr="008F5202">
        <w:rPr>
          <w:rFonts w:ascii="Times New Roman" w:eastAsiaTheme="minorEastAsia" w:hAnsi="Times New Roman" w:cs="Times New Roman"/>
        </w:rPr>
        <w:fldChar w:fldCharType="separate"/>
      </w:r>
      <w:r w:rsidR="00AF1AFB" w:rsidRPr="00AF1AFB">
        <w:rPr>
          <w:rFonts w:ascii="Times New Roman" w:eastAsiaTheme="minorEastAsia" w:hAnsi="Times New Roman" w:cs="Times New Roman"/>
        </w:rPr>
        <w:t>Figure 2.4</w:t>
      </w:r>
      <w:r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w:t>
      </w:r>
      <w:r w:rsidR="001B15C3" w:rsidRPr="008F5202">
        <w:rPr>
          <w:rFonts w:ascii="Times New Roman" w:eastAsiaTheme="minorEastAsia" w:hAnsi="Times New Roman" w:cs="Times New Roman"/>
        </w:rPr>
        <w:t>shows the schematic of the sample and test section assembly. The test section was made from plexiglass and had a square cross-section of 50.8 mm x 50.8 mm, resulting in hydraulic diameter (</w:t>
      </w:r>
      <m:oMath>
        <m:sSub>
          <m:sSubPr>
            <m:ctrlPr>
              <w:rPr>
                <w:rFonts w:ascii="Cambria Math" w:eastAsiaTheme="minorEastAsia" w:hAnsi="Cambria Math" w:cs="Times New Roman"/>
              </w:rPr>
            </m:ctrlPr>
          </m:sSubPr>
          <m:e>
            <m:r>
              <w:rPr>
                <w:rFonts w:ascii="Cambria Math" w:eastAsiaTheme="minorEastAsia" w:hAnsi="Cambria Math" w:cs="Times New Roman"/>
              </w:rPr>
              <m:t>d</m:t>
            </m:r>
          </m:e>
          <m:sub>
            <m:r>
              <w:rPr>
                <w:rFonts w:ascii="Cambria Math" w:eastAsiaTheme="minorEastAsia" w:hAnsi="Cambria Math" w:cs="Times New Roman"/>
              </w:rPr>
              <m:t>h</m:t>
            </m:r>
          </m:sub>
        </m:sSub>
        <m:r>
          <m:rPr>
            <m:sty m:val="p"/>
          </m:rPr>
          <w:rPr>
            <w:rFonts w:ascii="Cambria Math" w:eastAsiaTheme="minorEastAsia" w:hAnsi="Cambria Math" w:cs="Times New Roman"/>
          </w:rPr>
          <m:t xml:space="preserve">= </m:t>
        </m:r>
        <m:f>
          <m:fPr>
            <m:type m:val="lin"/>
            <m:ctrlPr>
              <w:rPr>
                <w:rFonts w:ascii="Cambria Math" w:eastAsiaTheme="minorEastAsia" w:hAnsi="Cambria Math" w:cs="Times New Roman"/>
              </w:rPr>
            </m:ctrlPr>
          </m:fPr>
          <m:num>
            <m:r>
              <m:rPr>
                <m:sty m:val="p"/>
              </m:rPr>
              <w:rPr>
                <w:rFonts w:ascii="Cambria Math" w:eastAsiaTheme="minorEastAsia" w:hAnsi="Cambria Math" w:cs="Times New Roman"/>
              </w:rPr>
              <m:t>4</m:t>
            </m:r>
            <m:sSub>
              <m:sSubPr>
                <m:ctrlPr>
                  <w:rPr>
                    <w:rFonts w:ascii="Cambria Math" w:eastAsiaTheme="minorEastAsia" w:hAnsi="Cambria Math" w:cs="Times New Roman"/>
                  </w:rPr>
                </m:ctrlPr>
              </m:sSubPr>
              <m:e>
                <m:r>
                  <w:rPr>
                    <w:rFonts w:ascii="Cambria Math" w:eastAsiaTheme="minorEastAsia" w:hAnsi="Cambria Math" w:cs="Times New Roman"/>
                  </w:rPr>
                  <m:t>A</m:t>
                </m:r>
              </m:e>
              <m:sub>
                <m:r>
                  <w:rPr>
                    <w:rFonts w:ascii="Cambria Math" w:eastAsiaTheme="minorEastAsia" w:hAnsi="Cambria Math" w:cs="Times New Roman"/>
                  </w:rPr>
                  <m:t>c</m:t>
                </m:r>
              </m:sub>
            </m:sSub>
          </m:num>
          <m:den>
            <m:r>
              <w:rPr>
                <w:rFonts w:ascii="Cambria Math" w:eastAsiaTheme="minorEastAsia" w:hAnsi="Cambria Math" w:cs="Times New Roman"/>
              </w:rPr>
              <m:t>P</m:t>
            </m:r>
          </m:den>
        </m:f>
      </m:oMath>
      <w:r w:rsidR="001B15C3" w:rsidRPr="008F5202">
        <w:rPr>
          <w:rFonts w:ascii="Times New Roman" w:eastAsiaTheme="minorEastAsia" w:hAnsi="Times New Roman" w:cs="Times New Roman"/>
        </w:rPr>
        <w:t xml:space="preserve">) of 50.8 mm. The test section was ~16 </w:t>
      </w:r>
      <m:oMath>
        <m:sSub>
          <m:sSubPr>
            <m:ctrlPr>
              <w:rPr>
                <w:rFonts w:ascii="Cambria Math" w:eastAsiaTheme="minorEastAsia" w:hAnsi="Cambria Math" w:cs="Times New Roman"/>
              </w:rPr>
            </m:ctrlPr>
          </m:sSubPr>
          <m:e>
            <m:r>
              <w:rPr>
                <w:rFonts w:ascii="Cambria Math" w:eastAsiaTheme="minorEastAsia" w:hAnsi="Cambria Math" w:cs="Times New Roman"/>
              </w:rPr>
              <m:t>d</m:t>
            </m:r>
          </m:e>
          <m:sub>
            <m:r>
              <w:rPr>
                <w:rFonts w:ascii="Cambria Math" w:eastAsiaTheme="minorEastAsia" w:hAnsi="Cambria Math" w:cs="Times New Roman"/>
              </w:rPr>
              <m:t>h</m:t>
            </m:r>
          </m:sub>
        </m:sSub>
      </m:oMath>
      <w:r w:rsidR="001B15C3" w:rsidRPr="008F5202">
        <w:rPr>
          <w:rFonts w:ascii="Times New Roman" w:eastAsiaTheme="minorEastAsia" w:hAnsi="Times New Roman" w:cs="Times New Roman"/>
        </w:rPr>
        <w:t xml:space="preserve"> long and the samples were placed ~10 </w:t>
      </w:r>
      <m:oMath>
        <m:sSub>
          <m:sSubPr>
            <m:ctrlPr>
              <w:rPr>
                <w:rFonts w:ascii="Cambria Math" w:eastAsiaTheme="minorEastAsia" w:hAnsi="Cambria Math" w:cs="Times New Roman"/>
              </w:rPr>
            </m:ctrlPr>
          </m:sSubPr>
          <m:e>
            <m:r>
              <w:rPr>
                <w:rFonts w:ascii="Cambria Math" w:eastAsiaTheme="minorEastAsia" w:hAnsi="Cambria Math" w:cs="Times New Roman"/>
              </w:rPr>
              <m:t>d</m:t>
            </m:r>
          </m:e>
          <m:sub>
            <m:r>
              <w:rPr>
                <w:rFonts w:ascii="Cambria Math" w:eastAsiaTheme="minorEastAsia" w:hAnsi="Cambria Math" w:cs="Times New Roman"/>
              </w:rPr>
              <m:t>h</m:t>
            </m:r>
          </m:sub>
        </m:sSub>
      </m:oMath>
      <w:r w:rsidR="001B15C3" w:rsidRPr="008F5202">
        <w:rPr>
          <w:rFonts w:ascii="Times New Roman" w:eastAsiaTheme="minorEastAsia" w:hAnsi="Times New Roman" w:cs="Times New Roman"/>
        </w:rPr>
        <w:t xml:space="preserve"> downstream the test-section inlet. The entry length was long enough to ensure that the flow reaching the test sample was hydrodynamically fully developed. After passing through the lattice sample, which was 100 mm (nearly 2 </w:t>
      </w:r>
      <m:oMath>
        <m:sSub>
          <m:sSubPr>
            <m:ctrlPr>
              <w:rPr>
                <w:rFonts w:ascii="Cambria Math" w:eastAsiaTheme="minorEastAsia" w:hAnsi="Cambria Math" w:cs="Times New Roman"/>
              </w:rPr>
            </m:ctrlPr>
          </m:sSubPr>
          <m:e>
            <m:r>
              <w:rPr>
                <w:rFonts w:ascii="Cambria Math" w:eastAsiaTheme="minorEastAsia" w:hAnsi="Cambria Math" w:cs="Times New Roman"/>
              </w:rPr>
              <m:t>d</m:t>
            </m:r>
          </m:e>
          <m:sub>
            <m:r>
              <w:rPr>
                <w:rFonts w:ascii="Cambria Math" w:eastAsiaTheme="minorEastAsia" w:hAnsi="Cambria Math" w:cs="Times New Roman"/>
              </w:rPr>
              <m:t>h</m:t>
            </m:r>
          </m:sub>
        </m:sSub>
      </m:oMath>
      <w:r w:rsidR="001B15C3" w:rsidRPr="008F5202">
        <w:rPr>
          <w:rFonts w:ascii="Times New Roman" w:eastAsiaTheme="minorEastAsia" w:hAnsi="Times New Roman" w:cs="Times New Roman"/>
        </w:rPr>
        <w:t xml:space="preserve">) in streamwise direction, the air travelled through ~ 4 </w:t>
      </w:r>
      <m:oMath>
        <m:sSub>
          <m:sSubPr>
            <m:ctrlPr>
              <w:rPr>
                <w:rFonts w:ascii="Cambria Math" w:eastAsiaTheme="minorEastAsia" w:hAnsi="Cambria Math" w:cs="Times New Roman"/>
              </w:rPr>
            </m:ctrlPr>
          </m:sSubPr>
          <m:e>
            <m:r>
              <w:rPr>
                <w:rFonts w:ascii="Cambria Math" w:eastAsiaTheme="minorEastAsia" w:hAnsi="Cambria Math" w:cs="Times New Roman"/>
              </w:rPr>
              <m:t>d</m:t>
            </m:r>
          </m:e>
          <m:sub>
            <m:r>
              <w:rPr>
                <w:rFonts w:ascii="Cambria Math" w:eastAsiaTheme="minorEastAsia" w:hAnsi="Cambria Math" w:cs="Times New Roman"/>
              </w:rPr>
              <m:t>h</m:t>
            </m:r>
          </m:sub>
        </m:sSub>
      </m:oMath>
      <w:r w:rsidR="001B15C3" w:rsidRPr="008F5202">
        <w:rPr>
          <w:rFonts w:ascii="Times New Roman" w:eastAsiaTheme="minorEastAsia" w:hAnsi="Times New Roman" w:cs="Times New Roman"/>
        </w:rPr>
        <w:t xml:space="preserve"> test section exit length before it was vented out to the ambient. The static pressure was measured using pressure tap flushed against the inner plexiglass surface and positioned upstream of the lattice sample. The pressure drop measurements were conducted for a wide range of mass flow rates. Therefore, the pressure values at smaller flow rates were measured through sensitive manometer Dwyer 477AV-000 (0 – 0.2 kPa) [accuracy: </w:t>
      </w:r>
      <m:oMath>
        <m:r>
          <m:rPr>
            <m:sty m:val="p"/>
          </m:rPr>
          <w:rPr>
            <w:rFonts w:ascii="Cambria Math" w:eastAsiaTheme="minorEastAsia" w:hAnsi="Cambria Math" w:cs="Times New Roman"/>
          </w:rPr>
          <m:t>±0.5%</m:t>
        </m:r>
      </m:oMath>
      <w:r w:rsidR="001B15C3" w:rsidRPr="008F5202">
        <w:rPr>
          <w:rFonts w:ascii="Times New Roman" w:eastAsiaTheme="minorEastAsia" w:hAnsi="Times New Roman" w:cs="Times New Roman"/>
        </w:rPr>
        <w:t xml:space="preserve"> Full Scale (F.S.)] and higher pressure drops were recorded using Dwyer 477AV-00 (0 – 1 kPa) [accuracy: </w:t>
      </w:r>
      <m:oMath>
        <m:r>
          <m:rPr>
            <m:sty m:val="p"/>
          </m:rPr>
          <w:rPr>
            <w:rFonts w:ascii="Cambria Math" w:eastAsiaTheme="minorEastAsia" w:hAnsi="Cambria Math" w:cs="Times New Roman"/>
          </w:rPr>
          <m:t>±0.5%</m:t>
        </m:r>
      </m:oMath>
      <w:r w:rsidR="001B15C3" w:rsidRPr="008F5202">
        <w:rPr>
          <w:rFonts w:ascii="Times New Roman" w:eastAsiaTheme="minorEastAsia" w:hAnsi="Times New Roman" w:cs="Times New Roman"/>
        </w:rPr>
        <w:t xml:space="preserve"> Full Scale (F.S.)].</w:t>
      </w:r>
    </w:p>
    <w:p w14:paraId="2085AE28" w14:textId="77777777" w:rsidR="00BF1169" w:rsidRPr="008F5202" w:rsidRDefault="00BF1169" w:rsidP="00BF1169">
      <w:pPr>
        <w:keepNext/>
        <w:spacing w:line="360" w:lineRule="auto"/>
        <w:ind w:firstLine="284"/>
        <w:contextualSpacing/>
        <w:jc w:val="both"/>
        <w:rPr>
          <w:rFonts w:ascii="Times New Roman" w:hAnsi="Times New Roman" w:cs="Times New Roman"/>
        </w:rPr>
      </w:pPr>
      <w:r w:rsidRPr="008F5202">
        <w:rPr>
          <w:rFonts w:ascii="Times New Roman" w:eastAsiaTheme="minorEastAsia" w:hAnsi="Times New Roman" w:cs="Times New Roman"/>
          <w:noProof/>
          <w:sz w:val="18"/>
          <w:szCs w:val="18"/>
        </w:rPr>
        <w:drawing>
          <wp:inline distT="0" distB="0" distL="0" distR="0" wp14:anchorId="48E24A85" wp14:editId="2C51B3D3">
            <wp:extent cx="4730750" cy="874784"/>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7" cstate="print">
                      <a:extLst>
                        <a:ext uri="{28A0092B-C50C-407E-A947-70E740481C1C}">
                          <a14:useLocalDpi xmlns:a14="http://schemas.microsoft.com/office/drawing/2010/main" val="0"/>
                        </a:ext>
                      </a:extLst>
                    </a:blip>
                    <a:srcRect l="4808" t="70275" r="4808"/>
                    <a:stretch/>
                  </pic:blipFill>
                  <pic:spPr bwMode="auto">
                    <a:xfrm>
                      <a:off x="0" y="0"/>
                      <a:ext cx="4730750" cy="874784"/>
                    </a:xfrm>
                    <a:prstGeom prst="rect">
                      <a:avLst/>
                    </a:prstGeom>
                    <a:ln>
                      <a:noFill/>
                    </a:ln>
                    <a:extLst>
                      <a:ext uri="{53640926-AAD7-44D8-BBD7-CCE9431645EC}">
                        <a14:shadowObscured xmlns:a14="http://schemas.microsoft.com/office/drawing/2010/main"/>
                      </a:ext>
                    </a:extLst>
                  </pic:spPr>
                </pic:pic>
              </a:graphicData>
            </a:graphic>
          </wp:inline>
        </w:drawing>
      </w:r>
    </w:p>
    <w:p w14:paraId="43770AB3" w14:textId="22036CFB" w:rsidR="00BF1169" w:rsidRPr="008F5202" w:rsidRDefault="00BF1169" w:rsidP="008F5202">
      <w:pPr>
        <w:pStyle w:val="Caption"/>
        <w:rPr>
          <w:rFonts w:eastAsiaTheme="minorEastAsia"/>
        </w:rPr>
      </w:pPr>
      <w:bookmarkStart w:id="23" w:name="_Ref177680859"/>
      <w:bookmarkStart w:id="24" w:name="_Toc177755185"/>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3</w:t>
      </w:r>
      <w:r w:rsidR="003763D2" w:rsidRPr="008F5202">
        <w:fldChar w:fldCharType="end"/>
      </w:r>
      <w:bookmarkEnd w:id="23"/>
      <w:r w:rsidRPr="008F5202">
        <w:t xml:space="preserve"> Schematic of the experimental setup (not drawn to scale)</w:t>
      </w:r>
      <w:bookmarkEnd w:id="24"/>
    </w:p>
    <w:p w14:paraId="27F29688" w14:textId="77777777" w:rsidR="00BF1169" w:rsidRPr="008F5202" w:rsidRDefault="00BF1169" w:rsidP="001B15C3">
      <w:pPr>
        <w:spacing w:line="360" w:lineRule="auto"/>
        <w:ind w:firstLine="284"/>
        <w:contextualSpacing/>
        <w:jc w:val="both"/>
        <w:rPr>
          <w:rFonts w:ascii="Times New Roman" w:eastAsiaTheme="minorEastAsia" w:hAnsi="Times New Roman" w:cs="Times New Roman"/>
        </w:rPr>
      </w:pPr>
    </w:p>
    <w:p w14:paraId="11910B31" w14:textId="6949169C" w:rsidR="00BF1169" w:rsidRPr="008F5202" w:rsidRDefault="00BF1169" w:rsidP="001B15C3">
      <w:pPr>
        <w:spacing w:line="360" w:lineRule="auto"/>
        <w:ind w:firstLine="284"/>
        <w:contextualSpacing/>
        <w:jc w:val="both"/>
        <w:rPr>
          <w:rFonts w:ascii="Times New Roman" w:eastAsiaTheme="minorEastAsia" w:hAnsi="Times New Roman" w:cs="Times New Roman"/>
        </w:rPr>
      </w:pPr>
      <w:r w:rsidRPr="008F5202">
        <w:rPr>
          <w:rFonts w:ascii="Times New Roman" w:eastAsiaTheme="minorEastAsia" w:hAnsi="Times New Roman" w:cs="Times New Roman"/>
        </w:rPr>
        <w:t xml:space="preserve">Patch heaters were glued to the top and bottom substrates of the sample and were connected to variable transformer (range of 0-130 V) to adjust the power output by varying the voltage.  The backside of the heaters was covered by insulation to minimize the heat losses. The wall temperature measurements were conducted by T-type thermocouples at four slots provided on each substrate walls, whereas thin thermocouples were placed on the inner and outer surface of the insulation cover to evaluate the conduction heat losses </w:t>
      </w:r>
      <w:r w:rsidRPr="008F5202">
        <w:rPr>
          <w:rFonts w:ascii="Times New Roman" w:eastAsiaTheme="minorEastAsia" w:hAnsi="Times New Roman" w:cs="Times New Roman"/>
        </w:rPr>
        <w:lastRenderedPageBreak/>
        <w:t>through insulation. The mainstream inlet temperature was also measured by thin thermocouples placed into the flow path upstream of the lattices. The lattice, heater and insulation ensemble were carefully fitted into a socket type slot of the test section while conducting experiments.</w:t>
      </w:r>
    </w:p>
    <w:p w14:paraId="04547D59" w14:textId="77777777" w:rsidR="00BF1169" w:rsidRPr="008F5202" w:rsidRDefault="00BF1169" w:rsidP="00BF1169">
      <w:pPr>
        <w:keepNext/>
        <w:spacing w:line="360" w:lineRule="auto"/>
        <w:ind w:firstLine="284"/>
        <w:contextualSpacing/>
        <w:jc w:val="both"/>
        <w:rPr>
          <w:rFonts w:ascii="Times New Roman" w:hAnsi="Times New Roman" w:cs="Times New Roman"/>
        </w:rPr>
      </w:pPr>
      <w:r w:rsidRPr="008F5202">
        <w:rPr>
          <w:rFonts w:ascii="Times New Roman" w:eastAsia="Calibri" w:hAnsi="Times New Roman" w:cs="Times New Roman"/>
          <w:b/>
          <w:bCs/>
          <w:noProof/>
          <w:sz w:val="18"/>
          <w:szCs w:val="18"/>
        </w:rPr>
        <w:drawing>
          <wp:inline distT="0" distB="0" distL="0" distR="0" wp14:anchorId="0931C3E7" wp14:editId="55351B81">
            <wp:extent cx="3408062" cy="2054146"/>
            <wp:effectExtent l="0" t="0" r="190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8" cstate="print">
                      <a:extLst>
                        <a:ext uri="{28A0092B-C50C-407E-A947-70E740481C1C}">
                          <a14:useLocalDpi xmlns:a14="http://schemas.microsoft.com/office/drawing/2010/main" val="0"/>
                        </a:ext>
                      </a:extLst>
                    </a:blip>
                    <a:srcRect l="11392" t="15274" r="31249" b="23265"/>
                    <a:stretch/>
                  </pic:blipFill>
                  <pic:spPr bwMode="auto">
                    <a:xfrm>
                      <a:off x="0" y="0"/>
                      <a:ext cx="3409180" cy="2054820"/>
                    </a:xfrm>
                    <a:prstGeom prst="rect">
                      <a:avLst/>
                    </a:prstGeom>
                    <a:ln>
                      <a:noFill/>
                    </a:ln>
                    <a:extLst>
                      <a:ext uri="{53640926-AAD7-44D8-BBD7-CCE9431645EC}">
                        <a14:shadowObscured xmlns:a14="http://schemas.microsoft.com/office/drawing/2010/main"/>
                      </a:ext>
                    </a:extLst>
                  </pic:spPr>
                </pic:pic>
              </a:graphicData>
            </a:graphic>
          </wp:inline>
        </w:drawing>
      </w:r>
    </w:p>
    <w:p w14:paraId="36803389" w14:textId="0CFB3B0D" w:rsidR="00BF1169" w:rsidRPr="008F5202" w:rsidRDefault="00BF1169" w:rsidP="008F5202">
      <w:pPr>
        <w:pStyle w:val="Caption"/>
        <w:rPr>
          <w:rFonts w:eastAsiaTheme="minorEastAsia"/>
        </w:rPr>
      </w:pPr>
      <w:bookmarkStart w:id="25" w:name="_Ref177681117"/>
      <w:bookmarkStart w:id="26" w:name="_Toc177755186"/>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4</w:t>
      </w:r>
      <w:r w:rsidR="003763D2" w:rsidRPr="008F5202">
        <w:fldChar w:fldCharType="end"/>
      </w:r>
      <w:bookmarkEnd w:id="25"/>
      <w:r w:rsidRPr="008F5202">
        <w:t xml:space="preserve"> Schematic of the lattice sample and test-section assembly (not drawn to scale)</w:t>
      </w:r>
      <w:bookmarkEnd w:id="26"/>
    </w:p>
    <w:p w14:paraId="0347B6E0" w14:textId="77777777" w:rsidR="00BF1169" w:rsidRPr="008F5202" w:rsidRDefault="00BF1169" w:rsidP="00BF1169">
      <w:pPr>
        <w:pStyle w:val="Heading2"/>
      </w:pPr>
    </w:p>
    <w:p w14:paraId="1FE231C8" w14:textId="7DB77D1D" w:rsidR="001B15C3" w:rsidRPr="008F5202" w:rsidRDefault="00BF1169" w:rsidP="00BF1169">
      <w:pPr>
        <w:pStyle w:val="Heading2"/>
      </w:pPr>
      <w:bookmarkStart w:id="27" w:name="_Toc177758136"/>
      <w:r w:rsidRPr="008F5202">
        <w:t>Experimental method and data reduction</w:t>
      </w:r>
      <w:bookmarkEnd w:id="27"/>
    </w:p>
    <w:p w14:paraId="2DEE42A7" w14:textId="00E0BCC5" w:rsidR="00BF1169" w:rsidRPr="008F5202" w:rsidRDefault="00BF1169" w:rsidP="006F7720">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This section provides details of the steady-state experimental procedure and heat transfer coefficient calculation methodology.</w:t>
      </w:r>
    </w:p>
    <w:p w14:paraId="7441B78B" w14:textId="51ABAF66" w:rsidR="00BF1169" w:rsidRPr="008F5202" w:rsidRDefault="00BF1169" w:rsidP="00230F46">
      <w:pPr>
        <w:pStyle w:val="Heading3"/>
      </w:pPr>
      <w:bookmarkStart w:id="28" w:name="_Toc177758137"/>
      <w:r w:rsidRPr="008F5202">
        <w:t>Forced convection experimental procedure</w:t>
      </w:r>
      <w:bookmarkEnd w:id="28"/>
    </w:p>
    <w:p w14:paraId="39828315" w14:textId="77777777" w:rsidR="006F7720" w:rsidRPr="008F5202" w:rsidRDefault="006F7720" w:rsidP="006F7720">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 xml:space="preserve">The voltage of the variable transformers connected to the heaters was preset and the mass flow rates through the test section was adjusted to a known value. The current investigation covered the air mass flow rate range of about ~ 4.8 g/s to 21 g/s and the corresponding Reynolds number based on the channel hydraulic diameter was between 5,000 &lt; </w:t>
      </w:r>
      <m:oMath>
        <m:r>
          <w:rPr>
            <w:rFonts w:ascii="Cambria Math" w:eastAsiaTheme="minorEastAsia" w:hAnsi="Cambria Math" w:cs="Times New Roman"/>
          </w:rPr>
          <m:t>R</m:t>
        </m:r>
        <m:sSub>
          <m:sSubPr>
            <m:ctrlPr>
              <w:rPr>
                <w:rFonts w:ascii="Cambria Math" w:eastAsiaTheme="minorEastAsia" w:hAnsi="Cambria Math" w:cs="Times New Roman"/>
              </w:rPr>
            </m:ctrlPr>
          </m:sSubPr>
          <m:e>
            <m:r>
              <w:rPr>
                <w:rFonts w:ascii="Cambria Math" w:eastAsiaTheme="minorEastAsia" w:hAnsi="Cambria Math" w:cs="Times New Roman"/>
              </w:rPr>
              <m:t>e</m:t>
            </m:r>
          </m:e>
          <m:sub>
            <m:sSub>
              <m:sSubPr>
                <m:ctrlPr>
                  <w:rPr>
                    <w:rFonts w:ascii="Cambria Math" w:eastAsiaTheme="minorEastAsia" w:hAnsi="Cambria Math" w:cs="Times New Roman"/>
                  </w:rPr>
                </m:ctrlPr>
              </m:sSubPr>
              <m:e>
                <m:r>
                  <w:rPr>
                    <w:rFonts w:ascii="Cambria Math" w:eastAsiaTheme="minorEastAsia" w:hAnsi="Cambria Math" w:cs="Times New Roman"/>
                  </w:rPr>
                  <m:t>d</m:t>
                </m:r>
              </m:e>
              <m:sub>
                <m:r>
                  <w:rPr>
                    <w:rFonts w:ascii="Cambria Math" w:eastAsiaTheme="minorEastAsia" w:hAnsi="Cambria Math" w:cs="Times New Roman"/>
                  </w:rPr>
                  <m:t>h</m:t>
                </m:r>
              </m:sub>
            </m:sSub>
          </m:sub>
        </m:sSub>
      </m:oMath>
      <w:r w:rsidRPr="008F5202">
        <w:rPr>
          <w:rFonts w:ascii="Times New Roman" w:eastAsiaTheme="minorEastAsia" w:hAnsi="Times New Roman" w:cs="Times New Roman"/>
        </w:rPr>
        <w:t xml:space="preserve">&lt; 22, 500. The mean flow velocity corresponding to this investigated Reynolds number range varied between 1.54 m/s and 6.95 m/s. The mass flow rate was constantly monitored to ensure that it remained uniform during the test runs. Each unique run was allowed sufficient time to reach the steady-state. Once the steady-state condition was achieved, the temperatures and the corresponding voltage readings were recorded. </w:t>
      </w:r>
      <w:r w:rsidRPr="008F5202">
        <w:rPr>
          <w:rFonts w:ascii="Times New Roman" w:eastAsiaTheme="minorEastAsia" w:hAnsi="Times New Roman" w:cs="Times New Roman"/>
        </w:rPr>
        <w:lastRenderedPageBreak/>
        <w:t>The total heat output from the heaters was calculated using the applied voltage and the known heater resistance as following:</w:t>
      </w:r>
    </w:p>
    <w:p w14:paraId="24843F5B" w14:textId="54B35C86" w:rsidR="006F7720" w:rsidRPr="008F5202" w:rsidRDefault="006F7720" w:rsidP="008F5202">
      <w:pPr>
        <w:pStyle w:val="Caption"/>
        <w:rPr>
          <w:rFonts w:eastAsiaTheme="minorEastAsia"/>
        </w:rPr>
      </w:pPr>
      <w:bookmarkStart w:id="29" w:name="_Hlk82988638"/>
      <w:r w:rsidRPr="008F5202">
        <w:rPr>
          <w:rFonts w:eastAsiaTheme="minorEastAsia"/>
        </w:rPr>
        <w:t xml:space="preserve">Equation </w:t>
      </w:r>
      <w:r w:rsidR="000978FD" w:rsidRPr="008F5202">
        <w:rPr>
          <w:rFonts w:eastAsiaTheme="minorEastAsia"/>
        </w:rPr>
        <w:fldChar w:fldCharType="begin"/>
      </w:r>
      <w:r w:rsidR="000978FD" w:rsidRPr="008F5202">
        <w:rPr>
          <w:rFonts w:eastAsiaTheme="minorEastAsia"/>
        </w:rPr>
        <w:instrText xml:space="preserve"> STYLEREF 1 \s </w:instrText>
      </w:r>
      <w:r w:rsidR="000978FD" w:rsidRPr="008F5202">
        <w:rPr>
          <w:rFonts w:eastAsiaTheme="minorEastAsia"/>
        </w:rPr>
        <w:fldChar w:fldCharType="separate"/>
      </w:r>
      <w:r w:rsidR="00AF1AFB">
        <w:rPr>
          <w:rFonts w:eastAsiaTheme="minorEastAsia"/>
          <w:noProof/>
        </w:rPr>
        <w:t>2</w:t>
      </w:r>
      <w:r w:rsidR="000978FD" w:rsidRPr="008F5202">
        <w:rPr>
          <w:rFonts w:eastAsiaTheme="minorEastAsia"/>
        </w:rPr>
        <w:fldChar w:fldCharType="end"/>
      </w:r>
      <w:r w:rsidR="000978FD" w:rsidRPr="008F5202">
        <w:rPr>
          <w:rFonts w:eastAsiaTheme="minorEastAsia"/>
        </w:rPr>
        <w:t>.</w:t>
      </w:r>
      <w:r w:rsidR="000978FD" w:rsidRPr="008F5202">
        <w:rPr>
          <w:rFonts w:eastAsiaTheme="minorEastAsia"/>
        </w:rPr>
        <w:fldChar w:fldCharType="begin"/>
      </w:r>
      <w:r w:rsidR="000978FD" w:rsidRPr="008F5202">
        <w:rPr>
          <w:rFonts w:eastAsiaTheme="minorEastAsia"/>
        </w:rPr>
        <w:instrText xml:space="preserve"> SEQ Equation \* ARABIC \s 1 </w:instrText>
      </w:r>
      <w:r w:rsidR="000978FD" w:rsidRPr="008F5202">
        <w:rPr>
          <w:rFonts w:eastAsiaTheme="minorEastAsia"/>
        </w:rPr>
        <w:fldChar w:fldCharType="separate"/>
      </w:r>
      <w:r w:rsidR="00AF1AFB">
        <w:rPr>
          <w:rFonts w:eastAsiaTheme="minorEastAsia"/>
          <w:noProof/>
        </w:rPr>
        <w:t>1</w:t>
      </w:r>
      <w:r w:rsidR="000978FD" w:rsidRPr="008F5202">
        <w:rPr>
          <w:rFonts w:eastAsiaTheme="minorEastAsia"/>
        </w:rPr>
        <w:fldChar w:fldCharType="end"/>
      </w:r>
    </w:p>
    <w:p w14:paraId="77C1510D" w14:textId="234FF0FA" w:rsidR="006F7720" w:rsidRPr="008F5202" w:rsidRDefault="00000000" w:rsidP="006F7720">
      <w:pPr>
        <w:spacing w:line="360" w:lineRule="auto"/>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t</m:t>
              </m:r>
            </m:sub>
          </m:sSub>
          <w:bookmarkEnd w:id="29"/>
          <m:r>
            <w:rPr>
              <w:rFonts w:ascii="Cambria Math" w:eastAsiaTheme="minorEastAsia" w:hAnsi="Cambria Math" w:cs="Times New Roman"/>
            </w:rPr>
            <m:t xml:space="preserve">= </m:t>
          </m:r>
          <m:f>
            <m:fPr>
              <m:ctrlPr>
                <w:rPr>
                  <w:rFonts w:ascii="Cambria Math" w:eastAsiaTheme="minorEastAsia" w:hAnsi="Cambria Math" w:cs="Times New Roman"/>
                  <w:i/>
                </w:rPr>
              </m:ctrlPr>
            </m:fPr>
            <m:num>
              <m:sSup>
                <m:sSupPr>
                  <m:ctrlPr>
                    <w:rPr>
                      <w:rFonts w:ascii="Cambria Math" w:eastAsiaTheme="minorEastAsia" w:hAnsi="Cambria Math" w:cs="Times New Roman"/>
                      <w:i/>
                    </w:rPr>
                  </m:ctrlPr>
                </m:sSupPr>
                <m:e>
                  <m:r>
                    <w:rPr>
                      <w:rFonts w:ascii="Cambria Math" w:eastAsiaTheme="minorEastAsia" w:hAnsi="Cambria Math" w:cs="Times New Roman"/>
                    </w:rPr>
                    <m:t>V</m:t>
                  </m:r>
                </m:e>
                <m:sup>
                  <m:r>
                    <w:rPr>
                      <w:rFonts w:ascii="Cambria Math" w:eastAsiaTheme="minorEastAsia" w:hAnsi="Cambria Math" w:cs="Times New Roman"/>
                    </w:rPr>
                    <m:t>2</m:t>
                  </m:r>
                </m:sup>
              </m:sSup>
            </m:num>
            <m:den>
              <w:bookmarkStart w:id="30" w:name="_Hlk82988684"/>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htr</m:t>
                  </m:r>
                </m:sub>
              </m:sSub>
              <w:bookmarkEnd w:id="30"/>
            </m:den>
          </m:f>
          <m:r>
            <w:rPr>
              <w:rFonts w:ascii="Cambria Math" w:eastAsiaTheme="minorEastAsia" w:hAnsi="Cambria Math" w:cs="Times New Roman"/>
            </w:rPr>
            <m:t xml:space="preserve"> </m:t>
          </m:r>
        </m:oMath>
      </m:oMathPara>
    </w:p>
    <w:p w14:paraId="69463227" w14:textId="0C0209D7" w:rsidR="006F7720" w:rsidRPr="008F5202" w:rsidRDefault="006F7720" w:rsidP="006F7720">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Local heat transfer coefficient was defined as:</w:t>
      </w:r>
    </w:p>
    <w:p w14:paraId="0BD9D523" w14:textId="7C29CC52" w:rsidR="006F7720" w:rsidRPr="008F5202" w:rsidRDefault="006F7720" w:rsidP="008F5202">
      <w:pPr>
        <w:pStyle w:val="Caption"/>
        <w:rPr>
          <w:rFonts w:eastAsiaTheme="minorEastAsia"/>
        </w:rPr>
      </w:pPr>
      <w:r w:rsidRPr="008F5202">
        <w:rPr>
          <w:rFonts w:eastAsiaTheme="minorEastAsia"/>
        </w:rPr>
        <w:t xml:space="preserve">Equation </w:t>
      </w:r>
      <w:r w:rsidR="000978FD" w:rsidRPr="008F5202">
        <w:rPr>
          <w:rFonts w:eastAsiaTheme="minorEastAsia"/>
        </w:rPr>
        <w:fldChar w:fldCharType="begin"/>
      </w:r>
      <w:r w:rsidR="000978FD" w:rsidRPr="008F5202">
        <w:rPr>
          <w:rFonts w:eastAsiaTheme="minorEastAsia"/>
        </w:rPr>
        <w:instrText xml:space="preserve"> STYLEREF 1 \s </w:instrText>
      </w:r>
      <w:r w:rsidR="000978FD" w:rsidRPr="008F5202">
        <w:rPr>
          <w:rFonts w:eastAsiaTheme="minorEastAsia"/>
        </w:rPr>
        <w:fldChar w:fldCharType="separate"/>
      </w:r>
      <w:r w:rsidR="00AF1AFB">
        <w:rPr>
          <w:rFonts w:eastAsiaTheme="minorEastAsia"/>
          <w:noProof/>
        </w:rPr>
        <w:t>2</w:t>
      </w:r>
      <w:r w:rsidR="000978FD" w:rsidRPr="008F5202">
        <w:rPr>
          <w:rFonts w:eastAsiaTheme="minorEastAsia"/>
        </w:rPr>
        <w:fldChar w:fldCharType="end"/>
      </w:r>
      <w:r w:rsidR="000978FD" w:rsidRPr="008F5202">
        <w:rPr>
          <w:rFonts w:eastAsiaTheme="minorEastAsia"/>
        </w:rPr>
        <w:t>.</w:t>
      </w:r>
      <w:r w:rsidR="000978FD" w:rsidRPr="008F5202">
        <w:rPr>
          <w:rFonts w:eastAsiaTheme="minorEastAsia"/>
        </w:rPr>
        <w:fldChar w:fldCharType="begin"/>
      </w:r>
      <w:r w:rsidR="000978FD" w:rsidRPr="008F5202">
        <w:rPr>
          <w:rFonts w:eastAsiaTheme="minorEastAsia"/>
        </w:rPr>
        <w:instrText xml:space="preserve"> SEQ Equation \* ARABIC \s 1 </w:instrText>
      </w:r>
      <w:r w:rsidR="000978FD" w:rsidRPr="008F5202">
        <w:rPr>
          <w:rFonts w:eastAsiaTheme="minorEastAsia"/>
        </w:rPr>
        <w:fldChar w:fldCharType="separate"/>
      </w:r>
      <w:r w:rsidR="00AF1AFB">
        <w:rPr>
          <w:rFonts w:eastAsiaTheme="minorEastAsia"/>
          <w:noProof/>
        </w:rPr>
        <w:t>2</w:t>
      </w:r>
      <w:r w:rsidR="000978FD" w:rsidRPr="008F5202">
        <w:rPr>
          <w:rFonts w:eastAsiaTheme="minorEastAsia"/>
        </w:rPr>
        <w:fldChar w:fldCharType="end"/>
      </w:r>
    </w:p>
    <w:p w14:paraId="4B23749F" w14:textId="618DA2F8" w:rsidR="006F7720" w:rsidRPr="008F5202" w:rsidRDefault="00000000" w:rsidP="006F7720">
      <w:pPr>
        <w:spacing w:line="360" w:lineRule="auto"/>
        <w:contextualSpacing/>
        <w:rPr>
          <w:rFonts w:ascii="Times New Roman" w:eastAsia="Calibri"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l</m:t>
              </m:r>
            </m:sub>
          </m:sSub>
          <m:r>
            <w:rPr>
              <w:rFonts w:ascii="Cambria Math" w:eastAsia="Calibri" w:hAnsi="Cambria Math" w:cs="Times New Roman"/>
            </w:rPr>
            <m:t xml:space="preserve">= </m:t>
          </m:r>
          <m:f>
            <m:fPr>
              <m:ctrlPr>
                <w:rPr>
                  <w:rFonts w:ascii="Cambria Math" w:eastAsia="Calibri" w:hAnsi="Cambria Math" w:cs="Times New Roman"/>
                  <w:i/>
                </w:rPr>
              </m:ctrlPr>
            </m:fPr>
            <m:num>
              <w:bookmarkStart w:id="31" w:name="_Hlk82988789"/>
              <m:sSub>
                <m:sSubPr>
                  <m:ctrlPr>
                    <w:rPr>
                      <w:rFonts w:ascii="Cambria Math" w:eastAsia="Calibri" w:hAnsi="Cambria Math" w:cs="Times New Roman"/>
                      <w:i/>
                    </w:rPr>
                  </m:ctrlPr>
                </m:sSubPr>
                <m:e>
                  <m:r>
                    <w:rPr>
                      <w:rFonts w:ascii="Cambria Math" w:eastAsia="Calibri" w:hAnsi="Cambria Math" w:cs="Times New Roman"/>
                    </w:rPr>
                    <m:t>Q</m:t>
                  </m:r>
                </m:e>
                <m:sub>
                  <m:r>
                    <w:rPr>
                      <w:rFonts w:ascii="Cambria Math" w:eastAsia="Calibri" w:hAnsi="Cambria Math" w:cs="Times New Roman"/>
                    </w:rPr>
                    <m:t>net</m:t>
                  </m:r>
                </m:sub>
              </m:sSub>
              <w:bookmarkEnd w:id="31"/>
            </m:num>
            <m:den>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w</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 xml:space="preserve">w,l </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b, l</m:t>
                  </m:r>
                </m:sub>
              </m:sSub>
              <m:r>
                <w:rPr>
                  <w:rFonts w:ascii="Cambria Math" w:eastAsia="Calibri" w:hAnsi="Cambria Math" w:cs="Times New Roman"/>
                </w:rPr>
                <m:t>)</m:t>
              </m:r>
            </m:den>
          </m:f>
          <m:r>
            <w:rPr>
              <w:rFonts w:ascii="Cambria Math" w:eastAsia="Calibri" w:hAnsi="Cambria Math" w:cs="Times New Roman"/>
            </w:rPr>
            <m:t xml:space="preserve"> </m:t>
          </m:r>
        </m:oMath>
      </m:oMathPara>
    </w:p>
    <w:p w14:paraId="566E53B7" w14:textId="530F99FC" w:rsidR="006F7720" w:rsidRPr="008F5202" w:rsidRDefault="006F7720" w:rsidP="006F7720">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 xml:space="preserve">where, </w:t>
      </w:r>
      <m:oMath>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net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loss</m:t>
            </m:r>
          </m:sub>
        </m:sSub>
        <m:r>
          <w:rPr>
            <w:rFonts w:ascii="Cambria Math" w:eastAsiaTheme="minorEastAsia" w:hAnsi="Cambria Math" w:cs="Times New Roman"/>
          </w:rPr>
          <m:t>)</m:t>
        </m:r>
      </m:oMath>
      <w:r w:rsidRPr="008F5202">
        <w:rPr>
          <w:rFonts w:ascii="Times New Roman" w:eastAsiaTheme="minorEastAsia" w:hAnsi="Times New Roman" w:cs="Times New Roman"/>
        </w:rPr>
        <w:t xml:space="preserve"> was the net heat input from a substrate wall,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w</m:t>
            </m:r>
          </m:sub>
        </m:sSub>
      </m:oMath>
      <w:r w:rsidRPr="008F5202">
        <w:rPr>
          <w:rFonts w:ascii="Times New Roman" w:eastAsiaTheme="minorEastAsia" w:hAnsi="Times New Roman" w:cs="Times New Roman"/>
        </w:rPr>
        <w:t xml:space="preserve"> was the substrate wall area,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 xml:space="preserve">w,l </m:t>
            </m:r>
          </m:sub>
        </m:sSub>
      </m:oMath>
      <w:r w:rsidRPr="008F5202">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b,l</m:t>
            </m:r>
          </m:sub>
        </m:sSub>
      </m:oMath>
      <w:r w:rsidRPr="008F5202">
        <w:rPr>
          <w:rFonts w:ascii="Times New Roman" w:eastAsiaTheme="minorEastAsia" w:hAnsi="Times New Roman" w:cs="Times New Roman"/>
        </w:rPr>
        <w:t xml:space="preserve"> were the local wall temperature and bulk fluid temperature, respectively. </w:t>
      </w:r>
      <w:bookmarkStart w:id="32" w:name="_Hlk91938822"/>
      <w:r w:rsidRPr="008F5202">
        <w:rPr>
          <w:rFonts w:ascii="Times New Roman" w:eastAsiaTheme="minorEastAsia" w:hAnsi="Times New Roman" w:cs="Times New Roman"/>
        </w:rPr>
        <w:t xml:space="preserve">The local bulk fluid temperature </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b,l</m:t>
            </m:r>
          </m:sub>
        </m:sSub>
      </m:oMath>
      <w:r w:rsidRPr="008F5202">
        <w:rPr>
          <w:rFonts w:ascii="Times New Roman" w:eastAsiaTheme="minorEastAsia" w:hAnsi="Times New Roman" w:cs="Times New Roman"/>
        </w:rPr>
        <w:t xml:space="preserve">) was calculated using the energy balance method and two methods were adopted in the present study to evaluate the </w:t>
      </w:r>
      <m:oMath>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loss</m:t>
            </m:r>
          </m:sub>
        </m:sSub>
      </m:oMath>
      <w:r w:rsidRPr="008F5202">
        <w:rPr>
          <w:rFonts w:ascii="Times New Roman" w:eastAsiaTheme="minorEastAsia" w:hAnsi="Times New Roman" w:cs="Times New Roman"/>
        </w:rPr>
        <w:t>, which are explained in detail the following subsection</w:t>
      </w:r>
      <w:bookmarkEnd w:id="32"/>
      <w:r w:rsidRPr="008F5202">
        <w:rPr>
          <w:rFonts w:ascii="Times New Roman" w:eastAsiaTheme="minorEastAsia" w:hAnsi="Times New Roman" w:cs="Times New Roman"/>
        </w:rPr>
        <w:t xml:space="preserve">. After recording the steady-state data for a particular case, the mass flow rate was adjusted to achieve the next desired Reynolds number.  </w:t>
      </w:r>
    </w:p>
    <w:p w14:paraId="4A18FB5D" w14:textId="10C6F6EE" w:rsidR="006F7720" w:rsidRPr="008F5202" w:rsidRDefault="006F7720" w:rsidP="00230F46">
      <w:pPr>
        <w:pStyle w:val="Heading3"/>
      </w:pPr>
      <w:bookmarkStart w:id="33" w:name="_Toc177758138"/>
      <w:r w:rsidRPr="008F5202">
        <w:t>Heat loss measurements</w:t>
      </w:r>
      <w:bookmarkEnd w:id="33"/>
    </w:p>
    <w:p w14:paraId="304ABCB1" w14:textId="77777777" w:rsidR="006F7720" w:rsidRPr="008F5202" w:rsidRDefault="006F7720" w:rsidP="006F7720">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Two methodologies were adopted in the current investigation to calibrate the system for heat losses. The first method includes the measurements from the ‘no-flow’ experiments, and the second method involves only the conduction losses through insulation during the forced convection runs. These two procedures are described below.</w:t>
      </w:r>
    </w:p>
    <w:p w14:paraId="6AE948B1" w14:textId="1F3B4D51" w:rsidR="00EA4D05" w:rsidRPr="008F5202" w:rsidRDefault="006F7720" w:rsidP="00EA4D05">
      <w:pPr>
        <w:spacing w:line="360" w:lineRule="auto"/>
        <w:rPr>
          <w:rFonts w:ascii="Times New Roman" w:eastAsiaTheme="minorEastAsia" w:hAnsi="Times New Roman" w:cs="Times New Roman"/>
        </w:rPr>
      </w:pPr>
      <w:r w:rsidRPr="008F5202">
        <w:rPr>
          <w:rFonts w:ascii="Times New Roman" w:eastAsiaTheme="minorEastAsia" w:hAnsi="Times New Roman" w:cs="Times New Roman"/>
          <w:i/>
          <w:iCs/>
          <w:u w:val="single"/>
        </w:rPr>
        <w:t>No-flow experiments</w:t>
      </w:r>
      <w:r w:rsidR="00EA4D05" w:rsidRPr="008F5202">
        <w:rPr>
          <w:rFonts w:ascii="Times New Roman" w:eastAsiaTheme="minorEastAsia" w:hAnsi="Times New Roman" w:cs="Times New Roman"/>
          <w:i/>
          <w:iCs/>
          <w:u w:val="single"/>
        </w:rPr>
        <w:t>:</w:t>
      </w:r>
      <w:r w:rsidR="00EA4D05" w:rsidRPr="008F5202">
        <w:rPr>
          <w:rFonts w:ascii="Times New Roman" w:eastAsiaTheme="minorEastAsia" w:hAnsi="Times New Roman" w:cs="Times New Roman"/>
        </w:rPr>
        <w:t xml:space="preserve"> Steady-state experiments were performed without flow at two different specified heat inputs (</w:t>
      </w:r>
      <m:oMath>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nf</m:t>
            </m:r>
          </m:sub>
        </m:sSub>
      </m:oMath>
      <w:r w:rsidR="00EA4D05" w:rsidRPr="008F5202">
        <w:rPr>
          <w:rFonts w:ascii="Times New Roman" w:eastAsiaTheme="minorEastAsia" w:hAnsi="Times New Roman" w:cs="Times New Roman"/>
        </w:rPr>
        <w:t>) for each lattice sample and the corresponding wall temperatures were recorded. The power output of each heater was calculated from the known heater resistance and voltage measured through multimeter as following:</w:t>
      </w:r>
    </w:p>
    <w:p w14:paraId="0763094C" w14:textId="06F331A5" w:rsidR="00EA4D05" w:rsidRPr="008F5202" w:rsidRDefault="00EA4D05" w:rsidP="008F5202">
      <w:pPr>
        <w:pStyle w:val="Caption"/>
        <w:rPr>
          <w:rFonts w:eastAsiaTheme="minorEastAsia"/>
        </w:rPr>
      </w:pPr>
      <w:bookmarkStart w:id="34" w:name="_Hlk82988822"/>
      <w:r w:rsidRPr="008F5202">
        <w:rPr>
          <w:rFonts w:eastAsiaTheme="minorEastAsia"/>
        </w:rPr>
        <w:t xml:space="preserve">Equation </w:t>
      </w:r>
      <w:r w:rsidR="000978FD" w:rsidRPr="008F5202">
        <w:rPr>
          <w:rFonts w:eastAsiaTheme="minorEastAsia"/>
        </w:rPr>
        <w:fldChar w:fldCharType="begin"/>
      </w:r>
      <w:r w:rsidR="000978FD" w:rsidRPr="008F5202">
        <w:rPr>
          <w:rFonts w:eastAsiaTheme="minorEastAsia"/>
        </w:rPr>
        <w:instrText xml:space="preserve"> STYLEREF 1 \s </w:instrText>
      </w:r>
      <w:r w:rsidR="000978FD" w:rsidRPr="008F5202">
        <w:rPr>
          <w:rFonts w:eastAsiaTheme="minorEastAsia"/>
        </w:rPr>
        <w:fldChar w:fldCharType="separate"/>
      </w:r>
      <w:r w:rsidR="00AF1AFB">
        <w:rPr>
          <w:rFonts w:eastAsiaTheme="minorEastAsia"/>
          <w:noProof/>
        </w:rPr>
        <w:t>2</w:t>
      </w:r>
      <w:r w:rsidR="000978FD" w:rsidRPr="008F5202">
        <w:rPr>
          <w:rFonts w:eastAsiaTheme="minorEastAsia"/>
        </w:rPr>
        <w:fldChar w:fldCharType="end"/>
      </w:r>
      <w:r w:rsidR="000978FD" w:rsidRPr="008F5202">
        <w:rPr>
          <w:rFonts w:eastAsiaTheme="minorEastAsia"/>
        </w:rPr>
        <w:t>.</w:t>
      </w:r>
      <w:r w:rsidR="000978FD" w:rsidRPr="008F5202">
        <w:rPr>
          <w:rFonts w:eastAsiaTheme="minorEastAsia"/>
        </w:rPr>
        <w:fldChar w:fldCharType="begin"/>
      </w:r>
      <w:r w:rsidR="000978FD" w:rsidRPr="008F5202">
        <w:rPr>
          <w:rFonts w:eastAsiaTheme="minorEastAsia"/>
        </w:rPr>
        <w:instrText xml:space="preserve"> SEQ Equation \* ARABIC \s 1 </w:instrText>
      </w:r>
      <w:r w:rsidR="000978FD" w:rsidRPr="008F5202">
        <w:rPr>
          <w:rFonts w:eastAsiaTheme="minorEastAsia"/>
        </w:rPr>
        <w:fldChar w:fldCharType="separate"/>
      </w:r>
      <w:r w:rsidR="00AF1AFB">
        <w:rPr>
          <w:rFonts w:eastAsiaTheme="minorEastAsia"/>
          <w:noProof/>
        </w:rPr>
        <w:t>3</w:t>
      </w:r>
      <w:r w:rsidR="000978FD" w:rsidRPr="008F5202">
        <w:rPr>
          <w:rFonts w:eastAsiaTheme="minorEastAsia"/>
        </w:rPr>
        <w:fldChar w:fldCharType="end"/>
      </w:r>
    </w:p>
    <w:p w14:paraId="12969867" w14:textId="4A46931D" w:rsidR="00EA4D05" w:rsidRPr="008F5202" w:rsidRDefault="00000000" w:rsidP="00EA4D05">
      <w:pPr>
        <w:spacing w:line="360" w:lineRule="auto"/>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nf</m:t>
              </m:r>
            </m:sub>
          </m:sSub>
          <w:bookmarkEnd w:id="34"/>
          <m:r>
            <w:rPr>
              <w:rFonts w:ascii="Cambria Math" w:eastAsiaTheme="minorEastAsia" w:hAnsi="Cambria Math" w:cs="Times New Roman"/>
            </w:rPr>
            <m:t xml:space="preserve">= </m:t>
          </m:r>
          <m:f>
            <m:fPr>
              <m:ctrlPr>
                <w:rPr>
                  <w:rFonts w:ascii="Cambria Math" w:eastAsiaTheme="minorEastAsia" w:hAnsi="Cambria Math" w:cs="Times New Roman"/>
                  <w:i/>
                </w:rPr>
              </m:ctrlPr>
            </m:fPr>
            <m:num>
              <m:sSubSup>
                <m:sSubSupPr>
                  <m:ctrlPr>
                    <w:rPr>
                      <w:rFonts w:ascii="Cambria Math" w:eastAsiaTheme="minorEastAsia" w:hAnsi="Cambria Math" w:cs="Times New Roman"/>
                      <w:i/>
                    </w:rPr>
                  </m:ctrlPr>
                </m:sSubSupPr>
                <m:e>
                  <m:r>
                    <w:rPr>
                      <w:rFonts w:ascii="Cambria Math" w:eastAsiaTheme="minorEastAsia" w:hAnsi="Cambria Math" w:cs="Times New Roman"/>
                    </w:rPr>
                    <m:t>V</m:t>
                  </m:r>
                </m:e>
                <m:sub>
                  <m:r>
                    <w:rPr>
                      <w:rFonts w:ascii="Cambria Math" w:eastAsiaTheme="minorEastAsia" w:hAnsi="Cambria Math" w:cs="Times New Roman"/>
                    </w:rPr>
                    <m:t>nf</m:t>
                  </m:r>
                </m:sub>
                <m:sup>
                  <m:r>
                    <w:rPr>
                      <w:rFonts w:ascii="Cambria Math" w:eastAsiaTheme="minorEastAsia" w:hAnsi="Cambria Math" w:cs="Times New Roman"/>
                    </w:rPr>
                    <m:t>2</m:t>
                  </m:r>
                </m:sup>
              </m:sSubSup>
            </m:num>
            <m:den>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htr</m:t>
                  </m:r>
                </m:sub>
              </m:sSub>
            </m:den>
          </m:f>
          <m:r>
            <w:rPr>
              <w:rFonts w:ascii="Cambria Math" w:eastAsiaTheme="minorEastAsia" w:hAnsi="Cambria Math" w:cs="Times New Roman"/>
            </w:rPr>
            <m:t xml:space="preserve"> </m:t>
          </m:r>
        </m:oMath>
      </m:oMathPara>
    </w:p>
    <w:p w14:paraId="366162B0" w14:textId="53230C72" w:rsidR="00EA4D05" w:rsidRPr="008F5202" w:rsidRDefault="00EA4D05" w:rsidP="00EA4D05">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lastRenderedPageBreak/>
        <w:t>Under no flow conditions, a nearly constant wall temperature was achieved over the substrate.  Finally, the heat flux (</w:t>
      </w:r>
      <m:oMath>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nf</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w</m:t>
            </m:r>
          </m:sub>
        </m:sSub>
      </m:oMath>
      <w:r w:rsidRPr="008F5202">
        <w:rPr>
          <w:rFonts w:ascii="Times New Roman" w:eastAsiaTheme="minorEastAsia" w:hAnsi="Times New Roman" w:cs="Times New Roman"/>
        </w:rPr>
        <w:t>) was obtained as a quadratic function of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w</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in</m:t>
            </m:r>
          </m:sub>
        </m:sSub>
      </m:oMath>
      <w:r w:rsidRPr="008F5202">
        <w:rPr>
          <w:rFonts w:ascii="Times New Roman" w:eastAsiaTheme="minorEastAsia" w:hAnsi="Times New Roman" w:cs="Times New Roman"/>
        </w:rPr>
        <w:t xml:space="preserve">) where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w</m:t>
            </m:r>
          </m:sub>
        </m:sSub>
      </m:oMath>
      <w:r w:rsidRPr="008F5202">
        <w:rPr>
          <w:rFonts w:ascii="Times New Roman" w:eastAsiaTheme="minorEastAsia" w:hAnsi="Times New Roman" w:cs="Times New Roman"/>
        </w:rPr>
        <w:t xml:space="preserve"> was the mean wall temperature defined as:</w:t>
      </w:r>
    </w:p>
    <w:p w14:paraId="5113C76A" w14:textId="77777777" w:rsidR="00EA4D05" w:rsidRPr="008F5202" w:rsidRDefault="00EA4D05" w:rsidP="00EA4D05">
      <w:pPr>
        <w:spacing w:line="360" w:lineRule="auto"/>
        <w:rPr>
          <w:rFonts w:ascii="Times New Roman" w:eastAsiaTheme="minorEastAsia" w:hAnsi="Times New Roman" w:cs="Times New Roman"/>
        </w:rPr>
      </w:pPr>
    </w:p>
    <w:p w14:paraId="2CE91BA6" w14:textId="784EAF29" w:rsidR="00EA4D05" w:rsidRPr="008F5202" w:rsidRDefault="00EA4D05" w:rsidP="008F5202">
      <w:pPr>
        <w:pStyle w:val="Caption"/>
        <w:rPr>
          <w:rFonts w:eastAsiaTheme="minorEastAsia"/>
        </w:rPr>
      </w:pPr>
      <w:bookmarkStart w:id="35" w:name="_Hlk82988878"/>
      <w:r w:rsidRPr="008F5202">
        <w:rPr>
          <w:rFonts w:eastAsiaTheme="minorEastAsia"/>
        </w:rPr>
        <w:t xml:space="preserve">Equation </w:t>
      </w:r>
      <w:r w:rsidR="000978FD" w:rsidRPr="008F5202">
        <w:rPr>
          <w:rFonts w:eastAsiaTheme="minorEastAsia"/>
        </w:rPr>
        <w:fldChar w:fldCharType="begin"/>
      </w:r>
      <w:r w:rsidR="000978FD" w:rsidRPr="008F5202">
        <w:rPr>
          <w:rFonts w:eastAsiaTheme="minorEastAsia"/>
        </w:rPr>
        <w:instrText xml:space="preserve"> STYLEREF 1 \s </w:instrText>
      </w:r>
      <w:r w:rsidR="000978FD" w:rsidRPr="008F5202">
        <w:rPr>
          <w:rFonts w:eastAsiaTheme="minorEastAsia"/>
        </w:rPr>
        <w:fldChar w:fldCharType="separate"/>
      </w:r>
      <w:r w:rsidR="00AF1AFB">
        <w:rPr>
          <w:rFonts w:eastAsiaTheme="minorEastAsia"/>
          <w:noProof/>
        </w:rPr>
        <w:t>2</w:t>
      </w:r>
      <w:r w:rsidR="000978FD" w:rsidRPr="008F5202">
        <w:rPr>
          <w:rFonts w:eastAsiaTheme="minorEastAsia"/>
        </w:rPr>
        <w:fldChar w:fldCharType="end"/>
      </w:r>
      <w:r w:rsidR="000978FD" w:rsidRPr="008F5202">
        <w:rPr>
          <w:rFonts w:eastAsiaTheme="minorEastAsia"/>
        </w:rPr>
        <w:t>.</w:t>
      </w:r>
      <w:r w:rsidR="000978FD" w:rsidRPr="008F5202">
        <w:rPr>
          <w:rFonts w:eastAsiaTheme="minorEastAsia"/>
        </w:rPr>
        <w:fldChar w:fldCharType="begin"/>
      </w:r>
      <w:r w:rsidR="000978FD" w:rsidRPr="008F5202">
        <w:rPr>
          <w:rFonts w:eastAsiaTheme="minorEastAsia"/>
        </w:rPr>
        <w:instrText xml:space="preserve"> SEQ Equation \* ARABIC \s 1 </w:instrText>
      </w:r>
      <w:r w:rsidR="000978FD" w:rsidRPr="008F5202">
        <w:rPr>
          <w:rFonts w:eastAsiaTheme="minorEastAsia"/>
        </w:rPr>
        <w:fldChar w:fldCharType="separate"/>
      </w:r>
      <w:r w:rsidR="00AF1AFB">
        <w:rPr>
          <w:rFonts w:eastAsiaTheme="minorEastAsia"/>
          <w:noProof/>
        </w:rPr>
        <w:t>4</w:t>
      </w:r>
      <w:r w:rsidR="000978FD" w:rsidRPr="008F5202">
        <w:rPr>
          <w:rFonts w:eastAsiaTheme="minorEastAsia"/>
        </w:rPr>
        <w:fldChar w:fldCharType="end"/>
      </w:r>
    </w:p>
    <w:p w14:paraId="72D67F28" w14:textId="25A787BC" w:rsidR="00EA4D05" w:rsidRPr="008F5202" w:rsidRDefault="00000000" w:rsidP="00EA4D05">
      <w:pPr>
        <w:spacing w:line="360" w:lineRule="auto"/>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w</m:t>
              </m:r>
            </m:sub>
          </m:sSub>
          <w:bookmarkEnd w:id="35"/>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n</m:t>
              </m:r>
            </m:den>
          </m:f>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n</m:t>
              </m:r>
            </m:sup>
            <m:e>
              <m:sSub>
                <m:sSubPr>
                  <m:ctrlPr>
                    <w:rPr>
                      <w:rFonts w:ascii="Cambria Math" w:eastAsiaTheme="minorEastAsia" w:hAnsi="Cambria Math" w:cs="Times New Roman"/>
                      <w:i/>
                    </w:rPr>
                  </m:ctrlPr>
                </m:sSubPr>
                <m:e>
                  <m:r>
                    <w:rPr>
                      <w:rFonts w:ascii="Cambria Math" w:eastAsiaTheme="minorEastAsia" w:hAnsi="Cambria Math" w:cs="Times New Roman"/>
                    </w:rPr>
                    <m:t>T</m:t>
                  </m:r>
                </m:e>
                <m:sub>
                  <w:bookmarkStart w:id="36" w:name="_Hlk82988904"/>
                  <m:r>
                    <w:rPr>
                      <w:rFonts w:ascii="Cambria Math" w:eastAsiaTheme="minorEastAsia" w:hAnsi="Cambria Math" w:cs="Times New Roman"/>
                    </w:rPr>
                    <m:t>w, i</m:t>
                  </m:r>
                  <w:bookmarkEnd w:id="36"/>
                </m:sub>
              </m:sSub>
            </m:e>
          </m:nary>
        </m:oMath>
      </m:oMathPara>
    </w:p>
    <w:p w14:paraId="29D92508" w14:textId="37AF6958" w:rsidR="00EA4D05" w:rsidRPr="008F5202" w:rsidRDefault="00EA4D05" w:rsidP="00EA4D05">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 xml:space="preserve">and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in</m:t>
            </m:r>
          </m:sub>
        </m:sSub>
      </m:oMath>
      <w:r w:rsidRPr="008F5202">
        <w:rPr>
          <w:rFonts w:ascii="Times New Roman" w:eastAsiaTheme="minorEastAsia" w:hAnsi="Times New Roman" w:cs="Times New Roman"/>
        </w:rPr>
        <w:t xml:space="preserve"> was the temperature upstream of the lattices recorded during each no flow run. The relationship between applied heat and the difference of wall and local fluid temperature characterizes the overall system loss which may include the lattice material effects on buoyancy-driven convection and the conduction losses through the insulation at the backside of the heaters. The heat transfer measurements were performed for both-walls heated and single-wall (bottom) heated conditions. These losses accounted for about ~ 5% to 18% of the total heat supplied during the flow experiments.  </w:t>
      </w:r>
    </w:p>
    <w:p w14:paraId="0A6E755B" w14:textId="4565A454" w:rsidR="00EA4D05" w:rsidRPr="008F5202" w:rsidRDefault="00EA4D05" w:rsidP="00EA4D05">
      <w:pPr>
        <w:spacing w:line="360" w:lineRule="auto"/>
        <w:rPr>
          <w:rFonts w:ascii="Times New Roman" w:eastAsiaTheme="minorEastAsia" w:hAnsi="Times New Roman" w:cs="Times New Roman"/>
        </w:rPr>
      </w:pPr>
      <w:r w:rsidRPr="008F5202">
        <w:rPr>
          <w:rFonts w:ascii="Times New Roman" w:eastAsiaTheme="minorEastAsia" w:hAnsi="Times New Roman" w:cs="Times New Roman"/>
          <w:i/>
          <w:iCs/>
          <w:u w:val="single"/>
        </w:rPr>
        <w:t>With-flow experiments</w:t>
      </w:r>
      <w:r w:rsidRPr="008F5202">
        <w:rPr>
          <w:rFonts w:ascii="Times New Roman" w:eastAsiaTheme="minorEastAsia" w:hAnsi="Times New Roman" w:cs="Times New Roman"/>
          <w:u w:val="single"/>
        </w:rPr>
        <w:t>:</w:t>
      </w:r>
      <w:r w:rsidRPr="008F5202">
        <w:rPr>
          <w:rFonts w:ascii="Times New Roman" w:eastAsiaTheme="minorEastAsia" w:hAnsi="Times New Roman" w:cs="Times New Roman"/>
        </w:rPr>
        <w:t xml:space="preserve"> The losses from the system when the air was forced through the test samples were taken as the one conducted through the insulation and evaluated using the Fourier’s law:</w:t>
      </w:r>
    </w:p>
    <w:p w14:paraId="398037A6" w14:textId="7AB461FA" w:rsidR="00EA4D05" w:rsidRPr="008F5202" w:rsidRDefault="00EA4D05" w:rsidP="008F5202">
      <w:pPr>
        <w:pStyle w:val="Caption"/>
        <w:rPr>
          <w:rFonts w:eastAsiaTheme="minorEastAsia"/>
        </w:rPr>
      </w:pPr>
      <w:bookmarkStart w:id="37" w:name="_Hlk82988932"/>
      <w:r w:rsidRPr="008F5202">
        <w:rPr>
          <w:rFonts w:eastAsiaTheme="minorEastAsia"/>
        </w:rPr>
        <w:t xml:space="preserve">Equation </w:t>
      </w:r>
      <w:r w:rsidR="000978FD" w:rsidRPr="008F5202">
        <w:rPr>
          <w:rFonts w:eastAsiaTheme="minorEastAsia"/>
        </w:rPr>
        <w:fldChar w:fldCharType="begin"/>
      </w:r>
      <w:r w:rsidR="000978FD" w:rsidRPr="008F5202">
        <w:rPr>
          <w:rFonts w:eastAsiaTheme="minorEastAsia"/>
        </w:rPr>
        <w:instrText xml:space="preserve"> STYLEREF 1 \s </w:instrText>
      </w:r>
      <w:r w:rsidR="000978FD" w:rsidRPr="008F5202">
        <w:rPr>
          <w:rFonts w:eastAsiaTheme="minorEastAsia"/>
        </w:rPr>
        <w:fldChar w:fldCharType="separate"/>
      </w:r>
      <w:r w:rsidR="00AF1AFB">
        <w:rPr>
          <w:rFonts w:eastAsiaTheme="minorEastAsia"/>
          <w:noProof/>
        </w:rPr>
        <w:t>2</w:t>
      </w:r>
      <w:r w:rsidR="000978FD" w:rsidRPr="008F5202">
        <w:rPr>
          <w:rFonts w:eastAsiaTheme="minorEastAsia"/>
        </w:rPr>
        <w:fldChar w:fldCharType="end"/>
      </w:r>
      <w:r w:rsidR="000978FD" w:rsidRPr="008F5202">
        <w:rPr>
          <w:rFonts w:eastAsiaTheme="minorEastAsia"/>
        </w:rPr>
        <w:t>.</w:t>
      </w:r>
      <w:r w:rsidR="000978FD" w:rsidRPr="008F5202">
        <w:rPr>
          <w:rFonts w:eastAsiaTheme="minorEastAsia"/>
        </w:rPr>
        <w:fldChar w:fldCharType="begin"/>
      </w:r>
      <w:r w:rsidR="000978FD" w:rsidRPr="008F5202">
        <w:rPr>
          <w:rFonts w:eastAsiaTheme="minorEastAsia"/>
        </w:rPr>
        <w:instrText xml:space="preserve"> SEQ Equation \* ARABIC \s 1 </w:instrText>
      </w:r>
      <w:r w:rsidR="000978FD" w:rsidRPr="008F5202">
        <w:rPr>
          <w:rFonts w:eastAsiaTheme="minorEastAsia"/>
        </w:rPr>
        <w:fldChar w:fldCharType="separate"/>
      </w:r>
      <w:r w:rsidR="00AF1AFB">
        <w:rPr>
          <w:rFonts w:eastAsiaTheme="minorEastAsia"/>
          <w:noProof/>
        </w:rPr>
        <w:t>5</w:t>
      </w:r>
      <w:r w:rsidR="000978FD" w:rsidRPr="008F5202">
        <w:rPr>
          <w:rFonts w:eastAsiaTheme="minorEastAsia"/>
        </w:rPr>
        <w:fldChar w:fldCharType="end"/>
      </w:r>
    </w:p>
    <w:p w14:paraId="4A98E88B" w14:textId="1557DAF2" w:rsidR="00EA4D05" w:rsidRPr="008F5202" w:rsidRDefault="00000000" w:rsidP="00EA4D05">
      <w:pPr>
        <w:spacing w:line="360" w:lineRule="auto"/>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wf</m:t>
              </m:r>
            </m:sub>
          </m:sSub>
          <w:bookmarkEnd w:id="37"/>
          <m:r>
            <w:rPr>
              <w:rFonts w:ascii="Cambria Math" w:eastAsiaTheme="minorEastAsia" w:hAnsi="Cambria Math" w:cs="Times New Roman"/>
            </w:rPr>
            <m:t>= k</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 xml:space="preserve"> ins</m:t>
              </m:r>
            </m:sub>
          </m:sSub>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d>
                    <m:dPr>
                      <m:ctrlPr>
                        <w:rPr>
                          <w:rFonts w:ascii="Cambria Math" w:eastAsiaTheme="minorEastAsia" w:hAnsi="Cambria Math" w:cs="Times New Roman"/>
                          <w:i/>
                        </w:rPr>
                      </m:ctrlPr>
                    </m:dPr>
                    <m:e>
                      <m:r>
                        <m:rPr>
                          <m:sty m:val="p"/>
                        </m:rPr>
                        <w:rPr>
                          <w:rFonts w:ascii="Cambria Math" w:eastAsiaTheme="minorEastAsia" w:hAnsi="Cambria Math" w:cs="Times New Roman"/>
                        </w:rPr>
                        <m:t>Δ</m:t>
                      </m:r>
                      <m:r>
                        <w:rPr>
                          <w:rFonts w:ascii="Cambria Math" w:eastAsiaTheme="minorEastAsia" w:hAnsi="Cambria Math" w:cs="Times New Roman"/>
                        </w:rPr>
                        <m:t>T</m:t>
                      </m:r>
                    </m:e>
                  </m:d>
                </m:e>
                <m:sub>
                  <m:r>
                    <w:rPr>
                      <w:rFonts w:ascii="Cambria Math" w:eastAsiaTheme="minorEastAsia" w:hAnsi="Cambria Math" w:cs="Times New Roman"/>
                    </w:rPr>
                    <m:t>ins</m:t>
                  </m:r>
                </m:sub>
              </m:sSub>
            </m:num>
            <m:den>
              <m:sSub>
                <m:sSubPr>
                  <m:ctrlPr>
                    <w:rPr>
                      <w:rFonts w:ascii="Cambria Math" w:eastAsiaTheme="minorEastAsia" w:hAnsi="Cambria Math" w:cs="Times New Roman"/>
                      <w:i/>
                      <w:iCs/>
                    </w:rPr>
                  </m:ctrlPr>
                </m:sSubPr>
                <m:e>
                  <m:r>
                    <w:rPr>
                      <w:rFonts w:ascii="Cambria Math" w:eastAsiaTheme="minorEastAsia" w:hAnsi="Cambria Math" w:cs="Times New Roman"/>
                    </w:rPr>
                    <m:t>t</m:t>
                  </m:r>
                </m:e>
                <m:sub>
                  <m:r>
                    <w:rPr>
                      <w:rFonts w:ascii="Cambria Math" w:eastAsiaTheme="minorEastAsia" w:hAnsi="Cambria Math" w:cs="Times New Roman"/>
                    </w:rPr>
                    <m:t>ins</m:t>
                  </m:r>
                </m:sub>
              </m:sSub>
            </m:den>
          </m:f>
          <m:r>
            <w:rPr>
              <w:rFonts w:ascii="Cambria Math" w:eastAsiaTheme="minorEastAsia" w:hAnsi="Cambria Math" w:cs="Times New Roman"/>
            </w:rPr>
            <m:t xml:space="preserve"> </m:t>
          </m:r>
        </m:oMath>
      </m:oMathPara>
    </w:p>
    <w:p w14:paraId="671DF715" w14:textId="15E8D439" w:rsidR="00EA4D05" w:rsidRPr="008F5202" w:rsidRDefault="00EA4D05" w:rsidP="00EA4D05">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 xml:space="preserve">where, </w:t>
      </w:r>
      <m:oMath>
        <m:r>
          <w:rPr>
            <w:rFonts w:ascii="Cambria Math" w:eastAsiaTheme="minorEastAsia" w:hAnsi="Cambria Math" w:cs="Times New Roman"/>
          </w:rPr>
          <m:t>k</m:t>
        </m:r>
      </m:oMath>
      <w:r w:rsidRPr="008F5202">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ins</m:t>
            </m:r>
          </m:sub>
        </m:sSub>
      </m:oMath>
      <w:r w:rsidRPr="008F5202">
        <w:rPr>
          <w:rFonts w:ascii="Times New Roman" w:eastAsiaTheme="minorEastAsia" w:hAnsi="Times New Roman" w:cs="Times New Roman"/>
        </w:rPr>
        <w:t xml:space="preserve">, </w:t>
      </w:r>
      <m:oMath>
        <m:r>
          <w:rPr>
            <w:rFonts w:ascii="Cambria Math" w:eastAsiaTheme="minorEastAsia" w:hAnsi="Cambria Math" w:cs="Times New Roman"/>
          </w:rPr>
          <m:t>(</m:t>
        </m:r>
        <m:r>
          <m:rPr>
            <m:sty m:val="p"/>
          </m:rPr>
          <w:rPr>
            <w:rFonts w:ascii="Cambria Math" w:eastAsiaTheme="minorEastAsia" w:hAnsi="Cambria Math" w:cs="Times New Roman"/>
          </w:rPr>
          <m:t>Δ</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ins</m:t>
            </m:r>
          </m:sub>
        </m:sSub>
      </m:oMath>
      <w:r w:rsidRPr="008F5202">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ins</m:t>
            </m:r>
          </m:sub>
        </m:sSub>
      </m:oMath>
      <w:r w:rsidRPr="008F5202">
        <w:rPr>
          <w:rFonts w:ascii="Times New Roman" w:eastAsiaTheme="minorEastAsia" w:hAnsi="Times New Roman" w:cs="Times New Roman"/>
        </w:rPr>
        <w:t xml:space="preserve"> were the thermal conductivity, area normal to the heat flow direction, temperature difference across the insulation and thickness of the insulation, respectively. These losses were 1% to 3.3% of the total heat supplied during the flow experiments.</w:t>
      </w:r>
    </w:p>
    <w:p w14:paraId="5C0185E0" w14:textId="45142EBC" w:rsidR="00EA4D05" w:rsidRPr="008F5202" w:rsidRDefault="00EA4D05" w:rsidP="00230F46">
      <w:pPr>
        <w:pStyle w:val="Heading3"/>
      </w:pPr>
      <w:bookmarkStart w:id="38" w:name="_Toc177758139"/>
      <w:r w:rsidRPr="008F5202">
        <w:t>Data reduction for heat transfer coefficient</w:t>
      </w:r>
      <w:bookmarkEnd w:id="38"/>
    </w:p>
    <w:p w14:paraId="763410CB" w14:textId="77777777" w:rsidR="00EA4D05" w:rsidRPr="008F5202" w:rsidRDefault="00EA4D05" w:rsidP="00EA4D05">
      <w:pPr>
        <w:spacing w:line="360" w:lineRule="auto"/>
        <w:contextualSpacing/>
        <w:jc w:val="both"/>
        <w:rPr>
          <w:rFonts w:ascii="Times New Roman" w:eastAsiaTheme="minorEastAsia" w:hAnsi="Times New Roman" w:cs="Times New Roman"/>
        </w:rPr>
      </w:pPr>
      <w:r w:rsidRPr="008F5202">
        <w:rPr>
          <w:rFonts w:ascii="Times New Roman" w:eastAsiaTheme="minorEastAsia" w:hAnsi="Times New Roman" w:cs="Times New Roman"/>
        </w:rPr>
        <w:t xml:space="preserve">Two methodologies have been adopted to report the heat transfer coefficient values in this study based on the heat loss measurement procedures discussed above. </w:t>
      </w:r>
    </w:p>
    <w:p w14:paraId="4675289E" w14:textId="77777777" w:rsidR="00EA4D05" w:rsidRPr="008F5202" w:rsidRDefault="00EA4D05" w:rsidP="00EA4D05">
      <w:pPr>
        <w:spacing w:line="360" w:lineRule="auto"/>
        <w:contextualSpacing/>
        <w:rPr>
          <w:rFonts w:ascii="Times New Roman" w:eastAsiaTheme="minorEastAsia" w:hAnsi="Times New Roman" w:cs="Times New Roman"/>
        </w:rPr>
      </w:pPr>
      <w:r w:rsidRPr="008F5202">
        <w:rPr>
          <w:rFonts w:ascii="Times New Roman" w:eastAsiaTheme="minorEastAsia" w:hAnsi="Times New Roman" w:cs="Times New Roman"/>
          <w:i/>
          <w:iCs/>
          <w:u w:val="single"/>
        </w:rPr>
        <w:t>Total heat transfer coefficient (h)</w:t>
      </w:r>
      <w:r w:rsidRPr="008F5202">
        <w:rPr>
          <w:rFonts w:ascii="Times New Roman" w:eastAsiaTheme="minorEastAsia" w:hAnsi="Times New Roman" w:cs="Times New Roman"/>
        </w:rPr>
        <w:t>:</w:t>
      </w:r>
      <w:r w:rsidRPr="008F5202">
        <w:rPr>
          <w:rFonts w:ascii="Times New Roman" w:eastAsiaTheme="minorEastAsia" w:hAnsi="Times New Roman" w:cs="Times New Roman"/>
          <w:i/>
          <w:iCs/>
        </w:rPr>
        <w:t xml:space="preserve"> </w:t>
      </w:r>
      <w:r w:rsidRPr="008F5202">
        <w:rPr>
          <w:rFonts w:ascii="Times New Roman" w:eastAsiaTheme="minorEastAsia" w:hAnsi="Times New Roman" w:cs="Times New Roman"/>
        </w:rPr>
        <w:t>The local total heat transfer coefficient was defined as:</w:t>
      </w:r>
    </w:p>
    <w:p w14:paraId="53073025" w14:textId="0E539A3E" w:rsidR="00EA4D05" w:rsidRPr="008F5202" w:rsidRDefault="00EA4D05" w:rsidP="008F5202">
      <w:pPr>
        <w:pStyle w:val="Caption"/>
      </w:pPr>
      <w:bookmarkStart w:id="39" w:name="_Ref177682875"/>
      <w:bookmarkStart w:id="40" w:name="_Hlk82988980"/>
      <w:r w:rsidRPr="008F5202">
        <w:lastRenderedPageBreak/>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2</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6</w:t>
      </w:r>
      <w:r w:rsidR="000978FD" w:rsidRPr="008F5202">
        <w:fldChar w:fldCharType="end"/>
      </w:r>
      <w:bookmarkEnd w:id="39"/>
    </w:p>
    <w:p w14:paraId="17A40C65" w14:textId="093F02BE" w:rsidR="00EA4D05" w:rsidRPr="008F5202" w:rsidRDefault="00000000" w:rsidP="00EA4D05">
      <w:pPr>
        <w:spacing w:line="360" w:lineRule="auto"/>
        <w:contextualSpacing/>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m:t>
              </m:r>
            </m:sub>
          </m:sSub>
          <w:bookmarkEnd w:id="40"/>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wf</m:t>
                  </m:r>
                </m:sub>
              </m:sSub>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w</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 xml:space="preserve">w,l </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b, l</m:t>
                  </m:r>
                </m:sub>
              </m:sSub>
              <m:r>
                <w:rPr>
                  <w:rFonts w:ascii="Cambria Math" w:hAnsi="Cambria Math" w:cs="Times New Roman"/>
                </w:rPr>
                <m:t>)</m:t>
              </m:r>
            </m:den>
          </m:f>
          <m:r>
            <w:rPr>
              <w:rFonts w:ascii="Cambria Math" w:hAnsi="Cambria Math" w:cs="Times New Roman"/>
            </w:rPr>
            <m:t xml:space="preserve"> </m:t>
          </m:r>
        </m:oMath>
      </m:oMathPara>
    </w:p>
    <w:p w14:paraId="0B7C2DC0" w14:textId="77777777" w:rsidR="00EA4D05" w:rsidRPr="008F5202" w:rsidRDefault="00EA4D05" w:rsidP="00EA4D05">
      <w:pPr>
        <w:spacing w:line="360" w:lineRule="auto"/>
        <w:contextualSpacing/>
        <w:jc w:val="both"/>
        <w:rPr>
          <w:rFonts w:ascii="Times New Roman" w:eastAsiaTheme="minorEastAsia" w:hAnsi="Times New Roman" w:cs="Times New Roman"/>
        </w:rPr>
      </w:pPr>
      <w:r w:rsidRPr="008F5202">
        <w:rPr>
          <w:rFonts w:ascii="Times New Roman" w:eastAsiaTheme="minorEastAsia" w:hAnsi="Times New Roman" w:cs="Times New Roman"/>
        </w:rPr>
        <w:t>where, the heat losses subtracted from the total heater power output corresponded to the conduction losses estimated using Eq. 5. This heat transfer coefficient included the effects of the flow conditions, lattice topology, working fluid, and buoyancy-induced convection, thereby it represented the true overall conjugate benefits of the lattice samples. The obtained temperature data at the four thermocouple slots in each substrate wall was plotted against the axial position of holes to obtain the polynomial curve fit. This curve fit as a function of streamwise length was used to obtain the local wall temperature values. The wall temperature curve fit equation was used to find local wall temperatures corresponding to a unit cell in streamwise direction by using its distance from the lattice inlet as a parameter. Local bulk fluid temperature as a function of the axial location was obtained using the following energy balance method:</w:t>
      </w:r>
    </w:p>
    <w:p w14:paraId="00854020" w14:textId="668F4F19" w:rsidR="00EA4D05" w:rsidRPr="008F5202" w:rsidRDefault="00EA4D05"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2</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7</w:t>
      </w:r>
      <w:r w:rsidR="000978FD" w:rsidRPr="008F5202">
        <w:fldChar w:fldCharType="end"/>
      </w:r>
    </w:p>
    <w:p w14:paraId="35F3D4ED" w14:textId="6DC5CDB8" w:rsidR="00EA4D05" w:rsidRPr="008F5202" w:rsidRDefault="00000000" w:rsidP="00EA4D05">
      <w:pPr>
        <w:spacing w:line="360" w:lineRule="auto"/>
        <w:contextualSpacing/>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b, 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w:bookmarkStart w:id="41" w:name="_Hlk82989001"/>
              <m:r>
                <w:rPr>
                  <w:rFonts w:ascii="Cambria Math" w:hAnsi="Cambria Math" w:cs="Times New Roman"/>
                </w:rPr>
                <m:t>in</m:t>
              </m:r>
              <w:bookmarkEnd w:id="41"/>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net</m:t>
                  </m:r>
                </m:sub>
              </m:sSub>
              <m:r>
                <w:rPr>
                  <w:rFonts w:ascii="Cambria Math" w:hAnsi="Cambria Math" w:cs="Times New Roman"/>
                </w:rPr>
                <m:t>W</m:t>
              </m:r>
            </m:num>
            <m:den>
              <m:acc>
                <m:accPr>
                  <m:chr m:val="̇"/>
                  <m:ctrlPr>
                    <w:rPr>
                      <w:rFonts w:ascii="Cambria Math" w:hAnsi="Cambria Math" w:cs="Times New Roman"/>
                      <w:i/>
                    </w:rPr>
                  </m:ctrlPr>
                </m:accPr>
                <m:e>
                  <m:r>
                    <w:rPr>
                      <w:rFonts w:ascii="Cambria Math" w:hAnsi="Cambria Math" w:cs="Times New Roman"/>
                    </w:rPr>
                    <m:t>m</m:t>
                  </m:r>
                </m:e>
              </m:acc>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p</m:t>
                  </m:r>
                </m:sub>
              </m:sSub>
            </m:den>
          </m:f>
          <m:r>
            <w:rPr>
              <w:rFonts w:ascii="Cambria Math" w:eastAsiaTheme="minorEastAsia" w:hAnsi="Cambria Math" w:cs="Times New Roman"/>
            </w:rPr>
            <m:t>x</m:t>
          </m:r>
        </m:oMath>
      </m:oMathPara>
    </w:p>
    <w:p w14:paraId="663C4816" w14:textId="77777777" w:rsidR="00EA4D05" w:rsidRPr="008F5202" w:rsidRDefault="00EA4D05" w:rsidP="00EA4D05">
      <w:pPr>
        <w:spacing w:line="360" w:lineRule="auto"/>
        <w:contextualSpacing/>
        <w:rPr>
          <w:rFonts w:ascii="Times New Roman" w:eastAsiaTheme="minorEastAsia" w:hAnsi="Times New Roman" w:cs="Times New Roman"/>
        </w:rPr>
      </w:pPr>
    </w:p>
    <w:p w14:paraId="31A6527A" w14:textId="77777777" w:rsidR="00EA4D05" w:rsidRPr="008F5202" w:rsidRDefault="00EA4D05" w:rsidP="00EA4D05">
      <w:pPr>
        <w:spacing w:line="360" w:lineRule="auto"/>
        <w:contextualSpacing/>
        <w:rPr>
          <w:rFonts w:ascii="Times New Roman" w:eastAsiaTheme="minorEastAsia" w:hAnsi="Times New Roman" w:cs="Times New Roman"/>
        </w:rPr>
      </w:pPr>
      <w:r w:rsidRPr="008F5202">
        <w:rPr>
          <w:rFonts w:ascii="Times New Roman" w:eastAsiaTheme="minorEastAsia"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net</m:t>
            </m:r>
          </m:sub>
        </m:sSub>
      </m:oMath>
      <w:r w:rsidRPr="008F5202">
        <w:rPr>
          <w:rFonts w:ascii="Times New Roman" w:eastAsiaTheme="minorEastAsia" w:hAnsi="Times New Roman" w:cs="Times New Roman"/>
        </w:rPr>
        <w:t xml:space="preserve"> was the net heat flux into the system, </w:t>
      </w:r>
      <m:oMath>
        <m:r>
          <w:rPr>
            <w:rFonts w:ascii="Cambria Math" w:hAnsi="Cambria Math" w:cs="Times New Roman"/>
          </w:rPr>
          <m:t>W</m:t>
        </m:r>
      </m:oMath>
      <w:r w:rsidRPr="008F5202">
        <w:rPr>
          <w:rFonts w:ascii="Times New Roman" w:eastAsiaTheme="minorEastAsia" w:hAnsi="Times New Roman" w:cs="Times New Roman"/>
        </w:rPr>
        <w:t xml:space="preserve"> was the spanwise width of the sample and </w:t>
      </w:r>
      <m:oMath>
        <m:r>
          <w:rPr>
            <w:rFonts w:ascii="Cambria Math" w:eastAsiaTheme="minorEastAsia" w:hAnsi="Cambria Math" w:cs="Times New Roman"/>
          </w:rPr>
          <m:t>x</m:t>
        </m:r>
      </m:oMath>
      <w:r w:rsidRPr="008F5202">
        <w:rPr>
          <w:rFonts w:ascii="Times New Roman" w:eastAsiaTheme="minorEastAsia" w:hAnsi="Times New Roman" w:cs="Times New Roman"/>
        </w:rPr>
        <w:t xml:space="preserve"> denoted the axial distance from the lattice entrance. </w:t>
      </w:r>
    </w:p>
    <w:p w14:paraId="54B6EE08" w14:textId="77777777" w:rsidR="00EA4D05" w:rsidRPr="008F5202" w:rsidRDefault="00EA4D05" w:rsidP="00EA4D05">
      <w:pPr>
        <w:spacing w:line="360" w:lineRule="auto"/>
        <w:contextualSpacing/>
        <w:rPr>
          <w:rFonts w:ascii="Times New Roman" w:eastAsiaTheme="minorEastAsia" w:hAnsi="Times New Roman" w:cs="Times New Roman"/>
        </w:rPr>
      </w:pPr>
      <w:r w:rsidRPr="008F5202">
        <w:rPr>
          <w:rFonts w:ascii="Times New Roman" w:eastAsiaTheme="minorEastAsia" w:hAnsi="Times New Roman" w:cs="Times New Roman"/>
          <w:i/>
          <w:iCs/>
          <w:u w:val="single"/>
        </w:rPr>
        <w:t xml:space="preserve">Forced heat transfer coefficient </w:t>
      </w:r>
      <w:r w:rsidRPr="008F5202">
        <w:rPr>
          <w:rFonts w:ascii="Times New Roman" w:eastAsiaTheme="minorEastAsia" w:hAnsi="Times New Roman" w:cs="Times New Roman"/>
          <w:u w:val="single"/>
        </w:rPr>
        <w:t>(</w:t>
      </w:r>
      <m:oMath>
        <m:acc>
          <m:accPr>
            <m:chr m:val="̃"/>
            <m:ctrlPr>
              <w:rPr>
                <w:rFonts w:ascii="Cambria Math" w:eastAsiaTheme="minorEastAsia" w:hAnsi="Cambria Math" w:cs="Times New Roman"/>
                <w:u w:val="single"/>
              </w:rPr>
            </m:ctrlPr>
          </m:accPr>
          <m:e>
            <m:r>
              <w:rPr>
                <w:rFonts w:ascii="Cambria Math" w:eastAsiaTheme="minorEastAsia" w:hAnsi="Cambria Math" w:cs="Times New Roman"/>
                <w:u w:val="single"/>
              </w:rPr>
              <m:t>h</m:t>
            </m:r>
          </m:e>
        </m:acc>
      </m:oMath>
      <w:r w:rsidRPr="008F5202">
        <w:rPr>
          <w:rFonts w:ascii="Times New Roman" w:eastAsiaTheme="minorEastAsia" w:hAnsi="Times New Roman" w:cs="Times New Roman"/>
          <w:u w:val="single"/>
        </w:rPr>
        <w:t>)</w:t>
      </w:r>
      <w:r w:rsidRPr="008F5202">
        <w:rPr>
          <w:rFonts w:ascii="Times New Roman" w:eastAsiaTheme="minorEastAsia" w:hAnsi="Times New Roman" w:cs="Times New Roman"/>
          <w:i/>
          <w:iCs/>
        </w:rPr>
        <w:t>:</w:t>
      </w:r>
      <w:r w:rsidRPr="008F5202">
        <w:rPr>
          <w:rFonts w:ascii="Times New Roman" w:eastAsiaTheme="minorEastAsia" w:hAnsi="Times New Roman" w:cs="Times New Roman"/>
        </w:rPr>
        <w:t xml:space="preserve"> Local </w:t>
      </w:r>
      <w:r w:rsidRPr="008F5202">
        <w:rPr>
          <w:rFonts w:ascii="Times New Roman" w:eastAsiaTheme="minorEastAsia" w:hAnsi="Times New Roman" w:cs="Times New Roman"/>
          <w:i/>
          <w:iCs/>
        </w:rPr>
        <w:t>‘forced’</w:t>
      </w:r>
      <w:r w:rsidRPr="008F5202">
        <w:rPr>
          <w:rFonts w:ascii="Times New Roman" w:eastAsiaTheme="minorEastAsia" w:hAnsi="Times New Roman" w:cs="Times New Roman"/>
        </w:rPr>
        <w:t xml:space="preserve"> heat transfer coefficient was defined as following:</w:t>
      </w:r>
    </w:p>
    <w:p w14:paraId="62E2C30F" w14:textId="77777777" w:rsidR="00EA4D05" w:rsidRPr="008F5202" w:rsidRDefault="00EA4D05" w:rsidP="00EA4D05">
      <w:pPr>
        <w:spacing w:line="360" w:lineRule="auto"/>
        <w:contextualSpacing/>
        <w:rPr>
          <w:rFonts w:ascii="Times New Roman" w:hAnsi="Times New Roman" w:cs="Times New Roman"/>
        </w:rPr>
      </w:pPr>
      <w:r w:rsidRPr="008F5202">
        <w:rPr>
          <w:rFonts w:ascii="Times New Roman" w:eastAsiaTheme="minorEastAsia" w:hAnsi="Times New Roman" w:cs="Times New Roman"/>
        </w:rPr>
        <w:t xml:space="preserve"> </w:t>
      </w:r>
      <w:r w:rsidRPr="008F5202">
        <w:rPr>
          <w:rFonts w:ascii="Times New Roman" w:hAnsi="Times New Roman" w:cs="Times New Roman"/>
          <w:i/>
        </w:rPr>
        <w:br/>
      </w:r>
    </w:p>
    <w:p w14:paraId="3061F503" w14:textId="291ADF68" w:rsidR="00EA4D05" w:rsidRPr="008F5202" w:rsidRDefault="00EA4D05" w:rsidP="008F5202">
      <w:pPr>
        <w:pStyle w:val="Caption"/>
      </w:pPr>
      <w:bookmarkStart w:id="42" w:name="_Ref177682979"/>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2</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8</w:t>
      </w:r>
      <w:r w:rsidR="000978FD" w:rsidRPr="008F5202">
        <w:fldChar w:fldCharType="end"/>
      </w:r>
      <w:bookmarkEnd w:id="42"/>
    </w:p>
    <w:p w14:paraId="08D68F56" w14:textId="2C736B29" w:rsidR="00EA4D05" w:rsidRPr="008F5202" w:rsidRDefault="00000000" w:rsidP="00EA4D05">
      <w:pPr>
        <w:spacing w:line="360" w:lineRule="auto"/>
        <w:contextualSpacing/>
        <w:rPr>
          <w:rFonts w:ascii="Times New Roman" w:eastAsiaTheme="minorEastAsia" w:hAnsi="Times New Roman" w:cs="Times New Roman"/>
          <w:i/>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f</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nf</m:t>
                  </m:r>
                </m:sub>
              </m:sSub>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w</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 xml:space="preserve">w,l </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b, l</m:t>
                  </m:r>
                </m:sub>
              </m:sSub>
              <m:r>
                <w:rPr>
                  <w:rFonts w:ascii="Cambria Math" w:hAnsi="Cambria Math" w:cs="Times New Roman"/>
                </w:rPr>
                <m:t>)</m:t>
              </m:r>
            </m:den>
          </m:f>
        </m:oMath>
      </m:oMathPara>
    </w:p>
    <w:p w14:paraId="2A459555" w14:textId="77777777" w:rsidR="00EA4D05" w:rsidRPr="008F5202" w:rsidRDefault="00EA4D05" w:rsidP="00EA4D05">
      <w:pPr>
        <w:spacing w:line="360" w:lineRule="auto"/>
        <w:contextualSpacing/>
        <w:jc w:val="both"/>
        <w:rPr>
          <w:rFonts w:ascii="Times New Roman" w:eastAsiaTheme="minorEastAsia" w:hAnsi="Times New Roman" w:cs="Times New Roman"/>
        </w:rPr>
      </w:pPr>
      <w:r w:rsidRPr="008F5202">
        <w:rPr>
          <w:rFonts w:ascii="Times New Roman" w:hAnsi="Times New Roman" w:cs="Times New Roman"/>
          <w:iCs/>
        </w:rPr>
        <w:lastRenderedPageBreak/>
        <w:t>where the ‘</w:t>
      </w:r>
      <w:r w:rsidRPr="008F5202">
        <w:rPr>
          <w:rFonts w:ascii="Times New Roman" w:hAnsi="Times New Roman" w:cs="Times New Roman"/>
          <w:i/>
        </w:rPr>
        <w:t xml:space="preserve">no-flow’ </w:t>
      </w:r>
      <w:r w:rsidRPr="008F5202">
        <w:rPr>
          <w:rFonts w:ascii="Times New Roman" w:hAnsi="Times New Roman" w:cs="Times New Roman"/>
          <w:iCs/>
        </w:rPr>
        <w:t xml:space="preserve">losses have been subtracted from the total heater output. The </w:t>
      </w:r>
      <w:r w:rsidRPr="008F5202">
        <w:rPr>
          <w:rFonts w:ascii="Times New Roman" w:hAnsi="Times New Roman" w:cs="Times New Roman"/>
          <w:i/>
        </w:rPr>
        <w:t>‘forced’</w:t>
      </w:r>
      <w:r w:rsidRPr="008F5202">
        <w:rPr>
          <w:rFonts w:ascii="Times New Roman" w:hAnsi="Times New Roman" w:cs="Times New Roman"/>
          <w:iCs/>
        </w:rPr>
        <w:t xml:space="preserve"> heat transfer defined here did not include the effects of buoyancy-driven convection and the conduction losses through any possible venues of the test section.  </w:t>
      </w:r>
    </w:p>
    <w:p w14:paraId="4A7EB578" w14:textId="429D3D5A" w:rsidR="00EA4D05" w:rsidRPr="008F5202" w:rsidRDefault="00EA4D05" w:rsidP="00EA4D05">
      <w:pPr>
        <w:spacing w:line="360" w:lineRule="auto"/>
        <w:ind w:firstLine="284"/>
        <w:contextualSpacing/>
        <w:jc w:val="both"/>
        <w:rPr>
          <w:rFonts w:ascii="Times New Roman" w:eastAsiaTheme="minorEastAsia" w:hAnsi="Times New Roman" w:cs="Times New Roman"/>
        </w:rPr>
      </w:pPr>
      <w:r w:rsidRPr="008F5202">
        <w:rPr>
          <w:rFonts w:ascii="Times New Roman" w:eastAsiaTheme="minorEastAsia" w:hAnsi="Times New Roman" w:cs="Times New Roman"/>
        </w:rPr>
        <w:t xml:space="preserve">The measurement uncertainty analysis was carried out through sequential perturbation method </w:t>
      </w:r>
      <w:r w:rsidR="008E7EC0" w:rsidRPr="008F5202">
        <w:rPr>
          <w:rFonts w:ascii="Times New Roman" w:eastAsiaTheme="minorEastAsia" w:hAnsi="Times New Roman" w:cs="Times New Roman"/>
        </w:rPr>
        <w:t>[2</w:t>
      </w:r>
      <w:r w:rsidRPr="008F5202">
        <w:rPr>
          <w:rFonts w:ascii="Times New Roman" w:eastAsiaTheme="minorEastAsia" w:hAnsi="Times New Roman" w:cs="Times New Roman"/>
        </w:rPr>
        <w:t xml:space="preserve">.26]. The typical uncertainty range for Nusselt number was between 2-5% and that for the Reynolds number was within 4%. </w:t>
      </w:r>
    </w:p>
    <w:p w14:paraId="7A04A364" w14:textId="77777777" w:rsidR="00EA4D05" w:rsidRPr="008F5202" w:rsidRDefault="00EA4D05" w:rsidP="00EA4D05">
      <w:pPr>
        <w:spacing w:line="360" w:lineRule="auto"/>
        <w:contextualSpacing/>
        <w:jc w:val="both"/>
        <w:rPr>
          <w:rFonts w:ascii="Times New Roman" w:eastAsiaTheme="minorEastAsia" w:hAnsi="Times New Roman" w:cs="Times New Roman"/>
          <w:sz w:val="18"/>
          <w:szCs w:val="18"/>
        </w:rPr>
      </w:pPr>
    </w:p>
    <w:p w14:paraId="1EFD3BA0" w14:textId="57B05E35" w:rsidR="00EA4D05" w:rsidRPr="008F5202" w:rsidRDefault="00EA4D05" w:rsidP="00911F8A">
      <w:pPr>
        <w:pStyle w:val="Heading2"/>
        <w:rPr>
          <w:rFonts w:eastAsiaTheme="minorEastAsia"/>
        </w:rPr>
      </w:pPr>
      <w:r w:rsidRPr="008F5202">
        <w:rPr>
          <w:rFonts w:eastAsiaTheme="minorEastAsia"/>
        </w:rPr>
        <w:t xml:space="preserve"> </w:t>
      </w:r>
      <w:bookmarkStart w:id="43" w:name="_Toc177758140"/>
      <w:r w:rsidRPr="008F5202">
        <w:rPr>
          <w:rFonts w:eastAsiaTheme="minorEastAsia"/>
        </w:rPr>
        <w:t>Results and discussion</w:t>
      </w:r>
      <w:bookmarkEnd w:id="43"/>
      <w:r w:rsidRPr="008F5202">
        <w:rPr>
          <w:rFonts w:eastAsiaTheme="minorEastAsia"/>
        </w:rPr>
        <w:t xml:space="preserve"> </w:t>
      </w:r>
    </w:p>
    <w:p w14:paraId="73E52C2F" w14:textId="77777777" w:rsidR="00EA4D05" w:rsidRPr="008F5202" w:rsidRDefault="00EA4D05" w:rsidP="00EA4D05">
      <w:pPr>
        <w:spacing w:line="360" w:lineRule="auto"/>
        <w:ind w:firstLine="360"/>
        <w:contextualSpacing/>
        <w:jc w:val="both"/>
        <w:rPr>
          <w:rFonts w:ascii="Times New Roman" w:eastAsiaTheme="minorEastAsia" w:hAnsi="Times New Roman" w:cs="Times New Roman"/>
        </w:rPr>
      </w:pPr>
      <w:r w:rsidRPr="008F5202">
        <w:rPr>
          <w:rFonts w:ascii="Times New Roman" w:eastAsiaTheme="minorEastAsia" w:hAnsi="Times New Roman" w:cs="Times New Roman"/>
        </w:rPr>
        <w:t xml:space="preserve">This section reports the results of validation test runs, local heat transfer coefficient trends, mean Nusselt number, flow losses, thermal-hydraulic performance and pumping power requirements of the investigated lattice topologies.  </w:t>
      </w:r>
    </w:p>
    <w:p w14:paraId="71EF7571" w14:textId="0230AFFE" w:rsidR="00EA4D05" w:rsidRPr="008F5202" w:rsidRDefault="00911F8A" w:rsidP="00230F46">
      <w:pPr>
        <w:pStyle w:val="Heading3"/>
      </w:pPr>
      <w:bookmarkStart w:id="44" w:name="_Toc177758141"/>
      <w:r w:rsidRPr="008F5202">
        <w:t>Benchmarking heat transfer data</w:t>
      </w:r>
      <w:bookmarkEnd w:id="44"/>
    </w:p>
    <w:p w14:paraId="255ADB10" w14:textId="1D3D639D" w:rsidR="00911F8A" w:rsidRPr="008F5202" w:rsidRDefault="00911F8A" w:rsidP="006F7720">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 xml:space="preserve">Validation in the current study was conducted by evaluating the Nusselt number distribution of smooth plate. Since the roughness profiles on the additively manufactured surfaces makes the comparison with the standard correlations challenging, the set-up was validated by performing the test runs on the smooth machined aluminum plate for a wide range of Reynolds numbers. </w:t>
      </w:r>
      <w:r w:rsidRPr="008F5202">
        <w:rPr>
          <w:rFonts w:ascii="Times New Roman" w:eastAsiaTheme="minorEastAsia" w:hAnsi="Times New Roman" w:cs="Times New Roman"/>
        </w:rPr>
        <w:fldChar w:fldCharType="begin"/>
      </w:r>
      <w:r w:rsidRPr="008F5202">
        <w:rPr>
          <w:rFonts w:ascii="Times New Roman" w:eastAsiaTheme="minorEastAsia" w:hAnsi="Times New Roman" w:cs="Times New Roman"/>
        </w:rPr>
        <w:instrText xml:space="preserve"> REF _Ref177682741 \h  \* MERGEFORMAT </w:instrText>
      </w:r>
      <w:r w:rsidRPr="008F5202">
        <w:rPr>
          <w:rFonts w:ascii="Times New Roman" w:eastAsiaTheme="minorEastAsia" w:hAnsi="Times New Roman" w:cs="Times New Roman"/>
        </w:rPr>
      </w:r>
      <w:r w:rsidRPr="008F5202">
        <w:rPr>
          <w:rFonts w:ascii="Times New Roman" w:eastAsiaTheme="minorEastAsia" w:hAnsi="Times New Roman" w:cs="Times New Roman"/>
        </w:rPr>
        <w:fldChar w:fldCharType="separate"/>
      </w:r>
      <w:r w:rsidR="00AF1AFB" w:rsidRPr="00AF1AFB">
        <w:rPr>
          <w:rFonts w:ascii="Times New Roman" w:eastAsiaTheme="minorEastAsia" w:hAnsi="Times New Roman" w:cs="Times New Roman"/>
        </w:rPr>
        <w:t>Figure 2.5</w:t>
      </w:r>
      <w:r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shows the streamwise distribution of the local Nusselt number enhancement (</w:t>
      </w:r>
      <m:oMath>
        <m:f>
          <m:fPr>
            <m:type m:val="lin"/>
            <m:ctrlPr>
              <w:rPr>
                <w:rFonts w:ascii="Cambria Math" w:eastAsiaTheme="minorEastAsia" w:hAnsi="Cambria Math" w:cs="Times New Roman"/>
              </w:rPr>
            </m:ctrlPr>
          </m:fPr>
          <m:num>
            <m:r>
              <w:rPr>
                <w:rFonts w:ascii="Cambria Math" w:eastAsiaTheme="minorEastAsia" w:hAnsi="Cambria Math" w:cs="Times New Roman"/>
              </w:rPr>
              <m:t>N</m:t>
            </m:r>
            <m:sSub>
              <m:sSubPr>
                <m:ctrlPr>
                  <w:rPr>
                    <w:rFonts w:ascii="Cambria Math" w:eastAsiaTheme="minorEastAsia" w:hAnsi="Cambria Math" w:cs="Times New Roman"/>
                  </w:rPr>
                </m:ctrlPr>
              </m:sSubPr>
              <m:e>
                <m:sSub>
                  <m:sSubPr>
                    <m:ctrlPr>
                      <w:rPr>
                        <w:rFonts w:ascii="Cambria Math" w:eastAsiaTheme="minorEastAsia" w:hAnsi="Cambria Math" w:cs="Times New Roman"/>
                      </w:rPr>
                    </m:ctrlPr>
                  </m:sSubPr>
                  <m:e>
                    <m:r>
                      <w:rPr>
                        <w:rFonts w:ascii="Cambria Math" w:eastAsiaTheme="minorEastAsia" w:hAnsi="Cambria Math" w:cs="Times New Roman"/>
                      </w:rPr>
                      <m:t>u</m:t>
                    </m:r>
                  </m:e>
                  <m:sub>
                    <m:r>
                      <w:rPr>
                        <w:rFonts w:ascii="Cambria Math" w:eastAsiaTheme="minorEastAsia" w:hAnsi="Cambria Math" w:cs="Times New Roman"/>
                      </w:rPr>
                      <m:t>d</m:t>
                    </m:r>
                  </m:sub>
                </m:sSub>
              </m:e>
              <m:sub>
                <m:r>
                  <w:rPr>
                    <w:rFonts w:ascii="Cambria Math" w:eastAsiaTheme="minorEastAsia" w:hAnsi="Cambria Math" w:cs="Times New Roman"/>
                  </w:rPr>
                  <m:t>h</m:t>
                </m:r>
              </m:sub>
            </m:sSub>
          </m:num>
          <m:den>
            <m:r>
              <w:rPr>
                <w:rFonts w:ascii="Cambria Math" w:eastAsiaTheme="minorEastAsia" w:hAnsi="Cambria Math" w:cs="Times New Roman"/>
              </w:rPr>
              <m:t>N</m:t>
            </m:r>
            <m:sSub>
              <m:sSubPr>
                <m:ctrlPr>
                  <w:rPr>
                    <w:rFonts w:ascii="Cambria Math" w:eastAsiaTheme="minorEastAsia" w:hAnsi="Cambria Math" w:cs="Times New Roman"/>
                  </w:rPr>
                </m:ctrlPr>
              </m:sSubPr>
              <m:e>
                <m:r>
                  <w:rPr>
                    <w:rFonts w:ascii="Cambria Math" w:eastAsiaTheme="minorEastAsia" w:hAnsi="Cambria Math" w:cs="Times New Roman"/>
                  </w:rPr>
                  <m:t>u</m:t>
                </m:r>
              </m:e>
              <m:sub>
                <m:r>
                  <m:rPr>
                    <m:sty m:val="p"/>
                  </m:rPr>
                  <w:rPr>
                    <w:rFonts w:ascii="Cambria Math" w:eastAsiaTheme="minorEastAsia" w:hAnsi="Cambria Math" w:cs="Times New Roman"/>
                  </w:rPr>
                  <m:t>0</m:t>
                </m:r>
              </m:sub>
            </m:sSub>
          </m:den>
        </m:f>
      </m:oMath>
      <w:r w:rsidRPr="008F5202">
        <w:rPr>
          <w:rFonts w:ascii="Times New Roman" w:eastAsiaTheme="minorEastAsia" w:hAnsi="Times New Roman" w:cs="Times New Roman"/>
        </w:rPr>
        <w:t xml:space="preserve">) of the smooth plate with respect to the well-known Dittus-Boelter correlation. The streamwise length of the plate was ~ 10 </w:t>
      </w:r>
      <m:oMath>
        <m:sSub>
          <m:sSubPr>
            <m:ctrlPr>
              <w:rPr>
                <w:rFonts w:ascii="Cambria Math" w:eastAsiaTheme="minorEastAsia" w:hAnsi="Cambria Math" w:cs="Times New Roman"/>
              </w:rPr>
            </m:ctrlPr>
          </m:sSubPr>
          <m:e>
            <m:r>
              <w:rPr>
                <w:rFonts w:ascii="Cambria Math" w:eastAsiaTheme="minorEastAsia" w:hAnsi="Cambria Math" w:cs="Times New Roman"/>
              </w:rPr>
              <m:t>d</m:t>
            </m:r>
          </m:e>
          <m:sub>
            <m:r>
              <w:rPr>
                <w:rFonts w:ascii="Cambria Math" w:eastAsiaTheme="minorEastAsia" w:hAnsi="Cambria Math" w:cs="Times New Roman"/>
              </w:rPr>
              <m:t>h</m:t>
            </m:r>
          </m:sub>
        </m:sSub>
        <m:r>
          <m:rPr>
            <m:sty m:val="p"/>
          </m:rPr>
          <w:rPr>
            <w:rFonts w:ascii="Cambria Math" w:eastAsiaTheme="minorEastAsia" w:hAnsi="Cambria Math" w:cs="Times New Roman"/>
          </w:rPr>
          <m:t xml:space="preserve"> </m:t>
        </m:r>
      </m:oMath>
      <w:r w:rsidRPr="008F5202">
        <w:rPr>
          <w:rFonts w:ascii="Times New Roman" w:eastAsiaTheme="minorEastAsia" w:hAnsi="Times New Roman" w:cs="Times New Roman"/>
        </w:rPr>
        <w:t xml:space="preserve">which was sufficient for the flow to become thermally fully developed where the ratio </w:t>
      </w:r>
      <m:oMath>
        <m:f>
          <m:fPr>
            <m:type m:val="lin"/>
            <m:ctrlPr>
              <w:rPr>
                <w:rFonts w:ascii="Cambria Math" w:eastAsiaTheme="minorEastAsia" w:hAnsi="Cambria Math" w:cs="Times New Roman"/>
              </w:rPr>
            </m:ctrlPr>
          </m:fPr>
          <m:num>
            <m:r>
              <w:rPr>
                <w:rFonts w:ascii="Cambria Math" w:eastAsiaTheme="minorEastAsia" w:hAnsi="Cambria Math" w:cs="Times New Roman"/>
              </w:rPr>
              <m:t>N</m:t>
            </m:r>
            <m:sSub>
              <m:sSubPr>
                <m:ctrlPr>
                  <w:rPr>
                    <w:rFonts w:ascii="Cambria Math" w:eastAsiaTheme="minorEastAsia" w:hAnsi="Cambria Math" w:cs="Times New Roman"/>
                  </w:rPr>
                </m:ctrlPr>
              </m:sSubPr>
              <m:e>
                <m:sSub>
                  <m:sSubPr>
                    <m:ctrlPr>
                      <w:rPr>
                        <w:rFonts w:ascii="Cambria Math" w:eastAsiaTheme="minorEastAsia" w:hAnsi="Cambria Math" w:cs="Times New Roman"/>
                      </w:rPr>
                    </m:ctrlPr>
                  </m:sSubPr>
                  <m:e>
                    <m:r>
                      <w:rPr>
                        <w:rFonts w:ascii="Cambria Math" w:eastAsiaTheme="minorEastAsia" w:hAnsi="Cambria Math" w:cs="Times New Roman"/>
                      </w:rPr>
                      <m:t>u</m:t>
                    </m:r>
                  </m:e>
                  <m:sub>
                    <m:r>
                      <w:rPr>
                        <w:rFonts w:ascii="Cambria Math" w:eastAsiaTheme="minorEastAsia" w:hAnsi="Cambria Math" w:cs="Times New Roman"/>
                      </w:rPr>
                      <m:t>d</m:t>
                    </m:r>
                  </m:sub>
                </m:sSub>
              </m:e>
              <m:sub>
                <m:r>
                  <w:rPr>
                    <w:rFonts w:ascii="Cambria Math" w:eastAsiaTheme="minorEastAsia" w:hAnsi="Cambria Math" w:cs="Times New Roman"/>
                  </w:rPr>
                  <m:t>h</m:t>
                </m:r>
              </m:sub>
            </m:sSub>
          </m:num>
          <m:den>
            <m:r>
              <w:rPr>
                <w:rFonts w:ascii="Cambria Math" w:eastAsiaTheme="minorEastAsia" w:hAnsi="Cambria Math" w:cs="Times New Roman"/>
              </w:rPr>
              <m:t>N</m:t>
            </m:r>
            <m:sSub>
              <m:sSubPr>
                <m:ctrlPr>
                  <w:rPr>
                    <w:rFonts w:ascii="Cambria Math" w:eastAsiaTheme="minorEastAsia" w:hAnsi="Cambria Math" w:cs="Times New Roman"/>
                  </w:rPr>
                </m:ctrlPr>
              </m:sSubPr>
              <m:e>
                <m:r>
                  <w:rPr>
                    <w:rFonts w:ascii="Cambria Math" w:eastAsiaTheme="minorEastAsia" w:hAnsi="Cambria Math" w:cs="Times New Roman"/>
                  </w:rPr>
                  <m:t>u</m:t>
                </m:r>
              </m:e>
              <m:sub>
                <m:r>
                  <m:rPr>
                    <m:sty m:val="p"/>
                  </m:rPr>
                  <w:rPr>
                    <w:rFonts w:ascii="Cambria Math" w:eastAsiaTheme="minorEastAsia" w:hAnsi="Cambria Math" w:cs="Times New Roman"/>
                  </w:rPr>
                  <m:t>0</m:t>
                </m:r>
              </m:sub>
            </m:sSub>
          </m:den>
        </m:f>
      </m:oMath>
      <w:r w:rsidRPr="008F5202">
        <w:rPr>
          <w:rFonts w:ascii="Times New Roman" w:eastAsiaTheme="minorEastAsia" w:hAnsi="Times New Roman" w:cs="Times New Roman"/>
        </w:rPr>
        <w:t xml:space="preserve">~ 1 was achieved for all the investigated Reynolds numbers. The data beyond </w:t>
      </w:r>
      <m:oMath>
        <m:f>
          <m:fPr>
            <m:type m:val="lin"/>
            <m:ctrlPr>
              <w:rPr>
                <w:rFonts w:ascii="Cambria Math" w:eastAsiaTheme="minorEastAsia" w:hAnsi="Cambria Math" w:cs="Times New Roman"/>
              </w:rPr>
            </m:ctrlPr>
          </m:fPr>
          <m:num>
            <m:r>
              <w:rPr>
                <w:rFonts w:ascii="Cambria Math" w:eastAsiaTheme="minorEastAsia" w:hAnsi="Cambria Math" w:cs="Times New Roman"/>
              </w:rPr>
              <m:t>x</m:t>
            </m:r>
          </m:num>
          <m:den>
            <m:r>
              <w:rPr>
                <w:rFonts w:ascii="Cambria Math" w:eastAsiaTheme="minorEastAsia" w:hAnsi="Cambria Math" w:cs="Times New Roman"/>
              </w:rPr>
              <m:t>L</m:t>
            </m:r>
          </m:den>
        </m:f>
      </m:oMath>
      <w:r w:rsidRPr="008F5202">
        <w:rPr>
          <w:rFonts w:ascii="Times New Roman" w:eastAsiaTheme="minorEastAsia" w:hAnsi="Times New Roman" w:cs="Times New Roman"/>
        </w:rPr>
        <w:t xml:space="preserve"> ~ 0.7 was influenced by the exit effects and therefore is not represented here. The Nusselt number (</w:t>
      </w:r>
      <m:oMath>
        <m:f>
          <m:fPr>
            <m:type m:val="lin"/>
            <m:ctrlPr>
              <w:rPr>
                <w:rFonts w:ascii="Cambria Math" w:eastAsiaTheme="minorEastAsia" w:hAnsi="Cambria Math" w:cs="Times New Roman"/>
              </w:rPr>
            </m:ctrlPr>
          </m:fPr>
          <m:num>
            <m:sSub>
              <m:sSubPr>
                <m:ctrlPr>
                  <w:rPr>
                    <w:rFonts w:ascii="Cambria Math" w:eastAsiaTheme="minorEastAsia" w:hAnsi="Cambria Math" w:cs="Times New Roman"/>
                  </w:rPr>
                </m:ctrlPr>
              </m:sSubPr>
              <m:e>
                <m:r>
                  <w:rPr>
                    <w:rFonts w:ascii="Cambria Math" w:eastAsiaTheme="minorEastAsia" w:hAnsi="Cambria Math" w:cs="Times New Roman"/>
                  </w:rPr>
                  <m:t>h</m:t>
                </m:r>
              </m:e>
              <m:sub>
                <m:r>
                  <w:rPr>
                    <w:rFonts w:ascii="Cambria Math" w:eastAsiaTheme="minorEastAsia" w:hAnsi="Cambria Math" w:cs="Times New Roman"/>
                  </w:rPr>
                  <m:t>f</m:t>
                </m:r>
              </m:sub>
            </m:sSub>
            <m:sSub>
              <m:sSubPr>
                <m:ctrlPr>
                  <w:rPr>
                    <w:rFonts w:ascii="Cambria Math" w:eastAsiaTheme="minorEastAsia" w:hAnsi="Cambria Math" w:cs="Times New Roman"/>
                  </w:rPr>
                </m:ctrlPr>
              </m:sSubPr>
              <m:e>
                <m:r>
                  <w:rPr>
                    <w:rFonts w:ascii="Cambria Math" w:eastAsiaTheme="minorEastAsia" w:hAnsi="Cambria Math" w:cs="Times New Roman"/>
                  </w:rPr>
                  <m:t>d</m:t>
                </m:r>
              </m:e>
              <m:sub>
                <m:r>
                  <w:rPr>
                    <w:rFonts w:ascii="Cambria Math" w:eastAsiaTheme="minorEastAsia" w:hAnsi="Cambria Math" w:cs="Times New Roman"/>
                  </w:rPr>
                  <m:t>h</m:t>
                </m:r>
              </m:sub>
            </m:sSub>
          </m:num>
          <m:den>
            <m:sSub>
              <m:sSubPr>
                <m:ctrlPr>
                  <w:rPr>
                    <w:rFonts w:ascii="Cambria Math" w:eastAsiaTheme="minorEastAsia" w:hAnsi="Cambria Math" w:cs="Times New Roman"/>
                  </w:rPr>
                </m:ctrlPr>
              </m:sSubPr>
              <m:e>
                <m:r>
                  <w:rPr>
                    <w:rFonts w:ascii="Cambria Math" w:eastAsiaTheme="minorEastAsia" w:hAnsi="Cambria Math" w:cs="Times New Roman"/>
                  </w:rPr>
                  <m:t>k</m:t>
                </m:r>
              </m:e>
              <m:sub>
                <m:r>
                  <w:rPr>
                    <w:rFonts w:ascii="Cambria Math" w:eastAsiaTheme="minorEastAsia" w:hAnsi="Cambria Math" w:cs="Times New Roman"/>
                  </w:rPr>
                  <m:t>f</m:t>
                </m:r>
              </m:sub>
            </m:sSub>
          </m:den>
        </m:f>
      </m:oMath>
      <w:r w:rsidRPr="008F5202">
        <w:rPr>
          <w:rFonts w:ascii="Times New Roman" w:eastAsiaTheme="minorEastAsia" w:hAnsi="Times New Roman" w:cs="Times New Roman"/>
        </w:rPr>
        <w:t xml:space="preserve">) presented in </w:t>
      </w:r>
      <w:r w:rsidRPr="008F5202">
        <w:rPr>
          <w:rFonts w:ascii="Times New Roman" w:eastAsiaTheme="minorEastAsia" w:hAnsi="Times New Roman" w:cs="Times New Roman"/>
        </w:rPr>
        <w:fldChar w:fldCharType="begin"/>
      </w:r>
      <w:r w:rsidRPr="008F5202">
        <w:rPr>
          <w:rFonts w:ascii="Times New Roman" w:eastAsiaTheme="minorEastAsia" w:hAnsi="Times New Roman" w:cs="Times New Roman"/>
        </w:rPr>
        <w:instrText xml:space="preserve"> REF _Ref177682741 \h  \* MERGEFORMAT </w:instrText>
      </w:r>
      <w:r w:rsidRPr="008F5202">
        <w:rPr>
          <w:rFonts w:ascii="Times New Roman" w:eastAsiaTheme="minorEastAsia" w:hAnsi="Times New Roman" w:cs="Times New Roman"/>
        </w:rPr>
      </w:r>
      <w:r w:rsidRPr="008F5202">
        <w:rPr>
          <w:rFonts w:ascii="Times New Roman" w:eastAsiaTheme="minorEastAsia" w:hAnsi="Times New Roman" w:cs="Times New Roman"/>
        </w:rPr>
        <w:fldChar w:fldCharType="separate"/>
      </w:r>
      <w:r w:rsidR="00AF1AFB" w:rsidRPr="00AF1AFB">
        <w:rPr>
          <w:rFonts w:ascii="Times New Roman" w:eastAsiaTheme="minorEastAsia" w:hAnsi="Times New Roman" w:cs="Times New Roman"/>
        </w:rPr>
        <w:t>Figure 2.5</w:t>
      </w:r>
      <w:r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was calculated using </w:t>
      </w:r>
      <w:r w:rsidRPr="008F5202">
        <w:rPr>
          <w:rFonts w:ascii="Times New Roman" w:eastAsiaTheme="minorEastAsia" w:hAnsi="Times New Roman" w:cs="Times New Roman"/>
        </w:rPr>
        <w:fldChar w:fldCharType="begin"/>
      </w:r>
      <w:r w:rsidRPr="008F5202">
        <w:rPr>
          <w:rFonts w:ascii="Times New Roman" w:eastAsiaTheme="minorEastAsia" w:hAnsi="Times New Roman" w:cs="Times New Roman"/>
        </w:rPr>
        <w:instrText xml:space="preserve"> REF _Ref177682979 \h </w:instrText>
      </w:r>
      <w:r w:rsidRPr="008F5202">
        <w:rPr>
          <w:rFonts w:ascii="Times New Roman" w:eastAsiaTheme="minorEastAsia" w:hAnsi="Times New Roman" w:cs="Times New Roman"/>
        </w:rPr>
      </w:r>
      <w:r w:rsidR="008700FD" w:rsidRPr="008F5202">
        <w:rPr>
          <w:rFonts w:ascii="Times New Roman" w:eastAsiaTheme="minorEastAsia" w:hAnsi="Times New Roman" w:cs="Times New Roman"/>
        </w:rPr>
        <w:instrText xml:space="preserve"> \* MERGEFORMAT </w:instrText>
      </w:r>
      <w:r w:rsidRPr="008F5202">
        <w:rPr>
          <w:rFonts w:ascii="Times New Roman" w:eastAsiaTheme="minorEastAsia" w:hAnsi="Times New Roman" w:cs="Times New Roman"/>
        </w:rPr>
        <w:fldChar w:fldCharType="separate"/>
      </w:r>
      <w:r w:rsidR="00AF1AFB" w:rsidRPr="00AF1AFB">
        <w:rPr>
          <w:rFonts w:ascii="Times New Roman" w:hAnsi="Times New Roman" w:cs="Times New Roman"/>
        </w:rPr>
        <w:t xml:space="preserve">Equation </w:t>
      </w:r>
      <w:r w:rsidR="00AF1AFB" w:rsidRPr="00AF1AFB">
        <w:rPr>
          <w:rFonts w:ascii="Times New Roman" w:hAnsi="Times New Roman" w:cs="Times New Roman"/>
          <w:noProof/>
        </w:rPr>
        <w:t>2.8</w:t>
      </w:r>
      <w:r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where the ‘no-flow’ effects were separated out from the total heater output. The agreement with the standard Dittus-Boelter correlation was good for the current experimental data which lends confidence to the accuracy of the results presented in the following sections.</w:t>
      </w:r>
    </w:p>
    <w:p w14:paraId="7D29D403" w14:textId="77777777" w:rsidR="00911F8A" w:rsidRPr="008F5202" w:rsidRDefault="00911F8A" w:rsidP="00911F8A">
      <w:pPr>
        <w:keepNext/>
        <w:spacing w:line="360" w:lineRule="auto"/>
        <w:rPr>
          <w:rFonts w:ascii="Times New Roman" w:hAnsi="Times New Roman" w:cs="Times New Roman"/>
        </w:rPr>
      </w:pPr>
      <w:r w:rsidRPr="008F5202">
        <w:rPr>
          <w:rFonts w:ascii="Times New Roman" w:hAnsi="Times New Roman" w:cs="Times New Roman"/>
          <w:b/>
          <w:bCs/>
          <w:noProof/>
          <w:sz w:val="18"/>
          <w:szCs w:val="18"/>
        </w:rPr>
        <w:lastRenderedPageBreak/>
        <w:drawing>
          <wp:inline distT="0" distB="0" distL="0" distR="0" wp14:anchorId="200D821E" wp14:editId="4145764D">
            <wp:extent cx="2321270" cy="2131621"/>
            <wp:effectExtent l="0" t="0" r="3175"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19" cstate="print">
                      <a:extLst>
                        <a:ext uri="{28A0092B-C50C-407E-A947-70E740481C1C}">
                          <a14:useLocalDpi xmlns:a14="http://schemas.microsoft.com/office/drawing/2010/main" val="0"/>
                        </a:ext>
                      </a:extLst>
                    </a:blip>
                    <a:srcRect l="11691" t="10657" r="60639" b="44171"/>
                    <a:stretch/>
                  </pic:blipFill>
                  <pic:spPr bwMode="auto">
                    <a:xfrm>
                      <a:off x="0" y="0"/>
                      <a:ext cx="2324645" cy="2134720"/>
                    </a:xfrm>
                    <a:prstGeom prst="rect">
                      <a:avLst/>
                    </a:prstGeom>
                    <a:ln>
                      <a:noFill/>
                    </a:ln>
                    <a:extLst>
                      <a:ext uri="{53640926-AAD7-44D8-BBD7-CCE9431645EC}">
                        <a14:shadowObscured xmlns:a14="http://schemas.microsoft.com/office/drawing/2010/main"/>
                      </a:ext>
                    </a:extLst>
                  </pic:spPr>
                </pic:pic>
              </a:graphicData>
            </a:graphic>
          </wp:inline>
        </w:drawing>
      </w:r>
    </w:p>
    <w:p w14:paraId="48B76DED" w14:textId="2D76FA37" w:rsidR="00911F8A" w:rsidRPr="008F5202" w:rsidRDefault="00911F8A" w:rsidP="008F5202">
      <w:pPr>
        <w:pStyle w:val="Caption"/>
      </w:pPr>
      <w:bookmarkStart w:id="45" w:name="_Ref177682741"/>
      <w:bookmarkStart w:id="46" w:name="_Toc177755187"/>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5</w:t>
      </w:r>
      <w:r w:rsidR="003763D2" w:rsidRPr="008F5202">
        <w:fldChar w:fldCharType="end"/>
      </w:r>
      <w:bookmarkEnd w:id="45"/>
      <w:r w:rsidRPr="008F5202">
        <w:t xml:space="preserve"> Streamwise distribution of Nusselt number in the smooth channel</w:t>
      </w:r>
      <w:bookmarkEnd w:id="46"/>
    </w:p>
    <w:p w14:paraId="59822360" w14:textId="3271777C" w:rsidR="00911F8A" w:rsidRPr="008F5202" w:rsidRDefault="00911F8A" w:rsidP="00911F8A">
      <w:pPr>
        <w:spacing w:line="360" w:lineRule="auto"/>
        <w:ind w:firstLine="360"/>
        <w:contextualSpacing/>
        <w:jc w:val="both"/>
        <w:rPr>
          <w:rFonts w:ascii="Times New Roman" w:eastAsiaTheme="minorEastAsia" w:hAnsi="Times New Roman" w:cs="Times New Roman"/>
        </w:rPr>
      </w:pPr>
      <w:r w:rsidRPr="008F5202">
        <w:rPr>
          <w:rFonts w:ascii="Times New Roman" w:eastAsiaTheme="minorEastAsia" w:hAnsi="Times New Roman" w:cs="Times New Roman"/>
        </w:rPr>
        <w:fldChar w:fldCharType="begin"/>
      </w:r>
      <w:r w:rsidRPr="008F5202">
        <w:rPr>
          <w:rFonts w:ascii="Times New Roman" w:eastAsiaTheme="minorEastAsia" w:hAnsi="Times New Roman" w:cs="Times New Roman"/>
        </w:rPr>
        <w:instrText xml:space="preserve"> REF _Ref177682934 \h  \* MERGEFORMAT </w:instrText>
      </w:r>
      <w:r w:rsidRPr="008F5202">
        <w:rPr>
          <w:rFonts w:ascii="Times New Roman" w:eastAsiaTheme="minorEastAsia" w:hAnsi="Times New Roman" w:cs="Times New Roman"/>
        </w:rPr>
      </w:r>
      <w:r w:rsidRPr="008F5202">
        <w:rPr>
          <w:rFonts w:ascii="Times New Roman" w:eastAsiaTheme="minorEastAsia" w:hAnsi="Times New Roman" w:cs="Times New Roman"/>
        </w:rPr>
        <w:fldChar w:fldCharType="separate"/>
      </w:r>
      <w:r w:rsidR="00AF1AFB" w:rsidRPr="00AF1AFB">
        <w:rPr>
          <w:rFonts w:ascii="Times New Roman" w:eastAsiaTheme="minorEastAsia" w:hAnsi="Times New Roman" w:cs="Times New Roman"/>
        </w:rPr>
        <w:t>Figure 2.6</w:t>
      </w:r>
      <w:r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presents the local total transfer coefficient (</w:t>
      </w:r>
      <w:r w:rsidRPr="008F5202">
        <w:rPr>
          <w:rFonts w:ascii="Times New Roman" w:eastAsiaTheme="minorEastAsia" w:hAnsi="Times New Roman" w:cs="Times New Roman"/>
        </w:rPr>
        <w:fldChar w:fldCharType="begin"/>
      </w:r>
      <w:r w:rsidRPr="008F5202">
        <w:rPr>
          <w:rFonts w:ascii="Times New Roman" w:eastAsiaTheme="minorEastAsia" w:hAnsi="Times New Roman" w:cs="Times New Roman"/>
        </w:rPr>
        <w:instrText xml:space="preserve"> REF _Ref177682875 \h </w:instrText>
      </w:r>
      <w:r w:rsidRPr="008F5202">
        <w:rPr>
          <w:rFonts w:ascii="Times New Roman" w:eastAsiaTheme="minorEastAsia" w:hAnsi="Times New Roman" w:cs="Times New Roman"/>
        </w:rPr>
      </w:r>
      <w:r w:rsidR="008700FD" w:rsidRPr="008F5202">
        <w:rPr>
          <w:rFonts w:ascii="Times New Roman" w:eastAsiaTheme="minorEastAsia" w:hAnsi="Times New Roman" w:cs="Times New Roman"/>
        </w:rPr>
        <w:instrText xml:space="preserve"> \* MERGEFORMAT </w:instrText>
      </w:r>
      <w:r w:rsidRPr="008F5202">
        <w:rPr>
          <w:rFonts w:ascii="Times New Roman" w:eastAsiaTheme="minorEastAsia" w:hAnsi="Times New Roman" w:cs="Times New Roman"/>
        </w:rPr>
        <w:fldChar w:fldCharType="separate"/>
      </w:r>
      <w:r w:rsidR="00AF1AFB" w:rsidRPr="00AF1AFB">
        <w:rPr>
          <w:rFonts w:ascii="Times New Roman" w:hAnsi="Times New Roman" w:cs="Times New Roman"/>
        </w:rPr>
        <w:t xml:space="preserve">Equation </w:t>
      </w:r>
      <w:r w:rsidR="00AF1AFB" w:rsidRPr="00AF1AFB">
        <w:rPr>
          <w:rFonts w:ascii="Times New Roman" w:hAnsi="Times New Roman" w:cs="Times New Roman"/>
          <w:noProof/>
        </w:rPr>
        <w:t>2.6</w:t>
      </w:r>
      <w:r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for both-walls heated and only bottom-wall heated scenarios. The local heat transfer coefficient trends of top and bottom walls were close to each other, which indicated proper setup of heaters and flow uniformity through the lattice. Local heat transfer coefficient showed decreasing trend initially and finally converging to a near-constant value indicating that the periodic heat transfer behavior was achieved. Such zones are highlighted in each plot with dashed outline. When both walls were heated, the heat transfer for Octet and Cube became periodic at </w:t>
      </w:r>
      <m:oMath>
        <m:f>
          <m:fPr>
            <m:type m:val="lin"/>
            <m:ctrlPr>
              <w:rPr>
                <w:rFonts w:ascii="Cambria Math" w:eastAsiaTheme="minorEastAsia" w:hAnsi="Cambria Math" w:cs="Times New Roman"/>
              </w:rPr>
            </m:ctrlPr>
          </m:fPr>
          <m:num>
            <m:r>
              <w:rPr>
                <w:rFonts w:ascii="Cambria Math" w:eastAsiaTheme="minorEastAsia" w:hAnsi="Cambria Math" w:cs="Times New Roman"/>
              </w:rPr>
              <m:t>x</m:t>
            </m:r>
          </m:num>
          <m:den>
            <m:r>
              <w:rPr>
                <w:rFonts w:ascii="Cambria Math" w:eastAsiaTheme="minorEastAsia" w:hAnsi="Cambria Math" w:cs="Times New Roman"/>
              </w:rPr>
              <m:t>L</m:t>
            </m:r>
          </m:den>
        </m:f>
        <m:r>
          <m:rPr>
            <m:sty m:val="p"/>
          </m:rPr>
          <w:rPr>
            <w:rFonts w:ascii="Cambria Math" w:eastAsiaTheme="minorEastAsia" w:hAnsi="Cambria Math" w:cs="Times New Roman"/>
          </w:rPr>
          <m:t>≥</m:t>
        </m:r>
      </m:oMath>
      <w:r w:rsidRPr="008F5202">
        <w:rPr>
          <w:rFonts w:ascii="Times New Roman" w:eastAsiaTheme="minorEastAsia" w:hAnsi="Times New Roman" w:cs="Times New Roman"/>
        </w:rPr>
        <w:t xml:space="preserve"> 0.6, whereas for FD-Cube and TKD this phenomenon was observed at the axial distance of </w:t>
      </w:r>
      <m:oMath>
        <m:f>
          <m:fPr>
            <m:type m:val="lin"/>
            <m:ctrlPr>
              <w:rPr>
                <w:rFonts w:ascii="Cambria Math" w:eastAsiaTheme="minorEastAsia" w:hAnsi="Cambria Math" w:cs="Times New Roman"/>
              </w:rPr>
            </m:ctrlPr>
          </m:fPr>
          <m:num>
            <m:r>
              <w:rPr>
                <w:rFonts w:ascii="Cambria Math" w:eastAsiaTheme="minorEastAsia" w:hAnsi="Cambria Math" w:cs="Times New Roman"/>
              </w:rPr>
              <m:t>x</m:t>
            </m:r>
          </m:num>
          <m:den>
            <m:r>
              <w:rPr>
                <w:rFonts w:ascii="Cambria Math" w:eastAsiaTheme="minorEastAsia" w:hAnsi="Cambria Math" w:cs="Times New Roman"/>
              </w:rPr>
              <m:t>L</m:t>
            </m:r>
          </m:den>
        </m:f>
        <m:r>
          <m:rPr>
            <m:sty m:val="p"/>
          </m:rPr>
          <w:rPr>
            <w:rFonts w:ascii="Cambria Math" w:eastAsiaTheme="minorEastAsia" w:hAnsi="Cambria Math" w:cs="Times New Roman"/>
          </w:rPr>
          <m:t>≥</m:t>
        </m:r>
      </m:oMath>
      <w:r w:rsidRPr="008F5202">
        <w:rPr>
          <w:rFonts w:ascii="Times New Roman" w:eastAsiaTheme="minorEastAsia" w:hAnsi="Times New Roman" w:cs="Times New Roman"/>
        </w:rPr>
        <w:t xml:space="preserve"> 0.5. These conclusions were somewhat different for Octet and TKD in single wall heating conditions, where the heat transfer became fully periodic at </w:t>
      </w:r>
      <m:oMath>
        <m:f>
          <m:fPr>
            <m:type m:val="lin"/>
            <m:ctrlPr>
              <w:rPr>
                <w:rFonts w:ascii="Cambria Math" w:eastAsiaTheme="minorEastAsia" w:hAnsi="Cambria Math" w:cs="Times New Roman"/>
                <w:i/>
              </w:rPr>
            </m:ctrlPr>
          </m:fPr>
          <m:num>
            <m:r>
              <w:rPr>
                <w:rFonts w:ascii="Cambria Math" w:eastAsiaTheme="minorEastAsia" w:hAnsi="Cambria Math" w:cs="Times New Roman"/>
              </w:rPr>
              <m:t>x</m:t>
            </m:r>
          </m:num>
          <m:den>
            <m:r>
              <w:rPr>
                <w:rFonts w:ascii="Cambria Math" w:eastAsiaTheme="minorEastAsia" w:hAnsi="Cambria Math" w:cs="Times New Roman"/>
              </w:rPr>
              <m:t>L</m:t>
            </m:r>
          </m:den>
        </m:f>
        <m:r>
          <w:rPr>
            <w:rFonts w:ascii="Cambria Math" w:eastAsiaTheme="minorEastAsia" w:hAnsi="Cambria Math" w:cs="Times New Roman"/>
          </w:rPr>
          <m:t>≥</m:t>
        </m:r>
      </m:oMath>
      <w:r w:rsidRPr="008F5202">
        <w:rPr>
          <w:rFonts w:ascii="Times New Roman" w:eastAsiaTheme="minorEastAsia" w:hAnsi="Times New Roman" w:cs="Times New Roman"/>
        </w:rPr>
        <w:t xml:space="preserve"> 0.7 and </w:t>
      </w:r>
      <m:oMath>
        <m:f>
          <m:fPr>
            <m:type m:val="lin"/>
            <m:ctrlPr>
              <w:rPr>
                <w:rFonts w:ascii="Cambria Math" w:eastAsiaTheme="minorEastAsia" w:hAnsi="Cambria Math" w:cs="Times New Roman"/>
                <w:i/>
              </w:rPr>
            </m:ctrlPr>
          </m:fPr>
          <m:num>
            <m:r>
              <w:rPr>
                <w:rFonts w:ascii="Cambria Math" w:eastAsiaTheme="minorEastAsia" w:hAnsi="Cambria Math" w:cs="Times New Roman"/>
              </w:rPr>
              <m:t>x</m:t>
            </m:r>
          </m:num>
          <m:den>
            <m:r>
              <w:rPr>
                <w:rFonts w:ascii="Cambria Math" w:eastAsiaTheme="minorEastAsia" w:hAnsi="Cambria Math" w:cs="Times New Roman"/>
              </w:rPr>
              <m:t>L</m:t>
            </m:r>
          </m:den>
        </m:f>
        <m:r>
          <w:rPr>
            <w:rFonts w:ascii="Cambria Math" w:eastAsiaTheme="minorEastAsia" w:hAnsi="Cambria Math" w:cs="Times New Roman"/>
          </w:rPr>
          <m:t>≥</m:t>
        </m:r>
      </m:oMath>
      <w:r w:rsidRPr="008F5202">
        <w:rPr>
          <w:rFonts w:ascii="Times New Roman" w:eastAsiaTheme="minorEastAsia" w:hAnsi="Times New Roman" w:cs="Times New Roman"/>
        </w:rPr>
        <w:t xml:space="preserve"> 0.6, respectively. Since the total streamwise length (</w:t>
      </w:r>
      <m:oMath>
        <m:r>
          <w:rPr>
            <w:rFonts w:ascii="Cambria Math" w:eastAsiaTheme="minorEastAsia" w:hAnsi="Cambria Math" w:cs="Times New Roman"/>
          </w:rPr>
          <m:t>L</m:t>
        </m:r>
      </m:oMath>
      <w:r w:rsidRPr="008F5202">
        <w:rPr>
          <w:rFonts w:ascii="Times New Roman" w:eastAsiaTheme="minorEastAsia" w:hAnsi="Times New Roman" w:cs="Times New Roman"/>
        </w:rPr>
        <w:t xml:space="preserve">) was 100 mm and unit cell size corresponded to 10 mm, the axial distance of </w:t>
      </w:r>
      <m:oMath>
        <m:f>
          <m:fPr>
            <m:type m:val="lin"/>
            <m:ctrlPr>
              <w:rPr>
                <w:rFonts w:ascii="Cambria Math" w:eastAsiaTheme="minorEastAsia" w:hAnsi="Cambria Math" w:cs="Times New Roman"/>
                <w:i/>
              </w:rPr>
            </m:ctrlPr>
          </m:fPr>
          <m:num>
            <m:r>
              <w:rPr>
                <w:rFonts w:ascii="Cambria Math" w:eastAsiaTheme="minorEastAsia" w:hAnsi="Cambria Math" w:cs="Times New Roman"/>
              </w:rPr>
              <m:t>x</m:t>
            </m:r>
          </m:num>
          <m:den>
            <m:r>
              <w:rPr>
                <w:rFonts w:ascii="Cambria Math" w:eastAsiaTheme="minorEastAsia" w:hAnsi="Cambria Math" w:cs="Times New Roman"/>
              </w:rPr>
              <m:t>L</m:t>
            </m:r>
          </m:den>
        </m:f>
        <m:r>
          <w:rPr>
            <w:rFonts w:ascii="Cambria Math" w:eastAsiaTheme="minorEastAsia" w:hAnsi="Cambria Math" w:cs="Times New Roman"/>
          </w:rPr>
          <m:t>=</m:t>
        </m:r>
      </m:oMath>
      <w:r w:rsidRPr="008F5202">
        <w:rPr>
          <w:rFonts w:ascii="Times New Roman" w:eastAsiaTheme="minorEastAsia" w:hAnsi="Times New Roman" w:cs="Times New Roman"/>
        </w:rPr>
        <w:t xml:space="preserve"> 0.5 corresponded to the exit of the 5</w:t>
      </w:r>
      <w:r w:rsidRPr="008F5202">
        <w:rPr>
          <w:rFonts w:ascii="Times New Roman" w:eastAsiaTheme="minorEastAsia" w:hAnsi="Times New Roman" w:cs="Times New Roman"/>
          <w:vertAlign w:val="superscript"/>
        </w:rPr>
        <w:t>th</w:t>
      </w:r>
      <w:r w:rsidRPr="008F5202">
        <w:rPr>
          <w:rFonts w:ascii="Times New Roman" w:eastAsiaTheme="minorEastAsia" w:hAnsi="Times New Roman" w:cs="Times New Roman"/>
        </w:rPr>
        <w:t xml:space="preserve"> row of cells from the entrance. It can be concluded that at least 5 to 6 rows in streamwise direction were required to achieve periodic heat transfer in all the tested configurations.  The heat transfer coefficient values of the Octet, FD-Cube and TKD tend to converge towards very similar values in thermally developed zones.</w:t>
      </w:r>
    </w:p>
    <w:p w14:paraId="4D1EAF50" w14:textId="77777777" w:rsidR="00911F8A" w:rsidRPr="008F5202" w:rsidRDefault="00911F8A" w:rsidP="00911F8A">
      <w:pPr>
        <w:keepNext/>
        <w:spacing w:line="360" w:lineRule="auto"/>
        <w:ind w:firstLine="360"/>
        <w:contextualSpacing/>
        <w:jc w:val="both"/>
        <w:rPr>
          <w:rFonts w:ascii="Times New Roman" w:hAnsi="Times New Roman" w:cs="Times New Roman"/>
        </w:rPr>
      </w:pPr>
      <w:r w:rsidRPr="008F5202">
        <w:rPr>
          <w:rFonts w:ascii="Times New Roman" w:eastAsiaTheme="minorEastAsia" w:hAnsi="Times New Roman" w:cs="Times New Roman"/>
          <w:noProof/>
          <w:sz w:val="18"/>
          <w:szCs w:val="18"/>
        </w:rPr>
        <w:lastRenderedPageBreak/>
        <w:drawing>
          <wp:inline distT="0" distB="0" distL="0" distR="0" wp14:anchorId="67BC7AAB" wp14:editId="44BACD62">
            <wp:extent cx="5486400" cy="3086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2EDC1BAE" w14:textId="4178FC51" w:rsidR="00911F8A" w:rsidRPr="008F5202" w:rsidRDefault="00911F8A" w:rsidP="008F5202">
      <w:pPr>
        <w:pStyle w:val="Caption"/>
      </w:pPr>
      <w:bookmarkStart w:id="47" w:name="_Ref177682934"/>
      <w:bookmarkStart w:id="48" w:name="_Toc177755188"/>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6</w:t>
      </w:r>
      <w:r w:rsidR="003763D2" w:rsidRPr="008F5202">
        <w:fldChar w:fldCharType="end"/>
      </w:r>
      <w:bookmarkEnd w:id="47"/>
      <w:r w:rsidRPr="008F5202">
        <w:t xml:space="preserve"> Streamwise distribution of Nusselt number in the smooth channel</w:t>
      </w:r>
      <w:bookmarkEnd w:id="48"/>
    </w:p>
    <w:p w14:paraId="51C1F33E" w14:textId="513AEA42" w:rsidR="00911F8A" w:rsidRPr="008F5202" w:rsidRDefault="00EC39E6" w:rsidP="00911F8A">
      <w:pPr>
        <w:spacing w:line="360" w:lineRule="auto"/>
        <w:contextualSpacing/>
        <w:jc w:val="both"/>
        <w:rPr>
          <w:rFonts w:ascii="Times New Roman" w:eastAsiaTheme="minorEastAsia" w:hAnsi="Times New Roman" w:cs="Times New Roman"/>
        </w:rPr>
      </w:pPr>
      <w:r w:rsidRPr="008F5202">
        <w:rPr>
          <w:rFonts w:ascii="Times New Roman" w:eastAsiaTheme="minorEastAsia" w:hAnsi="Times New Roman" w:cs="Times New Roman"/>
        </w:rPr>
        <w:fldChar w:fldCharType="begin"/>
      </w:r>
      <w:r w:rsidRPr="008F5202">
        <w:rPr>
          <w:rFonts w:ascii="Times New Roman" w:eastAsiaTheme="minorEastAsia" w:hAnsi="Times New Roman" w:cs="Times New Roman"/>
        </w:rPr>
        <w:instrText xml:space="preserve"> REF _Ref177683707 \h  \* MERGEFORMAT </w:instrText>
      </w:r>
      <w:r w:rsidRPr="008F5202">
        <w:rPr>
          <w:rFonts w:ascii="Times New Roman" w:eastAsiaTheme="minorEastAsia" w:hAnsi="Times New Roman" w:cs="Times New Roman"/>
        </w:rPr>
      </w:r>
      <w:r w:rsidRPr="008F5202">
        <w:rPr>
          <w:rFonts w:ascii="Times New Roman" w:eastAsiaTheme="minorEastAsia" w:hAnsi="Times New Roman" w:cs="Times New Roman"/>
        </w:rPr>
        <w:fldChar w:fldCharType="separate"/>
      </w:r>
      <w:r w:rsidR="00AF1AFB" w:rsidRPr="00AF1AFB">
        <w:rPr>
          <w:rFonts w:ascii="Times New Roman" w:eastAsiaTheme="minorEastAsia" w:hAnsi="Times New Roman" w:cs="Times New Roman"/>
        </w:rPr>
        <w:t>Figure 2.7</w:t>
      </w:r>
      <w:r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w:t>
      </w:r>
      <w:r w:rsidR="00911F8A" w:rsidRPr="008F5202">
        <w:rPr>
          <w:rFonts w:ascii="Times New Roman" w:eastAsiaTheme="minorEastAsia" w:hAnsi="Times New Roman" w:cs="Times New Roman"/>
        </w:rPr>
        <w:t>shows the forced heat transfer coefficient (</w:t>
      </w:r>
      <w:r w:rsidRPr="008F5202">
        <w:rPr>
          <w:rFonts w:ascii="Times New Roman" w:eastAsiaTheme="minorEastAsia" w:hAnsi="Times New Roman" w:cs="Times New Roman"/>
          <w:highlight w:val="yellow"/>
        </w:rPr>
        <w:fldChar w:fldCharType="begin"/>
      </w:r>
      <w:r w:rsidRPr="008F5202">
        <w:rPr>
          <w:rFonts w:ascii="Times New Roman" w:eastAsiaTheme="minorEastAsia" w:hAnsi="Times New Roman" w:cs="Times New Roman"/>
        </w:rPr>
        <w:instrText xml:space="preserve"> REF _Ref177682979 \h </w:instrText>
      </w:r>
      <w:r w:rsidRPr="008F5202">
        <w:rPr>
          <w:rFonts w:ascii="Times New Roman" w:eastAsiaTheme="minorEastAsia" w:hAnsi="Times New Roman" w:cs="Times New Roman"/>
          <w:highlight w:val="yellow"/>
        </w:rPr>
      </w:r>
      <w:r w:rsidR="008700FD" w:rsidRPr="008F5202">
        <w:rPr>
          <w:rFonts w:ascii="Times New Roman" w:eastAsiaTheme="minorEastAsia" w:hAnsi="Times New Roman" w:cs="Times New Roman"/>
          <w:highlight w:val="yellow"/>
        </w:rPr>
        <w:instrText xml:space="preserve"> \* MERGEFORMAT </w:instrText>
      </w:r>
      <w:r w:rsidRPr="008F5202">
        <w:rPr>
          <w:rFonts w:ascii="Times New Roman" w:eastAsiaTheme="minorEastAsia" w:hAnsi="Times New Roman" w:cs="Times New Roman"/>
          <w:highlight w:val="yellow"/>
        </w:rPr>
        <w:fldChar w:fldCharType="separate"/>
      </w:r>
      <w:r w:rsidR="00AF1AFB" w:rsidRPr="00AF1AFB">
        <w:rPr>
          <w:rFonts w:ascii="Times New Roman" w:hAnsi="Times New Roman" w:cs="Times New Roman"/>
        </w:rPr>
        <w:t xml:space="preserve">Equation </w:t>
      </w:r>
      <w:r w:rsidR="00AF1AFB" w:rsidRPr="00AF1AFB">
        <w:rPr>
          <w:rFonts w:ascii="Times New Roman" w:hAnsi="Times New Roman" w:cs="Times New Roman"/>
          <w:noProof/>
        </w:rPr>
        <w:t>2.8</w:t>
      </w:r>
      <w:r w:rsidRPr="008F5202">
        <w:rPr>
          <w:rFonts w:ascii="Times New Roman" w:eastAsiaTheme="minorEastAsia" w:hAnsi="Times New Roman" w:cs="Times New Roman"/>
          <w:highlight w:val="yellow"/>
        </w:rPr>
        <w:fldChar w:fldCharType="end"/>
      </w:r>
      <w:r w:rsidR="00911F8A" w:rsidRPr="008F5202">
        <w:rPr>
          <w:rFonts w:ascii="Times New Roman" w:eastAsiaTheme="minorEastAsia" w:hAnsi="Times New Roman" w:cs="Times New Roman"/>
          <w:highlight w:val="yellow"/>
        </w:rPr>
        <w:t>)</w:t>
      </w:r>
      <w:r w:rsidR="00911F8A" w:rsidRPr="008F5202">
        <w:rPr>
          <w:rFonts w:ascii="Times New Roman" w:eastAsiaTheme="minorEastAsia" w:hAnsi="Times New Roman" w:cs="Times New Roman"/>
        </w:rPr>
        <w:t xml:space="preserve"> for both-walls heated and only bottom-wall heated scenarios. The plots in </w:t>
      </w:r>
      <w:r w:rsidRPr="008F5202">
        <w:rPr>
          <w:rFonts w:ascii="Times New Roman" w:eastAsiaTheme="minorEastAsia" w:hAnsi="Times New Roman" w:cs="Times New Roman"/>
        </w:rPr>
        <w:fldChar w:fldCharType="begin"/>
      </w:r>
      <w:r w:rsidRPr="008F5202">
        <w:rPr>
          <w:rFonts w:ascii="Times New Roman" w:eastAsiaTheme="minorEastAsia" w:hAnsi="Times New Roman" w:cs="Times New Roman"/>
        </w:rPr>
        <w:instrText xml:space="preserve"> REF _Ref177683707 \h  \* MERGEFORMAT </w:instrText>
      </w:r>
      <w:r w:rsidRPr="008F5202">
        <w:rPr>
          <w:rFonts w:ascii="Times New Roman" w:eastAsiaTheme="minorEastAsia" w:hAnsi="Times New Roman" w:cs="Times New Roman"/>
        </w:rPr>
      </w:r>
      <w:r w:rsidRPr="008F5202">
        <w:rPr>
          <w:rFonts w:ascii="Times New Roman" w:eastAsiaTheme="minorEastAsia" w:hAnsi="Times New Roman" w:cs="Times New Roman"/>
        </w:rPr>
        <w:fldChar w:fldCharType="separate"/>
      </w:r>
      <w:r w:rsidR="00AF1AFB" w:rsidRPr="00AF1AFB">
        <w:rPr>
          <w:rFonts w:ascii="Times New Roman" w:eastAsiaTheme="minorEastAsia" w:hAnsi="Times New Roman" w:cs="Times New Roman"/>
        </w:rPr>
        <w:t>Figure 2.7</w:t>
      </w:r>
      <w:r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w:t>
      </w:r>
      <w:r w:rsidR="00911F8A" w:rsidRPr="008F5202">
        <w:rPr>
          <w:rFonts w:ascii="Times New Roman" w:eastAsiaTheme="minorEastAsia" w:hAnsi="Times New Roman" w:cs="Times New Roman"/>
        </w:rPr>
        <w:t xml:space="preserve">are qualitatively same as that presented in Fig. 6 and demonstrate deviation only in the magnitude. The relative difference in the magnitudes of the heat transfer coefficients in the fully developed zones (the areas of interest in the current investigation) in </w:t>
      </w:r>
      <w:r w:rsidRPr="008F5202">
        <w:rPr>
          <w:rFonts w:ascii="Times New Roman" w:eastAsiaTheme="minorEastAsia" w:hAnsi="Times New Roman" w:cs="Times New Roman"/>
        </w:rPr>
        <w:fldChar w:fldCharType="begin"/>
      </w:r>
      <w:r w:rsidRPr="008F5202">
        <w:rPr>
          <w:rFonts w:ascii="Times New Roman" w:eastAsiaTheme="minorEastAsia" w:hAnsi="Times New Roman" w:cs="Times New Roman"/>
        </w:rPr>
        <w:instrText xml:space="preserve"> REF _Ref177682934 \h  \* MERGEFORMAT </w:instrText>
      </w:r>
      <w:r w:rsidRPr="008F5202">
        <w:rPr>
          <w:rFonts w:ascii="Times New Roman" w:eastAsiaTheme="minorEastAsia" w:hAnsi="Times New Roman" w:cs="Times New Roman"/>
        </w:rPr>
      </w:r>
      <w:r w:rsidRPr="008F5202">
        <w:rPr>
          <w:rFonts w:ascii="Times New Roman" w:eastAsiaTheme="minorEastAsia" w:hAnsi="Times New Roman" w:cs="Times New Roman"/>
        </w:rPr>
        <w:fldChar w:fldCharType="separate"/>
      </w:r>
      <w:r w:rsidR="00AF1AFB" w:rsidRPr="00AF1AFB">
        <w:rPr>
          <w:rFonts w:ascii="Times New Roman" w:eastAsiaTheme="minorEastAsia" w:hAnsi="Times New Roman" w:cs="Times New Roman"/>
        </w:rPr>
        <w:t>Figure 2.6</w:t>
      </w:r>
      <w:r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w:t>
      </w:r>
      <w:r w:rsidR="00911F8A" w:rsidRPr="008F5202">
        <w:rPr>
          <w:rFonts w:ascii="Times New Roman" w:eastAsiaTheme="minorEastAsia" w:hAnsi="Times New Roman" w:cs="Times New Roman"/>
        </w:rPr>
        <w:t xml:space="preserve">and </w:t>
      </w:r>
      <w:r w:rsidRPr="008F5202">
        <w:rPr>
          <w:rFonts w:ascii="Times New Roman" w:eastAsiaTheme="minorEastAsia" w:hAnsi="Times New Roman" w:cs="Times New Roman"/>
        </w:rPr>
        <w:fldChar w:fldCharType="begin"/>
      </w:r>
      <w:r w:rsidRPr="008F5202">
        <w:rPr>
          <w:rFonts w:ascii="Times New Roman" w:eastAsiaTheme="minorEastAsia" w:hAnsi="Times New Roman" w:cs="Times New Roman"/>
        </w:rPr>
        <w:instrText xml:space="preserve"> REF _Ref177683707 \h  \* MERGEFORMAT </w:instrText>
      </w:r>
      <w:r w:rsidRPr="008F5202">
        <w:rPr>
          <w:rFonts w:ascii="Times New Roman" w:eastAsiaTheme="minorEastAsia" w:hAnsi="Times New Roman" w:cs="Times New Roman"/>
        </w:rPr>
      </w:r>
      <w:r w:rsidRPr="008F5202">
        <w:rPr>
          <w:rFonts w:ascii="Times New Roman" w:eastAsiaTheme="minorEastAsia" w:hAnsi="Times New Roman" w:cs="Times New Roman"/>
        </w:rPr>
        <w:fldChar w:fldCharType="separate"/>
      </w:r>
      <w:r w:rsidR="00AF1AFB" w:rsidRPr="00AF1AFB">
        <w:rPr>
          <w:rFonts w:ascii="Times New Roman" w:eastAsiaTheme="minorEastAsia" w:hAnsi="Times New Roman" w:cs="Times New Roman"/>
        </w:rPr>
        <w:t>Figure 2.7</w:t>
      </w:r>
      <w:r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w:t>
      </w:r>
      <w:r w:rsidR="00911F8A" w:rsidRPr="008F5202">
        <w:rPr>
          <w:rFonts w:ascii="Times New Roman" w:eastAsiaTheme="minorEastAsia" w:hAnsi="Times New Roman" w:cs="Times New Roman"/>
        </w:rPr>
        <w:t xml:space="preserve">is discussed in the next subsection. </w:t>
      </w:r>
    </w:p>
    <w:p w14:paraId="321757E5" w14:textId="78D74155" w:rsidR="00911F8A" w:rsidRPr="008F5202" w:rsidRDefault="00911F8A" w:rsidP="00911F8A">
      <w:pPr>
        <w:spacing w:line="360" w:lineRule="auto"/>
        <w:ind w:firstLine="360"/>
        <w:contextualSpacing/>
        <w:jc w:val="both"/>
        <w:rPr>
          <w:rFonts w:ascii="Times New Roman" w:eastAsiaTheme="minorEastAsia" w:hAnsi="Times New Roman" w:cs="Times New Roman"/>
        </w:rPr>
      </w:pPr>
      <w:r w:rsidRPr="008F5202">
        <w:rPr>
          <w:rFonts w:ascii="Times New Roman" w:eastAsiaTheme="minorEastAsia" w:hAnsi="Times New Roman" w:cs="Times New Roman"/>
        </w:rPr>
        <w:t>Octet demonstrated slightly increasing trend for Nusselt number in thermally developing zones at the highest Reynolds number. This was also observed numerically by Iasiello et al.</w:t>
      </w:r>
      <w:r w:rsidR="008352DE" w:rsidRPr="008F5202">
        <w:rPr>
          <w:rFonts w:ascii="Times New Roman" w:eastAsiaTheme="minorEastAsia" w:hAnsi="Times New Roman" w:cs="Times New Roman"/>
        </w:rPr>
        <w:t xml:space="preserve"> </w:t>
      </w:r>
      <w:r w:rsidR="008E7EC0" w:rsidRPr="008F5202">
        <w:rPr>
          <w:rFonts w:ascii="Times New Roman" w:eastAsiaTheme="minorEastAsia" w:hAnsi="Times New Roman" w:cs="Times New Roman"/>
        </w:rPr>
        <w:t>[2</w:t>
      </w:r>
      <w:r w:rsidR="008352DE" w:rsidRPr="008F5202">
        <w:rPr>
          <w:rFonts w:ascii="Times New Roman" w:eastAsiaTheme="minorEastAsia" w:hAnsi="Times New Roman" w:cs="Times New Roman"/>
        </w:rPr>
        <w:t xml:space="preserve">.20] </w:t>
      </w:r>
      <w:r w:rsidRPr="008F5202">
        <w:rPr>
          <w:rFonts w:ascii="Times New Roman" w:eastAsiaTheme="minorEastAsia" w:hAnsi="Times New Roman" w:cs="Times New Roman"/>
        </w:rPr>
        <w:t xml:space="preserve">for interfacial heat transfer coefficient variation of Tetrakaidecahedron lattice where the authors refer to this zone as the impingement zone. Kaur and Singh </w:t>
      </w:r>
      <w:r w:rsidR="008E7EC0" w:rsidRPr="008F5202">
        <w:rPr>
          <w:rFonts w:ascii="Times New Roman" w:eastAsiaTheme="minorEastAsia" w:hAnsi="Times New Roman" w:cs="Times New Roman"/>
        </w:rPr>
        <w:t>[2</w:t>
      </w:r>
      <w:r w:rsidR="008352DE" w:rsidRPr="008F5202">
        <w:rPr>
          <w:rFonts w:ascii="Times New Roman" w:eastAsiaTheme="minorEastAsia" w:hAnsi="Times New Roman" w:cs="Times New Roman"/>
        </w:rPr>
        <w:t>.24]</w:t>
      </w:r>
      <w:r w:rsidRPr="008F5202">
        <w:rPr>
          <w:rFonts w:ascii="Times New Roman" w:eastAsiaTheme="minorEastAsia" w:hAnsi="Times New Roman" w:cs="Times New Roman"/>
        </w:rPr>
        <w:t xml:space="preserve"> analyzed the conjugate thermal performance of four Octet cells in a single cell thick configuration and reported the cell-based variation of conjugate heat transfer coefficient and found monotonically decreasing trend for laminar flow. In the current investigation, the increasing or decreasing trend of the Octet lattice at the instance of the highest Reynolds number is not highly consequential as the proposed correlations in the following section are based on the fully developed zones downstream.</w:t>
      </w:r>
    </w:p>
    <w:p w14:paraId="36DF47EB" w14:textId="77777777" w:rsidR="00EC39E6" w:rsidRPr="008F5202" w:rsidRDefault="00EC39E6" w:rsidP="00EC39E6">
      <w:pPr>
        <w:keepNext/>
        <w:spacing w:line="360" w:lineRule="auto"/>
        <w:ind w:firstLine="360"/>
        <w:contextualSpacing/>
        <w:jc w:val="both"/>
        <w:rPr>
          <w:rFonts w:ascii="Times New Roman" w:hAnsi="Times New Roman" w:cs="Times New Roman"/>
        </w:rPr>
      </w:pPr>
      <w:r w:rsidRPr="008F5202">
        <w:rPr>
          <w:rFonts w:ascii="Times New Roman" w:eastAsiaTheme="minorEastAsia" w:hAnsi="Times New Roman" w:cs="Times New Roman"/>
          <w:noProof/>
          <w:sz w:val="18"/>
          <w:szCs w:val="18"/>
        </w:rPr>
        <w:lastRenderedPageBreak/>
        <w:drawing>
          <wp:inline distT="0" distB="0" distL="0" distR="0" wp14:anchorId="0F018F12" wp14:editId="6DBE9A4D">
            <wp:extent cx="5486400" cy="30861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0CA20C16" w14:textId="3719498E" w:rsidR="00EC39E6" w:rsidRPr="008F5202" w:rsidRDefault="00EC39E6" w:rsidP="008F5202">
      <w:pPr>
        <w:pStyle w:val="Caption"/>
        <w:rPr>
          <w:rFonts w:eastAsiaTheme="minorEastAsia"/>
        </w:rPr>
      </w:pPr>
      <w:bookmarkStart w:id="49" w:name="_Ref177683707"/>
      <w:bookmarkStart w:id="50" w:name="_Toc177755189"/>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7</w:t>
      </w:r>
      <w:r w:rsidR="003763D2" w:rsidRPr="008F5202">
        <w:fldChar w:fldCharType="end"/>
      </w:r>
      <w:bookmarkEnd w:id="49"/>
      <w:r w:rsidRPr="008F5202">
        <w:t xml:space="preserve"> Mean total and forced heat transfer coefficient under both wall and only bottom wall heated conditions</w:t>
      </w:r>
      <w:bookmarkEnd w:id="50"/>
    </w:p>
    <w:p w14:paraId="425D4F48" w14:textId="443A267D" w:rsidR="00911F8A" w:rsidRPr="008F5202" w:rsidRDefault="008352DE" w:rsidP="00230F46">
      <w:pPr>
        <w:pStyle w:val="Heading3"/>
      </w:pPr>
      <w:bookmarkStart w:id="51" w:name="_Toc177758142"/>
      <w:r w:rsidRPr="008F5202">
        <w:t>Mean heat transfer characteristics</w:t>
      </w:r>
      <w:bookmarkEnd w:id="51"/>
    </w:p>
    <w:p w14:paraId="33623699" w14:textId="080E51B2" w:rsidR="008352DE" w:rsidRPr="008F5202" w:rsidRDefault="008352DE" w:rsidP="008352DE">
      <w:pPr>
        <w:spacing w:line="360" w:lineRule="auto"/>
        <w:rPr>
          <w:rFonts w:ascii="Times New Roman" w:hAnsi="Times New Roman" w:cs="Times New Roman"/>
        </w:rPr>
      </w:pPr>
      <w:r w:rsidRPr="008F5202">
        <w:rPr>
          <w:rFonts w:ascii="Times New Roman" w:hAnsi="Times New Roman" w:cs="Times New Roman"/>
          <w:i/>
          <w:iCs/>
          <w:u w:val="single"/>
        </w:rPr>
        <w:t>Mean heat transfer coefficient</w:t>
      </w:r>
      <w:r w:rsidRPr="008F5202">
        <w:rPr>
          <w:rFonts w:ascii="Times New Roman" w:hAnsi="Times New Roman" w:cs="Times New Roman"/>
        </w:rPr>
        <w:t xml:space="preserve">: total and forced heat transfer coefficient values under both-walls heated and only bottom-wall heated conditions are presented in Fig. 8. The heat transfer coefficient values presented here are the average of values in the periodic heat transfer zones shown within the dashed enclosures in </w:t>
      </w:r>
      <w:r w:rsidRPr="008F5202">
        <w:rPr>
          <w:rFonts w:ascii="Times New Roman" w:hAnsi="Times New Roman" w:cs="Times New Roman"/>
        </w:rPr>
        <w:fldChar w:fldCharType="begin"/>
      </w:r>
      <w:r w:rsidRPr="008F5202">
        <w:rPr>
          <w:rFonts w:ascii="Times New Roman" w:hAnsi="Times New Roman" w:cs="Times New Roman"/>
        </w:rPr>
        <w:instrText xml:space="preserve"> REF _Ref177682934 \h  \* MERGEFORMAT </w:instrText>
      </w:r>
      <w:r w:rsidRPr="008F5202">
        <w:rPr>
          <w:rFonts w:ascii="Times New Roman" w:hAnsi="Times New Roman" w:cs="Times New Roman"/>
        </w:rPr>
      </w:r>
      <w:r w:rsidRPr="008F5202">
        <w:rPr>
          <w:rFonts w:ascii="Times New Roman" w:hAnsi="Times New Roman" w:cs="Times New Roman"/>
        </w:rPr>
        <w:fldChar w:fldCharType="separate"/>
      </w:r>
      <w:r w:rsidR="00AF1AFB" w:rsidRPr="00AF1AFB">
        <w:rPr>
          <w:rFonts w:ascii="Times New Roman" w:hAnsi="Times New Roman" w:cs="Times New Roman"/>
        </w:rPr>
        <w:t>Figure 2.6</w:t>
      </w:r>
      <w:r w:rsidRPr="008F5202">
        <w:rPr>
          <w:rFonts w:ascii="Times New Roman" w:hAnsi="Times New Roman" w:cs="Times New Roman"/>
        </w:rPr>
        <w:fldChar w:fldCharType="end"/>
      </w:r>
      <w:r w:rsidRPr="008F5202">
        <w:rPr>
          <w:rFonts w:ascii="Times New Roman" w:hAnsi="Times New Roman" w:cs="Times New Roman"/>
        </w:rPr>
        <w:t xml:space="preserve"> and </w:t>
      </w:r>
      <w:r w:rsidRPr="008F5202">
        <w:rPr>
          <w:rFonts w:ascii="Times New Roman" w:hAnsi="Times New Roman" w:cs="Times New Roman"/>
        </w:rPr>
        <w:fldChar w:fldCharType="begin"/>
      </w:r>
      <w:r w:rsidRPr="008F5202">
        <w:rPr>
          <w:rFonts w:ascii="Times New Roman" w:hAnsi="Times New Roman" w:cs="Times New Roman"/>
        </w:rPr>
        <w:instrText xml:space="preserve"> REF _Ref177683707 \h  \* MERGEFORMAT </w:instrText>
      </w:r>
      <w:r w:rsidRPr="008F5202">
        <w:rPr>
          <w:rFonts w:ascii="Times New Roman" w:hAnsi="Times New Roman" w:cs="Times New Roman"/>
        </w:rPr>
      </w:r>
      <w:r w:rsidRPr="008F5202">
        <w:rPr>
          <w:rFonts w:ascii="Times New Roman" w:hAnsi="Times New Roman" w:cs="Times New Roman"/>
        </w:rPr>
        <w:fldChar w:fldCharType="separate"/>
      </w:r>
      <w:r w:rsidR="00AF1AFB" w:rsidRPr="00AF1AFB">
        <w:rPr>
          <w:rFonts w:ascii="Times New Roman" w:hAnsi="Times New Roman" w:cs="Times New Roman"/>
        </w:rPr>
        <w:t xml:space="preserve">Figure </w:t>
      </w:r>
      <w:r w:rsidR="00AF1AFB" w:rsidRPr="00AF1AFB">
        <w:rPr>
          <w:rFonts w:ascii="Times New Roman" w:hAnsi="Times New Roman" w:cs="Times New Roman"/>
          <w:noProof/>
        </w:rPr>
        <w:t>2.7</w:t>
      </w:r>
      <w:r w:rsidRPr="008F5202">
        <w:rPr>
          <w:rFonts w:ascii="Times New Roman" w:hAnsi="Times New Roman" w:cs="Times New Roman"/>
        </w:rPr>
        <w:fldChar w:fldCharType="end"/>
      </w:r>
      <w:r w:rsidRPr="008F5202">
        <w:rPr>
          <w:rFonts w:ascii="Times New Roman" w:hAnsi="Times New Roman" w:cs="Times New Roman"/>
        </w:rPr>
        <w:t xml:space="preserve">. As discussed above, the values of Octet, FD-Cube, and TKD converged to a similar value and therefore demonstrated same levels of mean heat transfer coefficient under all the heating conditions for the investigated range of Reynolds number. The total heat transfer for both-wall heating condition was in the range of ~ 216 </w:t>
      </w:r>
      <m:oMath>
        <m:f>
          <m:fPr>
            <m:type m:val="lin"/>
            <m:ctrlPr>
              <w:rPr>
                <w:rFonts w:ascii="Cambria Math" w:hAnsi="Cambria Math" w:cs="Times New Roman"/>
                <w:i/>
              </w:rPr>
            </m:ctrlPr>
          </m:fPr>
          <m:num>
            <m:r>
              <w:rPr>
                <w:rFonts w:ascii="Cambria Math" w:hAnsi="Cambria Math" w:cs="Times New Roman"/>
              </w:rPr>
              <m:t>W</m:t>
            </m:r>
          </m:num>
          <m:den>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K</m:t>
            </m:r>
          </m:den>
        </m:f>
        <m:r>
          <w:rPr>
            <w:rFonts w:ascii="Cambria Math" w:hAnsi="Cambria Math" w:cs="Times New Roman"/>
          </w:rPr>
          <m:t xml:space="preserve"> </m:t>
        </m:r>
      </m:oMath>
      <w:r w:rsidRPr="008F5202">
        <w:rPr>
          <w:rFonts w:ascii="Times New Roman" w:hAnsi="Times New Roman" w:cs="Times New Roman"/>
        </w:rPr>
        <w:t xml:space="preserve">to 415 </w:t>
      </w:r>
      <m:oMath>
        <m:f>
          <m:fPr>
            <m:type m:val="lin"/>
            <m:ctrlPr>
              <w:rPr>
                <w:rFonts w:ascii="Cambria Math" w:hAnsi="Cambria Math" w:cs="Times New Roman"/>
                <w:i/>
              </w:rPr>
            </m:ctrlPr>
          </m:fPr>
          <m:num>
            <m:r>
              <w:rPr>
                <w:rFonts w:ascii="Cambria Math" w:hAnsi="Cambria Math" w:cs="Times New Roman"/>
              </w:rPr>
              <m:t>W</m:t>
            </m:r>
          </m:num>
          <m:den>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K</m:t>
            </m:r>
          </m:den>
        </m:f>
      </m:oMath>
      <w:r w:rsidRPr="008F5202">
        <w:rPr>
          <w:rFonts w:ascii="Times New Roman" w:hAnsi="Times New Roman" w:cs="Times New Roman"/>
        </w:rPr>
        <w:t xml:space="preserve"> for Octet, FD-Cube, and TKD, whereas for only-bottom-wall heating the heat transfer coefficient values were between ~ 188 </w:t>
      </w:r>
      <m:oMath>
        <m:f>
          <m:fPr>
            <m:type m:val="lin"/>
            <m:ctrlPr>
              <w:rPr>
                <w:rFonts w:ascii="Cambria Math" w:hAnsi="Cambria Math" w:cs="Times New Roman"/>
                <w:i/>
              </w:rPr>
            </m:ctrlPr>
          </m:fPr>
          <m:num>
            <m:r>
              <w:rPr>
                <w:rFonts w:ascii="Cambria Math" w:hAnsi="Cambria Math" w:cs="Times New Roman"/>
              </w:rPr>
              <m:t>W</m:t>
            </m:r>
          </m:num>
          <m:den>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K</m:t>
            </m:r>
          </m:den>
        </m:f>
        <m:r>
          <w:rPr>
            <w:rFonts w:ascii="Cambria Math" w:hAnsi="Cambria Math" w:cs="Times New Roman"/>
          </w:rPr>
          <m:t xml:space="preserve"> </m:t>
        </m:r>
      </m:oMath>
      <w:r w:rsidRPr="008F5202">
        <w:rPr>
          <w:rFonts w:ascii="Times New Roman" w:hAnsi="Times New Roman" w:cs="Times New Roman"/>
        </w:rPr>
        <w:t xml:space="preserve">to 367 </w:t>
      </w:r>
      <m:oMath>
        <m:f>
          <m:fPr>
            <m:type m:val="lin"/>
            <m:ctrlPr>
              <w:rPr>
                <w:rFonts w:ascii="Cambria Math" w:hAnsi="Cambria Math" w:cs="Times New Roman"/>
                <w:i/>
              </w:rPr>
            </m:ctrlPr>
          </m:fPr>
          <m:num>
            <m:r>
              <w:rPr>
                <w:rFonts w:ascii="Cambria Math" w:hAnsi="Cambria Math" w:cs="Times New Roman"/>
              </w:rPr>
              <m:t>W</m:t>
            </m:r>
          </m:num>
          <m:den>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K</m:t>
            </m:r>
          </m:den>
        </m:f>
      </m:oMath>
      <w:r w:rsidRPr="008F5202">
        <w:rPr>
          <w:rFonts w:ascii="Times New Roman" w:hAnsi="Times New Roman" w:cs="Times New Roman"/>
        </w:rPr>
        <w:t xml:space="preserve">. The mean total heat transfer coefficient for both-wall heated condition was about ~4.4% - 8.8%, 3.3% - 11%, and 9.1% - 17.4% higher than the forced heat transfer coefficient of Octet, FD-Cube, and TKD, respectively. For bottom-wall heating condition, the total heat transfer coefficient was 4.4% - 12.3%, 8.9% - 20%, and 8.2%- 19% higher than the forced heat transfer </w:t>
      </w:r>
      <w:r w:rsidRPr="008F5202">
        <w:rPr>
          <w:rFonts w:ascii="Times New Roman" w:hAnsi="Times New Roman" w:cs="Times New Roman"/>
        </w:rPr>
        <w:lastRenderedPageBreak/>
        <w:t>coefficient for Octet, FD-Cube, and TKD, respectively. Cube was the simplest topology and demonstrated the weakest performance amongst the investigated RUC topologies. The addition of fiber complexity to the RUC architecture clearly did not provide any benefits from the thermal performance perspective if the periodicity of the heat transfer in the lattices was considered. The heat transfer characteristics in the periodic region became almost independent of the topology for relatively complex RUCs (Octet, FD-Cube, and TKD).</w:t>
      </w:r>
    </w:p>
    <w:p w14:paraId="532CDEEF" w14:textId="77777777" w:rsidR="008352DE" w:rsidRPr="008F5202" w:rsidRDefault="008352DE" w:rsidP="008352DE">
      <w:pPr>
        <w:keepNext/>
        <w:spacing w:line="360" w:lineRule="auto"/>
        <w:rPr>
          <w:rFonts w:ascii="Times New Roman" w:hAnsi="Times New Roman" w:cs="Times New Roman"/>
        </w:rPr>
      </w:pPr>
      <w:r w:rsidRPr="008F5202">
        <w:rPr>
          <w:rFonts w:ascii="Times New Roman" w:eastAsiaTheme="minorEastAsia" w:hAnsi="Times New Roman" w:cs="Times New Roman"/>
          <w:noProof/>
          <w:sz w:val="18"/>
          <w:szCs w:val="18"/>
        </w:rPr>
        <w:drawing>
          <wp:inline distT="0" distB="0" distL="0" distR="0" wp14:anchorId="3CFDCACB" wp14:editId="6F599154">
            <wp:extent cx="4476044" cy="348615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22" cstate="print">
                      <a:extLst>
                        <a:ext uri="{28A0092B-C50C-407E-A947-70E740481C1C}">
                          <a14:useLocalDpi xmlns:a14="http://schemas.microsoft.com/office/drawing/2010/main" val="0"/>
                        </a:ext>
                      </a:extLst>
                    </a:blip>
                    <a:srcRect l="8014" r="19764"/>
                    <a:stretch/>
                  </pic:blipFill>
                  <pic:spPr bwMode="auto">
                    <a:xfrm>
                      <a:off x="0" y="0"/>
                      <a:ext cx="4478838" cy="3488326"/>
                    </a:xfrm>
                    <a:prstGeom prst="rect">
                      <a:avLst/>
                    </a:prstGeom>
                    <a:ln>
                      <a:noFill/>
                    </a:ln>
                    <a:extLst>
                      <a:ext uri="{53640926-AAD7-44D8-BBD7-CCE9431645EC}">
                        <a14:shadowObscured xmlns:a14="http://schemas.microsoft.com/office/drawing/2010/main"/>
                      </a:ext>
                    </a:extLst>
                  </pic:spPr>
                </pic:pic>
              </a:graphicData>
            </a:graphic>
          </wp:inline>
        </w:drawing>
      </w:r>
    </w:p>
    <w:p w14:paraId="3738707D" w14:textId="7A88F841" w:rsidR="008352DE" w:rsidRPr="008F5202" w:rsidRDefault="008352DE" w:rsidP="008F5202">
      <w:pPr>
        <w:pStyle w:val="Caption"/>
      </w:pPr>
      <w:bookmarkStart w:id="52" w:name="_Ref177684364"/>
      <w:bookmarkStart w:id="53" w:name="_Toc177755190"/>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8</w:t>
      </w:r>
      <w:r w:rsidR="003763D2" w:rsidRPr="008F5202">
        <w:fldChar w:fldCharType="end"/>
      </w:r>
      <w:bookmarkEnd w:id="52"/>
      <w:r w:rsidRPr="008F5202">
        <w:t xml:space="preserve"> Mean total and forced heat transfer coefficient under both wall and only bottom wall heated conditions</w:t>
      </w:r>
      <w:bookmarkEnd w:id="53"/>
    </w:p>
    <w:p w14:paraId="42B6C052" w14:textId="0D68CC8E" w:rsidR="008352DE" w:rsidRPr="008F5202" w:rsidRDefault="008352DE" w:rsidP="008352DE">
      <w:pPr>
        <w:spacing w:line="360" w:lineRule="auto"/>
        <w:rPr>
          <w:rFonts w:ascii="Times New Roman" w:hAnsi="Times New Roman" w:cs="Times New Roman"/>
        </w:rPr>
      </w:pPr>
      <w:r w:rsidRPr="008F5202">
        <w:rPr>
          <w:rFonts w:ascii="Times New Roman" w:hAnsi="Times New Roman" w:cs="Times New Roman"/>
        </w:rPr>
        <w:t xml:space="preserve">Several factors such as interfacial heat transfer coefficient, surface area to volume ratio and lattice-endwall connection can dictate the overall thermal performance of the lattices in conjugate thermal exchange. Cube was the simplest investigated topology in the current investigation and demonstrated significantly lower specific surface area as compared to other topologies. This significantly undermined the overall thermal performance of the Cube topology. </w:t>
      </w:r>
      <w:bookmarkStart w:id="54" w:name="_Hlk91948978"/>
      <w:r w:rsidRPr="008F5202">
        <w:rPr>
          <w:rFonts w:ascii="Times New Roman" w:hAnsi="Times New Roman" w:cs="Times New Roman"/>
        </w:rPr>
        <w:t>Octet exhibited the highest specific surface area but could not outperform the FD-Cube and TKD lattices.</w:t>
      </w:r>
      <w:bookmarkEnd w:id="54"/>
      <w:r w:rsidRPr="008F5202">
        <w:rPr>
          <w:rFonts w:ascii="Times New Roman" w:hAnsi="Times New Roman" w:cs="Times New Roman"/>
        </w:rPr>
        <w:t xml:space="preserve"> Each topology rendered different </w:t>
      </w:r>
      <w:r w:rsidRPr="008F5202">
        <w:rPr>
          <w:rFonts w:ascii="Times New Roman" w:hAnsi="Times New Roman" w:cs="Times New Roman"/>
        </w:rPr>
        <w:lastRenderedPageBreak/>
        <w:t xml:space="preserve">near-wall phenomenon as the fibers connected to the endwall in each lattice interrupted the development of flow and thermal boundary layer uniquely. Since the configurations are reticulated in three-dimensional space, the thermal transport phenomenon occurring in the core volume of the lattice blocks was significantly important. Also, it should be noted that the effective thermal conductivity of these lattices for the investigated porosity value of ~ 0.86-0.87 was independent of the unit cell topology as established by Wang et al. </w:t>
      </w:r>
      <w:r w:rsidR="008E7EC0" w:rsidRPr="008F5202">
        <w:rPr>
          <w:rFonts w:ascii="Times New Roman" w:hAnsi="Times New Roman" w:cs="Times New Roman"/>
        </w:rPr>
        <w:t>[2</w:t>
      </w:r>
      <w:r w:rsidRPr="008F5202">
        <w:rPr>
          <w:rFonts w:ascii="Times New Roman" w:hAnsi="Times New Roman" w:cs="Times New Roman"/>
        </w:rPr>
        <w:t>.25]</w:t>
      </w:r>
    </w:p>
    <w:p w14:paraId="2FC99849" w14:textId="2B8F343A" w:rsidR="008352DE" w:rsidRPr="008F5202" w:rsidRDefault="008352DE" w:rsidP="008352DE">
      <w:pPr>
        <w:tabs>
          <w:tab w:val="left" w:pos="180"/>
        </w:tabs>
        <w:autoSpaceDE w:val="0"/>
        <w:autoSpaceDN w:val="0"/>
        <w:adjustRightInd w:val="0"/>
        <w:spacing w:line="360" w:lineRule="auto"/>
        <w:contextualSpacing/>
        <w:jc w:val="both"/>
        <w:rPr>
          <w:rFonts w:ascii="Times New Roman" w:hAnsi="Times New Roman" w:cs="Times New Roman"/>
        </w:rPr>
      </w:pPr>
      <w:r w:rsidRPr="008F5202">
        <w:rPr>
          <w:rFonts w:ascii="Times New Roman" w:hAnsi="Times New Roman" w:cs="Times New Roman"/>
        </w:rPr>
        <w:t>Nusselt number based on channel hydraulic diameter: The heat transfer coefficient (</w:t>
      </w:r>
      <w:r w:rsidRPr="008F5202">
        <w:rPr>
          <w:rFonts w:ascii="Times New Roman" w:hAnsi="Times New Roman" w:cs="Times New Roman"/>
        </w:rPr>
        <w:fldChar w:fldCharType="begin"/>
      </w:r>
      <w:r w:rsidRPr="008F5202">
        <w:rPr>
          <w:rFonts w:ascii="Times New Roman" w:hAnsi="Times New Roman" w:cs="Times New Roman"/>
        </w:rPr>
        <w:instrText xml:space="preserve"> REF _Ref177684364 \h  \* MERGEFORMAT </w:instrText>
      </w:r>
      <w:r w:rsidRPr="008F5202">
        <w:rPr>
          <w:rFonts w:ascii="Times New Roman" w:hAnsi="Times New Roman" w:cs="Times New Roman"/>
        </w:rPr>
      </w:r>
      <w:r w:rsidRPr="008F5202">
        <w:rPr>
          <w:rFonts w:ascii="Times New Roman" w:hAnsi="Times New Roman" w:cs="Times New Roman"/>
        </w:rPr>
        <w:fldChar w:fldCharType="separate"/>
      </w:r>
      <w:r w:rsidR="00AF1AFB" w:rsidRPr="00AF1AFB">
        <w:rPr>
          <w:rFonts w:ascii="Times New Roman" w:hAnsi="Times New Roman" w:cs="Times New Roman"/>
        </w:rPr>
        <w:t>Figure 2.8</w:t>
      </w:r>
      <w:r w:rsidRPr="008F5202">
        <w:rPr>
          <w:rFonts w:ascii="Times New Roman" w:hAnsi="Times New Roman" w:cs="Times New Roman"/>
        </w:rPr>
        <w:fldChar w:fldCharType="end"/>
      </w:r>
      <w:r w:rsidRPr="008F5202">
        <w:rPr>
          <w:rFonts w:ascii="Times New Roman" w:hAnsi="Times New Roman" w:cs="Times New Roman"/>
        </w:rPr>
        <w:t xml:space="preserve">) is presented in non-dimensional form of Nusselt number as a function of Reynolds number in </w:t>
      </w:r>
      <w:r w:rsidRPr="008F5202">
        <w:rPr>
          <w:rFonts w:ascii="Times New Roman" w:hAnsi="Times New Roman" w:cs="Times New Roman"/>
        </w:rPr>
        <w:fldChar w:fldCharType="begin"/>
      </w:r>
      <w:r w:rsidRPr="008F5202">
        <w:rPr>
          <w:rFonts w:ascii="Times New Roman" w:hAnsi="Times New Roman" w:cs="Times New Roman"/>
        </w:rPr>
        <w:instrText xml:space="preserve"> REF _Ref177684371 \h  \* MERGEFORMAT </w:instrText>
      </w:r>
      <w:r w:rsidRPr="008F5202">
        <w:rPr>
          <w:rFonts w:ascii="Times New Roman" w:hAnsi="Times New Roman" w:cs="Times New Roman"/>
        </w:rPr>
      </w:r>
      <w:r w:rsidRPr="008F5202">
        <w:rPr>
          <w:rFonts w:ascii="Times New Roman" w:hAnsi="Times New Roman" w:cs="Times New Roman"/>
        </w:rPr>
        <w:fldChar w:fldCharType="separate"/>
      </w:r>
      <w:r w:rsidR="00AF1AFB" w:rsidRPr="00AF1AFB">
        <w:rPr>
          <w:rFonts w:ascii="Times New Roman" w:hAnsi="Times New Roman" w:cs="Times New Roman"/>
        </w:rPr>
        <w:t>Figure 2.9</w:t>
      </w:r>
      <w:r w:rsidRPr="008F5202">
        <w:rPr>
          <w:rFonts w:ascii="Times New Roman" w:hAnsi="Times New Roman" w:cs="Times New Roman"/>
        </w:rPr>
        <w:fldChar w:fldCharType="end"/>
      </w:r>
      <w:r w:rsidRPr="008F5202">
        <w:rPr>
          <w:rFonts w:ascii="Times New Roman" w:hAnsi="Times New Roman" w:cs="Times New Roman"/>
        </w:rPr>
        <w:t xml:space="preserve">. The characteristic length chosen in these plots is the channel hydraulic diameter, therefore the definitions of total and forced Nusselt number were </w:t>
      </w:r>
      <m:oMath>
        <m:f>
          <m:fPr>
            <m:type m:val="lin"/>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t</m:t>
                </m:r>
              </m:sub>
            </m:sSub>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h</m:t>
                </m:r>
              </m:sub>
            </m:sSub>
          </m:num>
          <m:den>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f</m:t>
                </m:r>
              </m:sub>
            </m:sSub>
          </m:den>
        </m:f>
      </m:oMath>
      <w:r w:rsidRPr="008F5202">
        <w:rPr>
          <w:rFonts w:ascii="Times New Roman" w:hAnsi="Times New Roman" w:cs="Times New Roman"/>
        </w:rPr>
        <w:t xml:space="preserve"> and </w:t>
      </w:r>
      <m:oMath>
        <m:f>
          <m:fPr>
            <m:type m:val="lin"/>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f</m:t>
                </m:r>
              </m:sub>
            </m:sSub>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h</m:t>
                </m:r>
              </m:sub>
            </m:sSub>
          </m:num>
          <m:den>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f</m:t>
                </m:r>
              </m:sub>
            </m:sSub>
          </m:den>
        </m:f>
      </m:oMath>
      <w:r w:rsidRPr="008F5202">
        <w:rPr>
          <w:rFonts w:ascii="Times New Roman" w:hAnsi="Times New Roman" w:cs="Times New Roman"/>
        </w:rPr>
        <w:t>, respectively. The Reynolds number was defined as</w:t>
      </w:r>
      <m:oMath>
        <m:f>
          <m:fPr>
            <m:type m:val="lin"/>
            <m:ctrlPr>
              <w:rPr>
                <w:rFonts w:ascii="Cambria Math" w:hAnsi="Cambria Math" w:cs="Times New Roman"/>
              </w:rPr>
            </m:ctrlPr>
          </m:fPr>
          <m:num>
            <m:r>
              <m:rPr>
                <m:sty m:val="p"/>
              </m:rPr>
              <w:rPr>
                <w:rFonts w:ascii="Cambria Math" w:hAnsi="Cambria Math" w:cs="Times New Roman"/>
              </w:rPr>
              <m:t xml:space="preserve">  </m:t>
            </m:r>
            <m:r>
              <w:rPr>
                <w:rFonts w:ascii="Cambria Math" w:hAnsi="Cambria Math" w:cs="Times New Roman"/>
              </w:rPr>
              <m:t>ρ</m:t>
            </m:r>
            <m:sSub>
              <m:sSubPr>
                <m:ctrlPr>
                  <w:rPr>
                    <w:rFonts w:ascii="Cambria Math" w:hAnsi="Cambria Math" w:cs="Times New Roman"/>
                  </w:rPr>
                </m:ctrlPr>
              </m:sSubPr>
              <m:e>
                <m:r>
                  <w:rPr>
                    <w:rFonts w:ascii="Cambria Math" w:hAnsi="Cambria Math" w:cs="Times New Roman"/>
                  </w:rPr>
                  <m:t>ud</m:t>
                </m:r>
              </m:e>
              <m:sub>
                <m:r>
                  <w:rPr>
                    <w:rFonts w:ascii="Cambria Math" w:hAnsi="Cambria Math" w:cs="Times New Roman"/>
                  </w:rPr>
                  <m:t>h</m:t>
                </m:r>
              </m:sub>
            </m:sSub>
          </m:num>
          <m:den>
            <w:bookmarkStart w:id="55" w:name="_Hlk82989321"/>
            <m:r>
              <w:rPr>
                <w:rFonts w:ascii="Cambria Math" w:hAnsi="Cambria Math" w:cs="Times New Roman"/>
              </w:rPr>
              <m:t>μ</m:t>
            </m:r>
            <w:bookmarkEnd w:id="55"/>
          </m:den>
        </m:f>
      </m:oMath>
      <w:r w:rsidRPr="008F5202">
        <w:rPr>
          <w:rFonts w:ascii="Times New Roman" w:hAnsi="Times New Roman" w:cs="Times New Roman"/>
        </w:rPr>
        <w:t xml:space="preserve">. Since the Nusselt number trends for Octet, FD-Cube, and TKD were similar to each other, a single trendline could be extracted to predict the performance of the lattices. The Nusselt number is typically presented as a power law function of Reynolds number such that </w:t>
      </w:r>
      <m:oMath>
        <m:r>
          <w:rPr>
            <w:rFonts w:ascii="Cambria Math" w:hAnsi="Cambria Math" w:cs="Times New Roman"/>
          </w:rPr>
          <m:t>Nu</m:t>
        </m:r>
        <m:r>
          <m:rPr>
            <m:sty m:val="p"/>
          </m:rPr>
          <w:rPr>
            <w:rFonts w:ascii="Cambria Math" w:hAnsi="Cambria Math" w:cs="Times New Roman"/>
          </w:rPr>
          <m:t>=</m:t>
        </m:r>
        <m:r>
          <w:rPr>
            <w:rFonts w:ascii="Cambria Math" w:hAnsi="Cambria Math" w:cs="Times New Roman"/>
          </w:rPr>
          <m:t>cR</m:t>
        </m:r>
        <m:sSup>
          <m:sSupPr>
            <m:ctrlPr>
              <w:rPr>
                <w:rFonts w:ascii="Cambria Math" w:hAnsi="Cambria Math" w:cs="Times New Roman"/>
              </w:rPr>
            </m:ctrlPr>
          </m:sSupPr>
          <m:e>
            <m:r>
              <w:rPr>
                <w:rFonts w:ascii="Cambria Math" w:hAnsi="Cambria Math" w:cs="Times New Roman"/>
              </w:rPr>
              <m:t>e</m:t>
            </m:r>
          </m:e>
          <m:sup>
            <m:r>
              <w:rPr>
                <w:rFonts w:ascii="Cambria Math" w:hAnsi="Cambria Math" w:cs="Times New Roman"/>
              </w:rPr>
              <m:t>m</m:t>
            </m:r>
          </m:sup>
        </m:sSup>
      </m:oMath>
      <w:r w:rsidRPr="008F5202">
        <w:rPr>
          <w:rFonts w:ascii="Times New Roman" w:hAnsi="Times New Roman" w:cs="Times New Roman"/>
        </w:rPr>
        <w:t>. Although the porosities of the investigated samples were different, the variation was small due to which the assumption that the Nusselt number depended only on the Reynolds number for the air as the working fluid in this investigation is justified.</w:t>
      </w:r>
    </w:p>
    <w:p w14:paraId="67EEDBD0" w14:textId="4989D9FA" w:rsidR="004E232E" w:rsidRPr="008F5202" w:rsidRDefault="004E232E" w:rsidP="008F5202">
      <w:pPr>
        <w:pStyle w:val="Caption"/>
      </w:pPr>
      <w:bookmarkStart w:id="56" w:name="_Toc177755174"/>
      <w:r w:rsidRPr="008F5202">
        <w:t xml:space="preserve">Table </w:t>
      </w:r>
      <w:r w:rsidR="00561B55" w:rsidRPr="008F5202">
        <w:fldChar w:fldCharType="begin"/>
      </w:r>
      <w:r w:rsidR="00561B55" w:rsidRPr="008F5202">
        <w:instrText xml:space="preserve"> STYLEREF 1 \s </w:instrText>
      </w:r>
      <w:r w:rsidR="00561B55" w:rsidRPr="008F5202">
        <w:fldChar w:fldCharType="separate"/>
      </w:r>
      <w:r w:rsidR="00AF1AFB">
        <w:rPr>
          <w:noProof/>
        </w:rPr>
        <w:t>2</w:t>
      </w:r>
      <w:r w:rsidR="00561B55" w:rsidRPr="008F5202">
        <w:fldChar w:fldCharType="end"/>
      </w:r>
      <w:r w:rsidR="00561B55" w:rsidRPr="008F5202">
        <w:t>.</w:t>
      </w:r>
      <w:r w:rsidR="00561B55" w:rsidRPr="008F5202">
        <w:fldChar w:fldCharType="begin"/>
      </w:r>
      <w:r w:rsidR="00561B55" w:rsidRPr="008F5202">
        <w:instrText xml:space="preserve"> SEQ Table \* ARABIC \s 1 </w:instrText>
      </w:r>
      <w:r w:rsidR="00561B55" w:rsidRPr="008F5202">
        <w:fldChar w:fldCharType="separate"/>
      </w:r>
      <w:r w:rsidR="00AF1AFB">
        <w:rPr>
          <w:noProof/>
        </w:rPr>
        <w:t>2</w:t>
      </w:r>
      <w:r w:rsidR="00561B55" w:rsidRPr="008F5202">
        <w:fldChar w:fldCharType="end"/>
      </w:r>
      <w:r w:rsidRPr="008F5202">
        <w:t xml:space="preserve"> Correlation </w:t>
      </w:r>
      <m:oMath>
        <m:r>
          <m:rPr>
            <m:sty m:val="bi"/>
          </m:rPr>
          <w:rPr>
            <w:rFonts w:ascii="Cambria Math" w:hAnsi="Cambria Math"/>
          </w:rPr>
          <m:t>cR</m:t>
        </m:r>
        <m:sSubSup>
          <m:sSubSupPr>
            <m:ctrlPr>
              <w:rPr>
                <w:rFonts w:ascii="Cambria Math" w:hAnsi="Cambria Math"/>
              </w:rPr>
            </m:ctrlPr>
          </m:sSubSupPr>
          <m:e>
            <m:r>
              <m:rPr>
                <m:sty m:val="bi"/>
              </m:rPr>
              <w:rPr>
                <w:rFonts w:ascii="Cambria Math" w:hAnsi="Cambria Math"/>
              </w:rPr>
              <m:t>e</m:t>
            </m:r>
          </m:e>
          <m:sub>
            <m:sSub>
              <m:sSubPr>
                <m:ctrlPr>
                  <w:rPr>
                    <w:rFonts w:ascii="Cambria Math" w:hAnsi="Cambria Math"/>
                  </w:rPr>
                </m:ctrlPr>
              </m:sSubPr>
              <m:e>
                <m:r>
                  <m:rPr>
                    <m:sty m:val="bi"/>
                  </m:rPr>
                  <w:rPr>
                    <w:rFonts w:ascii="Cambria Math" w:hAnsi="Cambria Math"/>
                  </w:rPr>
                  <m:t>d</m:t>
                </m:r>
              </m:e>
              <m:sub>
                <m:r>
                  <m:rPr>
                    <m:sty m:val="bi"/>
                  </m:rPr>
                  <w:rPr>
                    <w:rFonts w:ascii="Cambria Math" w:hAnsi="Cambria Math"/>
                  </w:rPr>
                  <m:t>h</m:t>
                </m:r>
              </m:sub>
            </m:sSub>
          </m:sub>
          <m:sup>
            <m:r>
              <m:rPr>
                <m:sty m:val="b"/>
              </m:rPr>
              <w:rPr>
                <w:rFonts w:ascii="Cambria Math" w:hAnsi="Cambria Math"/>
              </w:rPr>
              <m:t xml:space="preserve">   </m:t>
            </m:r>
            <m:r>
              <m:rPr>
                <m:sty m:val="bi"/>
              </m:rPr>
              <w:rPr>
                <w:rFonts w:ascii="Cambria Math" w:hAnsi="Cambria Math"/>
              </w:rPr>
              <m:t>m</m:t>
            </m:r>
          </m:sup>
        </m:sSubSup>
      </m:oMath>
      <w:r w:rsidRPr="008F5202">
        <w:t xml:space="preserve"> for Octet, FD-Cube, and TKD under different heating conditions</w:t>
      </w:r>
      <w:bookmarkEnd w:id="56"/>
    </w:p>
    <w:p w14:paraId="12112F0B" w14:textId="72273D67" w:rsidR="008352DE" w:rsidRPr="008F5202" w:rsidRDefault="004E232E" w:rsidP="008352DE">
      <w:pPr>
        <w:spacing w:line="360" w:lineRule="auto"/>
        <w:rPr>
          <w:rFonts w:ascii="Times New Roman" w:hAnsi="Times New Roman" w:cs="Times New Roman"/>
        </w:rPr>
      </w:pPr>
      <w:r w:rsidRPr="008F5202">
        <w:rPr>
          <w:rFonts w:ascii="Times New Roman" w:hAnsi="Times New Roman" w:cs="Times New Roman"/>
          <w:noProof/>
        </w:rPr>
        <w:drawing>
          <wp:inline distT="0" distB="0" distL="0" distR="0" wp14:anchorId="666B95EC" wp14:editId="4863622A">
            <wp:extent cx="3248084" cy="993858"/>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23"/>
                    <a:stretch>
                      <a:fillRect/>
                    </a:stretch>
                  </pic:blipFill>
                  <pic:spPr>
                    <a:xfrm>
                      <a:off x="0" y="0"/>
                      <a:ext cx="3252974" cy="995354"/>
                    </a:xfrm>
                    <a:prstGeom prst="rect">
                      <a:avLst/>
                    </a:prstGeom>
                  </pic:spPr>
                </pic:pic>
              </a:graphicData>
            </a:graphic>
          </wp:inline>
        </w:drawing>
      </w:r>
    </w:p>
    <w:p w14:paraId="4057BB02" w14:textId="795B6B43" w:rsidR="004E232E" w:rsidRPr="008F5202" w:rsidRDefault="004E232E" w:rsidP="008F5202">
      <w:pPr>
        <w:pStyle w:val="Caption"/>
      </w:pPr>
      <w:bookmarkStart w:id="57" w:name="_Toc177755175"/>
      <w:r w:rsidRPr="008F5202">
        <w:lastRenderedPageBreak/>
        <w:t xml:space="preserve">Table </w:t>
      </w:r>
      <w:r w:rsidR="00561B55" w:rsidRPr="008F5202">
        <w:fldChar w:fldCharType="begin"/>
      </w:r>
      <w:r w:rsidR="00561B55" w:rsidRPr="008F5202">
        <w:instrText xml:space="preserve"> STYLEREF 1 \s </w:instrText>
      </w:r>
      <w:r w:rsidR="00561B55" w:rsidRPr="008F5202">
        <w:fldChar w:fldCharType="separate"/>
      </w:r>
      <w:r w:rsidR="00AF1AFB">
        <w:rPr>
          <w:noProof/>
        </w:rPr>
        <w:t>2</w:t>
      </w:r>
      <w:r w:rsidR="00561B55" w:rsidRPr="008F5202">
        <w:fldChar w:fldCharType="end"/>
      </w:r>
      <w:r w:rsidR="00561B55" w:rsidRPr="008F5202">
        <w:t>.</w:t>
      </w:r>
      <w:r w:rsidR="00561B55" w:rsidRPr="008F5202">
        <w:fldChar w:fldCharType="begin"/>
      </w:r>
      <w:r w:rsidR="00561B55" w:rsidRPr="008F5202">
        <w:instrText xml:space="preserve"> SEQ Table \* ARABIC \s 1 </w:instrText>
      </w:r>
      <w:r w:rsidR="00561B55" w:rsidRPr="008F5202">
        <w:fldChar w:fldCharType="separate"/>
      </w:r>
      <w:r w:rsidR="00AF1AFB">
        <w:rPr>
          <w:noProof/>
        </w:rPr>
        <w:t>3</w:t>
      </w:r>
      <w:r w:rsidR="00561B55" w:rsidRPr="008F5202">
        <w:fldChar w:fldCharType="end"/>
      </w:r>
      <w:r w:rsidRPr="008F5202">
        <w:t xml:space="preserve"> Correlation </w:t>
      </w:r>
      <m:oMath>
        <m:r>
          <m:rPr>
            <m:sty m:val="bi"/>
          </m:rPr>
          <w:rPr>
            <w:rFonts w:ascii="Cambria Math" w:hAnsi="Cambria Math"/>
          </w:rPr>
          <m:t>cR</m:t>
        </m:r>
        <m:sSubSup>
          <m:sSubSupPr>
            <m:ctrlPr>
              <w:rPr>
                <w:rFonts w:ascii="Cambria Math" w:hAnsi="Cambria Math"/>
              </w:rPr>
            </m:ctrlPr>
          </m:sSubSupPr>
          <m:e>
            <m:r>
              <m:rPr>
                <m:sty m:val="bi"/>
              </m:rPr>
              <w:rPr>
                <w:rFonts w:ascii="Cambria Math" w:hAnsi="Cambria Math"/>
              </w:rPr>
              <m:t>e</m:t>
            </m:r>
          </m:e>
          <m:sub>
            <m:sSub>
              <m:sSubPr>
                <m:ctrlPr>
                  <w:rPr>
                    <w:rFonts w:ascii="Cambria Math" w:hAnsi="Cambria Math"/>
                  </w:rPr>
                </m:ctrlPr>
              </m:sSubPr>
              <m:e>
                <m:r>
                  <m:rPr>
                    <m:sty m:val="bi"/>
                  </m:rPr>
                  <w:rPr>
                    <w:rFonts w:ascii="Cambria Math" w:hAnsi="Cambria Math"/>
                  </w:rPr>
                  <m:t>d</m:t>
                </m:r>
              </m:e>
              <m:sub>
                <m:r>
                  <m:rPr>
                    <m:sty m:val="bi"/>
                  </m:rPr>
                  <w:rPr>
                    <w:rFonts w:ascii="Cambria Math" w:hAnsi="Cambria Math"/>
                  </w:rPr>
                  <m:t>h</m:t>
                </m:r>
              </m:sub>
            </m:sSub>
          </m:sub>
          <m:sup>
            <m:r>
              <m:rPr>
                <m:sty m:val="bi"/>
              </m:rPr>
              <w:rPr>
                <w:rFonts w:ascii="Cambria Math" w:hAnsi="Cambria Math"/>
              </w:rPr>
              <m:t>m</m:t>
            </m:r>
          </m:sup>
        </m:sSubSup>
      </m:oMath>
      <w:r w:rsidRPr="008F5202">
        <w:t xml:space="preserve"> for Cube under different heating conditions</w:t>
      </w:r>
      <w:bookmarkEnd w:id="57"/>
    </w:p>
    <w:p w14:paraId="4C8D2E33" w14:textId="4D1A9B61" w:rsidR="004E232E" w:rsidRPr="008F5202" w:rsidRDefault="004E232E" w:rsidP="008352DE">
      <w:pPr>
        <w:spacing w:line="360" w:lineRule="auto"/>
        <w:rPr>
          <w:rFonts w:ascii="Times New Roman" w:hAnsi="Times New Roman" w:cs="Times New Roman"/>
        </w:rPr>
      </w:pPr>
      <w:r w:rsidRPr="008F5202">
        <w:rPr>
          <w:rFonts w:ascii="Times New Roman" w:hAnsi="Times New Roman" w:cs="Times New Roman"/>
          <w:noProof/>
        </w:rPr>
        <w:drawing>
          <wp:inline distT="0" distB="0" distL="0" distR="0" wp14:anchorId="10C7C93C" wp14:editId="5B7FB2F9">
            <wp:extent cx="3377109" cy="991918"/>
            <wp:effectExtent l="0" t="0" r="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24"/>
                    <a:stretch>
                      <a:fillRect/>
                    </a:stretch>
                  </pic:blipFill>
                  <pic:spPr>
                    <a:xfrm>
                      <a:off x="0" y="0"/>
                      <a:ext cx="3389600" cy="995587"/>
                    </a:xfrm>
                    <a:prstGeom prst="rect">
                      <a:avLst/>
                    </a:prstGeom>
                  </pic:spPr>
                </pic:pic>
              </a:graphicData>
            </a:graphic>
          </wp:inline>
        </w:drawing>
      </w:r>
    </w:p>
    <w:p w14:paraId="22C7AEC0" w14:textId="77777777" w:rsidR="008352DE" w:rsidRPr="008F5202" w:rsidRDefault="008352DE" w:rsidP="008352DE">
      <w:pPr>
        <w:keepNext/>
        <w:spacing w:line="360" w:lineRule="auto"/>
        <w:rPr>
          <w:rFonts w:ascii="Times New Roman" w:hAnsi="Times New Roman" w:cs="Times New Roman"/>
        </w:rPr>
      </w:pPr>
      <w:r w:rsidRPr="008F5202">
        <w:rPr>
          <w:rFonts w:ascii="Times New Roman" w:hAnsi="Times New Roman" w:cs="Times New Roman"/>
          <w:b/>
          <w:bCs/>
          <w:noProof/>
          <w:sz w:val="18"/>
          <w:szCs w:val="18"/>
        </w:rPr>
        <w:drawing>
          <wp:inline distT="0" distB="0" distL="0" distR="0" wp14:anchorId="7000C0EF" wp14:editId="67F67F7E">
            <wp:extent cx="4514850" cy="33432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5" cstate="print">
                      <a:extLst>
                        <a:ext uri="{28A0092B-C50C-407E-A947-70E740481C1C}">
                          <a14:useLocalDpi xmlns:a14="http://schemas.microsoft.com/office/drawing/2010/main" val="0"/>
                        </a:ext>
                      </a:extLst>
                    </a:blip>
                    <a:srcRect r="24039"/>
                    <a:stretch/>
                  </pic:blipFill>
                  <pic:spPr bwMode="auto">
                    <a:xfrm>
                      <a:off x="0" y="0"/>
                      <a:ext cx="4514850" cy="3343275"/>
                    </a:xfrm>
                    <a:prstGeom prst="rect">
                      <a:avLst/>
                    </a:prstGeom>
                    <a:ln>
                      <a:noFill/>
                    </a:ln>
                    <a:extLst>
                      <a:ext uri="{53640926-AAD7-44D8-BBD7-CCE9431645EC}">
                        <a14:shadowObscured xmlns:a14="http://schemas.microsoft.com/office/drawing/2010/main"/>
                      </a:ext>
                    </a:extLst>
                  </pic:spPr>
                </pic:pic>
              </a:graphicData>
            </a:graphic>
          </wp:inline>
        </w:drawing>
      </w:r>
    </w:p>
    <w:p w14:paraId="683FED92" w14:textId="14ACC077" w:rsidR="008352DE" w:rsidRPr="008F5202" w:rsidRDefault="008352DE" w:rsidP="008F5202">
      <w:pPr>
        <w:pStyle w:val="Caption"/>
      </w:pPr>
      <w:bookmarkStart w:id="58" w:name="_Ref177684371"/>
      <w:bookmarkStart w:id="59" w:name="_Toc177755191"/>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9</w:t>
      </w:r>
      <w:r w:rsidR="003763D2" w:rsidRPr="008F5202">
        <w:fldChar w:fldCharType="end"/>
      </w:r>
      <w:bookmarkEnd w:id="58"/>
      <w:r w:rsidRPr="008F5202">
        <w:t xml:space="preserve"> Nusselt number as a function of Reynolds number based on channel hydraulic diameter</w:t>
      </w:r>
      <w:bookmarkEnd w:id="59"/>
    </w:p>
    <w:p w14:paraId="1E697ABD" w14:textId="18D39C6E" w:rsidR="004E232E" w:rsidRPr="008F5202" w:rsidRDefault="004E232E" w:rsidP="004E232E">
      <w:pPr>
        <w:tabs>
          <w:tab w:val="left" w:pos="180"/>
        </w:tabs>
        <w:autoSpaceDE w:val="0"/>
        <w:autoSpaceDN w:val="0"/>
        <w:adjustRightInd w:val="0"/>
        <w:spacing w:line="360" w:lineRule="auto"/>
        <w:contextualSpacing/>
        <w:jc w:val="both"/>
        <w:rPr>
          <w:rFonts w:ascii="Times New Roman" w:hAnsi="Times New Roman" w:cs="Times New Roman"/>
        </w:rPr>
      </w:pPr>
      <w:r w:rsidRPr="008F5202">
        <w:rPr>
          <w:rFonts w:ascii="Times New Roman" w:hAnsi="Times New Roman" w:cs="Times New Roman"/>
        </w:rPr>
        <w:t>Nusselt number based on pore diameter and fiber diameter: Various characteristic length scales have been used by researchers in the past to define Nusselt number. While channel hydraulic diameter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h</m:t>
            </m:r>
          </m:sub>
        </m:sSub>
      </m:oMath>
      <w:r w:rsidRPr="008F5202">
        <w:rPr>
          <w:rFonts w:ascii="Times New Roman" w:hAnsi="Times New Roman" w:cs="Times New Roman"/>
        </w:rPr>
        <w:t xml:space="preserve">) is a macroscopic dimension of the channel, pore diameters and fiber diameters are better representative of the pore-level dimensional scales. Hwang et al. </w:t>
      </w:r>
      <w:r w:rsidR="008E7EC0" w:rsidRPr="008F5202">
        <w:rPr>
          <w:rFonts w:ascii="Times New Roman" w:hAnsi="Times New Roman" w:cs="Times New Roman"/>
        </w:rPr>
        <w:t>[2</w:t>
      </w:r>
      <w:r w:rsidRPr="008F5202">
        <w:rPr>
          <w:rFonts w:ascii="Times New Roman" w:hAnsi="Times New Roman" w:cs="Times New Roman"/>
        </w:rPr>
        <w:t xml:space="preserve">.27] defined the pore Reynolds number as </w:t>
      </w:r>
      <m:oMath>
        <m:r>
          <m:rPr>
            <m:sty m:val="p"/>
          </m:rPr>
          <w:rPr>
            <w:rFonts w:ascii="Cambria Math" w:hAnsi="Cambria Math" w:cs="Times New Roman"/>
          </w:rPr>
          <m:t>(</m:t>
        </m:r>
        <m:f>
          <m:fPr>
            <m:type m:val="lin"/>
            <m:ctrlPr>
              <w:rPr>
                <w:rFonts w:ascii="Cambria Math" w:hAnsi="Cambria Math" w:cs="Times New Roman"/>
              </w:rPr>
            </m:ctrlPr>
          </m:fPr>
          <m:num>
            <m:r>
              <w:rPr>
                <w:rFonts w:ascii="Cambria Math" w:hAnsi="Cambria Math" w:cs="Times New Roman"/>
              </w:rPr>
              <m:t>ρu</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p</m:t>
                </m:r>
              </m:sub>
            </m:sSub>
          </m:num>
          <m:den>
            <m:r>
              <w:rPr>
                <w:rFonts w:ascii="Cambria Math" w:hAnsi="Cambria Math" w:cs="Times New Roman"/>
              </w:rPr>
              <m:t>εμ</m:t>
            </m:r>
          </m:den>
        </m:f>
        <m:r>
          <m:rPr>
            <m:sty m:val="p"/>
          </m:rPr>
          <w:rPr>
            <w:rFonts w:ascii="Cambria Math" w:hAnsi="Cambria Math" w:cs="Times New Roman"/>
          </w:rPr>
          <m:t>)</m:t>
        </m:r>
      </m:oMath>
      <w:r w:rsidRPr="008F5202">
        <w:rPr>
          <w:rFonts w:ascii="Times New Roman" w:hAnsi="Times New Roman" w:cs="Times New Roman"/>
        </w:rPr>
        <w:t xml:space="preserve"> and pore Nusselt number corresponding to volumetric heat transfer coefficient as </w:t>
      </w:r>
      <m:oMath>
        <m:f>
          <m:fPr>
            <m:type m:val="lin"/>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m:t>
                </m:r>
                <m:r>
                  <w:rPr>
                    <w:rFonts w:ascii="Cambria Math" w:hAnsi="Cambria Math" w:cs="Times New Roman"/>
                  </w:rPr>
                  <m:t>h</m:t>
                </m:r>
              </m:e>
              <m:sub>
                <m:r>
                  <w:rPr>
                    <w:rFonts w:ascii="Cambria Math" w:hAnsi="Cambria Math" w:cs="Times New Roman"/>
                  </w:rPr>
                  <m:t>v</m:t>
                </m:r>
              </m:sub>
            </m:sSub>
            <m:sSubSup>
              <m:sSubSupPr>
                <m:ctrlPr>
                  <w:rPr>
                    <w:rFonts w:ascii="Cambria Math" w:hAnsi="Cambria Math" w:cs="Times New Roman"/>
                  </w:rPr>
                </m:ctrlPr>
              </m:sSubSupPr>
              <m:e>
                <m:r>
                  <w:rPr>
                    <w:rFonts w:ascii="Cambria Math" w:hAnsi="Cambria Math" w:cs="Times New Roman"/>
                  </w:rPr>
                  <m:t>d</m:t>
                </m:r>
              </m:e>
              <m:sub>
                <m:r>
                  <w:rPr>
                    <w:rFonts w:ascii="Cambria Math" w:hAnsi="Cambria Math" w:cs="Times New Roman"/>
                  </w:rPr>
                  <m:t>p</m:t>
                </m:r>
              </m:sub>
              <m:sup>
                <m:r>
                  <m:rPr>
                    <m:sty m:val="p"/>
                  </m:rPr>
                  <w:rPr>
                    <w:rFonts w:ascii="Cambria Math" w:hAnsi="Cambria Math" w:cs="Times New Roman"/>
                  </w:rPr>
                  <m:t>2</m:t>
                </m:r>
              </m:sup>
            </m:sSubSup>
          </m:num>
          <m:den>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f</m:t>
                </m:r>
              </m:sub>
            </m:sSub>
            <m:r>
              <m:rPr>
                <m:sty m:val="p"/>
              </m:rPr>
              <w:rPr>
                <w:rFonts w:ascii="Cambria Math" w:hAnsi="Cambria Math" w:cs="Times New Roman"/>
              </w:rPr>
              <m:t>)</m:t>
            </m:r>
          </m:den>
        </m:f>
      </m:oMath>
      <w:r w:rsidRPr="008F5202">
        <w:rPr>
          <w:rFonts w:ascii="Times New Roman" w:hAnsi="Times New Roman" w:cs="Times New Roman"/>
        </w:rPr>
        <w:t xml:space="preserve">. Iasiello et al. </w:t>
      </w:r>
      <w:r w:rsidR="008E7EC0" w:rsidRPr="008F5202">
        <w:rPr>
          <w:rFonts w:ascii="Times New Roman" w:hAnsi="Times New Roman" w:cs="Times New Roman"/>
        </w:rPr>
        <w:t>[2</w:t>
      </w:r>
      <w:r w:rsidRPr="008F5202">
        <w:rPr>
          <w:rFonts w:ascii="Times New Roman" w:hAnsi="Times New Roman" w:cs="Times New Roman"/>
        </w:rPr>
        <w:t xml:space="preserve">.28] also adopted same definitions as provided in </w:t>
      </w:r>
      <w:r w:rsidR="008E7EC0" w:rsidRPr="008F5202">
        <w:rPr>
          <w:rFonts w:ascii="Times New Roman" w:hAnsi="Times New Roman" w:cs="Times New Roman"/>
        </w:rPr>
        <w:t>[2</w:t>
      </w:r>
      <w:r w:rsidRPr="008F5202">
        <w:rPr>
          <w:rFonts w:ascii="Times New Roman" w:hAnsi="Times New Roman" w:cs="Times New Roman"/>
        </w:rPr>
        <w:t xml:space="preserve">.27] to present the pore-scale heat transfer parameters. Fiber diameter is not a very common characteristic length scale for defining </w:t>
      </w:r>
      <w:r w:rsidRPr="008F5202">
        <w:rPr>
          <w:rFonts w:ascii="Times New Roman" w:hAnsi="Times New Roman" w:cs="Times New Roman"/>
        </w:rPr>
        <w:lastRenderedPageBreak/>
        <w:t xml:space="preserve">Reynolds number and Nusselt number as compared to pore diameter. Calmidi and Mahajan </w:t>
      </w:r>
      <w:r w:rsidR="008E7EC0" w:rsidRPr="008F5202">
        <w:rPr>
          <w:rFonts w:ascii="Times New Roman" w:hAnsi="Times New Roman" w:cs="Times New Roman"/>
        </w:rPr>
        <w:t>[2</w:t>
      </w:r>
      <w:r w:rsidRPr="008F5202">
        <w:rPr>
          <w:rFonts w:ascii="Times New Roman" w:hAnsi="Times New Roman" w:cs="Times New Roman"/>
        </w:rPr>
        <w:t>.14] reported interfacial Nusselt number of high porosity metal foams based on fiber diameter (</w:t>
      </w:r>
      <m:oMath>
        <m:r>
          <w:rPr>
            <w:rFonts w:ascii="Cambria Math" w:hAnsi="Cambria Math" w:cs="Times New Roman"/>
          </w:rPr>
          <m:t>N</m:t>
        </m:r>
        <m:sSub>
          <m:sSubPr>
            <m:ctrlPr>
              <w:rPr>
                <w:rFonts w:ascii="Cambria Math" w:hAnsi="Cambria Math" w:cs="Times New Roman"/>
              </w:rPr>
            </m:ctrlPr>
          </m:sSubPr>
          <m:e>
            <m:r>
              <w:rPr>
                <w:rFonts w:ascii="Cambria Math" w:hAnsi="Cambria Math" w:cs="Times New Roman"/>
              </w:rPr>
              <m:t>u</m:t>
            </m:r>
          </m:e>
          <m:sub>
            <m:r>
              <w:rPr>
                <w:rFonts w:ascii="Cambria Math" w:hAnsi="Cambria Math" w:cs="Times New Roman"/>
              </w:rPr>
              <m:t>sf</m:t>
            </m:r>
          </m:sub>
        </m:sSub>
        <m:r>
          <m:rPr>
            <m:sty m:val="p"/>
          </m:rPr>
          <w:rPr>
            <w:rFonts w:ascii="Cambria Math" w:hAnsi="Cambria Math" w:cs="Times New Roman"/>
          </w:rPr>
          <m:t>=</m:t>
        </m:r>
        <m:f>
          <m:fPr>
            <m:type m:val="lin"/>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sf</m:t>
                </m:r>
              </m:sub>
            </m:sSub>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f</m:t>
                </m:r>
              </m:sub>
            </m:sSub>
          </m:num>
          <m:den>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f</m:t>
                </m:r>
              </m:sub>
            </m:sSub>
          </m:den>
        </m:f>
      </m:oMath>
      <w:r w:rsidRPr="008F5202">
        <w:rPr>
          <w:rFonts w:ascii="Times New Roman" w:hAnsi="Times New Roman" w:cs="Times New Roman"/>
        </w:rPr>
        <w:t>) as a function of Reynolds number (</w:t>
      </w:r>
      <m:oMath>
        <m:r>
          <w:rPr>
            <w:rFonts w:ascii="Cambria Math" w:hAnsi="Cambria Math" w:cs="Times New Roman"/>
          </w:rPr>
          <m:t>R</m:t>
        </m:r>
        <m:sSub>
          <m:sSubPr>
            <m:ctrlPr>
              <w:rPr>
                <w:rFonts w:ascii="Cambria Math" w:hAnsi="Cambria Math" w:cs="Times New Roman"/>
              </w:rPr>
            </m:ctrlPr>
          </m:sSubPr>
          <m:e>
            <m:r>
              <w:rPr>
                <w:rFonts w:ascii="Cambria Math" w:hAnsi="Cambria Math" w:cs="Times New Roman"/>
              </w:rPr>
              <m:t>e</m:t>
            </m:r>
          </m:e>
          <m:sub>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f</m:t>
                </m:r>
              </m:sub>
            </m:sSub>
          </m:sub>
        </m:sSub>
        <m:r>
          <m:rPr>
            <m:sty m:val="p"/>
          </m:rPr>
          <w:rPr>
            <w:rFonts w:ascii="Cambria Math" w:hAnsi="Cambria Math" w:cs="Times New Roman"/>
          </w:rPr>
          <m:t>=</m:t>
        </m:r>
        <m:f>
          <m:fPr>
            <m:type m:val="lin"/>
            <m:ctrlPr>
              <w:rPr>
                <w:rFonts w:ascii="Cambria Math" w:hAnsi="Cambria Math" w:cs="Times New Roman"/>
              </w:rPr>
            </m:ctrlPr>
          </m:fPr>
          <m:num>
            <m:r>
              <w:rPr>
                <w:rFonts w:ascii="Cambria Math" w:hAnsi="Cambria Math" w:cs="Times New Roman"/>
              </w:rPr>
              <m:t>ρu</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f</m:t>
                </m:r>
              </m:sub>
            </m:sSub>
          </m:num>
          <m:den>
            <m:r>
              <w:rPr>
                <w:rFonts w:ascii="Cambria Math" w:hAnsi="Cambria Math" w:cs="Times New Roman"/>
              </w:rPr>
              <m:t>εμ</m:t>
            </m:r>
          </m:den>
        </m:f>
      </m:oMath>
      <w:r w:rsidRPr="008F5202">
        <w:rPr>
          <w:rFonts w:ascii="Times New Roman" w:hAnsi="Times New Roman" w:cs="Times New Roman"/>
        </w:rPr>
        <w:t xml:space="preserve">) and Prandtl number. This relationship framework was based upon the correlations for cylinders in crossflow configuration with an assumption that flow over metal fibers is similar to that of cylinders. The definition of pore diameter and the values of fiber diameter are not very consistent in the literature pertaining to open-cell metal foams. For periodic lattices like the ones investigated in the current study, defining the pore can be challenging as the voids of each RUC is unique in shape. Ketan et al. </w:t>
      </w:r>
      <w:r w:rsidR="008E7EC0" w:rsidRPr="008F5202">
        <w:rPr>
          <w:rFonts w:ascii="Times New Roman" w:hAnsi="Times New Roman" w:cs="Times New Roman"/>
        </w:rPr>
        <w:t>[2</w:t>
      </w:r>
      <w:r w:rsidRPr="008F5202">
        <w:rPr>
          <w:rFonts w:ascii="Times New Roman" w:hAnsi="Times New Roman" w:cs="Times New Roman"/>
        </w:rPr>
        <w:t xml:space="preserve">.29] performed numerical investigation on triply periodic minimal surfaces (TPMS) which are sheet-based category of structures involving channels of different shapes for the fluid flow. [The authors defined the pore diameter as the maximum diameter of the sphere that could pass through the smallest channel in the heat sinks. Similar methodology was adopted by Kaur and Singh </w:t>
      </w:r>
      <w:r w:rsidR="008E7EC0" w:rsidRPr="008F5202">
        <w:rPr>
          <w:rFonts w:ascii="Times New Roman" w:hAnsi="Times New Roman" w:cs="Times New Roman"/>
        </w:rPr>
        <w:t>[2</w:t>
      </w:r>
      <w:r w:rsidRPr="008F5202">
        <w:rPr>
          <w:rFonts w:ascii="Times New Roman" w:hAnsi="Times New Roman" w:cs="Times New Roman"/>
        </w:rPr>
        <w:t xml:space="preserve">.30] to define pore diameters for TPMS and TKD structure. The pore diameters in this study were also defined as in </w:t>
      </w:r>
      <w:r w:rsidR="008E7EC0" w:rsidRPr="008F5202">
        <w:rPr>
          <w:rFonts w:ascii="Times New Roman" w:hAnsi="Times New Roman" w:cs="Times New Roman"/>
        </w:rPr>
        <w:t>[2</w:t>
      </w:r>
      <w:r w:rsidRPr="008F5202">
        <w:rPr>
          <w:rFonts w:ascii="Times New Roman" w:hAnsi="Times New Roman" w:cs="Times New Roman"/>
        </w:rPr>
        <w:t>.29</w:t>
      </w:r>
      <w:r w:rsidR="008E7EC0" w:rsidRPr="008F5202">
        <w:rPr>
          <w:rFonts w:ascii="Times New Roman" w:hAnsi="Times New Roman" w:cs="Times New Roman"/>
        </w:rPr>
        <w:t>,2</w:t>
      </w:r>
      <w:r w:rsidRPr="008F5202">
        <w:rPr>
          <w:rFonts w:ascii="Times New Roman" w:hAnsi="Times New Roman" w:cs="Times New Roman"/>
        </w:rPr>
        <w:t xml:space="preserve">.30], and the spheres corresponding to which the diameters were calculated are highlighted in </w:t>
      </w:r>
      <w:r w:rsidRPr="008F5202">
        <w:rPr>
          <w:rFonts w:ascii="Times New Roman" w:hAnsi="Times New Roman" w:cs="Times New Roman"/>
        </w:rPr>
        <w:fldChar w:fldCharType="begin"/>
      </w:r>
      <w:r w:rsidRPr="008F5202">
        <w:rPr>
          <w:rFonts w:ascii="Times New Roman" w:hAnsi="Times New Roman" w:cs="Times New Roman"/>
        </w:rPr>
        <w:instrText xml:space="preserve"> REF _Ref177685011 \h </w:instrText>
      </w:r>
      <w:r w:rsidR="00F36A43" w:rsidRPr="008F5202">
        <w:rPr>
          <w:rFonts w:ascii="Times New Roman" w:hAnsi="Times New Roman" w:cs="Times New Roman"/>
        </w:rPr>
        <w:instrText xml:space="preserve"> \* MERGEFORMAT </w:instrText>
      </w:r>
      <w:r w:rsidRPr="008F5202">
        <w:rPr>
          <w:rFonts w:ascii="Times New Roman" w:hAnsi="Times New Roman" w:cs="Times New Roman"/>
        </w:rPr>
      </w:r>
      <w:r w:rsidRPr="008F5202">
        <w:rPr>
          <w:rFonts w:ascii="Times New Roman" w:hAnsi="Times New Roman" w:cs="Times New Roman"/>
        </w:rPr>
        <w:fldChar w:fldCharType="separate"/>
      </w:r>
      <w:r w:rsidR="00AF1AFB" w:rsidRPr="00AF1AFB">
        <w:rPr>
          <w:rFonts w:ascii="Times New Roman" w:hAnsi="Times New Roman" w:cs="Times New Roman"/>
        </w:rPr>
        <w:t>Figure 2.10</w:t>
      </w:r>
      <w:r w:rsidRPr="008F5202">
        <w:rPr>
          <w:rFonts w:ascii="Times New Roman" w:hAnsi="Times New Roman" w:cs="Times New Roman"/>
        </w:rPr>
        <w:fldChar w:fldCharType="end"/>
      </w:r>
      <w:r w:rsidRPr="008F5202">
        <w:rPr>
          <w:rFonts w:ascii="Times New Roman" w:hAnsi="Times New Roman" w:cs="Times New Roman"/>
        </w:rPr>
        <w:t xml:space="preserve">. </w:t>
      </w:r>
    </w:p>
    <w:p w14:paraId="4F967236" w14:textId="3CED9D1D" w:rsidR="004E232E" w:rsidRPr="008F5202" w:rsidRDefault="004E232E" w:rsidP="004E232E">
      <w:pPr>
        <w:tabs>
          <w:tab w:val="left" w:pos="90"/>
          <w:tab w:val="left" w:pos="284"/>
        </w:tabs>
        <w:autoSpaceDE w:val="0"/>
        <w:autoSpaceDN w:val="0"/>
        <w:adjustRightInd w:val="0"/>
        <w:spacing w:line="360" w:lineRule="auto"/>
        <w:contextualSpacing/>
        <w:jc w:val="both"/>
        <w:rPr>
          <w:rFonts w:ascii="Times New Roman" w:hAnsi="Times New Roman" w:cs="Times New Roman"/>
        </w:rPr>
      </w:pPr>
      <w:r w:rsidRPr="008F5202">
        <w:rPr>
          <w:rFonts w:ascii="Times New Roman" w:hAnsi="Times New Roman" w:cs="Times New Roman"/>
        </w:rPr>
        <w:tab/>
      </w:r>
      <w:r w:rsidRPr="008F5202">
        <w:rPr>
          <w:rFonts w:ascii="Times New Roman" w:hAnsi="Times New Roman" w:cs="Times New Roman"/>
        </w:rPr>
        <w:tab/>
        <w:t xml:space="preserve">TKD topology consisted of six smaller square and eight larger hexagonal opening. Although, one can choose the smaller dimensional scale as the pore diameter, the value considered in the present investigation was the weighted average of both types of openings. The values of pore diameters for different RUC topologies are provided in </w:t>
      </w:r>
      <w:r w:rsidR="00F36A43" w:rsidRPr="008F5202">
        <w:rPr>
          <w:rFonts w:ascii="Times New Roman" w:hAnsi="Times New Roman" w:cs="Times New Roman"/>
        </w:rPr>
        <w:fldChar w:fldCharType="begin"/>
      </w:r>
      <w:r w:rsidR="00F36A43" w:rsidRPr="008F5202">
        <w:rPr>
          <w:rFonts w:ascii="Times New Roman" w:hAnsi="Times New Roman" w:cs="Times New Roman"/>
        </w:rPr>
        <w:instrText xml:space="preserve"> REF _Ref177685136 \h  \* MERGEFORMAT </w:instrText>
      </w:r>
      <w:r w:rsidR="00F36A43" w:rsidRPr="008F5202">
        <w:rPr>
          <w:rFonts w:ascii="Times New Roman" w:hAnsi="Times New Roman" w:cs="Times New Roman"/>
        </w:rPr>
      </w:r>
      <w:r w:rsidR="00F36A43" w:rsidRPr="008F5202">
        <w:rPr>
          <w:rFonts w:ascii="Times New Roman" w:hAnsi="Times New Roman" w:cs="Times New Roman"/>
        </w:rPr>
        <w:fldChar w:fldCharType="separate"/>
      </w:r>
      <w:r w:rsidR="00AF1AFB" w:rsidRPr="00AF1AFB">
        <w:rPr>
          <w:rFonts w:ascii="Times New Roman" w:hAnsi="Times New Roman" w:cs="Times New Roman"/>
        </w:rPr>
        <w:t>Table 2.4</w:t>
      </w:r>
      <w:r w:rsidR="00F36A43" w:rsidRPr="008F5202">
        <w:rPr>
          <w:rFonts w:ascii="Times New Roman" w:hAnsi="Times New Roman" w:cs="Times New Roman"/>
        </w:rPr>
        <w:fldChar w:fldCharType="end"/>
      </w:r>
      <w:r w:rsidRPr="008F5202">
        <w:rPr>
          <w:rFonts w:ascii="Times New Roman" w:hAnsi="Times New Roman" w:cs="Times New Roman"/>
        </w:rPr>
        <w:t xml:space="preserve">. </w:t>
      </w:r>
    </w:p>
    <w:p w14:paraId="41718E1D" w14:textId="444A60D9" w:rsidR="00F36A43" w:rsidRPr="008F5202" w:rsidRDefault="00F36A43" w:rsidP="00F36A43">
      <w:pPr>
        <w:tabs>
          <w:tab w:val="left" w:pos="284"/>
        </w:tabs>
        <w:autoSpaceDE w:val="0"/>
        <w:autoSpaceDN w:val="0"/>
        <w:adjustRightInd w:val="0"/>
        <w:spacing w:line="360" w:lineRule="auto"/>
        <w:contextualSpacing/>
        <w:jc w:val="both"/>
        <w:rPr>
          <w:rFonts w:ascii="Times New Roman" w:hAnsi="Times New Roman" w:cs="Times New Roman"/>
        </w:rPr>
      </w:pPr>
      <w:r w:rsidRPr="008F5202">
        <w:rPr>
          <w:rFonts w:ascii="Times New Roman" w:hAnsi="Times New Roman" w:cs="Times New Roman"/>
        </w:rPr>
        <w:t>The pore Nusselt number (</w:t>
      </w:r>
      <m:oMath>
        <m:r>
          <w:rPr>
            <w:rFonts w:ascii="Cambria Math" w:hAnsi="Cambria Math" w:cs="Times New Roman"/>
          </w:rPr>
          <m:t>N</m:t>
        </m:r>
        <m:sSub>
          <m:sSubPr>
            <m:ctrlPr>
              <w:rPr>
                <w:rFonts w:ascii="Cambria Math" w:hAnsi="Cambria Math" w:cs="Times New Roman"/>
              </w:rPr>
            </m:ctrlPr>
          </m:sSubPr>
          <m:e>
            <m:sSub>
              <m:sSubPr>
                <m:ctrlPr>
                  <w:rPr>
                    <w:rFonts w:ascii="Cambria Math" w:hAnsi="Cambria Math" w:cs="Times New Roman"/>
                  </w:rPr>
                </m:ctrlPr>
              </m:sSubPr>
              <m:e>
                <m:r>
                  <w:rPr>
                    <w:rFonts w:ascii="Cambria Math" w:hAnsi="Cambria Math" w:cs="Times New Roman"/>
                  </w:rPr>
                  <m:t>u</m:t>
                </m:r>
              </m:e>
              <m:sub>
                <m:r>
                  <w:rPr>
                    <w:rFonts w:ascii="Cambria Math" w:hAnsi="Cambria Math" w:cs="Times New Roman"/>
                  </w:rPr>
                  <m:t>d</m:t>
                </m:r>
              </m:sub>
            </m:sSub>
          </m:e>
          <m:sub>
            <m:r>
              <w:rPr>
                <w:rFonts w:ascii="Cambria Math" w:hAnsi="Cambria Math" w:cs="Times New Roman"/>
              </w:rPr>
              <m:t>p</m:t>
            </m:r>
          </m:sub>
        </m:sSub>
        <m:r>
          <m:rPr>
            <m:sty m:val="p"/>
          </m:rPr>
          <w:rPr>
            <w:rFonts w:ascii="Cambria Math" w:hAnsi="Cambria Math" w:cs="Times New Roman"/>
          </w:rPr>
          <m:t>=</m:t>
        </m:r>
        <m:r>
          <w:rPr>
            <w:rFonts w:ascii="Cambria Math" w:hAnsi="Cambria Math" w:cs="Times New Roman"/>
          </w:rPr>
          <m:t>h</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p</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f</m:t>
            </m:r>
          </m:sub>
        </m:sSub>
      </m:oMath>
      <w:r w:rsidRPr="008F5202">
        <w:rPr>
          <w:rFonts w:ascii="Times New Roman" w:hAnsi="Times New Roman" w:cs="Times New Roman"/>
        </w:rPr>
        <w:t xml:space="preserve">) of the four investigated samples is presented in </w:t>
      </w:r>
      <w:r w:rsidRPr="008F5202">
        <w:rPr>
          <w:rFonts w:ascii="Times New Roman" w:hAnsi="Times New Roman" w:cs="Times New Roman"/>
        </w:rPr>
        <w:fldChar w:fldCharType="begin"/>
      </w:r>
      <w:r w:rsidRPr="008F5202">
        <w:rPr>
          <w:rFonts w:ascii="Times New Roman" w:hAnsi="Times New Roman" w:cs="Times New Roman"/>
        </w:rPr>
        <w:instrText xml:space="preserve"> REF _Ref177685458 \h  \* MERGEFORMAT </w:instrText>
      </w:r>
      <w:r w:rsidRPr="008F5202">
        <w:rPr>
          <w:rFonts w:ascii="Times New Roman" w:hAnsi="Times New Roman" w:cs="Times New Roman"/>
        </w:rPr>
      </w:r>
      <w:r w:rsidRPr="008F5202">
        <w:rPr>
          <w:rFonts w:ascii="Times New Roman" w:hAnsi="Times New Roman" w:cs="Times New Roman"/>
        </w:rPr>
        <w:fldChar w:fldCharType="separate"/>
      </w:r>
      <w:r w:rsidR="00AF1AFB" w:rsidRPr="00AF1AFB">
        <w:rPr>
          <w:rFonts w:ascii="Times New Roman" w:hAnsi="Times New Roman" w:cs="Times New Roman"/>
        </w:rPr>
        <w:t>Figure 2.11</w:t>
      </w:r>
      <w:r w:rsidRPr="008F5202">
        <w:rPr>
          <w:rFonts w:ascii="Times New Roman" w:hAnsi="Times New Roman" w:cs="Times New Roman"/>
        </w:rPr>
        <w:fldChar w:fldCharType="end"/>
      </w:r>
      <w:r w:rsidRPr="008F5202">
        <w:rPr>
          <w:rFonts w:ascii="Times New Roman" w:hAnsi="Times New Roman" w:cs="Times New Roman"/>
        </w:rPr>
        <w:t xml:space="preserve"> as a function of pore Reynolds number (</w:t>
      </w:r>
      <m:oMath>
        <m:f>
          <m:fPr>
            <m:type m:val="lin"/>
            <m:ctrlPr>
              <w:rPr>
                <w:rFonts w:ascii="Cambria Math" w:hAnsi="Cambria Math" w:cs="Times New Roman"/>
              </w:rPr>
            </m:ctrlPr>
          </m:fPr>
          <m:num>
            <m:r>
              <w:rPr>
                <w:rFonts w:ascii="Cambria Math" w:hAnsi="Cambria Math" w:cs="Times New Roman"/>
              </w:rPr>
              <m:t>R</m:t>
            </m:r>
            <m:sSub>
              <m:sSubPr>
                <m:ctrlPr>
                  <w:rPr>
                    <w:rFonts w:ascii="Cambria Math" w:hAnsi="Cambria Math" w:cs="Times New Roman"/>
                  </w:rPr>
                </m:ctrlPr>
              </m:sSubPr>
              <m:e>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d</m:t>
                    </m:r>
                  </m:sub>
                </m:sSub>
              </m:e>
              <m:sub>
                <m:r>
                  <w:rPr>
                    <w:rFonts w:ascii="Cambria Math" w:hAnsi="Cambria Math" w:cs="Times New Roman"/>
                  </w:rPr>
                  <m:t>p</m:t>
                </m:r>
              </m:sub>
            </m:sSub>
            <m:r>
              <m:rPr>
                <m:sty m:val="p"/>
              </m:rPr>
              <w:rPr>
                <w:rFonts w:ascii="Cambria Math" w:hAnsi="Cambria Math" w:cs="Times New Roman"/>
              </w:rPr>
              <m:t>=</m:t>
            </m:r>
            <m:r>
              <w:rPr>
                <w:rFonts w:ascii="Cambria Math" w:hAnsi="Cambria Math" w:cs="Times New Roman"/>
              </w:rPr>
              <m:t>ρu</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p</m:t>
                </m:r>
              </m:sub>
            </m:sSub>
          </m:num>
          <m:den>
            <m:r>
              <w:rPr>
                <w:rFonts w:ascii="Cambria Math" w:hAnsi="Cambria Math" w:cs="Times New Roman"/>
              </w:rPr>
              <m:t>εμ</m:t>
            </m:r>
          </m:den>
        </m:f>
      </m:oMath>
      <w:r w:rsidRPr="008F5202">
        <w:rPr>
          <w:rFonts w:ascii="Times New Roman" w:hAnsi="Times New Roman" w:cs="Times New Roman"/>
        </w:rPr>
        <w:t xml:space="preserve">). The porosity value used in the Reynolds number definition was the actual measured bulk porosity of each lattice sample. With the above definitions of pore-diameter, Nusselt number showed a very coherent data set for all the four lattices. The correlations of the form </w:t>
      </w:r>
      <m:oMath>
        <m:r>
          <w:rPr>
            <w:rFonts w:ascii="Cambria Math" w:hAnsi="Cambria Math" w:cs="Times New Roman"/>
          </w:rPr>
          <m:t>N</m:t>
        </m:r>
        <m:sSub>
          <m:sSubPr>
            <m:ctrlPr>
              <w:rPr>
                <w:rFonts w:ascii="Cambria Math" w:hAnsi="Cambria Math" w:cs="Times New Roman"/>
              </w:rPr>
            </m:ctrlPr>
          </m:sSubPr>
          <m:e>
            <m:sSub>
              <m:sSubPr>
                <m:ctrlPr>
                  <w:rPr>
                    <w:rFonts w:ascii="Cambria Math" w:hAnsi="Cambria Math" w:cs="Times New Roman"/>
                  </w:rPr>
                </m:ctrlPr>
              </m:sSubPr>
              <m:e>
                <m:r>
                  <w:rPr>
                    <w:rFonts w:ascii="Cambria Math" w:hAnsi="Cambria Math" w:cs="Times New Roman"/>
                  </w:rPr>
                  <m:t>u</m:t>
                </m:r>
              </m:e>
              <m:sub>
                <m:r>
                  <w:rPr>
                    <w:rFonts w:ascii="Cambria Math" w:hAnsi="Cambria Math" w:cs="Times New Roman"/>
                  </w:rPr>
                  <m:t>d</m:t>
                </m:r>
              </m:sub>
            </m:sSub>
          </m:e>
          <m:sub>
            <m:r>
              <w:rPr>
                <w:rFonts w:ascii="Cambria Math" w:hAnsi="Cambria Math" w:cs="Times New Roman"/>
              </w:rPr>
              <m:t>p</m:t>
            </m:r>
          </m:sub>
        </m:sSub>
        <m:r>
          <m:rPr>
            <m:sty m:val="p"/>
          </m:rPr>
          <w:rPr>
            <w:rFonts w:ascii="Cambria Math" w:hAnsi="Cambria Math" w:cs="Times New Roman"/>
          </w:rPr>
          <m:t>=</m:t>
        </m:r>
        <m:r>
          <w:rPr>
            <w:rFonts w:ascii="Cambria Math" w:hAnsi="Cambria Math" w:cs="Times New Roman"/>
          </w:rPr>
          <m:t>cR</m:t>
        </m:r>
        <m:sSubSup>
          <m:sSubSupPr>
            <m:ctrlPr>
              <w:rPr>
                <w:rFonts w:ascii="Cambria Math" w:hAnsi="Cambria Math" w:cs="Times New Roman"/>
              </w:rPr>
            </m:ctrlPr>
          </m:sSubSupPr>
          <m:e>
            <m:r>
              <w:rPr>
                <w:rFonts w:ascii="Cambria Math" w:hAnsi="Cambria Math" w:cs="Times New Roman"/>
              </w:rPr>
              <m:t>e</m:t>
            </m:r>
          </m:e>
          <m:sub>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p</m:t>
                </m:r>
              </m:sub>
            </m:sSub>
          </m:sub>
          <m:sup>
            <m:r>
              <m:rPr>
                <m:sty m:val="p"/>
              </m:rPr>
              <w:rPr>
                <w:rFonts w:ascii="Cambria Math" w:hAnsi="Cambria Math" w:cs="Times New Roman"/>
              </w:rPr>
              <m:t xml:space="preserve">  </m:t>
            </m:r>
            <m:r>
              <w:rPr>
                <w:rFonts w:ascii="Cambria Math" w:hAnsi="Cambria Math" w:cs="Times New Roman"/>
              </w:rPr>
              <m:t>m</m:t>
            </m:r>
          </m:sup>
        </m:sSubSup>
        <m:r>
          <m:rPr>
            <m:sty m:val="p"/>
          </m:rPr>
          <w:rPr>
            <w:rFonts w:ascii="Cambria Math" w:hAnsi="Cambria Math" w:cs="Times New Roman"/>
          </w:rPr>
          <m:t xml:space="preserve"> </m:t>
        </m:r>
      </m:oMath>
      <w:r w:rsidRPr="008F5202">
        <w:rPr>
          <w:rFonts w:ascii="Times New Roman" w:hAnsi="Times New Roman" w:cs="Times New Roman"/>
        </w:rPr>
        <w:t xml:space="preserve">for predicting the pore diameter based Nusselt number are proposed in </w:t>
      </w:r>
      <w:r w:rsidR="00BD4F12" w:rsidRPr="008F5202">
        <w:rPr>
          <w:rFonts w:ascii="Times New Roman" w:hAnsi="Times New Roman" w:cs="Times New Roman"/>
          <w:highlight w:val="yellow"/>
        </w:rPr>
        <w:fldChar w:fldCharType="begin"/>
      </w:r>
      <w:r w:rsidR="00BD4F12" w:rsidRPr="008F5202">
        <w:rPr>
          <w:rFonts w:ascii="Times New Roman" w:hAnsi="Times New Roman" w:cs="Times New Roman"/>
        </w:rPr>
        <w:instrText xml:space="preserve"> REF _Ref177685662 \h </w:instrText>
      </w:r>
      <w:r w:rsidR="00BD4F12" w:rsidRPr="008F5202">
        <w:rPr>
          <w:rFonts w:ascii="Times New Roman" w:hAnsi="Times New Roman" w:cs="Times New Roman"/>
          <w:highlight w:val="yellow"/>
        </w:rPr>
      </w:r>
      <w:r w:rsidR="008F5202">
        <w:rPr>
          <w:rFonts w:ascii="Times New Roman" w:hAnsi="Times New Roman" w:cs="Times New Roman"/>
          <w:highlight w:val="yellow"/>
        </w:rPr>
        <w:instrText xml:space="preserve"> \* MERGEFORMAT </w:instrText>
      </w:r>
      <w:r w:rsidR="00BD4F12" w:rsidRPr="008F5202">
        <w:rPr>
          <w:rFonts w:ascii="Times New Roman" w:hAnsi="Times New Roman" w:cs="Times New Roman"/>
          <w:highlight w:val="yellow"/>
        </w:rPr>
        <w:fldChar w:fldCharType="separate"/>
      </w:r>
      <w:r w:rsidR="00AF1AFB" w:rsidRPr="008F5202">
        <w:rPr>
          <w:rFonts w:ascii="Times New Roman" w:hAnsi="Times New Roman" w:cs="Times New Roman"/>
          <w:iCs/>
          <w:color w:val="000000" w:themeColor="text1"/>
          <w:sz w:val="20"/>
          <w:szCs w:val="18"/>
        </w:rPr>
        <w:t xml:space="preserve">Table </w:t>
      </w:r>
      <w:r w:rsidR="00AF1AFB">
        <w:rPr>
          <w:rFonts w:ascii="Times New Roman" w:hAnsi="Times New Roman" w:cs="Times New Roman"/>
          <w:iCs/>
          <w:noProof/>
          <w:color w:val="000000" w:themeColor="text1"/>
          <w:sz w:val="20"/>
          <w:szCs w:val="18"/>
        </w:rPr>
        <w:t>2</w:t>
      </w:r>
      <w:r w:rsidR="00AF1AFB" w:rsidRPr="008F5202">
        <w:rPr>
          <w:rFonts w:ascii="Times New Roman" w:hAnsi="Times New Roman" w:cs="Times New Roman"/>
          <w:iCs/>
          <w:noProof/>
          <w:color w:val="000000" w:themeColor="text1"/>
          <w:sz w:val="20"/>
          <w:szCs w:val="18"/>
        </w:rPr>
        <w:t>.</w:t>
      </w:r>
      <w:r w:rsidR="00AF1AFB">
        <w:rPr>
          <w:rFonts w:ascii="Times New Roman" w:hAnsi="Times New Roman" w:cs="Times New Roman"/>
          <w:iCs/>
          <w:noProof/>
          <w:color w:val="000000" w:themeColor="text1"/>
          <w:sz w:val="20"/>
          <w:szCs w:val="18"/>
        </w:rPr>
        <w:t>5</w:t>
      </w:r>
      <w:r w:rsidR="00BD4F12" w:rsidRPr="008F5202">
        <w:rPr>
          <w:rFonts w:ascii="Times New Roman" w:hAnsi="Times New Roman" w:cs="Times New Roman"/>
          <w:highlight w:val="yellow"/>
        </w:rPr>
        <w:fldChar w:fldCharType="end"/>
      </w:r>
      <w:r w:rsidRPr="008F5202">
        <w:rPr>
          <w:rFonts w:ascii="Times New Roman" w:hAnsi="Times New Roman" w:cs="Times New Roman"/>
        </w:rPr>
        <w:t xml:space="preserve">. </w:t>
      </w:r>
    </w:p>
    <w:p w14:paraId="44CC8959" w14:textId="44279E99" w:rsidR="00F36A43" w:rsidRPr="008F5202" w:rsidRDefault="00F36A43" w:rsidP="008F5202">
      <w:pPr>
        <w:pStyle w:val="Caption"/>
      </w:pPr>
      <w:bookmarkStart w:id="60" w:name="_Ref177685136"/>
      <w:bookmarkStart w:id="61" w:name="_Toc177755176"/>
      <w:r w:rsidRPr="008F5202">
        <w:lastRenderedPageBreak/>
        <w:t xml:space="preserve">Table </w:t>
      </w:r>
      <w:r w:rsidR="00561B55" w:rsidRPr="008F5202">
        <w:fldChar w:fldCharType="begin"/>
      </w:r>
      <w:r w:rsidR="00561B55" w:rsidRPr="008F5202">
        <w:instrText xml:space="preserve"> STYLEREF 1 \s </w:instrText>
      </w:r>
      <w:r w:rsidR="00561B55" w:rsidRPr="008F5202">
        <w:fldChar w:fldCharType="separate"/>
      </w:r>
      <w:r w:rsidR="00AF1AFB">
        <w:rPr>
          <w:noProof/>
        </w:rPr>
        <w:t>2</w:t>
      </w:r>
      <w:r w:rsidR="00561B55" w:rsidRPr="008F5202">
        <w:fldChar w:fldCharType="end"/>
      </w:r>
      <w:r w:rsidR="00561B55" w:rsidRPr="008F5202">
        <w:t>.</w:t>
      </w:r>
      <w:r w:rsidR="00561B55" w:rsidRPr="008F5202">
        <w:fldChar w:fldCharType="begin"/>
      </w:r>
      <w:r w:rsidR="00561B55" w:rsidRPr="008F5202">
        <w:instrText xml:space="preserve"> SEQ Table \* ARABIC \s 1 </w:instrText>
      </w:r>
      <w:r w:rsidR="00561B55" w:rsidRPr="008F5202">
        <w:fldChar w:fldCharType="separate"/>
      </w:r>
      <w:r w:rsidR="00AF1AFB">
        <w:rPr>
          <w:noProof/>
        </w:rPr>
        <w:t>4</w:t>
      </w:r>
      <w:r w:rsidR="00561B55" w:rsidRPr="008F5202">
        <w:fldChar w:fldCharType="end"/>
      </w:r>
      <w:bookmarkEnd w:id="60"/>
      <w:r w:rsidRPr="008F5202">
        <w:t xml:space="preserve"> Pore diameter of different RUC topologies</w:t>
      </w:r>
      <w:bookmarkEnd w:id="61"/>
    </w:p>
    <w:p w14:paraId="4957F034" w14:textId="59B9E487" w:rsidR="00F36A43" w:rsidRPr="008F5202" w:rsidRDefault="00F36A43" w:rsidP="00F36A43">
      <w:pPr>
        <w:tabs>
          <w:tab w:val="left" w:pos="284"/>
        </w:tabs>
        <w:autoSpaceDE w:val="0"/>
        <w:autoSpaceDN w:val="0"/>
        <w:adjustRightInd w:val="0"/>
        <w:spacing w:line="360" w:lineRule="auto"/>
        <w:contextualSpacing/>
        <w:jc w:val="both"/>
        <w:rPr>
          <w:rFonts w:ascii="Times New Roman" w:hAnsi="Times New Roman" w:cs="Times New Roman"/>
        </w:rPr>
      </w:pPr>
      <w:r w:rsidRPr="008F5202">
        <w:rPr>
          <w:rFonts w:ascii="Times New Roman" w:hAnsi="Times New Roman" w:cs="Times New Roman"/>
          <w:noProof/>
        </w:rPr>
        <w:drawing>
          <wp:inline distT="0" distB="0" distL="0" distR="0" wp14:anchorId="5879A470" wp14:editId="726CF9D9">
            <wp:extent cx="3808675" cy="1352550"/>
            <wp:effectExtent l="0" t="0" r="1905" b="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pic:nvPicPr>
                  <pic:blipFill>
                    <a:blip r:embed="rId26"/>
                    <a:stretch>
                      <a:fillRect/>
                    </a:stretch>
                  </pic:blipFill>
                  <pic:spPr>
                    <a:xfrm>
                      <a:off x="0" y="0"/>
                      <a:ext cx="3833561" cy="1361388"/>
                    </a:xfrm>
                    <a:prstGeom prst="rect">
                      <a:avLst/>
                    </a:prstGeom>
                  </pic:spPr>
                </pic:pic>
              </a:graphicData>
            </a:graphic>
          </wp:inline>
        </w:drawing>
      </w:r>
    </w:p>
    <w:p w14:paraId="1EF76F9A" w14:textId="77777777" w:rsidR="004E232E" w:rsidRPr="008F5202" w:rsidRDefault="004E232E" w:rsidP="004E232E">
      <w:pPr>
        <w:keepNext/>
        <w:tabs>
          <w:tab w:val="left" w:pos="90"/>
          <w:tab w:val="left" w:pos="284"/>
        </w:tabs>
        <w:autoSpaceDE w:val="0"/>
        <w:autoSpaceDN w:val="0"/>
        <w:adjustRightInd w:val="0"/>
        <w:spacing w:line="360" w:lineRule="auto"/>
        <w:contextualSpacing/>
        <w:jc w:val="both"/>
        <w:rPr>
          <w:rFonts w:ascii="Times New Roman" w:hAnsi="Times New Roman" w:cs="Times New Roman"/>
        </w:rPr>
      </w:pPr>
      <w:r w:rsidRPr="008F5202">
        <w:rPr>
          <w:rFonts w:ascii="Times New Roman" w:hAnsi="Times New Roman" w:cs="Times New Roman"/>
          <w:noProof/>
          <w:sz w:val="18"/>
          <w:szCs w:val="18"/>
        </w:rPr>
        <w:lastRenderedPageBreak/>
        <w:drawing>
          <wp:inline distT="0" distB="0" distL="0" distR="0" wp14:anchorId="13B2DE31" wp14:editId="1F0E2F65">
            <wp:extent cx="5080000" cy="1973061"/>
            <wp:effectExtent l="0" t="0" r="635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27" cstate="print">
                      <a:extLst>
                        <a:ext uri="{28A0092B-C50C-407E-A947-70E740481C1C}">
                          <a14:useLocalDpi xmlns:a14="http://schemas.microsoft.com/office/drawing/2010/main" val="0"/>
                        </a:ext>
                      </a:extLst>
                    </a:blip>
                    <a:srcRect l="3498" t="4440" r="7760" b="34285"/>
                    <a:stretch/>
                  </pic:blipFill>
                  <pic:spPr bwMode="auto">
                    <a:xfrm>
                      <a:off x="0" y="0"/>
                      <a:ext cx="5106098" cy="1983198"/>
                    </a:xfrm>
                    <a:prstGeom prst="rect">
                      <a:avLst/>
                    </a:prstGeom>
                    <a:ln>
                      <a:noFill/>
                    </a:ln>
                    <a:extLst>
                      <a:ext uri="{53640926-AAD7-44D8-BBD7-CCE9431645EC}">
                        <a14:shadowObscured xmlns:a14="http://schemas.microsoft.com/office/drawing/2010/main"/>
                      </a:ext>
                    </a:extLst>
                  </pic:spPr>
                </pic:pic>
              </a:graphicData>
            </a:graphic>
          </wp:inline>
        </w:drawing>
      </w:r>
    </w:p>
    <w:p w14:paraId="37A42994" w14:textId="361B045C" w:rsidR="004E232E" w:rsidRPr="008F5202" w:rsidRDefault="004E232E" w:rsidP="008F5202">
      <w:pPr>
        <w:pStyle w:val="Caption"/>
      </w:pPr>
      <w:bookmarkStart w:id="62" w:name="_Ref177685011"/>
      <w:bookmarkStart w:id="63" w:name="_Toc177755192"/>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10</w:t>
      </w:r>
      <w:r w:rsidR="003763D2" w:rsidRPr="008F5202">
        <w:fldChar w:fldCharType="end"/>
      </w:r>
      <w:bookmarkEnd w:id="62"/>
      <w:r w:rsidRPr="008F5202">
        <w:t xml:space="preserve"> Pore diameters (</w:t>
      </w:r>
      <m:oMath>
        <m:sSub>
          <m:sSubPr>
            <m:ctrlPr>
              <w:rPr>
                <w:rFonts w:ascii="Cambria Math" w:hAnsi="Cambria Math"/>
              </w:rPr>
            </m:ctrlPr>
          </m:sSubPr>
          <m:e>
            <m:r>
              <m:rPr>
                <m:sty m:val="bi"/>
              </m:rPr>
              <w:rPr>
                <w:rFonts w:ascii="Cambria Math" w:hAnsi="Cambria Math"/>
              </w:rPr>
              <m:t>d</m:t>
            </m:r>
          </m:e>
          <m:sub>
            <m:r>
              <m:rPr>
                <m:sty m:val="bi"/>
              </m:rPr>
              <w:rPr>
                <w:rFonts w:ascii="Cambria Math" w:hAnsi="Cambria Math"/>
              </w:rPr>
              <m:t>p</m:t>
            </m:r>
          </m:sub>
        </m:sSub>
      </m:oMath>
      <w:r w:rsidRPr="008F5202">
        <w:t>) corresponding to the largest sphere that could pass through the voids of (a) Octet, (b FD-Cube, (c) Tetrakaidecahedron, and (d) Cube</w:t>
      </w:r>
      <w:bookmarkEnd w:id="63"/>
    </w:p>
    <w:p w14:paraId="617B8008" w14:textId="77777777" w:rsidR="00F36A43" w:rsidRPr="008F5202" w:rsidRDefault="00F36A43" w:rsidP="00F36A43">
      <w:pPr>
        <w:keepNext/>
        <w:rPr>
          <w:rFonts w:ascii="Times New Roman" w:hAnsi="Times New Roman" w:cs="Times New Roman"/>
        </w:rPr>
      </w:pPr>
      <w:r w:rsidRPr="008F5202">
        <w:rPr>
          <w:rFonts w:ascii="Times New Roman" w:eastAsiaTheme="minorEastAsia" w:hAnsi="Times New Roman" w:cs="Times New Roman"/>
          <w:noProof/>
          <w:sz w:val="18"/>
          <w:szCs w:val="18"/>
        </w:rPr>
        <w:drawing>
          <wp:inline distT="0" distB="0" distL="0" distR="0" wp14:anchorId="6BE53C64" wp14:editId="7D6D9AFB">
            <wp:extent cx="4787900" cy="3540491"/>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28" cstate="print">
                      <a:extLst>
                        <a:ext uri="{28A0092B-C50C-407E-A947-70E740481C1C}">
                          <a14:useLocalDpi xmlns:a14="http://schemas.microsoft.com/office/drawing/2010/main" val="0"/>
                        </a:ext>
                      </a:extLst>
                    </a:blip>
                    <a:srcRect r="23931"/>
                    <a:stretch/>
                  </pic:blipFill>
                  <pic:spPr bwMode="auto">
                    <a:xfrm>
                      <a:off x="0" y="0"/>
                      <a:ext cx="4787900" cy="3540491"/>
                    </a:xfrm>
                    <a:prstGeom prst="rect">
                      <a:avLst/>
                    </a:prstGeom>
                    <a:ln>
                      <a:noFill/>
                    </a:ln>
                    <a:extLst>
                      <a:ext uri="{53640926-AAD7-44D8-BBD7-CCE9431645EC}">
                        <a14:shadowObscured xmlns:a14="http://schemas.microsoft.com/office/drawing/2010/main"/>
                      </a:ext>
                    </a:extLst>
                  </pic:spPr>
                </pic:pic>
              </a:graphicData>
            </a:graphic>
          </wp:inline>
        </w:drawing>
      </w:r>
    </w:p>
    <w:p w14:paraId="5C251E6D" w14:textId="2DF609EC" w:rsidR="00F36A43" w:rsidRPr="008F5202" w:rsidRDefault="00F36A43" w:rsidP="008F5202">
      <w:pPr>
        <w:pStyle w:val="Caption"/>
      </w:pPr>
      <w:bookmarkStart w:id="64" w:name="_Ref177685458"/>
      <w:bookmarkStart w:id="65" w:name="_Toc177755193"/>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11</w:t>
      </w:r>
      <w:r w:rsidR="003763D2" w:rsidRPr="008F5202">
        <w:fldChar w:fldCharType="end"/>
      </w:r>
      <w:bookmarkEnd w:id="64"/>
      <w:r w:rsidRPr="008F5202">
        <w:t xml:space="preserve"> Pore diameter based Nusselt number as a function of Reynolds number</w:t>
      </w:r>
      <w:bookmarkEnd w:id="65"/>
    </w:p>
    <w:p w14:paraId="762F51C0" w14:textId="4EABA01E" w:rsidR="00F36A43" w:rsidRPr="008F5202" w:rsidRDefault="00F36A43" w:rsidP="00BD4F12">
      <w:pPr>
        <w:spacing w:line="360" w:lineRule="auto"/>
        <w:contextualSpacing/>
        <w:rPr>
          <w:rFonts w:ascii="Times New Roman" w:hAnsi="Times New Roman" w:cs="Times New Roman"/>
        </w:rPr>
      </w:pPr>
      <w:bookmarkStart w:id="66" w:name="_Ref177685662"/>
      <w:bookmarkStart w:id="67" w:name="_Toc177755177"/>
      <w:r w:rsidRPr="008F5202">
        <w:rPr>
          <w:rFonts w:ascii="Times New Roman" w:hAnsi="Times New Roman" w:cs="Times New Roman"/>
          <w:iCs/>
          <w:color w:val="000000" w:themeColor="text1"/>
          <w:sz w:val="20"/>
          <w:szCs w:val="18"/>
        </w:rPr>
        <w:t xml:space="preserve">Table </w:t>
      </w:r>
      <w:r w:rsidR="00561B55" w:rsidRPr="008F5202">
        <w:rPr>
          <w:rFonts w:ascii="Times New Roman" w:hAnsi="Times New Roman" w:cs="Times New Roman"/>
          <w:iCs/>
          <w:color w:val="000000" w:themeColor="text1"/>
          <w:sz w:val="20"/>
          <w:szCs w:val="18"/>
        </w:rPr>
        <w:fldChar w:fldCharType="begin"/>
      </w:r>
      <w:r w:rsidR="00561B55" w:rsidRPr="008F5202">
        <w:rPr>
          <w:rFonts w:ascii="Times New Roman" w:hAnsi="Times New Roman" w:cs="Times New Roman"/>
          <w:iCs/>
          <w:color w:val="000000" w:themeColor="text1"/>
          <w:sz w:val="20"/>
          <w:szCs w:val="18"/>
        </w:rPr>
        <w:instrText xml:space="preserve"> STYLEREF 1 \s </w:instrText>
      </w:r>
      <w:r w:rsidR="00561B55" w:rsidRPr="008F5202">
        <w:rPr>
          <w:rFonts w:ascii="Times New Roman" w:hAnsi="Times New Roman" w:cs="Times New Roman"/>
          <w:iCs/>
          <w:color w:val="000000" w:themeColor="text1"/>
          <w:sz w:val="20"/>
          <w:szCs w:val="18"/>
        </w:rPr>
        <w:fldChar w:fldCharType="separate"/>
      </w:r>
      <w:r w:rsidR="00AF1AFB">
        <w:rPr>
          <w:rFonts w:ascii="Times New Roman" w:hAnsi="Times New Roman" w:cs="Times New Roman"/>
          <w:iCs/>
          <w:noProof/>
          <w:color w:val="000000" w:themeColor="text1"/>
          <w:sz w:val="20"/>
          <w:szCs w:val="18"/>
        </w:rPr>
        <w:t>2</w:t>
      </w:r>
      <w:r w:rsidR="00561B55" w:rsidRPr="008F5202">
        <w:rPr>
          <w:rFonts w:ascii="Times New Roman" w:hAnsi="Times New Roman" w:cs="Times New Roman"/>
          <w:iCs/>
          <w:color w:val="000000" w:themeColor="text1"/>
          <w:sz w:val="20"/>
          <w:szCs w:val="18"/>
        </w:rPr>
        <w:fldChar w:fldCharType="end"/>
      </w:r>
      <w:r w:rsidR="00561B55" w:rsidRPr="008F5202">
        <w:rPr>
          <w:rFonts w:ascii="Times New Roman" w:hAnsi="Times New Roman" w:cs="Times New Roman"/>
          <w:iCs/>
          <w:color w:val="000000" w:themeColor="text1"/>
          <w:sz w:val="20"/>
          <w:szCs w:val="18"/>
        </w:rPr>
        <w:t>.</w:t>
      </w:r>
      <w:r w:rsidR="00561B55" w:rsidRPr="008F5202">
        <w:rPr>
          <w:rFonts w:ascii="Times New Roman" w:hAnsi="Times New Roman" w:cs="Times New Roman"/>
          <w:iCs/>
          <w:color w:val="000000" w:themeColor="text1"/>
          <w:sz w:val="20"/>
          <w:szCs w:val="18"/>
        </w:rPr>
        <w:fldChar w:fldCharType="begin"/>
      </w:r>
      <w:r w:rsidR="00561B55" w:rsidRPr="008F5202">
        <w:rPr>
          <w:rFonts w:ascii="Times New Roman" w:hAnsi="Times New Roman" w:cs="Times New Roman"/>
          <w:iCs/>
          <w:color w:val="000000" w:themeColor="text1"/>
          <w:sz w:val="20"/>
          <w:szCs w:val="18"/>
        </w:rPr>
        <w:instrText xml:space="preserve"> SEQ Table \* ARABIC \s 1 </w:instrText>
      </w:r>
      <w:r w:rsidR="00561B55" w:rsidRPr="008F5202">
        <w:rPr>
          <w:rFonts w:ascii="Times New Roman" w:hAnsi="Times New Roman" w:cs="Times New Roman"/>
          <w:iCs/>
          <w:color w:val="000000" w:themeColor="text1"/>
          <w:sz w:val="20"/>
          <w:szCs w:val="18"/>
        </w:rPr>
        <w:fldChar w:fldCharType="separate"/>
      </w:r>
      <w:r w:rsidR="00AF1AFB">
        <w:rPr>
          <w:rFonts w:ascii="Times New Roman" w:hAnsi="Times New Roman" w:cs="Times New Roman"/>
          <w:iCs/>
          <w:noProof/>
          <w:color w:val="000000" w:themeColor="text1"/>
          <w:sz w:val="20"/>
          <w:szCs w:val="18"/>
        </w:rPr>
        <w:t>5</w:t>
      </w:r>
      <w:r w:rsidR="00561B55" w:rsidRPr="008F5202">
        <w:rPr>
          <w:rFonts w:ascii="Times New Roman" w:hAnsi="Times New Roman" w:cs="Times New Roman"/>
          <w:iCs/>
          <w:color w:val="000000" w:themeColor="text1"/>
          <w:sz w:val="20"/>
          <w:szCs w:val="18"/>
        </w:rPr>
        <w:fldChar w:fldCharType="end"/>
      </w:r>
      <w:bookmarkEnd w:id="66"/>
      <w:r w:rsidRPr="008F5202">
        <w:rPr>
          <w:rFonts w:ascii="Times New Roman" w:hAnsi="Times New Roman" w:cs="Times New Roman"/>
          <w:iCs/>
          <w:color w:val="000000" w:themeColor="text1"/>
          <w:sz w:val="20"/>
          <w:szCs w:val="18"/>
        </w:rPr>
        <w:t xml:space="preserve"> Correlation </w:t>
      </w:r>
      <m:oMath>
        <m:r>
          <m:rPr>
            <m:sty m:val="bi"/>
          </m:rPr>
          <w:rPr>
            <w:rFonts w:ascii="Cambria Math" w:hAnsi="Cambria Math" w:cs="Times New Roman"/>
            <w:color w:val="000000" w:themeColor="text1"/>
            <w:sz w:val="20"/>
            <w:szCs w:val="18"/>
          </w:rPr>
          <m:t>cR</m:t>
        </m:r>
        <m:sSubSup>
          <m:sSubSupPr>
            <m:ctrlPr>
              <w:rPr>
                <w:rFonts w:ascii="Cambria Math" w:hAnsi="Cambria Math" w:cs="Times New Roman"/>
                <w:iCs/>
                <w:color w:val="000000" w:themeColor="text1"/>
                <w:sz w:val="20"/>
                <w:szCs w:val="18"/>
              </w:rPr>
            </m:ctrlPr>
          </m:sSubSupPr>
          <m:e>
            <m:r>
              <m:rPr>
                <m:sty m:val="bi"/>
              </m:rPr>
              <w:rPr>
                <w:rFonts w:ascii="Cambria Math" w:hAnsi="Cambria Math" w:cs="Times New Roman"/>
                <w:color w:val="000000" w:themeColor="text1"/>
                <w:sz w:val="20"/>
                <w:szCs w:val="18"/>
              </w:rPr>
              <m:t>e</m:t>
            </m:r>
          </m:e>
          <m:sub>
            <m:sSub>
              <m:sSubPr>
                <m:ctrlPr>
                  <w:rPr>
                    <w:rFonts w:ascii="Cambria Math" w:hAnsi="Cambria Math" w:cs="Times New Roman"/>
                    <w:iCs/>
                    <w:color w:val="000000" w:themeColor="text1"/>
                    <w:sz w:val="20"/>
                    <w:szCs w:val="18"/>
                  </w:rPr>
                </m:ctrlPr>
              </m:sSubPr>
              <m:e>
                <m:r>
                  <m:rPr>
                    <m:sty m:val="bi"/>
                  </m:rPr>
                  <w:rPr>
                    <w:rFonts w:ascii="Cambria Math" w:hAnsi="Cambria Math" w:cs="Times New Roman"/>
                    <w:color w:val="000000" w:themeColor="text1"/>
                    <w:sz w:val="20"/>
                    <w:szCs w:val="18"/>
                  </w:rPr>
                  <m:t>d</m:t>
                </m:r>
              </m:e>
              <m:sub>
                <m:r>
                  <m:rPr>
                    <m:sty m:val="bi"/>
                  </m:rPr>
                  <w:rPr>
                    <w:rFonts w:ascii="Cambria Math" w:hAnsi="Cambria Math" w:cs="Times New Roman"/>
                    <w:color w:val="000000" w:themeColor="text1"/>
                    <w:sz w:val="20"/>
                    <w:szCs w:val="18"/>
                  </w:rPr>
                  <m:t>p</m:t>
                </m:r>
              </m:sub>
            </m:sSub>
          </m:sub>
          <m:sup>
            <m:r>
              <m:rPr>
                <m:sty m:val="p"/>
              </m:rPr>
              <w:rPr>
                <w:rFonts w:ascii="Cambria Math" w:hAnsi="Cambria Math" w:cs="Times New Roman"/>
                <w:color w:val="000000" w:themeColor="text1"/>
                <w:sz w:val="20"/>
                <w:szCs w:val="18"/>
              </w:rPr>
              <m:t xml:space="preserve">  </m:t>
            </m:r>
            <m:r>
              <m:rPr>
                <m:sty m:val="bi"/>
              </m:rPr>
              <w:rPr>
                <w:rFonts w:ascii="Cambria Math" w:hAnsi="Cambria Math" w:cs="Times New Roman"/>
                <w:color w:val="000000" w:themeColor="text1"/>
                <w:sz w:val="20"/>
                <w:szCs w:val="18"/>
              </w:rPr>
              <m:t>m</m:t>
            </m:r>
          </m:sup>
        </m:sSubSup>
      </m:oMath>
      <w:r w:rsidRPr="008F5202">
        <w:rPr>
          <w:rFonts w:ascii="Times New Roman" w:hAnsi="Times New Roman" w:cs="Times New Roman"/>
          <w:iCs/>
          <w:color w:val="000000" w:themeColor="text1"/>
          <w:sz w:val="20"/>
          <w:szCs w:val="18"/>
        </w:rPr>
        <w:t xml:space="preserve"> for all investigated topologies under different heating conditions</w:t>
      </w:r>
      <w:bookmarkEnd w:id="67"/>
    </w:p>
    <w:p w14:paraId="64923D42" w14:textId="33DF5335" w:rsidR="00F36A43" w:rsidRPr="008F5202" w:rsidRDefault="00F36A43" w:rsidP="00F36A43">
      <w:pPr>
        <w:rPr>
          <w:rFonts w:ascii="Times New Roman" w:eastAsiaTheme="minorEastAsia" w:hAnsi="Times New Roman" w:cs="Times New Roman"/>
        </w:rPr>
      </w:pPr>
      <w:r w:rsidRPr="008F5202">
        <w:rPr>
          <w:rFonts w:ascii="Times New Roman" w:hAnsi="Times New Roman" w:cs="Times New Roman"/>
          <w:noProof/>
        </w:rPr>
        <w:lastRenderedPageBreak/>
        <w:drawing>
          <wp:inline distT="0" distB="0" distL="0" distR="0" wp14:anchorId="1987E8BB" wp14:editId="0DF8048F">
            <wp:extent cx="3393938" cy="950986"/>
            <wp:effectExtent l="0" t="0" r="0" b="1905"/>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29"/>
                    <a:stretch>
                      <a:fillRect/>
                    </a:stretch>
                  </pic:blipFill>
                  <pic:spPr>
                    <a:xfrm>
                      <a:off x="0" y="0"/>
                      <a:ext cx="3400254" cy="952756"/>
                    </a:xfrm>
                    <a:prstGeom prst="rect">
                      <a:avLst/>
                    </a:prstGeom>
                  </pic:spPr>
                </pic:pic>
              </a:graphicData>
            </a:graphic>
          </wp:inline>
        </w:drawing>
      </w:r>
    </w:p>
    <w:p w14:paraId="71D667C4" w14:textId="482AC775" w:rsidR="00076308" w:rsidRPr="008F5202" w:rsidRDefault="00F36A43" w:rsidP="008F5202">
      <w:pPr>
        <w:pStyle w:val="Caption"/>
      </w:pPr>
      <w:r w:rsidRPr="008F5202">
        <w:t xml:space="preserve">The methodology adopted for defining the pore diameters of the periodic lattices in the present study can serve as an important tool to obtain single correlations for predicting the heat transfer performance of various topologies. Also, the application of this definition can be extended to other families of lattices, which are not necessarily skeleton or fiber-based, to </w:t>
      </w:r>
      <w:r w:rsidR="00076308" w:rsidRPr="008F5202">
        <w:t>establish</w:t>
      </w:r>
    </w:p>
    <w:p w14:paraId="430891D0" w14:textId="7EE9FE86" w:rsidR="00F36A43" w:rsidRPr="008F5202" w:rsidRDefault="00F36A43" w:rsidP="008F5202">
      <w:pPr>
        <w:pStyle w:val="Caption"/>
      </w:pPr>
      <w:r w:rsidRPr="008F5202">
        <w:t xml:space="preserve">h if the resulting Nusselt number provides single correlation at fixed porosities for different topologies of the same family. It should be noted that the proposed correlations hold true for regular lattices with 2.5 cpi density and 0.86 </w:t>
      </w:r>
      <m:oMath>
        <m:r>
          <m:rPr>
            <m:sty m:val="b"/>
          </m:rPr>
          <w:rPr>
            <w:rFonts w:ascii="Cambria Math" w:hAnsi="Cambria Math"/>
          </w:rPr>
          <m:t>≤</m:t>
        </m:r>
      </m:oMath>
      <w:r w:rsidRPr="008F5202">
        <w:t xml:space="preserve"> </w:t>
      </w:r>
      <m:oMath>
        <m:r>
          <m:rPr>
            <m:sty m:val="bi"/>
          </m:rPr>
          <w:rPr>
            <w:rFonts w:ascii="Cambria Math" w:hAnsi="Cambria Math"/>
          </w:rPr>
          <m:t>ε</m:t>
        </m:r>
      </m:oMath>
      <w:r w:rsidRPr="008F5202">
        <w:t xml:space="preserve"> </w:t>
      </w:r>
      <m:oMath>
        <m:r>
          <m:rPr>
            <m:sty m:val="b"/>
          </m:rPr>
          <w:rPr>
            <w:rFonts w:ascii="Cambria Math" w:hAnsi="Cambria Math"/>
          </w:rPr>
          <m:t>≤</m:t>
        </m:r>
      </m:oMath>
      <w:r w:rsidRPr="008F5202">
        <w:t xml:space="preserve"> 0.87.</w:t>
      </w:r>
    </w:p>
    <w:p w14:paraId="751CFF30" w14:textId="5249A8D5" w:rsidR="004E232E" w:rsidRPr="008F5202" w:rsidRDefault="00F36A43" w:rsidP="008F5202">
      <w:pPr>
        <w:pStyle w:val="Caption"/>
      </w:pPr>
      <w:r w:rsidRPr="008F5202">
        <w:t>Another pore-scale dimension used to represent the Nusselt number is the fiber diameter. Usage of fiber diameter as a characteristic length scale is a very convenient concept in periodic lattices as fiber diameter is known a priori for fixed unit cell size and porosity. The fiber-diameter based Nusselt number (</w:t>
      </w:r>
      <m:oMath>
        <m:r>
          <m:rPr>
            <m:sty m:val="bi"/>
          </m:rPr>
          <w:rPr>
            <w:rFonts w:ascii="Cambria Math" w:hAnsi="Cambria Math"/>
          </w:rPr>
          <m:t>N</m:t>
        </m:r>
        <m:sSub>
          <m:sSubPr>
            <m:ctrlPr>
              <w:rPr>
                <w:rFonts w:ascii="Cambria Math" w:hAnsi="Cambria Math"/>
              </w:rPr>
            </m:ctrlPr>
          </m:sSubPr>
          <m:e>
            <m:sSub>
              <m:sSubPr>
                <m:ctrlPr>
                  <w:rPr>
                    <w:rFonts w:ascii="Cambria Math" w:hAnsi="Cambria Math"/>
                  </w:rPr>
                </m:ctrlPr>
              </m:sSubPr>
              <m:e>
                <m:r>
                  <m:rPr>
                    <m:sty m:val="bi"/>
                  </m:rPr>
                  <w:rPr>
                    <w:rFonts w:ascii="Cambria Math" w:hAnsi="Cambria Math"/>
                  </w:rPr>
                  <m:t>u</m:t>
                </m:r>
              </m:e>
              <m:sub>
                <m:r>
                  <m:rPr>
                    <m:sty m:val="bi"/>
                  </m:rPr>
                  <w:rPr>
                    <w:rFonts w:ascii="Cambria Math" w:hAnsi="Cambria Math"/>
                  </w:rPr>
                  <m:t>d</m:t>
                </m:r>
              </m:sub>
            </m:sSub>
          </m:e>
          <m:sub>
            <m:r>
              <m:rPr>
                <m:sty m:val="bi"/>
              </m:rPr>
              <w:rPr>
                <w:rFonts w:ascii="Cambria Math" w:hAnsi="Cambria Math"/>
              </w:rPr>
              <m:t>f</m:t>
            </m:r>
          </m:sub>
        </m:sSub>
        <m:r>
          <m:rPr>
            <m:sty m:val="b"/>
          </m:rPr>
          <w:rPr>
            <w:rFonts w:ascii="Cambria Math" w:hAnsi="Cambria Math"/>
          </w:rPr>
          <m:t>=</m:t>
        </m:r>
      </m:oMath>
      <w:r w:rsidRPr="008F5202">
        <w:t xml:space="preserve"> </w:t>
      </w:r>
      <m:oMath>
        <m:r>
          <m:rPr>
            <m:sty m:val="bi"/>
          </m:rPr>
          <w:rPr>
            <w:rFonts w:ascii="Cambria Math" w:hAnsi="Cambria Math"/>
          </w:rPr>
          <m:t>h</m:t>
        </m:r>
        <m:sSub>
          <m:sSubPr>
            <m:ctrlPr>
              <w:rPr>
                <w:rFonts w:ascii="Cambria Math" w:hAnsi="Cambria Math"/>
              </w:rPr>
            </m:ctrlPr>
          </m:sSubPr>
          <m:e>
            <m:r>
              <m:rPr>
                <m:sty m:val="bi"/>
              </m:rPr>
              <w:rPr>
                <w:rFonts w:ascii="Cambria Math" w:hAnsi="Cambria Math"/>
              </w:rPr>
              <m:t>d</m:t>
            </m:r>
          </m:e>
          <m:sub>
            <m:r>
              <m:rPr>
                <m:sty m:val="bi"/>
              </m:rPr>
              <w:rPr>
                <w:rFonts w:ascii="Cambria Math" w:hAnsi="Cambria Math"/>
              </w:rPr>
              <m:t>f</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k</m:t>
            </m:r>
          </m:e>
          <m:sub>
            <m:r>
              <m:rPr>
                <m:sty m:val="bi"/>
              </m:rPr>
              <w:rPr>
                <w:rFonts w:ascii="Cambria Math" w:hAnsi="Cambria Math"/>
              </w:rPr>
              <m:t>f</m:t>
            </m:r>
          </m:sub>
        </m:sSub>
      </m:oMath>
      <w:r w:rsidRPr="008F5202">
        <w:t>)  as a function of Reynolds number (</w:t>
      </w:r>
      <m:oMath>
        <m:f>
          <m:fPr>
            <m:type m:val="lin"/>
            <m:ctrlPr>
              <w:rPr>
                <w:rFonts w:ascii="Cambria Math" w:hAnsi="Cambria Math"/>
              </w:rPr>
            </m:ctrlPr>
          </m:fPr>
          <m:num>
            <m:r>
              <m:rPr>
                <m:sty m:val="bi"/>
              </m:rPr>
              <w:rPr>
                <w:rFonts w:ascii="Cambria Math" w:hAnsi="Cambria Math"/>
              </w:rPr>
              <m:t>R</m:t>
            </m:r>
            <m:sSub>
              <m:sSubPr>
                <m:ctrlPr>
                  <w:rPr>
                    <w:rFonts w:ascii="Cambria Math" w:hAnsi="Cambria Math"/>
                  </w:rPr>
                </m:ctrlPr>
              </m:sSubPr>
              <m:e>
                <m:sSub>
                  <m:sSubPr>
                    <m:ctrlPr>
                      <w:rPr>
                        <w:rFonts w:ascii="Cambria Math" w:hAnsi="Cambria Math"/>
                      </w:rPr>
                    </m:ctrlPr>
                  </m:sSubPr>
                  <m:e>
                    <m:r>
                      <m:rPr>
                        <m:sty m:val="bi"/>
                      </m:rPr>
                      <w:rPr>
                        <w:rFonts w:ascii="Cambria Math" w:hAnsi="Cambria Math"/>
                      </w:rPr>
                      <m:t>e</m:t>
                    </m:r>
                  </m:e>
                  <m:sub>
                    <m:r>
                      <m:rPr>
                        <m:sty m:val="bi"/>
                      </m:rPr>
                      <w:rPr>
                        <w:rFonts w:ascii="Cambria Math" w:hAnsi="Cambria Math"/>
                      </w:rPr>
                      <m:t>d</m:t>
                    </m:r>
                  </m:sub>
                </m:sSub>
              </m:e>
              <m:sub>
                <m:r>
                  <m:rPr>
                    <m:sty m:val="bi"/>
                  </m:rPr>
                  <w:rPr>
                    <w:rFonts w:ascii="Cambria Math" w:hAnsi="Cambria Math"/>
                  </w:rPr>
                  <m:t>f</m:t>
                </m:r>
              </m:sub>
            </m:sSub>
            <m:r>
              <m:rPr>
                <m:sty m:val="b"/>
              </m:rPr>
              <w:rPr>
                <w:rFonts w:ascii="Cambria Math" w:hAnsi="Cambria Math"/>
              </w:rPr>
              <m:t>=</m:t>
            </m:r>
            <m:r>
              <m:rPr>
                <m:sty m:val="bi"/>
              </m:rPr>
              <w:rPr>
                <w:rFonts w:ascii="Cambria Math" w:hAnsi="Cambria Math"/>
              </w:rPr>
              <m:t>ρu</m:t>
            </m:r>
            <m:sSub>
              <m:sSubPr>
                <m:ctrlPr>
                  <w:rPr>
                    <w:rFonts w:ascii="Cambria Math" w:hAnsi="Cambria Math"/>
                  </w:rPr>
                </m:ctrlPr>
              </m:sSubPr>
              <m:e>
                <m:r>
                  <m:rPr>
                    <m:sty m:val="bi"/>
                  </m:rPr>
                  <w:rPr>
                    <w:rFonts w:ascii="Cambria Math" w:hAnsi="Cambria Math"/>
                  </w:rPr>
                  <m:t>d</m:t>
                </m:r>
              </m:e>
              <m:sub>
                <m:r>
                  <m:rPr>
                    <m:sty m:val="bi"/>
                  </m:rPr>
                  <w:rPr>
                    <w:rFonts w:ascii="Cambria Math" w:hAnsi="Cambria Math"/>
                  </w:rPr>
                  <m:t>f</m:t>
                </m:r>
              </m:sub>
            </m:sSub>
          </m:num>
          <m:den>
            <m:r>
              <m:rPr>
                <m:sty m:val="bi"/>
              </m:rPr>
              <w:rPr>
                <w:rFonts w:ascii="Cambria Math" w:hAnsi="Cambria Math"/>
              </w:rPr>
              <m:t>εμ</m:t>
            </m:r>
          </m:den>
        </m:f>
      </m:oMath>
      <w:r w:rsidRPr="008F5202">
        <w:t xml:space="preserve">) is presented in </w:t>
      </w:r>
      <w:r w:rsidR="00BD4F12" w:rsidRPr="008F5202">
        <w:fldChar w:fldCharType="begin"/>
      </w:r>
      <w:r w:rsidR="00BD4F12" w:rsidRPr="008F5202">
        <w:instrText xml:space="preserve"> REF _Ref177685816 \h </w:instrText>
      </w:r>
      <w:r w:rsidR="00A02364" w:rsidRPr="008F5202">
        <w:instrText xml:space="preserve"> \* MERGEFORMAT </w:instrText>
      </w:r>
      <w:r w:rsidR="00BD4F12" w:rsidRPr="008F5202">
        <w:fldChar w:fldCharType="separate"/>
      </w:r>
      <w:r w:rsidR="00AF1AFB" w:rsidRPr="008F5202">
        <w:t xml:space="preserve">Figure </w:t>
      </w:r>
      <w:r w:rsidR="00AF1AFB">
        <w:t>2</w:t>
      </w:r>
      <w:r w:rsidR="00AF1AFB" w:rsidRPr="008F5202">
        <w:t>.</w:t>
      </w:r>
      <w:r w:rsidR="00AF1AFB">
        <w:t>12</w:t>
      </w:r>
      <w:r w:rsidR="00BD4F12" w:rsidRPr="008F5202">
        <w:fldChar w:fldCharType="end"/>
      </w:r>
      <w:r w:rsidR="00BD4F12" w:rsidRPr="008F5202">
        <w:t>.</w:t>
      </w:r>
      <w:r w:rsidRPr="008F5202">
        <w:t xml:space="preserve"> The fiber diameter values used for defining these parameters were taken from the CAD models of the RUCs. These values are provided in </w:t>
      </w:r>
      <w:r w:rsidRPr="008F5202">
        <w:fldChar w:fldCharType="begin"/>
      </w:r>
      <w:r w:rsidRPr="008F5202">
        <w:instrText xml:space="preserve"> REF _Ref177685246 \h </w:instrText>
      </w:r>
      <w:r w:rsidR="00A02364" w:rsidRPr="008F5202">
        <w:instrText xml:space="preserve"> \* MERGEFORMAT </w:instrText>
      </w:r>
      <w:r w:rsidRPr="008F5202">
        <w:fldChar w:fldCharType="separate"/>
      </w:r>
      <w:r w:rsidR="00AF1AFB">
        <w:rPr>
          <w:b w:val="0"/>
          <w:bCs w:val="0"/>
        </w:rPr>
        <w:t>Error! Reference source not found.</w:t>
      </w:r>
      <w:r w:rsidRPr="008F5202">
        <w:fldChar w:fldCharType="end"/>
      </w:r>
      <w:r w:rsidR="00BD4F12" w:rsidRPr="008F5202">
        <w:t>.</w:t>
      </w:r>
    </w:p>
    <w:p w14:paraId="1EFE855E" w14:textId="14AB19D2" w:rsidR="00BD4F12" w:rsidRPr="008F5202" w:rsidRDefault="00BD4F12" w:rsidP="00BD4F12">
      <w:pPr>
        <w:tabs>
          <w:tab w:val="left" w:pos="180"/>
        </w:tabs>
        <w:autoSpaceDE w:val="0"/>
        <w:autoSpaceDN w:val="0"/>
        <w:adjustRightInd w:val="0"/>
        <w:spacing w:line="360" w:lineRule="auto"/>
        <w:contextualSpacing/>
        <w:jc w:val="both"/>
        <w:rPr>
          <w:rFonts w:ascii="Times New Roman" w:hAnsi="Times New Roman" w:cs="Times New Roman"/>
        </w:rPr>
      </w:pPr>
      <w:r w:rsidRPr="008F5202">
        <w:rPr>
          <w:rFonts w:ascii="Times New Roman" w:hAnsi="Times New Roman" w:cs="Times New Roman"/>
        </w:rPr>
        <w:t xml:space="preserve">The usage of fiber diameter as the characteristic length scale to define Nusselt number and Reynolds number also produced very minimal spread in the overall data. A unique trendline could be obtained for predicting the heat transfer performance of the investigated samples. The correlations of the form </w:t>
      </w:r>
      <m:oMath>
        <m:r>
          <w:rPr>
            <w:rFonts w:ascii="Cambria Math" w:hAnsi="Cambria Math" w:cs="Times New Roman"/>
          </w:rPr>
          <m:t>N</m:t>
        </m:r>
        <m:sSub>
          <m:sSubPr>
            <m:ctrlPr>
              <w:rPr>
                <w:rFonts w:ascii="Cambria Math" w:hAnsi="Cambria Math" w:cs="Times New Roman"/>
              </w:rPr>
            </m:ctrlPr>
          </m:sSubPr>
          <m:e>
            <m:sSub>
              <m:sSubPr>
                <m:ctrlPr>
                  <w:rPr>
                    <w:rFonts w:ascii="Cambria Math" w:hAnsi="Cambria Math" w:cs="Times New Roman"/>
                  </w:rPr>
                </m:ctrlPr>
              </m:sSubPr>
              <m:e>
                <m:r>
                  <w:rPr>
                    <w:rFonts w:ascii="Cambria Math" w:hAnsi="Cambria Math" w:cs="Times New Roman"/>
                  </w:rPr>
                  <m:t>u</m:t>
                </m:r>
              </m:e>
              <m:sub>
                <m:r>
                  <w:rPr>
                    <w:rFonts w:ascii="Cambria Math" w:hAnsi="Cambria Math" w:cs="Times New Roman"/>
                  </w:rPr>
                  <m:t>d</m:t>
                </m:r>
              </m:sub>
            </m:sSub>
          </m:e>
          <m:sub>
            <m:r>
              <w:rPr>
                <w:rFonts w:ascii="Cambria Math" w:hAnsi="Cambria Math" w:cs="Times New Roman"/>
              </w:rPr>
              <m:t>f</m:t>
            </m:r>
          </m:sub>
        </m:sSub>
        <m:r>
          <m:rPr>
            <m:sty m:val="p"/>
          </m:rPr>
          <w:rPr>
            <w:rFonts w:ascii="Cambria Math" w:hAnsi="Cambria Math" w:cs="Times New Roman"/>
          </w:rPr>
          <m:t>=</m:t>
        </m:r>
        <m:r>
          <w:rPr>
            <w:rFonts w:ascii="Cambria Math" w:hAnsi="Cambria Math" w:cs="Times New Roman"/>
          </w:rPr>
          <m:t>cR</m:t>
        </m:r>
        <m:sSubSup>
          <m:sSubSupPr>
            <m:ctrlPr>
              <w:rPr>
                <w:rFonts w:ascii="Cambria Math" w:hAnsi="Cambria Math" w:cs="Times New Roman"/>
              </w:rPr>
            </m:ctrlPr>
          </m:sSubSupPr>
          <m:e>
            <m:r>
              <w:rPr>
                <w:rFonts w:ascii="Cambria Math" w:hAnsi="Cambria Math" w:cs="Times New Roman"/>
              </w:rPr>
              <m:t>e</m:t>
            </m:r>
          </m:e>
          <m:sub>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f</m:t>
                </m:r>
              </m:sub>
            </m:sSub>
          </m:sub>
          <m:sup>
            <m:r>
              <m:rPr>
                <m:sty m:val="p"/>
              </m:rPr>
              <w:rPr>
                <w:rFonts w:ascii="Cambria Math" w:hAnsi="Cambria Math" w:cs="Times New Roman"/>
              </w:rPr>
              <m:t xml:space="preserve">  </m:t>
            </m:r>
            <m:r>
              <w:rPr>
                <w:rFonts w:ascii="Cambria Math" w:hAnsi="Cambria Math" w:cs="Times New Roman"/>
              </w:rPr>
              <m:t>m</m:t>
            </m:r>
          </m:sup>
        </m:sSubSup>
        <m:r>
          <m:rPr>
            <m:sty m:val="p"/>
          </m:rPr>
          <w:rPr>
            <w:rFonts w:ascii="Cambria Math" w:hAnsi="Cambria Math" w:cs="Times New Roman"/>
          </w:rPr>
          <m:t xml:space="preserve"> </m:t>
        </m:r>
      </m:oMath>
      <w:r w:rsidRPr="008F5202">
        <w:rPr>
          <w:rFonts w:ascii="Times New Roman" w:hAnsi="Times New Roman" w:cs="Times New Roman"/>
        </w:rPr>
        <w:t xml:space="preserve">for predicting the fiber diameter based Nusselt number of the investigated topologies are proposed in Table </w:t>
      </w:r>
      <w:r w:rsidR="008700FD" w:rsidRPr="008F5202">
        <w:rPr>
          <w:rFonts w:ascii="Times New Roman" w:hAnsi="Times New Roman" w:cs="Times New Roman"/>
        </w:rPr>
        <w:t>2.</w:t>
      </w:r>
      <w:r w:rsidRPr="008F5202">
        <w:rPr>
          <w:rFonts w:ascii="Times New Roman" w:hAnsi="Times New Roman" w:cs="Times New Roman"/>
        </w:rPr>
        <w:t xml:space="preserve">6. The values predicted by all the correlations presented in </w:t>
      </w:r>
      <w:r w:rsidRPr="008F5202">
        <w:rPr>
          <w:rFonts w:ascii="Times New Roman" w:hAnsi="Times New Roman" w:cs="Times New Roman"/>
        </w:rPr>
        <w:fldChar w:fldCharType="begin"/>
      </w:r>
      <w:r w:rsidRPr="008F5202">
        <w:rPr>
          <w:rFonts w:ascii="Times New Roman" w:hAnsi="Times New Roman" w:cs="Times New Roman"/>
        </w:rPr>
        <w:instrText xml:space="preserve"> REF _Ref177685662 \h  \* MERGEFORMAT </w:instrText>
      </w:r>
      <w:r w:rsidRPr="008F5202">
        <w:rPr>
          <w:rFonts w:ascii="Times New Roman" w:hAnsi="Times New Roman" w:cs="Times New Roman"/>
        </w:rPr>
      </w:r>
      <w:r w:rsidRPr="008F5202">
        <w:rPr>
          <w:rFonts w:ascii="Times New Roman" w:hAnsi="Times New Roman" w:cs="Times New Roman"/>
        </w:rPr>
        <w:fldChar w:fldCharType="separate"/>
      </w:r>
      <w:r w:rsidR="00AF1AFB" w:rsidRPr="00AF1AFB">
        <w:rPr>
          <w:rFonts w:ascii="Times New Roman" w:hAnsi="Times New Roman" w:cs="Times New Roman"/>
        </w:rPr>
        <w:t>Table 2.5</w:t>
      </w:r>
      <w:r w:rsidRPr="008F5202">
        <w:rPr>
          <w:rFonts w:ascii="Times New Roman" w:hAnsi="Times New Roman" w:cs="Times New Roman"/>
        </w:rPr>
        <w:fldChar w:fldCharType="end"/>
      </w:r>
      <w:r w:rsidRPr="008F5202">
        <w:rPr>
          <w:rFonts w:ascii="Times New Roman" w:hAnsi="Times New Roman" w:cs="Times New Roman"/>
        </w:rPr>
        <w:t xml:space="preserve"> and </w:t>
      </w:r>
      <w:r w:rsidRPr="008F5202">
        <w:rPr>
          <w:rFonts w:ascii="Times New Roman" w:hAnsi="Times New Roman" w:cs="Times New Roman"/>
        </w:rPr>
        <w:fldChar w:fldCharType="begin"/>
      </w:r>
      <w:r w:rsidRPr="008F5202">
        <w:rPr>
          <w:rFonts w:ascii="Times New Roman" w:hAnsi="Times New Roman" w:cs="Times New Roman"/>
        </w:rPr>
        <w:instrText xml:space="preserve"> REF _Ref177686095 \h  \* MERGEFORMAT </w:instrText>
      </w:r>
      <w:r w:rsidRPr="008F5202">
        <w:rPr>
          <w:rFonts w:ascii="Times New Roman" w:hAnsi="Times New Roman" w:cs="Times New Roman"/>
        </w:rPr>
      </w:r>
      <w:r w:rsidRPr="008F5202">
        <w:rPr>
          <w:rFonts w:ascii="Times New Roman" w:hAnsi="Times New Roman" w:cs="Times New Roman"/>
        </w:rPr>
        <w:fldChar w:fldCharType="separate"/>
      </w:r>
      <w:r w:rsidR="00AF1AFB" w:rsidRPr="00AF1AFB">
        <w:rPr>
          <w:rFonts w:ascii="Times New Roman" w:hAnsi="Times New Roman" w:cs="Times New Roman"/>
        </w:rPr>
        <w:t xml:space="preserve">Table </w:t>
      </w:r>
      <w:r w:rsidR="00AF1AFB" w:rsidRPr="00AF1AFB">
        <w:rPr>
          <w:rFonts w:ascii="Times New Roman" w:hAnsi="Times New Roman" w:cs="Times New Roman"/>
          <w:noProof/>
        </w:rPr>
        <w:t>2.6</w:t>
      </w:r>
      <w:r w:rsidRPr="008F5202">
        <w:rPr>
          <w:rFonts w:ascii="Times New Roman" w:hAnsi="Times New Roman" w:cs="Times New Roman"/>
        </w:rPr>
        <w:fldChar w:fldCharType="end"/>
      </w:r>
      <w:r w:rsidRPr="008F5202">
        <w:rPr>
          <w:rFonts w:ascii="Times New Roman" w:hAnsi="Times New Roman" w:cs="Times New Roman"/>
        </w:rPr>
        <w:t xml:space="preserve"> are compared against the corresponding experimental data in </w:t>
      </w:r>
      <w:r w:rsidRPr="008F5202">
        <w:rPr>
          <w:rFonts w:ascii="Times New Roman" w:hAnsi="Times New Roman" w:cs="Times New Roman"/>
        </w:rPr>
        <w:fldChar w:fldCharType="begin"/>
      </w:r>
      <w:r w:rsidRPr="008F5202">
        <w:rPr>
          <w:rFonts w:ascii="Times New Roman" w:hAnsi="Times New Roman" w:cs="Times New Roman"/>
        </w:rPr>
        <w:instrText xml:space="preserve"> REF _Ref177686072 \h  \* MERGEFORMAT </w:instrText>
      </w:r>
      <w:r w:rsidRPr="008F5202">
        <w:rPr>
          <w:rFonts w:ascii="Times New Roman" w:hAnsi="Times New Roman" w:cs="Times New Roman"/>
        </w:rPr>
      </w:r>
      <w:r w:rsidRPr="008F5202">
        <w:rPr>
          <w:rFonts w:ascii="Times New Roman" w:hAnsi="Times New Roman" w:cs="Times New Roman"/>
        </w:rPr>
        <w:fldChar w:fldCharType="separate"/>
      </w:r>
      <w:r w:rsidR="00AF1AFB" w:rsidRPr="00AF1AFB">
        <w:rPr>
          <w:rFonts w:ascii="Times New Roman" w:hAnsi="Times New Roman" w:cs="Times New Roman"/>
        </w:rPr>
        <w:t>Figure 2.13</w:t>
      </w:r>
      <w:r w:rsidRPr="008F5202">
        <w:rPr>
          <w:rFonts w:ascii="Times New Roman" w:hAnsi="Times New Roman" w:cs="Times New Roman"/>
        </w:rPr>
        <w:fldChar w:fldCharType="end"/>
      </w:r>
      <w:r w:rsidRPr="008F5202">
        <w:rPr>
          <w:rFonts w:ascii="Times New Roman" w:hAnsi="Times New Roman" w:cs="Times New Roman"/>
        </w:rPr>
        <w:t xml:space="preserve">. The spread of the predicted values from correlations were within </w:t>
      </w:r>
      <m:oMath>
        <m:r>
          <m:rPr>
            <m:sty m:val="p"/>
          </m:rPr>
          <w:rPr>
            <w:rFonts w:ascii="Cambria Math" w:hAnsi="Cambria Math" w:cs="Times New Roman"/>
          </w:rPr>
          <m:t>±</m:t>
        </m:r>
      </m:oMath>
      <w:r w:rsidRPr="008F5202">
        <w:rPr>
          <w:rFonts w:ascii="Times New Roman" w:hAnsi="Times New Roman" w:cs="Times New Roman"/>
        </w:rPr>
        <w:t xml:space="preserve">15% of the experiments. </w:t>
      </w:r>
      <w:r w:rsidR="00C27D23" w:rsidRPr="008F5202">
        <w:rPr>
          <w:rFonts w:ascii="Times New Roman" w:hAnsi="Times New Roman" w:cs="Times New Roman"/>
        </w:rPr>
        <w:fldChar w:fldCharType="begin"/>
      </w:r>
      <w:r w:rsidR="00C27D23" w:rsidRPr="008F5202">
        <w:rPr>
          <w:rFonts w:ascii="Times New Roman" w:hAnsi="Times New Roman" w:cs="Times New Roman"/>
        </w:rPr>
        <w:instrText xml:space="preserve"> REF _Ref177686309 \h  \* MERGEFORMAT </w:instrText>
      </w:r>
      <w:r w:rsidR="00C27D23" w:rsidRPr="008F5202">
        <w:rPr>
          <w:rFonts w:ascii="Times New Roman" w:hAnsi="Times New Roman" w:cs="Times New Roman"/>
        </w:rPr>
      </w:r>
      <w:r w:rsidR="00C27D23" w:rsidRPr="008F5202">
        <w:rPr>
          <w:rFonts w:ascii="Times New Roman" w:hAnsi="Times New Roman" w:cs="Times New Roman"/>
        </w:rPr>
        <w:fldChar w:fldCharType="separate"/>
      </w:r>
      <w:r w:rsidR="00AF1AFB" w:rsidRPr="00AF1AFB">
        <w:rPr>
          <w:rFonts w:ascii="Times New Roman" w:hAnsi="Times New Roman" w:cs="Times New Roman"/>
        </w:rPr>
        <w:t>Table 2.7</w:t>
      </w:r>
      <w:r w:rsidR="00C27D23" w:rsidRPr="008F5202">
        <w:rPr>
          <w:rFonts w:ascii="Times New Roman" w:hAnsi="Times New Roman" w:cs="Times New Roman"/>
        </w:rPr>
        <w:fldChar w:fldCharType="end"/>
      </w:r>
      <w:r w:rsidR="00C27D23" w:rsidRPr="008F5202">
        <w:rPr>
          <w:rFonts w:ascii="Times New Roman" w:hAnsi="Times New Roman" w:cs="Times New Roman"/>
        </w:rPr>
        <w:t xml:space="preserve"> </w:t>
      </w:r>
      <w:r w:rsidRPr="008F5202">
        <w:rPr>
          <w:rFonts w:ascii="Times New Roman" w:hAnsi="Times New Roman" w:cs="Times New Roman"/>
        </w:rPr>
        <w:t xml:space="preserve">summarizes the </w:t>
      </w:r>
      <w:r w:rsidRPr="008F5202">
        <w:rPr>
          <w:rFonts w:ascii="Times New Roman" w:hAnsi="Times New Roman" w:cs="Times New Roman"/>
        </w:rPr>
        <w:lastRenderedPageBreak/>
        <w:t>coefficients (c and m) of correlations (</w:t>
      </w:r>
      <m:oMath>
        <m:r>
          <w:rPr>
            <w:rFonts w:ascii="Cambria Math" w:hAnsi="Cambria Math" w:cs="Times New Roman"/>
          </w:rPr>
          <m:t>Nu</m:t>
        </m:r>
        <m:r>
          <m:rPr>
            <m:sty m:val="p"/>
          </m:rPr>
          <w:rPr>
            <w:rFonts w:ascii="Cambria Math" w:hAnsi="Cambria Math" w:cs="Times New Roman"/>
          </w:rPr>
          <m:t>=</m:t>
        </m:r>
        <m:r>
          <w:rPr>
            <w:rFonts w:ascii="Cambria Math" w:hAnsi="Cambria Math" w:cs="Times New Roman"/>
          </w:rPr>
          <m:t>cR</m:t>
        </m:r>
        <m:sSup>
          <m:sSupPr>
            <m:ctrlPr>
              <w:rPr>
                <w:rFonts w:ascii="Cambria Math" w:hAnsi="Cambria Math" w:cs="Times New Roman"/>
              </w:rPr>
            </m:ctrlPr>
          </m:sSupPr>
          <m:e>
            <m:r>
              <w:rPr>
                <w:rFonts w:ascii="Cambria Math" w:hAnsi="Cambria Math" w:cs="Times New Roman"/>
              </w:rPr>
              <m:t>e</m:t>
            </m:r>
          </m:e>
          <m:sup>
            <m:r>
              <w:rPr>
                <w:rFonts w:ascii="Cambria Math" w:hAnsi="Cambria Math" w:cs="Times New Roman"/>
              </w:rPr>
              <m:t>m</m:t>
            </m:r>
          </m:sup>
        </m:sSup>
      </m:oMath>
      <w:r w:rsidRPr="008F5202">
        <w:rPr>
          <w:rFonts w:ascii="Times New Roman" w:hAnsi="Times New Roman" w:cs="Times New Roman"/>
        </w:rPr>
        <w:t xml:space="preserve">) for different heating condition and characteristic length scales based on the information provided in </w:t>
      </w:r>
      <w:r w:rsidR="00C27D23" w:rsidRPr="008F5202">
        <w:rPr>
          <w:rFonts w:ascii="Times New Roman" w:hAnsi="Times New Roman" w:cs="Times New Roman"/>
        </w:rPr>
        <w:fldChar w:fldCharType="begin"/>
      </w:r>
      <w:r w:rsidR="00C27D23" w:rsidRPr="008F5202">
        <w:rPr>
          <w:rFonts w:ascii="Times New Roman" w:hAnsi="Times New Roman" w:cs="Times New Roman"/>
        </w:rPr>
        <w:instrText xml:space="preserve"> REF _Ref177685662 \h </w:instrText>
      </w:r>
      <w:r w:rsidR="00C27D23" w:rsidRPr="008F5202">
        <w:rPr>
          <w:rFonts w:ascii="Times New Roman" w:hAnsi="Times New Roman" w:cs="Times New Roman"/>
        </w:rPr>
      </w:r>
      <w:r w:rsidR="008F5202">
        <w:rPr>
          <w:rFonts w:ascii="Times New Roman" w:hAnsi="Times New Roman" w:cs="Times New Roman"/>
        </w:rPr>
        <w:instrText xml:space="preserve"> \* MERGEFORMAT </w:instrText>
      </w:r>
      <w:r w:rsidR="00C27D23" w:rsidRPr="008F5202">
        <w:rPr>
          <w:rFonts w:ascii="Times New Roman" w:hAnsi="Times New Roman" w:cs="Times New Roman"/>
        </w:rPr>
        <w:fldChar w:fldCharType="separate"/>
      </w:r>
      <w:r w:rsidR="00AF1AFB" w:rsidRPr="008F5202">
        <w:rPr>
          <w:rFonts w:ascii="Times New Roman" w:hAnsi="Times New Roman" w:cs="Times New Roman"/>
          <w:iCs/>
          <w:color w:val="000000" w:themeColor="text1"/>
          <w:sz w:val="20"/>
          <w:szCs w:val="18"/>
        </w:rPr>
        <w:t xml:space="preserve">Table </w:t>
      </w:r>
      <w:r w:rsidR="00AF1AFB">
        <w:rPr>
          <w:rFonts w:ascii="Times New Roman" w:hAnsi="Times New Roman" w:cs="Times New Roman"/>
          <w:iCs/>
          <w:noProof/>
          <w:color w:val="000000" w:themeColor="text1"/>
          <w:sz w:val="20"/>
          <w:szCs w:val="18"/>
        </w:rPr>
        <w:t>2</w:t>
      </w:r>
      <w:r w:rsidR="00AF1AFB" w:rsidRPr="008F5202">
        <w:rPr>
          <w:rFonts w:ascii="Times New Roman" w:hAnsi="Times New Roman" w:cs="Times New Roman"/>
          <w:iCs/>
          <w:noProof/>
          <w:color w:val="000000" w:themeColor="text1"/>
          <w:sz w:val="20"/>
          <w:szCs w:val="18"/>
        </w:rPr>
        <w:t>.</w:t>
      </w:r>
      <w:r w:rsidR="00AF1AFB">
        <w:rPr>
          <w:rFonts w:ascii="Times New Roman" w:hAnsi="Times New Roman" w:cs="Times New Roman"/>
          <w:iCs/>
          <w:noProof/>
          <w:color w:val="000000" w:themeColor="text1"/>
          <w:sz w:val="20"/>
          <w:szCs w:val="18"/>
        </w:rPr>
        <w:t>5</w:t>
      </w:r>
      <w:r w:rsidR="00C27D23" w:rsidRPr="008F5202">
        <w:rPr>
          <w:rFonts w:ascii="Times New Roman" w:hAnsi="Times New Roman" w:cs="Times New Roman"/>
        </w:rPr>
        <w:fldChar w:fldCharType="end"/>
      </w:r>
      <w:r w:rsidR="00C27D23" w:rsidRPr="008F5202">
        <w:rPr>
          <w:rFonts w:ascii="Times New Roman" w:hAnsi="Times New Roman" w:cs="Times New Roman"/>
        </w:rPr>
        <w:t xml:space="preserve"> </w:t>
      </w:r>
      <w:r w:rsidRPr="008F5202">
        <w:rPr>
          <w:rFonts w:ascii="Times New Roman" w:hAnsi="Times New Roman" w:cs="Times New Roman"/>
        </w:rPr>
        <w:t xml:space="preserve">and </w:t>
      </w:r>
      <w:r w:rsidR="00C27D23" w:rsidRPr="008F5202">
        <w:rPr>
          <w:rFonts w:ascii="Times New Roman" w:hAnsi="Times New Roman" w:cs="Times New Roman"/>
        </w:rPr>
        <w:fldChar w:fldCharType="begin"/>
      </w:r>
      <w:r w:rsidR="00C27D23" w:rsidRPr="008F5202">
        <w:rPr>
          <w:rFonts w:ascii="Times New Roman" w:hAnsi="Times New Roman" w:cs="Times New Roman"/>
        </w:rPr>
        <w:instrText xml:space="preserve"> REF _Ref177686095 \h  \* MERGEFORMAT </w:instrText>
      </w:r>
      <w:r w:rsidR="00C27D23" w:rsidRPr="008F5202">
        <w:rPr>
          <w:rFonts w:ascii="Times New Roman" w:hAnsi="Times New Roman" w:cs="Times New Roman"/>
        </w:rPr>
      </w:r>
      <w:r w:rsidR="00C27D23" w:rsidRPr="008F5202">
        <w:rPr>
          <w:rFonts w:ascii="Times New Roman" w:hAnsi="Times New Roman" w:cs="Times New Roman"/>
        </w:rPr>
        <w:fldChar w:fldCharType="separate"/>
      </w:r>
      <w:r w:rsidR="00AF1AFB" w:rsidRPr="00AF1AFB">
        <w:rPr>
          <w:rFonts w:ascii="Times New Roman" w:hAnsi="Times New Roman" w:cs="Times New Roman"/>
        </w:rPr>
        <w:t xml:space="preserve">Table </w:t>
      </w:r>
      <w:r w:rsidR="00AF1AFB" w:rsidRPr="00AF1AFB">
        <w:rPr>
          <w:rFonts w:ascii="Times New Roman" w:hAnsi="Times New Roman" w:cs="Times New Roman"/>
          <w:noProof/>
        </w:rPr>
        <w:t>2.6</w:t>
      </w:r>
      <w:r w:rsidR="00C27D23" w:rsidRPr="008F5202">
        <w:rPr>
          <w:rFonts w:ascii="Times New Roman" w:hAnsi="Times New Roman" w:cs="Times New Roman"/>
        </w:rPr>
        <w:fldChar w:fldCharType="end"/>
      </w:r>
      <w:r w:rsidRPr="008F5202">
        <w:rPr>
          <w:rFonts w:ascii="Times New Roman" w:hAnsi="Times New Roman" w:cs="Times New Roman"/>
        </w:rPr>
        <w:t xml:space="preserve">. </w:t>
      </w:r>
    </w:p>
    <w:p w14:paraId="3DE3A02D" w14:textId="77777777" w:rsidR="00BD4F12" w:rsidRPr="008F5202" w:rsidRDefault="00BD4F12" w:rsidP="00BD4F12">
      <w:pPr>
        <w:rPr>
          <w:rFonts w:ascii="Times New Roman" w:hAnsi="Times New Roman" w:cs="Times New Roman"/>
        </w:rPr>
      </w:pPr>
    </w:p>
    <w:p w14:paraId="70DE4EFD" w14:textId="77777777" w:rsidR="00BD4F12" w:rsidRPr="008F5202" w:rsidRDefault="00BD4F12" w:rsidP="00BD4F12">
      <w:pPr>
        <w:keepNext/>
        <w:rPr>
          <w:rFonts w:ascii="Times New Roman" w:hAnsi="Times New Roman" w:cs="Times New Roman"/>
        </w:rPr>
      </w:pPr>
      <w:r w:rsidRPr="008F5202">
        <w:rPr>
          <w:rFonts w:ascii="Times New Roman" w:hAnsi="Times New Roman" w:cs="Times New Roman"/>
          <w:noProof/>
          <w:sz w:val="18"/>
          <w:szCs w:val="18"/>
        </w:rPr>
        <w:drawing>
          <wp:inline distT="0" distB="0" distL="0" distR="0" wp14:anchorId="7EB3A9DD" wp14:editId="6BC114FC">
            <wp:extent cx="5593065" cy="4159250"/>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30" cstate="print">
                      <a:extLst>
                        <a:ext uri="{28A0092B-C50C-407E-A947-70E740481C1C}">
                          <a14:useLocalDpi xmlns:a14="http://schemas.microsoft.com/office/drawing/2010/main" val="0"/>
                        </a:ext>
                      </a:extLst>
                    </a:blip>
                    <a:srcRect l="2884" r="21474"/>
                    <a:stretch/>
                  </pic:blipFill>
                  <pic:spPr bwMode="auto">
                    <a:xfrm>
                      <a:off x="0" y="0"/>
                      <a:ext cx="5644690" cy="4197640"/>
                    </a:xfrm>
                    <a:prstGeom prst="rect">
                      <a:avLst/>
                    </a:prstGeom>
                    <a:ln>
                      <a:noFill/>
                    </a:ln>
                    <a:extLst>
                      <a:ext uri="{53640926-AAD7-44D8-BBD7-CCE9431645EC}">
                        <a14:shadowObscured xmlns:a14="http://schemas.microsoft.com/office/drawing/2010/main"/>
                      </a:ext>
                    </a:extLst>
                  </pic:spPr>
                </pic:pic>
              </a:graphicData>
            </a:graphic>
          </wp:inline>
        </w:drawing>
      </w:r>
    </w:p>
    <w:p w14:paraId="77036A33" w14:textId="21DFF07D" w:rsidR="00BD4F12" w:rsidRPr="008F5202" w:rsidRDefault="00BD4F12" w:rsidP="008F5202">
      <w:pPr>
        <w:pStyle w:val="Caption"/>
        <w:rPr>
          <w:rFonts w:eastAsiaTheme="minorEastAsia"/>
        </w:rPr>
      </w:pPr>
      <w:bookmarkStart w:id="68" w:name="_Ref177685816"/>
      <w:bookmarkStart w:id="69" w:name="_Toc177755194"/>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12</w:t>
      </w:r>
      <w:r w:rsidR="003763D2" w:rsidRPr="008F5202">
        <w:fldChar w:fldCharType="end"/>
      </w:r>
      <w:bookmarkEnd w:id="68"/>
      <w:r w:rsidRPr="008F5202">
        <w:t xml:space="preserve"> Fiber diameter based Nusselt number as a function of Reynolds number</w:t>
      </w:r>
      <w:bookmarkEnd w:id="69"/>
    </w:p>
    <w:p w14:paraId="029EDA15" w14:textId="226E56D2" w:rsidR="00BD4F12" w:rsidRPr="008F5202" w:rsidRDefault="00BD4F12" w:rsidP="008F5202">
      <w:pPr>
        <w:pStyle w:val="Caption"/>
      </w:pPr>
      <w:bookmarkStart w:id="70" w:name="_Ref177686095"/>
      <w:bookmarkStart w:id="71" w:name="_Toc177755178"/>
      <w:r w:rsidRPr="008F5202">
        <w:t xml:space="preserve">Table </w:t>
      </w:r>
      <w:r w:rsidR="00561B55" w:rsidRPr="008F5202">
        <w:fldChar w:fldCharType="begin"/>
      </w:r>
      <w:r w:rsidR="00561B55" w:rsidRPr="008F5202">
        <w:instrText xml:space="preserve"> STYLEREF 1 \s </w:instrText>
      </w:r>
      <w:r w:rsidR="00561B55" w:rsidRPr="008F5202">
        <w:fldChar w:fldCharType="separate"/>
      </w:r>
      <w:r w:rsidR="00AF1AFB">
        <w:rPr>
          <w:noProof/>
        </w:rPr>
        <w:t>2</w:t>
      </w:r>
      <w:r w:rsidR="00561B55" w:rsidRPr="008F5202">
        <w:fldChar w:fldCharType="end"/>
      </w:r>
      <w:r w:rsidR="00561B55" w:rsidRPr="008F5202">
        <w:t>.</w:t>
      </w:r>
      <w:r w:rsidR="00561B55" w:rsidRPr="008F5202">
        <w:fldChar w:fldCharType="begin"/>
      </w:r>
      <w:r w:rsidR="00561B55" w:rsidRPr="008F5202">
        <w:instrText xml:space="preserve"> SEQ Table \* ARABIC \s 1 </w:instrText>
      </w:r>
      <w:r w:rsidR="00561B55" w:rsidRPr="008F5202">
        <w:fldChar w:fldCharType="separate"/>
      </w:r>
      <w:r w:rsidR="00AF1AFB">
        <w:rPr>
          <w:noProof/>
        </w:rPr>
        <w:t>6</w:t>
      </w:r>
      <w:r w:rsidR="00561B55" w:rsidRPr="008F5202">
        <w:fldChar w:fldCharType="end"/>
      </w:r>
      <w:bookmarkEnd w:id="70"/>
      <w:r w:rsidRPr="008F5202">
        <w:t xml:space="preserve"> Correlation </w:t>
      </w:r>
      <m:oMath>
        <m:r>
          <m:rPr>
            <m:sty m:val="bi"/>
          </m:rPr>
          <w:rPr>
            <w:rFonts w:ascii="Cambria Math" w:hAnsi="Cambria Math"/>
          </w:rPr>
          <m:t>cR</m:t>
        </m:r>
        <m:sSubSup>
          <m:sSubSupPr>
            <m:ctrlPr>
              <w:rPr>
                <w:rFonts w:ascii="Cambria Math" w:hAnsi="Cambria Math"/>
              </w:rPr>
            </m:ctrlPr>
          </m:sSubSupPr>
          <m:e>
            <m:r>
              <m:rPr>
                <m:sty m:val="bi"/>
              </m:rPr>
              <w:rPr>
                <w:rFonts w:ascii="Cambria Math" w:hAnsi="Cambria Math"/>
              </w:rPr>
              <m:t>e</m:t>
            </m:r>
          </m:e>
          <m:sub>
            <m:sSub>
              <m:sSubPr>
                <m:ctrlPr>
                  <w:rPr>
                    <w:rFonts w:ascii="Cambria Math" w:hAnsi="Cambria Math"/>
                  </w:rPr>
                </m:ctrlPr>
              </m:sSubPr>
              <m:e>
                <m:r>
                  <m:rPr>
                    <m:sty m:val="bi"/>
                  </m:rPr>
                  <w:rPr>
                    <w:rFonts w:ascii="Cambria Math" w:hAnsi="Cambria Math"/>
                  </w:rPr>
                  <m:t>d</m:t>
                </m:r>
              </m:e>
              <m:sub>
                <m:r>
                  <m:rPr>
                    <m:sty m:val="bi"/>
                  </m:rPr>
                  <w:rPr>
                    <w:rFonts w:ascii="Cambria Math" w:hAnsi="Cambria Math"/>
                  </w:rPr>
                  <m:t>f</m:t>
                </m:r>
              </m:sub>
            </m:sSub>
          </m:sub>
          <m:sup>
            <m:r>
              <m:rPr>
                <m:sty m:val="b"/>
              </m:rPr>
              <w:rPr>
                <w:rFonts w:ascii="Cambria Math" w:hAnsi="Cambria Math"/>
              </w:rPr>
              <m:t xml:space="preserve">  </m:t>
            </m:r>
            <m:r>
              <m:rPr>
                <m:sty m:val="bi"/>
              </m:rPr>
              <w:rPr>
                <w:rFonts w:ascii="Cambria Math" w:hAnsi="Cambria Math"/>
              </w:rPr>
              <m:t>m</m:t>
            </m:r>
          </m:sup>
        </m:sSubSup>
      </m:oMath>
      <w:r w:rsidRPr="008F5202">
        <w:t xml:space="preserve"> for all investigated topologies under different heating conditions</w:t>
      </w:r>
      <w:bookmarkEnd w:id="71"/>
    </w:p>
    <w:p w14:paraId="786616E0" w14:textId="798F942F" w:rsidR="00911F8A" w:rsidRPr="008F5202" w:rsidRDefault="00BD4F12" w:rsidP="00911F8A">
      <w:pPr>
        <w:rPr>
          <w:rFonts w:ascii="Times New Roman" w:hAnsi="Times New Roman" w:cs="Times New Roman"/>
        </w:rPr>
      </w:pPr>
      <w:r w:rsidRPr="008F5202">
        <w:rPr>
          <w:rFonts w:ascii="Times New Roman" w:hAnsi="Times New Roman" w:cs="Times New Roman"/>
          <w:noProof/>
        </w:rPr>
        <w:drawing>
          <wp:inline distT="0" distB="0" distL="0" distR="0" wp14:anchorId="1434C4B7" wp14:editId="1CFE8630">
            <wp:extent cx="3429000" cy="1120667"/>
            <wp:effectExtent l="0" t="0" r="0" b="3810"/>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31"/>
                    <a:stretch>
                      <a:fillRect/>
                    </a:stretch>
                  </pic:blipFill>
                  <pic:spPr>
                    <a:xfrm>
                      <a:off x="0" y="0"/>
                      <a:ext cx="3455945" cy="1129473"/>
                    </a:xfrm>
                    <a:prstGeom prst="rect">
                      <a:avLst/>
                    </a:prstGeom>
                  </pic:spPr>
                </pic:pic>
              </a:graphicData>
            </a:graphic>
          </wp:inline>
        </w:drawing>
      </w:r>
    </w:p>
    <w:p w14:paraId="371147B1" w14:textId="46C97E11" w:rsidR="00BD4F12" w:rsidRPr="008F5202" w:rsidRDefault="00BD4F12" w:rsidP="00BD4F12">
      <w:pPr>
        <w:spacing w:line="360" w:lineRule="auto"/>
        <w:contextualSpacing/>
        <w:rPr>
          <w:rFonts w:ascii="Times New Roman" w:hAnsi="Times New Roman" w:cs="Times New Roman"/>
          <w:iCs/>
          <w:color w:val="000000" w:themeColor="text1"/>
          <w:sz w:val="20"/>
          <w:szCs w:val="18"/>
        </w:rPr>
      </w:pPr>
      <w:bookmarkStart w:id="72" w:name="_Ref177686309"/>
      <w:bookmarkStart w:id="73" w:name="_Toc177755179"/>
      <w:r w:rsidRPr="008F5202">
        <w:rPr>
          <w:rFonts w:ascii="Times New Roman" w:hAnsi="Times New Roman" w:cs="Times New Roman"/>
          <w:iCs/>
          <w:color w:val="000000" w:themeColor="text1"/>
          <w:sz w:val="20"/>
          <w:szCs w:val="18"/>
        </w:rPr>
        <w:t xml:space="preserve">Table </w:t>
      </w:r>
      <w:r w:rsidR="00561B55" w:rsidRPr="008F5202">
        <w:rPr>
          <w:rFonts w:ascii="Times New Roman" w:hAnsi="Times New Roman" w:cs="Times New Roman"/>
          <w:iCs/>
          <w:color w:val="000000" w:themeColor="text1"/>
          <w:sz w:val="20"/>
          <w:szCs w:val="18"/>
        </w:rPr>
        <w:fldChar w:fldCharType="begin"/>
      </w:r>
      <w:r w:rsidR="00561B55" w:rsidRPr="008F5202">
        <w:rPr>
          <w:rFonts w:ascii="Times New Roman" w:hAnsi="Times New Roman" w:cs="Times New Roman"/>
          <w:iCs/>
          <w:color w:val="000000" w:themeColor="text1"/>
          <w:sz w:val="20"/>
          <w:szCs w:val="18"/>
        </w:rPr>
        <w:instrText xml:space="preserve"> STYLEREF 1 \s </w:instrText>
      </w:r>
      <w:r w:rsidR="00561B55" w:rsidRPr="008F5202">
        <w:rPr>
          <w:rFonts w:ascii="Times New Roman" w:hAnsi="Times New Roman" w:cs="Times New Roman"/>
          <w:iCs/>
          <w:color w:val="000000" w:themeColor="text1"/>
          <w:sz w:val="20"/>
          <w:szCs w:val="18"/>
        </w:rPr>
        <w:fldChar w:fldCharType="separate"/>
      </w:r>
      <w:r w:rsidR="00AF1AFB">
        <w:rPr>
          <w:rFonts w:ascii="Times New Roman" w:hAnsi="Times New Roman" w:cs="Times New Roman"/>
          <w:iCs/>
          <w:noProof/>
          <w:color w:val="000000" w:themeColor="text1"/>
          <w:sz w:val="20"/>
          <w:szCs w:val="18"/>
        </w:rPr>
        <w:t>2</w:t>
      </w:r>
      <w:r w:rsidR="00561B55" w:rsidRPr="008F5202">
        <w:rPr>
          <w:rFonts w:ascii="Times New Roman" w:hAnsi="Times New Roman" w:cs="Times New Roman"/>
          <w:iCs/>
          <w:color w:val="000000" w:themeColor="text1"/>
          <w:sz w:val="20"/>
          <w:szCs w:val="18"/>
        </w:rPr>
        <w:fldChar w:fldCharType="end"/>
      </w:r>
      <w:r w:rsidR="00561B55" w:rsidRPr="008F5202">
        <w:rPr>
          <w:rFonts w:ascii="Times New Roman" w:hAnsi="Times New Roman" w:cs="Times New Roman"/>
          <w:iCs/>
          <w:color w:val="000000" w:themeColor="text1"/>
          <w:sz w:val="20"/>
          <w:szCs w:val="18"/>
        </w:rPr>
        <w:t>.</w:t>
      </w:r>
      <w:r w:rsidR="00561B55" w:rsidRPr="008F5202">
        <w:rPr>
          <w:rFonts w:ascii="Times New Roman" w:hAnsi="Times New Roman" w:cs="Times New Roman"/>
          <w:iCs/>
          <w:color w:val="000000" w:themeColor="text1"/>
          <w:sz w:val="20"/>
          <w:szCs w:val="18"/>
        </w:rPr>
        <w:fldChar w:fldCharType="begin"/>
      </w:r>
      <w:r w:rsidR="00561B55" w:rsidRPr="008F5202">
        <w:rPr>
          <w:rFonts w:ascii="Times New Roman" w:hAnsi="Times New Roman" w:cs="Times New Roman"/>
          <w:iCs/>
          <w:color w:val="000000" w:themeColor="text1"/>
          <w:sz w:val="20"/>
          <w:szCs w:val="18"/>
        </w:rPr>
        <w:instrText xml:space="preserve"> SEQ Table \* ARABIC \s 1 </w:instrText>
      </w:r>
      <w:r w:rsidR="00561B55" w:rsidRPr="008F5202">
        <w:rPr>
          <w:rFonts w:ascii="Times New Roman" w:hAnsi="Times New Roman" w:cs="Times New Roman"/>
          <w:iCs/>
          <w:color w:val="000000" w:themeColor="text1"/>
          <w:sz w:val="20"/>
          <w:szCs w:val="18"/>
        </w:rPr>
        <w:fldChar w:fldCharType="separate"/>
      </w:r>
      <w:r w:rsidR="00AF1AFB">
        <w:rPr>
          <w:rFonts w:ascii="Times New Roman" w:hAnsi="Times New Roman" w:cs="Times New Roman"/>
          <w:iCs/>
          <w:noProof/>
          <w:color w:val="000000" w:themeColor="text1"/>
          <w:sz w:val="20"/>
          <w:szCs w:val="18"/>
        </w:rPr>
        <w:t>7</w:t>
      </w:r>
      <w:r w:rsidR="00561B55" w:rsidRPr="008F5202">
        <w:rPr>
          <w:rFonts w:ascii="Times New Roman" w:hAnsi="Times New Roman" w:cs="Times New Roman"/>
          <w:iCs/>
          <w:color w:val="000000" w:themeColor="text1"/>
          <w:sz w:val="20"/>
          <w:szCs w:val="18"/>
        </w:rPr>
        <w:fldChar w:fldCharType="end"/>
      </w:r>
      <w:bookmarkEnd w:id="72"/>
      <w:r w:rsidRPr="008F5202">
        <w:rPr>
          <w:rFonts w:ascii="Times New Roman" w:hAnsi="Times New Roman" w:cs="Times New Roman"/>
        </w:rPr>
        <w:t xml:space="preserve"> </w:t>
      </w:r>
      <w:r w:rsidRPr="008F5202">
        <w:rPr>
          <w:rFonts w:ascii="Times New Roman" w:hAnsi="Times New Roman" w:cs="Times New Roman"/>
          <w:iCs/>
          <w:color w:val="000000" w:themeColor="text1"/>
          <w:sz w:val="20"/>
          <w:szCs w:val="18"/>
        </w:rPr>
        <w:t xml:space="preserve">Values of coefficients in correlation  </w:t>
      </w:r>
      <m:oMath>
        <m:r>
          <m:rPr>
            <m:sty m:val="bi"/>
          </m:rPr>
          <w:rPr>
            <w:rFonts w:ascii="Cambria Math" w:hAnsi="Cambria Math" w:cs="Times New Roman"/>
            <w:color w:val="000000" w:themeColor="text1"/>
            <w:sz w:val="20"/>
            <w:szCs w:val="18"/>
          </w:rPr>
          <m:t>Nu</m:t>
        </m:r>
        <m:r>
          <m:rPr>
            <m:sty m:val="p"/>
          </m:rPr>
          <w:rPr>
            <w:rFonts w:ascii="Cambria Math" w:hAnsi="Cambria Math" w:cs="Times New Roman"/>
            <w:color w:val="000000" w:themeColor="text1"/>
            <w:sz w:val="20"/>
            <w:szCs w:val="18"/>
          </w:rPr>
          <m:t>=</m:t>
        </m:r>
        <m:r>
          <m:rPr>
            <m:sty m:val="bi"/>
          </m:rPr>
          <w:rPr>
            <w:rFonts w:ascii="Cambria Math" w:hAnsi="Cambria Math" w:cs="Times New Roman"/>
            <w:color w:val="000000" w:themeColor="text1"/>
            <w:sz w:val="20"/>
            <w:szCs w:val="18"/>
          </w:rPr>
          <m:t>cR</m:t>
        </m:r>
        <m:sSup>
          <m:sSupPr>
            <m:ctrlPr>
              <w:rPr>
                <w:rFonts w:ascii="Cambria Math" w:hAnsi="Cambria Math" w:cs="Times New Roman"/>
                <w:iCs/>
                <w:color w:val="000000" w:themeColor="text1"/>
                <w:sz w:val="20"/>
                <w:szCs w:val="18"/>
              </w:rPr>
            </m:ctrlPr>
          </m:sSupPr>
          <m:e>
            <m:r>
              <m:rPr>
                <m:sty m:val="bi"/>
              </m:rPr>
              <w:rPr>
                <w:rFonts w:ascii="Cambria Math" w:hAnsi="Cambria Math" w:cs="Times New Roman"/>
                <w:color w:val="000000" w:themeColor="text1"/>
                <w:sz w:val="20"/>
                <w:szCs w:val="18"/>
              </w:rPr>
              <m:t>e</m:t>
            </m:r>
          </m:e>
          <m:sup>
            <m:r>
              <m:rPr>
                <m:sty m:val="bi"/>
              </m:rPr>
              <w:rPr>
                <w:rFonts w:ascii="Cambria Math" w:hAnsi="Cambria Math" w:cs="Times New Roman"/>
                <w:color w:val="000000" w:themeColor="text1"/>
                <w:sz w:val="20"/>
                <w:szCs w:val="18"/>
              </w:rPr>
              <m:t>m</m:t>
            </m:r>
          </m:sup>
        </m:sSup>
      </m:oMath>
      <w:r w:rsidRPr="008F5202">
        <w:rPr>
          <w:rFonts w:ascii="Times New Roman" w:hAnsi="Times New Roman" w:cs="Times New Roman"/>
          <w:iCs/>
          <w:color w:val="000000" w:themeColor="text1"/>
          <w:sz w:val="20"/>
          <w:szCs w:val="18"/>
        </w:rPr>
        <w:t xml:space="preserve">  for different characteristic length scales</w:t>
      </w:r>
      <w:bookmarkEnd w:id="73"/>
    </w:p>
    <w:p w14:paraId="267A5BDF" w14:textId="3F235041" w:rsidR="00BD4F12" w:rsidRPr="008F5202" w:rsidRDefault="00BD4F12" w:rsidP="00911F8A">
      <w:pPr>
        <w:rPr>
          <w:rFonts w:ascii="Times New Roman" w:hAnsi="Times New Roman" w:cs="Times New Roman"/>
        </w:rPr>
      </w:pPr>
      <w:r w:rsidRPr="008F5202">
        <w:rPr>
          <w:rFonts w:ascii="Times New Roman" w:hAnsi="Times New Roman" w:cs="Times New Roman"/>
          <w:noProof/>
        </w:rPr>
        <w:lastRenderedPageBreak/>
        <w:drawing>
          <wp:inline distT="0" distB="0" distL="0" distR="0" wp14:anchorId="48CAAA13" wp14:editId="530A06D7">
            <wp:extent cx="6140450" cy="984703"/>
            <wp:effectExtent l="0" t="0" r="0" b="6350"/>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32"/>
                    <a:stretch>
                      <a:fillRect/>
                    </a:stretch>
                  </pic:blipFill>
                  <pic:spPr>
                    <a:xfrm>
                      <a:off x="0" y="0"/>
                      <a:ext cx="6159397" cy="987741"/>
                    </a:xfrm>
                    <a:prstGeom prst="rect">
                      <a:avLst/>
                    </a:prstGeom>
                  </pic:spPr>
                </pic:pic>
              </a:graphicData>
            </a:graphic>
          </wp:inline>
        </w:drawing>
      </w:r>
    </w:p>
    <w:p w14:paraId="242E8E00" w14:textId="77777777" w:rsidR="00BD4F12" w:rsidRPr="008F5202" w:rsidRDefault="00BD4F12" w:rsidP="00BD4F12">
      <w:pPr>
        <w:keepNext/>
        <w:rPr>
          <w:rFonts w:ascii="Times New Roman" w:hAnsi="Times New Roman" w:cs="Times New Roman"/>
        </w:rPr>
      </w:pPr>
      <w:r w:rsidRPr="008F5202">
        <w:rPr>
          <w:rFonts w:ascii="Times New Roman" w:eastAsiaTheme="minorEastAsia" w:hAnsi="Times New Roman" w:cs="Times New Roman"/>
          <w:noProof/>
          <w:sz w:val="18"/>
          <w:szCs w:val="18"/>
        </w:rPr>
        <w:drawing>
          <wp:inline distT="0" distB="0" distL="0" distR="0" wp14:anchorId="7AF8A105" wp14:editId="2F462F3C">
            <wp:extent cx="4298867" cy="1998464"/>
            <wp:effectExtent l="0" t="0" r="698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33" cstate="print">
                      <a:extLst>
                        <a:ext uri="{28A0092B-C50C-407E-A947-70E740481C1C}">
                          <a14:useLocalDpi xmlns:a14="http://schemas.microsoft.com/office/drawing/2010/main" val="0"/>
                        </a:ext>
                      </a:extLst>
                    </a:blip>
                    <a:srcRect l="18785" t="11014" r="14385" b="33754"/>
                    <a:stretch/>
                  </pic:blipFill>
                  <pic:spPr bwMode="auto">
                    <a:xfrm>
                      <a:off x="0" y="0"/>
                      <a:ext cx="4315835" cy="2006352"/>
                    </a:xfrm>
                    <a:prstGeom prst="rect">
                      <a:avLst/>
                    </a:prstGeom>
                    <a:ln>
                      <a:noFill/>
                    </a:ln>
                    <a:extLst>
                      <a:ext uri="{53640926-AAD7-44D8-BBD7-CCE9431645EC}">
                        <a14:shadowObscured xmlns:a14="http://schemas.microsoft.com/office/drawing/2010/main"/>
                      </a:ext>
                    </a:extLst>
                  </pic:spPr>
                </pic:pic>
              </a:graphicData>
            </a:graphic>
          </wp:inline>
        </w:drawing>
      </w:r>
    </w:p>
    <w:p w14:paraId="03EAB944" w14:textId="73458749" w:rsidR="00BD4F12" w:rsidRPr="008F5202" w:rsidRDefault="00BD4F12" w:rsidP="008F5202">
      <w:pPr>
        <w:pStyle w:val="Caption"/>
      </w:pPr>
      <w:bookmarkStart w:id="74" w:name="_Ref177686072"/>
      <w:bookmarkStart w:id="75" w:name="_Toc177755195"/>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13</w:t>
      </w:r>
      <w:r w:rsidR="003763D2" w:rsidRPr="008F5202">
        <w:fldChar w:fldCharType="end"/>
      </w:r>
      <w:bookmarkEnd w:id="74"/>
      <w:r w:rsidRPr="008F5202">
        <w:t xml:space="preserve"> Comparison of values predicted from correlations with the values obtained from experiments</w:t>
      </w:r>
      <w:bookmarkEnd w:id="75"/>
    </w:p>
    <w:p w14:paraId="658DE184" w14:textId="29D51700" w:rsidR="00BD4F12" w:rsidRPr="008F5202" w:rsidRDefault="00C27D23" w:rsidP="00230F46">
      <w:pPr>
        <w:pStyle w:val="Heading3"/>
      </w:pPr>
      <w:bookmarkStart w:id="76" w:name="_Toc177758143"/>
      <w:r w:rsidRPr="008F5202">
        <w:t>Heat transfer augmentation</w:t>
      </w:r>
      <w:bookmarkEnd w:id="76"/>
    </w:p>
    <w:p w14:paraId="6545466D" w14:textId="25C104F5" w:rsidR="00C27D23" w:rsidRPr="008F5202" w:rsidRDefault="00C27D23" w:rsidP="00C27D23">
      <w:pPr>
        <w:spacing w:line="360" w:lineRule="auto"/>
        <w:rPr>
          <w:rFonts w:ascii="Times New Roman" w:hAnsi="Times New Roman" w:cs="Times New Roman"/>
        </w:rPr>
      </w:pPr>
      <w:r w:rsidRPr="008F5202">
        <w:rPr>
          <w:rFonts w:ascii="Times New Roman" w:hAnsi="Times New Roman" w:cs="Times New Roman"/>
        </w:rPr>
        <w:t xml:space="preserve">The augmentation in heat transfer provided by the lattices with respect to smooth channel is shown in </w:t>
      </w:r>
      <w:r w:rsidRPr="008F5202">
        <w:rPr>
          <w:rFonts w:ascii="Times New Roman" w:hAnsi="Times New Roman" w:cs="Times New Roman"/>
        </w:rPr>
        <w:fldChar w:fldCharType="begin"/>
      </w:r>
      <w:r w:rsidRPr="008F5202">
        <w:rPr>
          <w:rFonts w:ascii="Times New Roman" w:hAnsi="Times New Roman" w:cs="Times New Roman"/>
        </w:rPr>
        <w:instrText xml:space="preserve"> REF _Ref177686693 \h  \* MERGEFORMAT </w:instrText>
      </w:r>
      <w:r w:rsidRPr="008F5202">
        <w:rPr>
          <w:rFonts w:ascii="Times New Roman" w:hAnsi="Times New Roman" w:cs="Times New Roman"/>
        </w:rPr>
      </w:r>
      <w:r w:rsidRPr="008F5202">
        <w:rPr>
          <w:rFonts w:ascii="Times New Roman" w:hAnsi="Times New Roman" w:cs="Times New Roman"/>
        </w:rPr>
        <w:fldChar w:fldCharType="separate"/>
      </w:r>
      <w:r w:rsidR="00AF1AFB" w:rsidRPr="00AF1AFB">
        <w:rPr>
          <w:rFonts w:ascii="Times New Roman" w:hAnsi="Times New Roman" w:cs="Times New Roman"/>
        </w:rPr>
        <w:t>Figure 2.14</w:t>
      </w:r>
      <w:r w:rsidRPr="008F5202">
        <w:rPr>
          <w:rFonts w:ascii="Times New Roman" w:hAnsi="Times New Roman" w:cs="Times New Roman"/>
        </w:rPr>
        <w:fldChar w:fldCharType="end"/>
      </w:r>
      <w:r w:rsidRPr="008F5202">
        <w:rPr>
          <w:rFonts w:ascii="Times New Roman" w:hAnsi="Times New Roman" w:cs="Times New Roman"/>
        </w:rPr>
        <w:t>.</w:t>
      </w:r>
    </w:p>
    <w:p w14:paraId="2AAC6E1C" w14:textId="3D7374C8" w:rsidR="00C27D23" w:rsidRPr="008F5202" w:rsidRDefault="00C27D23" w:rsidP="00C27D23">
      <w:pPr>
        <w:spacing w:line="360" w:lineRule="auto"/>
        <w:contextualSpacing/>
        <w:rPr>
          <w:rFonts w:ascii="Times New Roman" w:hAnsi="Times New Roman" w:cs="Times New Roman"/>
        </w:rPr>
      </w:pPr>
      <w:r w:rsidRPr="008F5202">
        <w:rPr>
          <w:rFonts w:ascii="Times New Roman" w:hAnsi="Times New Roman" w:cs="Times New Roman"/>
        </w:rPr>
        <w:t>The baseline smooth channel Nusselt number was predicted using Dittus-Boelter correlation (</w:t>
      </w:r>
      <m:oMath>
        <m:r>
          <w:rPr>
            <w:rFonts w:ascii="Cambria Math" w:hAnsi="Cambria Math" w:cs="Times New Roman"/>
          </w:rPr>
          <m:t>N</m:t>
        </m:r>
        <m:sSub>
          <m:sSubPr>
            <m:ctrlPr>
              <w:rPr>
                <w:rFonts w:ascii="Cambria Math" w:hAnsi="Cambria Math" w:cs="Times New Roman"/>
              </w:rPr>
            </m:ctrlPr>
          </m:sSubPr>
          <m:e>
            <m:r>
              <w:rPr>
                <w:rFonts w:ascii="Cambria Math" w:hAnsi="Cambria Math" w:cs="Times New Roman"/>
              </w:rPr>
              <m:t>u</m:t>
            </m:r>
          </m:e>
          <m:sub>
            <m:r>
              <m:rPr>
                <m:sty m:val="p"/>
              </m:rPr>
              <w:rPr>
                <w:rFonts w:ascii="Cambria Math" w:hAnsi="Cambria Math" w:cs="Times New Roman"/>
              </w:rPr>
              <m:t>0</m:t>
            </m:r>
          </m:sub>
        </m:sSub>
        <m:r>
          <m:rPr>
            <m:sty m:val="p"/>
          </m:rPr>
          <w:rPr>
            <w:rFonts w:ascii="Cambria Math" w:hAnsi="Cambria Math" w:cs="Times New Roman"/>
          </w:rPr>
          <m:t>=0.023</m:t>
        </m:r>
        <m:r>
          <w:rPr>
            <w:rFonts w:ascii="Cambria Math" w:hAnsi="Cambria Math" w:cs="Times New Roman"/>
          </w:rPr>
          <m:t>R</m:t>
        </m:r>
        <m:sSubSup>
          <m:sSubSupPr>
            <m:ctrlPr>
              <w:rPr>
                <w:rFonts w:ascii="Cambria Math" w:hAnsi="Cambria Math" w:cs="Times New Roman"/>
              </w:rPr>
            </m:ctrlPr>
          </m:sSubSupPr>
          <m:e>
            <m:r>
              <w:rPr>
                <w:rFonts w:ascii="Cambria Math" w:hAnsi="Cambria Math" w:cs="Times New Roman"/>
              </w:rPr>
              <m:t>e</m:t>
            </m:r>
          </m:e>
          <m:sub>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h</m:t>
                </m:r>
              </m:sub>
            </m:sSub>
          </m:sub>
          <m:sup>
            <m:r>
              <m:rPr>
                <m:sty m:val="p"/>
              </m:rPr>
              <w:rPr>
                <w:rFonts w:ascii="Cambria Math" w:hAnsi="Cambria Math" w:cs="Times New Roman"/>
              </w:rPr>
              <m:t>0.8</m:t>
            </m:r>
          </m:sup>
        </m:sSubSup>
        <m:sSup>
          <m:sSupPr>
            <m:ctrlPr>
              <w:rPr>
                <w:rFonts w:ascii="Cambria Math" w:hAnsi="Cambria Math" w:cs="Times New Roman"/>
              </w:rPr>
            </m:ctrlPr>
          </m:sSupPr>
          <m:e>
            <m:r>
              <w:rPr>
                <w:rFonts w:ascii="Cambria Math" w:hAnsi="Cambria Math" w:cs="Times New Roman"/>
              </w:rPr>
              <m:t>Pr</m:t>
            </m:r>
          </m:e>
          <m:sup>
            <m:r>
              <m:rPr>
                <m:sty m:val="p"/>
              </m:rPr>
              <w:rPr>
                <w:rFonts w:ascii="Cambria Math" w:hAnsi="Cambria Math" w:cs="Times New Roman"/>
              </w:rPr>
              <m:t>0.4</m:t>
            </m:r>
          </m:sup>
        </m:sSup>
      </m:oMath>
      <w:r w:rsidRPr="008F5202">
        <w:rPr>
          <w:rFonts w:ascii="Times New Roman" w:hAnsi="Times New Roman" w:cs="Times New Roman"/>
        </w:rPr>
        <w:t>) developed for turbulent and fully developed thermal flows in smooth channels. The Nusselt number of the lattices corresponding to only total heat transfer coefficient based on channel hydraulic diameter length scale (</w:t>
      </w:r>
      <m:oMath>
        <m:r>
          <w:rPr>
            <w:rFonts w:ascii="Cambria Math" w:hAnsi="Cambria Math" w:cs="Times New Roman"/>
          </w:rPr>
          <m:t>N</m:t>
        </m:r>
        <m:sSub>
          <m:sSubPr>
            <m:ctrlPr>
              <w:rPr>
                <w:rFonts w:ascii="Cambria Math" w:hAnsi="Cambria Math" w:cs="Times New Roman"/>
              </w:rPr>
            </m:ctrlPr>
          </m:sSubPr>
          <m:e>
            <m:sSub>
              <m:sSubPr>
                <m:ctrlPr>
                  <w:rPr>
                    <w:rFonts w:ascii="Cambria Math" w:hAnsi="Cambria Math" w:cs="Times New Roman"/>
                  </w:rPr>
                </m:ctrlPr>
              </m:sSubPr>
              <m:e>
                <m:r>
                  <w:rPr>
                    <w:rFonts w:ascii="Cambria Math" w:hAnsi="Cambria Math" w:cs="Times New Roman"/>
                  </w:rPr>
                  <m:t>u</m:t>
                </m:r>
              </m:e>
              <m:sub>
                <m:r>
                  <w:rPr>
                    <w:rFonts w:ascii="Cambria Math" w:hAnsi="Cambria Math" w:cs="Times New Roman"/>
                  </w:rPr>
                  <m:t>d</m:t>
                </m:r>
              </m:sub>
            </m:sSub>
          </m:e>
          <m:sub>
            <m:r>
              <w:rPr>
                <w:rFonts w:ascii="Cambria Math" w:hAnsi="Cambria Math" w:cs="Times New Roman"/>
              </w:rPr>
              <m:t>h</m:t>
            </m:r>
          </m:sub>
        </m:sSub>
        <m:r>
          <m:rPr>
            <m:sty m:val="p"/>
          </m:rPr>
          <w:rPr>
            <w:rFonts w:ascii="Cambria Math" w:hAnsi="Cambria Math" w:cs="Times New Roman"/>
          </w:rPr>
          <m:t>=</m:t>
        </m:r>
        <m:r>
          <w:rPr>
            <w:rFonts w:ascii="Cambria Math" w:hAnsi="Cambria Math" w:cs="Times New Roman"/>
          </w:rPr>
          <m:t>h</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h</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f</m:t>
            </m:r>
          </m:sub>
        </m:sSub>
      </m:oMath>
      <w:r w:rsidRPr="008F5202">
        <w:rPr>
          <w:rFonts w:ascii="Times New Roman" w:hAnsi="Times New Roman" w:cs="Times New Roman"/>
        </w:rPr>
        <w:t xml:space="preserve">) presented in </w:t>
      </w:r>
      <w:r w:rsidRPr="008F5202">
        <w:rPr>
          <w:rFonts w:ascii="Times New Roman" w:hAnsi="Times New Roman" w:cs="Times New Roman"/>
        </w:rPr>
        <w:fldChar w:fldCharType="begin"/>
      </w:r>
      <w:r w:rsidRPr="008F5202">
        <w:rPr>
          <w:rFonts w:ascii="Times New Roman" w:hAnsi="Times New Roman" w:cs="Times New Roman"/>
        </w:rPr>
        <w:instrText xml:space="preserve"> REF _Ref177684364 \h  \* MERGEFORMAT </w:instrText>
      </w:r>
      <w:r w:rsidRPr="008F5202">
        <w:rPr>
          <w:rFonts w:ascii="Times New Roman" w:hAnsi="Times New Roman" w:cs="Times New Roman"/>
        </w:rPr>
      </w:r>
      <w:r w:rsidRPr="008F5202">
        <w:rPr>
          <w:rFonts w:ascii="Times New Roman" w:hAnsi="Times New Roman" w:cs="Times New Roman"/>
        </w:rPr>
        <w:fldChar w:fldCharType="separate"/>
      </w:r>
      <w:r w:rsidR="00AF1AFB" w:rsidRPr="00AF1AFB">
        <w:rPr>
          <w:rFonts w:ascii="Times New Roman" w:hAnsi="Times New Roman" w:cs="Times New Roman"/>
        </w:rPr>
        <w:t>Figure 2.8</w:t>
      </w:r>
      <w:r w:rsidRPr="008F5202">
        <w:rPr>
          <w:rFonts w:ascii="Times New Roman" w:hAnsi="Times New Roman" w:cs="Times New Roman"/>
        </w:rPr>
        <w:fldChar w:fldCharType="end"/>
      </w:r>
      <w:r w:rsidRPr="008F5202">
        <w:rPr>
          <w:rFonts w:ascii="Times New Roman" w:hAnsi="Times New Roman" w:cs="Times New Roman"/>
        </w:rPr>
        <w:t xml:space="preserve"> is used here to discuss the enhancement levels.</w:t>
      </w:r>
    </w:p>
    <w:p w14:paraId="73752662" w14:textId="77777777" w:rsidR="00C27D23" w:rsidRPr="008F5202" w:rsidRDefault="00C27D23" w:rsidP="00C27D23">
      <w:pPr>
        <w:spacing w:line="360" w:lineRule="auto"/>
        <w:contextualSpacing/>
        <w:jc w:val="both"/>
        <w:rPr>
          <w:rFonts w:ascii="Times New Roman" w:hAnsi="Times New Roman" w:cs="Times New Roman"/>
        </w:rPr>
      </w:pPr>
      <w:r w:rsidRPr="008F5202">
        <w:rPr>
          <w:rFonts w:ascii="Times New Roman" w:hAnsi="Times New Roman" w:cs="Times New Roman"/>
        </w:rPr>
        <w:t xml:space="preserve">This seemed relevant as in practical applications the potential of lattices are fully realized due to their conjugate thermal exchange abilities including buoyancy-effects. When both the top and bottom walls were heated, Octet, FD-Cube, and TKD provided about 13 to 23 times higher heat transfer than the smooth channel, whereas Cube yielded about 9.5 to 17 times higher heat transfer. When only bottom wall was heated, the heat transfer enhancement relative to smooth channel provided by Octet, FD-Cube, and TKD was 11.3 to 20 times, but Cube provided augmentation of 9.4 to 12.5 times as compared to the smooth channel. Overall, the employment of lattices with varying topologies in a channel </w:t>
      </w:r>
      <w:r w:rsidRPr="008F5202">
        <w:rPr>
          <w:rFonts w:ascii="Times New Roman" w:hAnsi="Times New Roman" w:cs="Times New Roman"/>
        </w:rPr>
        <w:lastRenderedPageBreak/>
        <w:t>is capable of producing heat transfer as high as 10 to 20 times relative to the corresponding smooth channel configurations. It should be noted that the endwalls integrated to the lattice block while manufacturing possessed surface roughness due to which the enhancement levels shown in Fig. 14 include not only the benefits of the conjugate thermal exchange of a certain topology but also the roughness on fibers and endwalls.</w:t>
      </w:r>
    </w:p>
    <w:p w14:paraId="2CD07BF2" w14:textId="77777777" w:rsidR="00C27D23" w:rsidRPr="008F5202" w:rsidRDefault="00C27D23" w:rsidP="00C27D23">
      <w:pPr>
        <w:keepNext/>
        <w:spacing w:line="360" w:lineRule="auto"/>
        <w:contextualSpacing/>
        <w:jc w:val="both"/>
        <w:rPr>
          <w:rFonts w:ascii="Times New Roman" w:hAnsi="Times New Roman" w:cs="Times New Roman"/>
        </w:rPr>
      </w:pPr>
      <w:r w:rsidRPr="008F5202">
        <w:rPr>
          <w:rFonts w:ascii="Times New Roman" w:eastAsiaTheme="minorEastAsia" w:hAnsi="Times New Roman" w:cs="Times New Roman"/>
          <w:b/>
          <w:bCs/>
          <w:noProof/>
          <w:sz w:val="18"/>
          <w:szCs w:val="18"/>
        </w:rPr>
        <w:drawing>
          <wp:inline distT="0" distB="0" distL="0" distR="0" wp14:anchorId="098A0FCE" wp14:editId="108CF9A0">
            <wp:extent cx="4870911" cy="2419350"/>
            <wp:effectExtent l="0" t="0" r="6350" b="0"/>
            <wp:docPr id="753071677" name="Picture 75307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4" cstate="print">
                      <a:extLst>
                        <a:ext uri="{28A0092B-C50C-407E-A947-70E740481C1C}">
                          <a14:useLocalDpi xmlns:a14="http://schemas.microsoft.com/office/drawing/2010/main" val="0"/>
                        </a:ext>
                      </a:extLst>
                    </a:blip>
                    <a:srcRect l="20781" t="4972" r="21479" b="44043"/>
                    <a:stretch/>
                  </pic:blipFill>
                  <pic:spPr bwMode="auto">
                    <a:xfrm>
                      <a:off x="0" y="0"/>
                      <a:ext cx="4902840" cy="2435209"/>
                    </a:xfrm>
                    <a:prstGeom prst="rect">
                      <a:avLst/>
                    </a:prstGeom>
                    <a:ln>
                      <a:noFill/>
                    </a:ln>
                    <a:extLst>
                      <a:ext uri="{53640926-AAD7-44D8-BBD7-CCE9431645EC}">
                        <a14:shadowObscured xmlns:a14="http://schemas.microsoft.com/office/drawing/2010/main"/>
                      </a:ext>
                    </a:extLst>
                  </pic:spPr>
                </pic:pic>
              </a:graphicData>
            </a:graphic>
          </wp:inline>
        </w:drawing>
      </w:r>
    </w:p>
    <w:p w14:paraId="54ACDEFF" w14:textId="2258F946" w:rsidR="00C27D23" w:rsidRPr="008F5202" w:rsidRDefault="00C27D23" w:rsidP="008F5202">
      <w:pPr>
        <w:pStyle w:val="Caption"/>
      </w:pPr>
      <w:bookmarkStart w:id="77" w:name="_Ref177686693"/>
      <w:bookmarkStart w:id="78" w:name="_Toc177755196"/>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14</w:t>
      </w:r>
      <w:r w:rsidR="003763D2" w:rsidRPr="008F5202">
        <w:fldChar w:fldCharType="end"/>
      </w:r>
      <w:bookmarkEnd w:id="77"/>
      <w:r w:rsidRPr="008F5202">
        <w:t xml:space="preserve"> Nusselt number enhancement with respect to smooth channel Dittus-Boelter correlation</w:t>
      </w:r>
      <w:bookmarkEnd w:id="78"/>
    </w:p>
    <w:p w14:paraId="5F450CB2" w14:textId="2DB23CA8" w:rsidR="00C27D23" w:rsidRPr="008F5202" w:rsidRDefault="00C27D23" w:rsidP="00230F46">
      <w:pPr>
        <w:pStyle w:val="Heading3"/>
      </w:pPr>
      <w:bookmarkStart w:id="79" w:name="_Toc177758144"/>
      <w:r w:rsidRPr="008F5202">
        <w:t>Pressure drop characteristics</w:t>
      </w:r>
      <w:bookmarkEnd w:id="79"/>
    </w:p>
    <w:p w14:paraId="4566987A" w14:textId="4908D54F" w:rsidR="00C27D23" w:rsidRPr="008F5202" w:rsidRDefault="00C27D23" w:rsidP="00C27D23">
      <w:pPr>
        <w:spacing w:line="360" w:lineRule="auto"/>
        <w:rPr>
          <w:rFonts w:ascii="Times New Roman" w:hAnsi="Times New Roman" w:cs="Times New Roman"/>
        </w:rPr>
      </w:pPr>
      <w:r w:rsidRPr="008F5202">
        <w:rPr>
          <w:rFonts w:ascii="Times New Roman" w:hAnsi="Times New Roman" w:cs="Times New Roman"/>
        </w:rPr>
        <w:t xml:space="preserve">Lattices yield high heat transfer levels but at a cost of high pumping power requirements. To compare the flow losses of various topologies, the pressure gradient across the lattices is presented as a function of the mean flow velocity in </w:t>
      </w:r>
      <w:r w:rsidR="00263E1A" w:rsidRPr="008F5202">
        <w:rPr>
          <w:rFonts w:ascii="Times New Roman" w:hAnsi="Times New Roman" w:cs="Times New Roman"/>
        </w:rPr>
        <w:fldChar w:fldCharType="begin"/>
      </w:r>
      <w:r w:rsidR="00263E1A" w:rsidRPr="008F5202">
        <w:rPr>
          <w:rFonts w:ascii="Times New Roman" w:hAnsi="Times New Roman" w:cs="Times New Roman"/>
        </w:rPr>
        <w:instrText xml:space="preserve"> REF _Ref177686957 \h  \* MERGEFORMAT </w:instrText>
      </w:r>
      <w:r w:rsidR="00263E1A" w:rsidRPr="008F5202">
        <w:rPr>
          <w:rFonts w:ascii="Times New Roman" w:hAnsi="Times New Roman" w:cs="Times New Roman"/>
        </w:rPr>
      </w:r>
      <w:r w:rsidR="00263E1A" w:rsidRPr="008F5202">
        <w:rPr>
          <w:rFonts w:ascii="Times New Roman" w:hAnsi="Times New Roman" w:cs="Times New Roman"/>
        </w:rPr>
        <w:fldChar w:fldCharType="separate"/>
      </w:r>
      <w:r w:rsidR="00AF1AFB" w:rsidRPr="00AF1AFB">
        <w:rPr>
          <w:rFonts w:ascii="Times New Roman" w:hAnsi="Times New Roman" w:cs="Times New Roman"/>
        </w:rPr>
        <w:t>Figure 2.15</w:t>
      </w:r>
      <w:r w:rsidR="00263E1A" w:rsidRPr="008F5202">
        <w:rPr>
          <w:rFonts w:ascii="Times New Roman" w:hAnsi="Times New Roman" w:cs="Times New Roman"/>
        </w:rPr>
        <w:fldChar w:fldCharType="end"/>
      </w:r>
      <w:r w:rsidRPr="008F5202">
        <w:rPr>
          <w:rFonts w:ascii="Times New Roman" w:hAnsi="Times New Roman" w:cs="Times New Roman"/>
        </w:rPr>
        <w:t>a. Pressure drop measurements were conducted under isothermal conditions where no heating was applied on the top and bottom substrate walls. Pressure gradient (</w:t>
      </w:r>
      <m:oMath>
        <m:f>
          <m:fPr>
            <m:type m:val="lin"/>
            <m:ctrlPr>
              <w:rPr>
                <w:rFonts w:ascii="Cambria Math" w:hAnsi="Cambria Math" w:cs="Times New Roman"/>
              </w:rPr>
            </m:ctrlPr>
          </m:fPr>
          <m:num>
            <m:r>
              <m:rPr>
                <m:sty m:val="p"/>
              </m:rPr>
              <w:rPr>
                <w:rFonts w:ascii="Cambria Math" w:hAnsi="Cambria Math" w:cs="Times New Roman"/>
              </w:rPr>
              <m:t>∆</m:t>
            </m:r>
            <m:r>
              <w:rPr>
                <w:rFonts w:ascii="Cambria Math" w:hAnsi="Cambria Math" w:cs="Times New Roman"/>
              </w:rPr>
              <m:t>P</m:t>
            </m:r>
          </m:num>
          <m:den>
            <m:r>
              <w:rPr>
                <w:rFonts w:ascii="Cambria Math" w:hAnsi="Cambria Math" w:cs="Times New Roman"/>
              </w:rPr>
              <m:t>L</m:t>
            </m:r>
          </m:den>
        </m:f>
      </m:oMath>
      <w:r w:rsidRPr="008F5202">
        <w:rPr>
          <w:rFonts w:ascii="Times New Roman" w:hAnsi="Times New Roman" w:cs="Times New Roman"/>
        </w:rPr>
        <w:t>) as a function of the mean flow velocity is used to represent the flow losses incurred by the lattices, where mean flow velocity was based on the volumetric flow rate and channel cross-section area.</w:t>
      </w:r>
    </w:p>
    <w:p w14:paraId="3AB13383" w14:textId="6D18B25A" w:rsidR="00C27D23" w:rsidRPr="008F5202" w:rsidRDefault="00C27D23" w:rsidP="00C27D23">
      <w:pPr>
        <w:spacing w:line="360" w:lineRule="auto"/>
        <w:ind w:firstLine="284"/>
        <w:contextualSpacing/>
        <w:rPr>
          <w:rFonts w:ascii="Times New Roman" w:hAnsi="Times New Roman" w:cs="Times New Roman"/>
        </w:rPr>
      </w:pPr>
      <w:r w:rsidRPr="008F5202">
        <w:rPr>
          <w:rFonts w:ascii="Times New Roman" w:hAnsi="Times New Roman" w:cs="Times New Roman"/>
        </w:rPr>
        <w:t>The non-dimensional form of the pressure drop, i.e., Fanning friction-factor was also calculated according to the following definition:</w:t>
      </w:r>
    </w:p>
    <w:p w14:paraId="286A5BFB" w14:textId="51DB9CC1" w:rsidR="00C27D23" w:rsidRPr="008F5202" w:rsidRDefault="00C27D23" w:rsidP="008F5202">
      <w:pPr>
        <w:pStyle w:val="Caption"/>
      </w:pPr>
      <w:bookmarkStart w:id="80" w:name="_Ref177687114"/>
      <w:r w:rsidRPr="008F5202">
        <w:lastRenderedPageBreak/>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2</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9</w:t>
      </w:r>
      <w:r w:rsidR="000978FD" w:rsidRPr="008F5202">
        <w:fldChar w:fldCharType="end"/>
      </w:r>
      <w:bookmarkEnd w:id="80"/>
    </w:p>
    <w:p w14:paraId="3B11EA87" w14:textId="52D7B32D" w:rsidR="00C27D23" w:rsidRPr="008F5202" w:rsidRDefault="00C27D23" w:rsidP="00C27D23">
      <w:pPr>
        <w:spacing w:line="360" w:lineRule="auto"/>
        <w:contextualSpacing/>
        <w:rPr>
          <w:rFonts w:ascii="Times New Roman" w:hAnsi="Times New Roman" w:cs="Times New Roman"/>
        </w:rPr>
      </w:pPr>
      <m:oMathPara>
        <m:oMath>
          <m:r>
            <w:rPr>
              <w:rFonts w:ascii="Cambria Math" w:hAnsi="Cambria Math" w:cs="Times New Roman"/>
            </w:rPr>
            <m:t>f</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m:t>
              </m:r>
              <m:r>
                <w:rPr>
                  <w:rFonts w:ascii="Cambria Math" w:hAnsi="Cambria Math" w:cs="Times New Roman"/>
                </w:rPr>
                <m:t>P</m:t>
              </m:r>
            </m:num>
            <m:den>
              <m:r>
                <w:rPr>
                  <w:rFonts w:ascii="Cambria Math" w:hAnsi="Cambria Math" w:cs="Times New Roman"/>
                </w:rPr>
                <m:t>L</m:t>
              </m:r>
            </m:den>
          </m:f>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h</m:t>
                  </m:r>
                </m:sub>
              </m:sSub>
            </m:num>
            <m:den>
              <m:r>
                <m:rPr>
                  <m:sty m:val="p"/>
                </m:rPr>
                <w:rPr>
                  <w:rFonts w:ascii="Cambria Math" w:hAnsi="Cambria Math" w:cs="Times New Roman"/>
                </w:rPr>
                <m:t>2</m:t>
              </m:r>
              <m:r>
                <w:rPr>
                  <w:rFonts w:ascii="Cambria Math" w:hAnsi="Cambria Math" w:cs="Times New Roman"/>
                </w:rPr>
                <m:t>ρ</m:t>
              </m:r>
              <m:sSup>
                <m:sSupPr>
                  <m:ctrlPr>
                    <w:rPr>
                      <w:rFonts w:ascii="Cambria Math" w:hAnsi="Cambria Math" w:cs="Times New Roman"/>
                    </w:rPr>
                  </m:ctrlPr>
                </m:sSupPr>
                <m:e>
                  <m:r>
                    <w:rPr>
                      <w:rFonts w:ascii="Cambria Math" w:hAnsi="Cambria Math" w:cs="Times New Roman"/>
                    </w:rPr>
                    <m:t>u</m:t>
                  </m:r>
                </m:e>
                <m:sup>
                  <m:r>
                    <m:rPr>
                      <m:sty m:val="p"/>
                    </m:rPr>
                    <w:rPr>
                      <w:rFonts w:ascii="Cambria Math" w:hAnsi="Cambria Math" w:cs="Times New Roman"/>
                    </w:rPr>
                    <m:t>2</m:t>
                  </m:r>
                </m:sup>
              </m:sSup>
            </m:den>
          </m:f>
        </m:oMath>
      </m:oMathPara>
    </w:p>
    <w:p w14:paraId="56365955" w14:textId="10A37858" w:rsidR="00263E1A" w:rsidRPr="008F5202" w:rsidRDefault="00C27D23" w:rsidP="00C27D23">
      <w:pPr>
        <w:tabs>
          <w:tab w:val="left" w:pos="284"/>
        </w:tabs>
        <w:spacing w:line="360" w:lineRule="auto"/>
        <w:contextualSpacing/>
        <w:jc w:val="both"/>
        <w:rPr>
          <w:rFonts w:ascii="Times New Roman" w:hAnsi="Times New Roman" w:cs="Times New Roman"/>
        </w:rPr>
      </w:pPr>
      <w:r w:rsidRPr="008F5202">
        <w:rPr>
          <w:rFonts w:ascii="Times New Roman" w:hAnsi="Times New Roman" w:cs="Times New Roman"/>
        </w:rPr>
        <w:t xml:space="preserve">FD-Cube had the highest pressure gradient, followed by Octet, TKD, and Cube. The intersection of diagonal fibers at the face of the unit cell as shown in </w:t>
      </w:r>
      <w:r w:rsidR="00263E1A" w:rsidRPr="008F5202">
        <w:rPr>
          <w:rFonts w:ascii="Times New Roman" w:hAnsi="Times New Roman" w:cs="Times New Roman"/>
        </w:rPr>
        <w:fldChar w:fldCharType="begin"/>
      </w:r>
      <w:r w:rsidR="00263E1A" w:rsidRPr="008F5202">
        <w:rPr>
          <w:rFonts w:ascii="Times New Roman" w:hAnsi="Times New Roman" w:cs="Times New Roman"/>
        </w:rPr>
        <w:instrText xml:space="preserve"> REF _Ref177685011 \h  \* MERGEFORMAT </w:instrText>
      </w:r>
      <w:r w:rsidR="00263E1A" w:rsidRPr="008F5202">
        <w:rPr>
          <w:rFonts w:ascii="Times New Roman" w:hAnsi="Times New Roman" w:cs="Times New Roman"/>
        </w:rPr>
      </w:r>
      <w:r w:rsidR="00263E1A" w:rsidRPr="008F5202">
        <w:rPr>
          <w:rFonts w:ascii="Times New Roman" w:hAnsi="Times New Roman" w:cs="Times New Roman"/>
        </w:rPr>
        <w:fldChar w:fldCharType="separate"/>
      </w:r>
      <w:r w:rsidR="00AF1AFB" w:rsidRPr="00AF1AFB">
        <w:rPr>
          <w:rFonts w:ascii="Times New Roman" w:hAnsi="Times New Roman" w:cs="Times New Roman"/>
        </w:rPr>
        <w:t>Figure 2.10</w:t>
      </w:r>
      <w:r w:rsidR="00263E1A" w:rsidRPr="008F5202">
        <w:rPr>
          <w:rFonts w:ascii="Times New Roman" w:hAnsi="Times New Roman" w:cs="Times New Roman"/>
        </w:rPr>
        <w:fldChar w:fldCharType="end"/>
      </w:r>
      <w:r w:rsidRPr="008F5202">
        <w:rPr>
          <w:rFonts w:ascii="Times New Roman" w:hAnsi="Times New Roman" w:cs="Times New Roman"/>
        </w:rPr>
        <w:t>b provided large resistance to the fluid flow. The least value of pore diameter was also exhibited by the FD-Cube topology (</w:t>
      </w:r>
      <w:r w:rsidR="00263E1A" w:rsidRPr="008F5202">
        <w:rPr>
          <w:rFonts w:ascii="Times New Roman" w:hAnsi="Times New Roman" w:cs="Times New Roman"/>
        </w:rPr>
        <w:fldChar w:fldCharType="begin"/>
      </w:r>
      <w:r w:rsidR="00263E1A" w:rsidRPr="008F5202">
        <w:rPr>
          <w:rFonts w:ascii="Times New Roman" w:hAnsi="Times New Roman" w:cs="Times New Roman"/>
        </w:rPr>
        <w:instrText xml:space="preserve"> REF _Ref177685136 \h  \* MERGEFORMAT </w:instrText>
      </w:r>
      <w:r w:rsidR="00263E1A" w:rsidRPr="008F5202">
        <w:rPr>
          <w:rFonts w:ascii="Times New Roman" w:hAnsi="Times New Roman" w:cs="Times New Roman"/>
        </w:rPr>
      </w:r>
      <w:r w:rsidR="00263E1A" w:rsidRPr="008F5202">
        <w:rPr>
          <w:rFonts w:ascii="Times New Roman" w:hAnsi="Times New Roman" w:cs="Times New Roman"/>
        </w:rPr>
        <w:fldChar w:fldCharType="separate"/>
      </w:r>
      <w:r w:rsidR="00AF1AFB" w:rsidRPr="00AF1AFB">
        <w:rPr>
          <w:rFonts w:ascii="Times New Roman" w:hAnsi="Times New Roman" w:cs="Times New Roman"/>
        </w:rPr>
        <w:t>Table 2.4</w:t>
      </w:r>
      <w:r w:rsidR="00263E1A" w:rsidRPr="008F5202">
        <w:rPr>
          <w:rFonts w:ascii="Times New Roman" w:hAnsi="Times New Roman" w:cs="Times New Roman"/>
        </w:rPr>
        <w:fldChar w:fldCharType="end"/>
      </w:r>
      <w:r w:rsidRPr="008F5202">
        <w:rPr>
          <w:rFonts w:ascii="Times New Roman" w:hAnsi="Times New Roman" w:cs="Times New Roman"/>
        </w:rPr>
        <w:t>). Highest inertial losses are expected for FD-Cube lattice topology. Cube had the simplest fiber connection and large pores; therefore, it provided the lowest pressure drop values. Pressure gradient of ~ 717 to 8804 Pa/m, 604 to 7121 Pa/m, 378 to 4651 Pa/m, and 184 to 2298 Pa/m was obtained for FD-Cube, Octet, TKD and Cube, respectively.</w:t>
      </w:r>
    </w:p>
    <w:p w14:paraId="7A68BD5C" w14:textId="796E0811" w:rsidR="00263E1A" w:rsidRPr="008F5202" w:rsidRDefault="00C27D23" w:rsidP="00263E1A">
      <w:pPr>
        <w:tabs>
          <w:tab w:val="left" w:pos="284"/>
        </w:tabs>
        <w:spacing w:line="360" w:lineRule="auto"/>
        <w:ind w:firstLine="284"/>
        <w:contextualSpacing/>
        <w:jc w:val="both"/>
        <w:rPr>
          <w:rFonts w:ascii="Times New Roman" w:hAnsi="Times New Roman" w:cs="Times New Roman"/>
        </w:rPr>
      </w:pPr>
      <w:r w:rsidRPr="008F5202">
        <w:rPr>
          <w:rFonts w:ascii="Times New Roman" w:hAnsi="Times New Roman" w:cs="Times New Roman"/>
        </w:rPr>
        <w:t xml:space="preserve"> </w:t>
      </w:r>
      <w:r w:rsidR="00263E1A" w:rsidRPr="008F5202">
        <w:rPr>
          <w:rFonts w:ascii="Times New Roman" w:hAnsi="Times New Roman" w:cs="Times New Roman"/>
        </w:rPr>
        <w:t>Flow losses in non-dimensional form are presented in terms of friction factor (</w:t>
      </w:r>
      <w:r w:rsidR="00263E1A" w:rsidRPr="008F5202">
        <w:rPr>
          <w:rFonts w:ascii="Times New Roman" w:hAnsi="Times New Roman" w:cs="Times New Roman"/>
        </w:rPr>
        <w:fldChar w:fldCharType="begin"/>
      </w:r>
      <w:r w:rsidR="00263E1A" w:rsidRPr="008F5202">
        <w:rPr>
          <w:rFonts w:ascii="Times New Roman" w:hAnsi="Times New Roman" w:cs="Times New Roman"/>
        </w:rPr>
        <w:instrText xml:space="preserve"> REF _Ref177687114 \h  \* MERGEFORMAT </w:instrText>
      </w:r>
      <w:r w:rsidR="00263E1A" w:rsidRPr="008F5202">
        <w:rPr>
          <w:rFonts w:ascii="Times New Roman" w:hAnsi="Times New Roman" w:cs="Times New Roman"/>
        </w:rPr>
      </w:r>
      <w:r w:rsidR="00263E1A" w:rsidRPr="008F5202">
        <w:rPr>
          <w:rFonts w:ascii="Times New Roman" w:hAnsi="Times New Roman" w:cs="Times New Roman"/>
        </w:rPr>
        <w:fldChar w:fldCharType="separate"/>
      </w:r>
      <w:r w:rsidR="00AF1AFB" w:rsidRPr="00AF1AFB">
        <w:rPr>
          <w:rFonts w:ascii="Times New Roman" w:hAnsi="Times New Roman" w:cs="Times New Roman"/>
        </w:rPr>
        <w:t>Equation 2.9</w:t>
      </w:r>
      <w:r w:rsidR="00263E1A" w:rsidRPr="008F5202">
        <w:rPr>
          <w:rFonts w:ascii="Times New Roman" w:hAnsi="Times New Roman" w:cs="Times New Roman"/>
        </w:rPr>
        <w:fldChar w:fldCharType="end"/>
      </w:r>
      <w:r w:rsidR="00263E1A" w:rsidRPr="008F5202">
        <w:rPr>
          <w:rFonts w:ascii="Times New Roman" w:hAnsi="Times New Roman" w:cs="Times New Roman"/>
        </w:rPr>
        <w:t>). Enhancement in the friction factor values relative to the smooth channel is shown in Fig. 15b, where the baseline smooth channel friction factor was evaluated using the Blasius equation (</w:t>
      </w:r>
      <m:oMath>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0</m:t>
            </m:r>
          </m:sub>
        </m:sSub>
        <m:r>
          <m:rPr>
            <m:sty m:val="p"/>
          </m:rPr>
          <w:rPr>
            <w:rFonts w:ascii="Cambria Math" w:hAnsi="Cambria Math" w:cs="Times New Roman"/>
          </w:rPr>
          <m:t>=0.079</m:t>
        </m:r>
        <m:r>
          <w:rPr>
            <w:rFonts w:ascii="Cambria Math" w:hAnsi="Cambria Math" w:cs="Times New Roman"/>
          </w:rPr>
          <m:t>R</m:t>
        </m:r>
        <m:sSubSup>
          <m:sSubSupPr>
            <m:ctrlPr>
              <w:rPr>
                <w:rFonts w:ascii="Cambria Math" w:hAnsi="Cambria Math" w:cs="Times New Roman"/>
              </w:rPr>
            </m:ctrlPr>
          </m:sSubSupPr>
          <m:e>
            <m:r>
              <w:rPr>
                <w:rFonts w:ascii="Cambria Math" w:hAnsi="Cambria Math" w:cs="Times New Roman"/>
              </w:rPr>
              <m:t>e</m:t>
            </m:r>
          </m:e>
          <m:sub>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h</m:t>
                </m:r>
              </m:sub>
            </m:sSub>
          </m:sub>
          <m:sup>
            <m:r>
              <m:rPr>
                <m:sty m:val="p"/>
              </m:rPr>
              <w:rPr>
                <w:rFonts w:ascii="Cambria Math" w:hAnsi="Cambria Math" w:cs="Times New Roman"/>
              </w:rPr>
              <m:t>-0.25</m:t>
            </m:r>
          </m:sup>
        </m:sSubSup>
      </m:oMath>
      <w:r w:rsidR="00263E1A" w:rsidRPr="008F5202">
        <w:rPr>
          <w:rFonts w:ascii="Times New Roman" w:hAnsi="Times New Roman" w:cs="Times New Roman"/>
        </w:rPr>
        <w:t xml:space="preserve">). FD-Cube, Octet, TKD, and Cube provided 613 to 667, 487 to 514, 334 to 355, and 158 to 169 times enhancement, respectively, with respect to the smooth channel. The friction factor enhancement did not show very strong dependence on the Reynolds number for a particular topology within the investigated range. </w:t>
      </w:r>
    </w:p>
    <w:p w14:paraId="1D35DDE3" w14:textId="1F357E2A" w:rsidR="00C27D23" w:rsidRPr="008F5202" w:rsidRDefault="00C27D23" w:rsidP="00C27D23">
      <w:pPr>
        <w:tabs>
          <w:tab w:val="left" w:pos="284"/>
        </w:tabs>
        <w:spacing w:line="360" w:lineRule="auto"/>
        <w:contextualSpacing/>
        <w:jc w:val="both"/>
        <w:rPr>
          <w:rFonts w:ascii="Times New Roman" w:hAnsi="Times New Roman" w:cs="Times New Roman"/>
        </w:rPr>
      </w:pPr>
    </w:p>
    <w:p w14:paraId="43807574" w14:textId="77777777" w:rsidR="00263E1A" w:rsidRPr="008F5202" w:rsidRDefault="00263E1A" w:rsidP="00263E1A">
      <w:pPr>
        <w:keepNext/>
        <w:tabs>
          <w:tab w:val="left" w:pos="284"/>
        </w:tabs>
        <w:spacing w:line="360" w:lineRule="auto"/>
        <w:contextualSpacing/>
        <w:jc w:val="both"/>
        <w:rPr>
          <w:rFonts w:ascii="Times New Roman" w:hAnsi="Times New Roman" w:cs="Times New Roman"/>
        </w:rPr>
      </w:pPr>
      <w:r w:rsidRPr="008F5202">
        <w:rPr>
          <w:rFonts w:ascii="Times New Roman" w:eastAsiaTheme="minorEastAsia" w:hAnsi="Times New Roman" w:cs="Times New Roman"/>
          <w:noProof/>
          <w:sz w:val="18"/>
          <w:szCs w:val="18"/>
        </w:rPr>
        <w:lastRenderedPageBreak/>
        <w:drawing>
          <wp:inline distT="0" distB="0" distL="0" distR="0" wp14:anchorId="01A94878" wp14:editId="564DD5B8">
            <wp:extent cx="4664131" cy="2452254"/>
            <wp:effectExtent l="0" t="0" r="317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5" cstate="print">
                      <a:extLst>
                        <a:ext uri="{28A0092B-C50C-407E-A947-70E740481C1C}">
                          <a14:useLocalDpi xmlns:a14="http://schemas.microsoft.com/office/drawing/2010/main" val="0"/>
                        </a:ext>
                      </a:extLst>
                    </a:blip>
                    <a:srcRect l="17385" t="15451" r="25974" b="31607"/>
                    <a:stretch/>
                  </pic:blipFill>
                  <pic:spPr bwMode="auto">
                    <a:xfrm>
                      <a:off x="0" y="0"/>
                      <a:ext cx="4670418" cy="2455560"/>
                    </a:xfrm>
                    <a:prstGeom prst="rect">
                      <a:avLst/>
                    </a:prstGeom>
                    <a:ln>
                      <a:noFill/>
                    </a:ln>
                    <a:extLst>
                      <a:ext uri="{53640926-AAD7-44D8-BBD7-CCE9431645EC}">
                        <a14:shadowObscured xmlns:a14="http://schemas.microsoft.com/office/drawing/2010/main"/>
                      </a:ext>
                    </a:extLst>
                  </pic:spPr>
                </pic:pic>
              </a:graphicData>
            </a:graphic>
          </wp:inline>
        </w:drawing>
      </w:r>
    </w:p>
    <w:p w14:paraId="501892A5" w14:textId="0E7EB761" w:rsidR="00263E1A" w:rsidRPr="008F5202" w:rsidRDefault="00263E1A" w:rsidP="008F5202">
      <w:pPr>
        <w:pStyle w:val="Caption"/>
      </w:pPr>
      <w:bookmarkStart w:id="81" w:name="_Ref177686957"/>
      <w:bookmarkStart w:id="82" w:name="_Toc177755197"/>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15</w:t>
      </w:r>
      <w:r w:rsidR="003763D2" w:rsidRPr="008F5202">
        <w:fldChar w:fldCharType="end"/>
      </w:r>
      <w:bookmarkEnd w:id="81"/>
      <w:r w:rsidRPr="008F5202">
        <w:t xml:space="preserve"> Conjugate heat transfer coefficient as a function of pumping power requirement</w:t>
      </w:r>
      <w:bookmarkEnd w:id="82"/>
    </w:p>
    <w:p w14:paraId="15EF7D3C" w14:textId="4CDAE5F2" w:rsidR="00C27D23" w:rsidRPr="008F5202" w:rsidRDefault="00263E1A" w:rsidP="00263E1A">
      <w:pPr>
        <w:pStyle w:val="Heading2"/>
      </w:pPr>
      <w:bookmarkStart w:id="83" w:name="_Toc177758145"/>
      <w:r w:rsidRPr="008F5202">
        <w:t>Pumping power requirements</w:t>
      </w:r>
      <w:bookmarkEnd w:id="83"/>
    </w:p>
    <w:p w14:paraId="499E7B82" w14:textId="65F77A96" w:rsidR="00263E1A" w:rsidRPr="008F5202" w:rsidRDefault="00263E1A" w:rsidP="00263E1A">
      <w:pPr>
        <w:spacing w:line="360" w:lineRule="auto"/>
        <w:ind w:firstLine="284"/>
        <w:contextualSpacing/>
        <w:jc w:val="both"/>
        <w:rPr>
          <w:rFonts w:ascii="Times New Roman" w:hAnsi="Times New Roman" w:cs="Times New Roman"/>
        </w:rPr>
      </w:pPr>
      <w:r w:rsidRPr="008F5202">
        <w:rPr>
          <w:rFonts w:ascii="Times New Roman" w:hAnsi="Times New Roman" w:cs="Times New Roman"/>
        </w:rPr>
        <w:t>The total heat transfer coefficient for investigated lattices is presented with respect to the pumping power requirement (</w:t>
      </w:r>
      <m:oMath>
        <m:r>
          <m:rPr>
            <m:sty m:val="p"/>
          </m:rPr>
          <w:rPr>
            <w:rFonts w:ascii="Cambria Math" w:hAnsi="Cambria Math" w:cs="Times New Roman"/>
          </w:rPr>
          <m:t>∆</m:t>
        </m:r>
        <m:r>
          <w:rPr>
            <w:rFonts w:ascii="Cambria Math" w:hAnsi="Cambria Math" w:cs="Times New Roman"/>
          </w:rPr>
          <m:t>P</m:t>
        </m:r>
        <m:acc>
          <m:accPr>
            <m:chr m:val="̇"/>
            <m:ctrlPr>
              <w:rPr>
                <w:rFonts w:ascii="Cambria Math" w:hAnsi="Cambria Math" w:cs="Times New Roman"/>
              </w:rPr>
            </m:ctrlPr>
          </m:accPr>
          <m:e>
            <m:r>
              <w:rPr>
                <w:rFonts w:ascii="Cambria Math" w:hAnsi="Cambria Math" w:cs="Times New Roman"/>
              </w:rPr>
              <m:t>m</m:t>
            </m:r>
          </m:e>
        </m:acc>
        <m:r>
          <m:rPr>
            <m:sty m:val="p"/>
          </m:rPr>
          <w:rPr>
            <w:rFonts w:ascii="Cambria Math" w:hAnsi="Cambria Math" w:cs="Times New Roman"/>
          </w:rPr>
          <m:t>/</m:t>
        </m:r>
        <m:r>
          <w:rPr>
            <w:rFonts w:ascii="Cambria Math" w:hAnsi="Cambria Math" w:cs="Times New Roman"/>
          </w:rPr>
          <m:t>ρ</m:t>
        </m:r>
      </m:oMath>
      <w:r w:rsidRPr="008F5202">
        <w:rPr>
          <w:rFonts w:ascii="Times New Roman" w:hAnsi="Times New Roman" w:cs="Times New Roman"/>
        </w:rPr>
        <w:t xml:space="preserve">) in </w:t>
      </w:r>
      <w:r w:rsidRPr="008F5202">
        <w:rPr>
          <w:rFonts w:ascii="Times New Roman" w:hAnsi="Times New Roman" w:cs="Times New Roman"/>
        </w:rPr>
        <w:fldChar w:fldCharType="begin"/>
      </w:r>
      <w:r w:rsidRPr="008F5202">
        <w:rPr>
          <w:rFonts w:ascii="Times New Roman" w:hAnsi="Times New Roman" w:cs="Times New Roman"/>
        </w:rPr>
        <w:instrText xml:space="preserve"> REF _Ref177687243 \h  \* MERGEFORMAT </w:instrText>
      </w:r>
      <w:r w:rsidRPr="008F5202">
        <w:rPr>
          <w:rFonts w:ascii="Times New Roman" w:hAnsi="Times New Roman" w:cs="Times New Roman"/>
        </w:rPr>
      </w:r>
      <w:r w:rsidRPr="008F5202">
        <w:rPr>
          <w:rFonts w:ascii="Times New Roman" w:hAnsi="Times New Roman" w:cs="Times New Roman"/>
        </w:rPr>
        <w:fldChar w:fldCharType="separate"/>
      </w:r>
      <w:r w:rsidR="00AF1AFB" w:rsidRPr="00AF1AFB">
        <w:rPr>
          <w:rFonts w:ascii="Times New Roman" w:hAnsi="Times New Roman" w:cs="Times New Roman"/>
        </w:rPr>
        <w:t>Figure 2.16</w:t>
      </w:r>
      <w:r w:rsidRPr="008F5202">
        <w:rPr>
          <w:rFonts w:ascii="Times New Roman" w:hAnsi="Times New Roman" w:cs="Times New Roman"/>
        </w:rPr>
        <w:fldChar w:fldCharType="end"/>
      </w:r>
      <w:r w:rsidRPr="008F5202">
        <w:rPr>
          <w:rFonts w:ascii="Times New Roman" w:hAnsi="Times New Roman" w:cs="Times New Roman"/>
        </w:rPr>
        <w:t>. Octet and TKD provided the best thermal performance over the studied range of pumping power when both walls were heated. The performance was closely followed by FD-Cube whereas Cube had the least heat transfer coefficient at any considered pumping power. When only bottom wall was heated Octet, FD-Cube, and TKD provided similar characteristics of heat transfer coefficient with respect to the pumping power conditions. The heat transfer increased with increasing pumping power but with the maximum slope for the Cube topology. The heat transfer coefficient levels of Cube approached that provided by the other lattices at the higher pumping power conditions. Therefore, Cube can outperform other lattices at high pumping power constraints.</w:t>
      </w:r>
    </w:p>
    <w:p w14:paraId="7A269411" w14:textId="77777777" w:rsidR="00263E1A" w:rsidRPr="008F5202" w:rsidRDefault="00263E1A" w:rsidP="00263E1A">
      <w:pPr>
        <w:keepNext/>
        <w:rPr>
          <w:rFonts w:ascii="Times New Roman" w:hAnsi="Times New Roman" w:cs="Times New Roman"/>
        </w:rPr>
      </w:pPr>
      <w:r w:rsidRPr="008F5202">
        <w:rPr>
          <w:rFonts w:ascii="Times New Roman" w:eastAsiaTheme="minorEastAsia" w:hAnsi="Times New Roman" w:cs="Times New Roman"/>
          <w:noProof/>
          <w:sz w:val="18"/>
          <w:szCs w:val="18"/>
        </w:rPr>
        <w:lastRenderedPageBreak/>
        <w:drawing>
          <wp:inline distT="0" distB="0" distL="0" distR="0" wp14:anchorId="502B9CA7" wp14:editId="34259E91">
            <wp:extent cx="4038682" cy="2012868"/>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36" cstate="print">
                      <a:extLst>
                        <a:ext uri="{28A0092B-C50C-407E-A947-70E740481C1C}">
                          <a14:useLocalDpi xmlns:a14="http://schemas.microsoft.com/office/drawing/2010/main" val="0"/>
                        </a:ext>
                      </a:extLst>
                    </a:blip>
                    <a:srcRect l="17786" t="17760" r="25874" b="32320"/>
                    <a:stretch/>
                  </pic:blipFill>
                  <pic:spPr bwMode="auto">
                    <a:xfrm>
                      <a:off x="0" y="0"/>
                      <a:ext cx="4053255" cy="2020131"/>
                    </a:xfrm>
                    <a:prstGeom prst="rect">
                      <a:avLst/>
                    </a:prstGeom>
                    <a:ln>
                      <a:noFill/>
                    </a:ln>
                    <a:extLst>
                      <a:ext uri="{53640926-AAD7-44D8-BBD7-CCE9431645EC}">
                        <a14:shadowObscured xmlns:a14="http://schemas.microsoft.com/office/drawing/2010/main"/>
                      </a:ext>
                    </a:extLst>
                  </pic:spPr>
                </pic:pic>
              </a:graphicData>
            </a:graphic>
          </wp:inline>
        </w:drawing>
      </w:r>
    </w:p>
    <w:p w14:paraId="79B2DDBF" w14:textId="4D4F4E78" w:rsidR="00263E1A" w:rsidRPr="008F5202" w:rsidRDefault="00263E1A" w:rsidP="008F5202">
      <w:pPr>
        <w:pStyle w:val="Caption"/>
      </w:pPr>
      <w:bookmarkStart w:id="84" w:name="_Ref177687243"/>
      <w:bookmarkStart w:id="85" w:name="_Toc177755198"/>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16</w:t>
      </w:r>
      <w:r w:rsidR="003763D2" w:rsidRPr="008F5202">
        <w:fldChar w:fldCharType="end"/>
      </w:r>
      <w:bookmarkEnd w:id="84"/>
      <w:r w:rsidRPr="008F5202">
        <w:t xml:space="preserve"> Conjugate heat transfer coefficient as a function of pumping power requirement</w:t>
      </w:r>
      <w:bookmarkEnd w:id="85"/>
    </w:p>
    <w:p w14:paraId="0915BD45" w14:textId="49275948" w:rsidR="00C27D23" w:rsidRPr="008F5202" w:rsidRDefault="00263E1A" w:rsidP="00263E1A">
      <w:pPr>
        <w:pStyle w:val="Heading2"/>
        <w:rPr>
          <w:rFonts w:eastAsiaTheme="minorEastAsia"/>
        </w:rPr>
      </w:pPr>
      <w:bookmarkStart w:id="86" w:name="_Toc177758146"/>
      <w:r w:rsidRPr="008F5202">
        <w:rPr>
          <w:rFonts w:eastAsiaTheme="minorEastAsia"/>
        </w:rPr>
        <w:t>Thermal-hydraulic performance (THP)</w:t>
      </w:r>
      <w:bookmarkEnd w:id="86"/>
    </w:p>
    <w:p w14:paraId="70541D5C" w14:textId="461E0E6B" w:rsidR="00263E1A" w:rsidRPr="008F5202" w:rsidRDefault="00263E1A" w:rsidP="00263E1A">
      <w:pPr>
        <w:tabs>
          <w:tab w:val="left" w:pos="284"/>
        </w:tabs>
        <w:spacing w:line="360" w:lineRule="auto"/>
        <w:contextualSpacing/>
        <w:jc w:val="both"/>
        <w:rPr>
          <w:rFonts w:ascii="Times New Roman" w:eastAsiaTheme="minorEastAsia" w:hAnsi="Times New Roman" w:cs="Times New Roman"/>
        </w:rPr>
      </w:pPr>
      <w:r w:rsidRPr="008F5202">
        <w:rPr>
          <w:rFonts w:ascii="Times New Roman" w:eastAsiaTheme="minorEastAsia" w:hAnsi="Times New Roman" w:cs="Times New Roman"/>
        </w:rPr>
        <w:t>The augmentation in heat transfer through employment of lattices is accompanied by significant flow losses. To quantify the gain in thermal performance relative to the pressure drop penalty, thermal-hydraulic performance (THP) parameter is generally defined</w:t>
      </w:r>
      <w:r w:rsidR="00230F46" w:rsidRPr="008F5202">
        <w:rPr>
          <w:rFonts w:ascii="Times New Roman" w:eastAsiaTheme="minorEastAsia" w:hAnsi="Times New Roman" w:cs="Times New Roman"/>
        </w:rPr>
        <w:t xml:space="preserve"> </w:t>
      </w:r>
      <w:r w:rsidR="008E7EC0" w:rsidRPr="008F5202">
        <w:rPr>
          <w:rFonts w:ascii="Times New Roman" w:eastAsiaTheme="minorEastAsia" w:hAnsi="Times New Roman" w:cs="Times New Roman"/>
        </w:rPr>
        <w:t>[2</w:t>
      </w:r>
      <w:r w:rsidR="00230F46" w:rsidRPr="008F5202">
        <w:rPr>
          <w:rFonts w:ascii="Times New Roman" w:eastAsiaTheme="minorEastAsia" w:hAnsi="Times New Roman" w:cs="Times New Roman"/>
        </w:rPr>
        <w:t>.31</w:t>
      </w:r>
      <w:r w:rsidR="008E7EC0" w:rsidRPr="008F5202">
        <w:rPr>
          <w:rFonts w:ascii="Times New Roman" w:eastAsiaTheme="minorEastAsia" w:hAnsi="Times New Roman" w:cs="Times New Roman"/>
        </w:rPr>
        <w:t>,2</w:t>
      </w:r>
      <w:r w:rsidR="00230F46" w:rsidRPr="008F5202">
        <w:rPr>
          <w:rFonts w:ascii="Times New Roman" w:eastAsiaTheme="minorEastAsia" w:hAnsi="Times New Roman" w:cs="Times New Roman"/>
        </w:rPr>
        <w:t>.32]</w:t>
      </w:r>
      <w:r w:rsidRPr="008F5202">
        <w:rPr>
          <w:rFonts w:ascii="Times New Roman" w:eastAsiaTheme="minorEastAsia" w:hAnsi="Times New Roman" w:cs="Times New Roman"/>
        </w:rPr>
        <w:t>. The THP is determined by the following equation:</w:t>
      </w:r>
    </w:p>
    <w:p w14:paraId="223BE5C7" w14:textId="13BF2AD9" w:rsidR="00263E1A" w:rsidRPr="008F5202" w:rsidRDefault="00263E1A" w:rsidP="008F5202">
      <w:pPr>
        <w:pStyle w:val="Caption"/>
      </w:pPr>
      <w:bookmarkStart w:id="87" w:name="_Ref177687504"/>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2</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10</w:t>
      </w:r>
      <w:r w:rsidR="000978FD" w:rsidRPr="008F5202">
        <w:fldChar w:fldCharType="end"/>
      </w:r>
      <w:bookmarkEnd w:id="87"/>
    </w:p>
    <w:p w14:paraId="65F7576B" w14:textId="0FEA12CF" w:rsidR="00263E1A" w:rsidRPr="008F5202" w:rsidRDefault="00263E1A" w:rsidP="00263E1A">
      <w:pPr>
        <w:spacing w:line="360" w:lineRule="auto"/>
        <w:contextualSpacing/>
        <w:rPr>
          <w:rFonts w:ascii="Times New Roman" w:eastAsiaTheme="minorEastAsia" w:hAnsi="Times New Roman" w:cs="Times New Roman"/>
        </w:rPr>
      </w:pPr>
      <m:oMathPara>
        <m:oMath>
          <m:r>
            <w:rPr>
              <w:rFonts w:ascii="Cambria Math" w:eastAsiaTheme="minorEastAsia" w:hAnsi="Cambria Math" w:cs="Times New Roman"/>
            </w:rPr>
            <m:t xml:space="preserve">THP= </m:t>
          </m:r>
          <m:f>
            <m:fPr>
              <m:ctrlPr>
                <w:rPr>
                  <w:rFonts w:ascii="Cambria Math" w:eastAsiaTheme="minorEastAsia" w:hAnsi="Cambria Math" w:cs="Times New Roman"/>
                  <w:i/>
                </w:rPr>
              </m:ctrlPr>
            </m:fPr>
            <m:num>
              <m:d>
                <m:dPr>
                  <m:ctrlPr>
                    <w:rPr>
                      <w:rFonts w:ascii="Cambria Math" w:eastAsiaTheme="minorEastAsia" w:hAnsi="Cambria Math" w:cs="Times New Roman"/>
                      <w:i/>
                    </w:rPr>
                  </m:ctrlPr>
                </m:dPr>
                <m:e>
                  <m:f>
                    <m:fPr>
                      <m:type m:val="lin"/>
                      <m:ctrlPr>
                        <w:rPr>
                          <w:rFonts w:ascii="Cambria Math" w:eastAsiaTheme="minorEastAsia" w:hAnsi="Cambria Math" w:cs="Times New Roman"/>
                          <w:i/>
                        </w:rPr>
                      </m:ctrlPr>
                    </m:fPr>
                    <m:num>
                      <m:r>
                        <w:rPr>
                          <w:rFonts w:ascii="Cambria Math" w:eastAsiaTheme="minorEastAsia" w:hAnsi="Cambria Math" w:cs="Times New Roman"/>
                        </w:rPr>
                        <m:t>N</m:t>
                      </m:r>
                      <m:sSub>
                        <m:sSubPr>
                          <m:ctrlPr>
                            <w:rPr>
                              <w:rFonts w:ascii="Cambria Math" w:eastAsiaTheme="minorEastAsia" w:hAnsi="Cambria Math" w:cs="Times New Roman"/>
                              <w:i/>
                            </w:rPr>
                          </m:ctrlPr>
                        </m:sSubPr>
                        <m:e>
                          <m:sSub>
                            <m:sSubPr>
                              <m:ctrlPr>
                                <w:rPr>
                                  <w:rFonts w:ascii="Cambria Math" w:eastAsiaTheme="minorEastAsia" w:hAnsi="Cambria Math" w:cs="Times New Roman"/>
                                  <w:i/>
                                </w:rPr>
                              </m:ctrlPr>
                            </m:sSubPr>
                            <m:e>
                              <m:r>
                                <w:rPr>
                                  <w:rFonts w:ascii="Cambria Math" w:eastAsiaTheme="minorEastAsia" w:hAnsi="Cambria Math" w:cs="Times New Roman"/>
                                </w:rPr>
                                <m:t>u</m:t>
                              </m:r>
                            </m:e>
                            <m:sub>
                              <m:r>
                                <w:rPr>
                                  <w:rFonts w:ascii="Cambria Math" w:eastAsiaTheme="minorEastAsia" w:hAnsi="Cambria Math" w:cs="Times New Roman"/>
                                </w:rPr>
                                <m:t>d</m:t>
                              </m:r>
                            </m:sub>
                          </m:sSub>
                        </m:e>
                        <m:sub>
                          <m:r>
                            <w:rPr>
                              <w:rFonts w:ascii="Cambria Math" w:eastAsiaTheme="minorEastAsia" w:hAnsi="Cambria Math" w:cs="Times New Roman"/>
                            </w:rPr>
                            <m:t>h</m:t>
                          </m:r>
                        </m:sub>
                      </m:sSub>
                    </m:num>
                    <m:den>
                      <m:r>
                        <w:rPr>
                          <w:rFonts w:ascii="Cambria Math" w:eastAsiaTheme="minorEastAsia" w:hAnsi="Cambria Math" w:cs="Times New Roman"/>
                        </w:rPr>
                        <m:t>N</m:t>
                      </m:r>
                      <m:sSub>
                        <m:sSubPr>
                          <m:ctrlPr>
                            <w:rPr>
                              <w:rFonts w:ascii="Cambria Math" w:eastAsiaTheme="minorEastAsia" w:hAnsi="Cambria Math" w:cs="Times New Roman"/>
                              <w:i/>
                            </w:rPr>
                          </m:ctrlPr>
                        </m:sSubPr>
                        <m:e>
                          <m:r>
                            <w:rPr>
                              <w:rFonts w:ascii="Cambria Math" w:eastAsiaTheme="minorEastAsia" w:hAnsi="Cambria Math" w:cs="Times New Roman"/>
                            </w:rPr>
                            <m:t>u</m:t>
                          </m:r>
                        </m:e>
                        <m:sub>
                          <m:r>
                            <w:rPr>
                              <w:rFonts w:ascii="Cambria Math" w:eastAsiaTheme="minorEastAsia" w:hAnsi="Cambria Math" w:cs="Times New Roman"/>
                            </w:rPr>
                            <m:t>0</m:t>
                          </m:r>
                        </m:sub>
                      </m:sSub>
                    </m:den>
                  </m:f>
                </m:e>
              </m:d>
            </m:num>
            <m:den>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f>
                        <m:fPr>
                          <m:type m:val="lin"/>
                          <m:ctrlPr>
                            <w:rPr>
                              <w:rFonts w:ascii="Cambria Math" w:eastAsiaTheme="minorEastAsia" w:hAnsi="Cambria Math" w:cs="Times New Roman"/>
                              <w:i/>
                            </w:rPr>
                          </m:ctrlPr>
                        </m:fPr>
                        <m:num>
                          <m:r>
                            <w:rPr>
                              <w:rFonts w:ascii="Cambria Math" w:eastAsiaTheme="minorEastAsia" w:hAnsi="Cambria Math" w:cs="Times New Roman"/>
                            </w:rPr>
                            <m:t>f</m:t>
                          </m:r>
                        </m:num>
                        <m:den>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0</m:t>
                              </m:r>
                            </m:sub>
                          </m:sSub>
                        </m:den>
                      </m:f>
                    </m:e>
                  </m:d>
                </m:e>
                <m:sup>
                  <m:r>
                    <w:rPr>
                      <w:rFonts w:ascii="Cambria Math" w:eastAsiaTheme="minorEastAsia" w:hAnsi="Cambria Math" w:cs="Times New Roman"/>
                    </w:rPr>
                    <m:t>1/3</m:t>
                  </m:r>
                </m:sup>
              </m:sSup>
            </m:den>
          </m:f>
        </m:oMath>
      </m:oMathPara>
    </w:p>
    <w:p w14:paraId="5CE18D98" w14:textId="2B9F863D" w:rsidR="00263E1A" w:rsidRPr="008F5202" w:rsidRDefault="00263E1A" w:rsidP="00263E1A">
      <w:pPr>
        <w:spacing w:line="360" w:lineRule="auto"/>
        <w:contextualSpacing/>
        <w:jc w:val="both"/>
        <w:rPr>
          <w:rFonts w:ascii="Times New Roman" w:eastAsiaTheme="minorEastAsia" w:hAnsi="Times New Roman" w:cs="Times New Roman"/>
        </w:rPr>
      </w:pPr>
      <w:r w:rsidRPr="008F5202">
        <w:rPr>
          <w:rFonts w:ascii="Times New Roman" w:eastAsiaTheme="minorEastAsia" w:hAnsi="Times New Roman" w:cs="Times New Roman"/>
        </w:rPr>
        <w:t xml:space="preserve">where, </w:t>
      </w:r>
      <m:oMath>
        <m:r>
          <w:rPr>
            <w:rFonts w:ascii="Cambria Math" w:eastAsiaTheme="minorEastAsia" w:hAnsi="Cambria Math" w:cs="Times New Roman"/>
          </w:rPr>
          <m:t>N</m:t>
        </m:r>
        <m:sSub>
          <m:sSubPr>
            <m:ctrlPr>
              <w:rPr>
                <w:rFonts w:ascii="Cambria Math" w:eastAsiaTheme="minorEastAsia" w:hAnsi="Cambria Math" w:cs="Times New Roman"/>
                <w:i/>
              </w:rPr>
            </m:ctrlPr>
          </m:sSubPr>
          <m:e>
            <m:r>
              <w:rPr>
                <w:rFonts w:ascii="Cambria Math" w:eastAsiaTheme="minorEastAsia" w:hAnsi="Cambria Math" w:cs="Times New Roman"/>
              </w:rPr>
              <m:t>u</m:t>
            </m:r>
          </m:e>
          <m:sub>
            <m:r>
              <w:rPr>
                <w:rFonts w:ascii="Cambria Math" w:eastAsiaTheme="minorEastAsia" w:hAnsi="Cambria Math" w:cs="Times New Roman"/>
              </w:rPr>
              <m:t>0</m:t>
            </m:r>
          </m:sub>
        </m:sSub>
        <m:r>
          <w:rPr>
            <w:rFonts w:ascii="Cambria Math" w:eastAsiaTheme="minorEastAsia" w:hAnsi="Cambria Math" w:cs="Times New Roman"/>
          </w:rPr>
          <m:t>=0.023R</m:t>
        </m:r>
        <m:sSubSup>
          <m:sSubSupPr>
            <m:ctrlPr>
              <w:rPr>
                <w:rFonts w:ascii="Cambria Math" w:eastAsiaTheme="minorEastAsia" w:hAnsi="Cambria Math" w:cs="Times New Roman"/>
                <w:i/>
              </w:rPr>
            </m:ctrlPr>
          </m:sSubSupPr>
          <m:e>
            <m:r>
              <w:rPr>
                <w:rFonts w:ascii="Cambria Math" w:eastAsiaTheme="minorEastAsia" w:hAnsi="Cambria Math" w:cs="Times New Roman"/>
              </w:rPr>
              <m:t>e</m:t>
            </m:r>
          </m:e>
          <m:sub>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h</m:t>
                </m:r>
              </m:sub>
            </m:sSub>
          </m:sub>
          <m:sup>
            <m:r>
              <w:rPr>
                <w:rFonts w:ascii="Cambria Math" w:eastAsiaTheme="minorEastAsia" w:hAnsi="Cambria Math" w:cs="Times New Roman"/>
              </w:rPr>
              <m:t>0.8</m:t>
            </m:r>
          </m:sup>
        </m:sSubSup>
        <m:sSup>
          <m:sSupPr>
            <m:ctrlPr>
              <w:rPr>
                <w:rFonts w:ascii="Cambria Math" w:eastAsiaTheme="minorEastAsia" w:hAnsi="Cambria Math" w:cs="Times New Roman"/>
                <w:i/>
              </w:rPr>
            </m:ctrlPr>
          </m:sSupPr>
          <m:e>
            <m:r>
              <w:rPr>
                <w:rFonts w:ascii="Cambria Math" w:eastAsiaTheme="minorEastAsia" w:hAnsi="Cambria Math" w:cs="Times New Roman"/>
              </w:rPr>
              <m:t>Pr</m:t>
            </m:r>
          </m:e>
          <m:sup>
            <m:r>
              <w:rPr>
                <w:rFonts w:ascii="Cambria Math" w:eastAsiaTheme="minorEastAsia" w:hAnsi="Cambria Math" w:cs="Times New Roman"/>
              </w:rPr>
              <m:t>0.4</m:t>
            </m:r>
          </m:sup>
        </m:sSup>
      </m:oMath>
      <w:r w:rsidRPr="008F5202">
        <w:rPr>
          <w:rFonts w:ascii="Times New Roman" w:eastAsiaTheme="minorEastAsia" w:hAnsi="Times New Roman" w:cs="Times New Roman"/>
        </w:rPr>
        <w:t xml:space="preserve"> is the Dittus-Boelter equation for the Nusselt number prediction in the smooth channel and </w:t>
      </w:r>
      <m:oMath>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0</m:t>
            </m:r>
          </m:sub>
        </m:sSub>
        <m:r>
          <w:rPr>
            <w:rFonts w:ascii="Cambria Math" w:eastAsiaTheme="minorEastAsia" w:hAnsi="Cambria Math" w:cs="Times New Roman"/>
          </w:rPr>
          <m:t>=0.079R</m:t>
        </m:r>
        <m:sSubSup>
          <m:sSubSupPr>
            <m:ctrlPr>
              <w:rPr>
                <w:rFonts w:ascii="Cambria Math" w:eastAsiaTheme="minorEastAsia" w:hAnsi="Cambria Math" w:cs="Times New Roman"/>
                <w:i/>
              </w:rPr>
            </m:ctrlPr>
          </m:sSubSupPr>
          <m:e>
            <m:r>
              <w:rPr>
                <w:rFonts w:ascii="Cambria Math" w:eastAsiaTheme="minorEastAsia" w:hAnsi="Cambria Math" w:cs="Times New Roman"/>
              </w:rPr>
              <m:t>e</m:t>
            </m:r>
          </m:e>
          <m:sub>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h</m:t>
                </m:r>
              </m:sub>
            </m:sSub>
          </m:sub>
          <m:sup>
            <m:r>
              <w:rPr>
                <w:rFonts w:ascii="Cambria Math" w:eastAsiaTheme="minorEastAsia" w:hAnsi="Cambria Math" w:cs="Times New Roman"/>
              </w:rPr>
              <m:t>-0.25</m:t>
            </m:r>
          </m:sup>
        </m:sSubSup>
      </m:oMath>
      <w:r w:rsidRPr="008F5202">
        <w:rPr>
          <w:rFonts w:ascii="Times New Roman" w:eastAsiaTheme="minorEastAsia" w:hAnsi="Times New Roman" w:cs="Times New Roman"/>
        </w:rPr>
        <w:t xml:space="preserve"> is the Blasius equation for estimating friction factor in the smooth channel. The augmentation in thermal performance relative to the gain in pressure drop of different lattices is presented in terms of THP (</w:t>
      </w:r>
      <w:r w:rsidR="00230F46" w:rsidRPr="008F5202">
        <w:rPr>
          <w:rFonts w:ascii="Times New Roman" w:eastAsiaTheme="minorEastAsia" w:hAnsi="Times New Roman" w:cs="Times New Roman"/>
        </w:rPr>
        <w:fldChar w:fldCharType="begin"/>
      </w:r>
      <w:r w:rsidR="00230F46" w:rsidRPr="008F5202">
        <w:rPr>
          <w:rFonts w:ascii="Times New Roman" w:eastAsiaTheme="minorEastAsia" w:hAnsi="Times New Roman" w:cs="Times New Roman"/>
        </w:rPr>
        <w:instrText xml:space="preserve"> REF _Ref177687504 \h </w:instrText>
      </w:r>
      <w:r w:rsidR="00230F46" w:rsidRPr="008F5202">
        <w:rPr>
          <w:rFonts w:ascii="Times New Roman" w:eastAsiaTheme="minorEastAsia" w:hAnsi="Times New Roman" w:cs="Times New Roman"/>
        </w:rPr>
      </w:r>
      <w:r w:rsidR="008E7EC0" w:rsidRPr="008F5202">
        <w:rPr>
          <w:rFonts w:ascii="Times New Roman" w:eastAsiaTheme="minorEastAsia" w:hAnsi="Times New Roman" w:cs="Times New Roman"/>
        </w:rPr>
        <w:instrText xml:space="preserve"> \* MERGEFORMAT </w:instrText>
      </w:r>
      <w:r w:rsidR="00230F46" w:rsidRPr="008F5202">
        <w:rPr>
          <w:rFonts w:ascii="Times New Roman" w:eastAsiaTheme="minorEastAsia" w:hAnsi="Times New Roman" w:cs="Times New Roman"/>
        </w:rPr>
        <w:fldChar w:fldCharType="separate"/>
      </w:r>
      <w:r w:rsidR="00AF1AFB" w:rsidRPr="00AF1AFB">
        <w:rPr>
          <w:rFonts w:ascii="Times New Roman" w:eastAsiaTheme="minorEastAsia" w:hAnsi="Times New Roman" w:cs="Times New Roman"/>
        </w:rPr>
        <w:t>Equation 2.10</w:t>
      </w:r>
      <w:r w:rsidR="00230F46"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in </w:t>
      </w:r>
      <w:r w:rsidR="00230F46" w:rsidRPr="008F5202">
        <w:rPr>
          <w:rFonts w:ascii="Times New Roman" w:eastAsiaTheme="minorEastAsia" w:hAnsi="Times New Roman" w:cs="Times New Roman"/>
        </w:rPr>
        <w:fldChar w:fldCharType="begin"/>
      </w:r>
      <w:r w:rsidR="00230F46" w:rsidRPr="008F5202">
        <w:rPr>
          <w:rFonts w:ascii="Times New Roman" w:eastAsiaTheme="minorEastAsia" w:hAnsi="Times New Roman" w:cs="Times New Roman"/>
        </w:rPr>
        <w:instrText xml:space="preserve"> REF _Ref177687524 \h  \* MERGEFORMAT </w:instrText>
      </w:r>
      <w:r w:rsidR="00230F46" w:rsidRPr="008F5202">
        <w:rPr>
          <w:rFonts w:ascii="Times New Roman" w:eastAsiaTheme="minorEastAsia" w:hAnsi="Times New Roman" w:cs="Times New Roman"/>
        </w:rPr>
      </w:r>
      <w:r w:rsidR="00230F46" w:rsidRPr="008F5202">
        <w:rPr>
          <w:rFonts w:ascii="Times New Roman" w:eastAsiaTheme="minorEastAsia" w:hAnsi="Times New Roman" w:cs="Times New Roman"/>
        </w:rPr>
        <w:fldChar w:fldCharType="separate"/>
      </w:r>
      <w:r w:rsidR="00AF1AFB" w:rsidRPr="00AF1AFB">
        <w:rPr>
          <w:rFonts w:ascii="Times New Roman" w:eastAsiaTheme="minorEastAsia" w:hAnsi="Times New Roman" w:cs="Times New Roman"/>
        </w:rPr>
        <w:t>Figure 2.17</w:t>
      </w:r>
      <w:r w:rsidR="00230F46"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The THP of all the lattices was around ~ 3 at the lowest investigated Reynolds number when both the walls were heated. The THP of all the lattices was quite similar, therefore, for the engineering applications where pressure drop is not the constraint variable, Octet, FD-Cube and TKD could be employed as they generated higher heat transfer than the Cube topology. The higher heat transfer of complex topologies compensated for the higher pressure drop yielding the competing THP against the Cube topology. Since all the investigated topologies provided same THP levels irrespective of </w:t>
      </w:r>
      <w:r w:rsidRPr="008F5202">
        <w:rPr>
          <w:rFonts w:ascii="Times New Roman" w:eastAsiaTheme="minorEastAsia" w:hAnsi="Times New Roman" w:cs="Times New Roman"/>
        </w:rPr>
        <w:lastRenderedPageBreak/>
        <w:t xml:space="preserve">the fiber inter-connections, other factors such as cost of fabrication and lead time can be weighed in to choose a topology for heat exchanger when THP is the primary design constraint because it is clear that a topology as simple as Cube can provide THP comparable to other topologies. However, if one needs to design a heat exchanger oriented towards mechanical load bearing applications, then topologies with superior mechanical properties can be selected without compromising the overall THP. Based on the data provided in </w:t>
      </w:r>
      <w:r w:rsidR="00230F46" w:rsidRPr="008F5202">
        <w:rPr>
          <w:rFonts w:ascii="Times New Roman" w:eastAsiaTheme="minorEastAsia" w:hAnsi="Times New Roman" w:cs="Times New Roman"/>
        </w:rPr>
        <w:fldChar w:fldCharType="begin"/>
      </w:r>
      <w:r w:rsidR="00230F46" w:rsidRPr="008F5202">
        <w:rPr>
          <w:rFonts w:ascii="Times New Roman" w:eastAsiaTheme="minorEastAsia" w:hAnsi="Times New Roman" w:cs="Times New Roman"/>
        </w:rPr>
        <w:instrText xml:space="preserve"> REF _Ref177687524 \h  \* MERGEFORMAT </w:instrText>
      </w:r>
      <w:r w:rsidR="00230F46" w:rsidRPr="008F5202">
        <w:rPr>
          <w:rFonts w:ascii="Times New Roman" w:eastAsiaTheme="minorEastAsia" w:hAnsi="Times New Roman" w:cs="Times New Roman"/>
        </w:rPr>
      </w:r>
      <w:r w:rsidR="00230F46" w:rsidRPr="008F5202">
        <w:rPr>
          <w:rFonts w:ascii="Times New Roman" w:eastAsiaTheme="minorEastAsia" w:hAnsi="Times New Roman" w:cs="Times New Roman"/>
        </w:rPr>
        <w:fldChar w:fldCharType="separate"/>
      </w:r>
      <w:r w:rsidR="00AF1AFB" w:rsidRPr="00AF1AFB">
        <w:rPr>
          <w:rFonts w:ascii="Times New Roman" w:eastAsiaTheme="minorEastAsia" w:hAnsi="Times New Roman" w:cs="Times New Roman"/>
        </w:rPr>
        <w:t>Figure 2.17</w:t>
      </w:r>
      <w:r w:rsidR="00230F46"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dependence of the form </w:t>
      </w:r>
      <m:oMath>
        <m:r>
          <w:rPr>
            <w:rFonts w:ascii="Cambria Math" w:eastAsiaTheme="minorEastAsia" w:hAnsi="Cambria Math" w:cs="Times New Roman"/>
          </w:rPr>
          <m:t>THP= cR</m:t>
        </m:r>
        <m:sSubSup>
          <m:sSubSupPr>
            <m:ctrlPr>
              <w:rPr>
                <w:rFonts w:ascii="Cambria Math" w:eastAsiaTheme="minorEastAsia" w:hAnsi="Cambria Math" w:cs="Times New Roman"/>
                <w:i/>
              </w:rPr>
            </m:ctrlPr>
          </m:sSubSupPr>
          <m:e>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d</m:t>
                </m:r>
              </m:sub>
            </m:sSub>
          </m:e>
          <m:sub>
            <m:r>
              <w:rPr>
                <w:rFonts w:ascii="Cambria Math" w:eastAsiaTheme="minorEastAsia" w:hAnsi="Cambria Math" w:cs="Times New Roman"/>
              </w:rPr>
              <m:t>h</m:t>
            </m:r>
          </m:sub>
          <m:sup>
            <m:r>
              <w:rPr>
                <w:rFonts w:ascii="Cambria Math" w:eastAsiaTheme="minorEastAsia" w:hAnsi="Cambria Math" w:cs="Times New Roman"/>
              </w:rPr>
              <m:t>-m</m:t>
            </m:r>
          </m:sup>
        </m:sSubSup>
      </m:oMath>
      <w:r w:rsidRPr="008F5202">
        <w:rPr>
          <w:rFonts w:ascii="Times New Roman" w:eastAsiaTheme="minorEastAsia" w:hAnsi="Times New Roman" w:cs="Times New Roman"/>
        </w:rPr>
        <w:t xml:space="preserve"> can be obtained for the thermal-hydraulic performance of the investigated samples. The correlations for both walls heated, and only bottom wall heated configurations were </w:t>
      </w:r>
      <m:oMath>
        <m:r>
          <w:rPr>
            <w:rFonts w:ascii="Cambria Math" w:eastAsiaTheme="minorEastAsia" w:hAnsi="Cambria Math" w:cs="Times New Roman"/>
          </w:rPr>
          <m:t>102.99R</m:t>
        </m:r>
        <m:sSubSup>
          <m:sSubSupPr>
            <m:ctrlPr>
              <w:rPr>
                <w:rFonts w:ascii="Cambria Math" w:eastAsiaTheme="minorEastAsia" w:hAnsi="Cambria Math" w:cs="Times New Roman"/>
                <w:i/>
              </w:rPr>
            </m:ctrlPr>
          </m:sSubSupPr>
          <m:e>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d</m:t>
                </m:r>
              </m:sub>
            </m:sSub>
          </m:e>
          <m:sub>
            <m:r>
              <w:rPr>
                <w:rFonts w:ascii="Cambria Math" w:eastAsiaTheme="minorEastAsia" w:hAnsi="Cambria Math" w:cs="Times New Roman"/>
              </w:rPr>
              <m:t>h</m:t>
            </m:r>
          </m:sub>
          <m:sup>
            <m:r>
              <w:rPr>
                <w:rFonts w:ascii="Cambria Math" w:eastAsiaTheme="minorEastAsia" w:hAnsi="Cambria Math" w:cs="Times New Roman"/>
              </w:rPr>
              <m:t>-0.414</m:t>
            </m:r>
          </m:sup>
        </m:sSubSup>
      </m:oMath>
      <w:r w:rsidRPr="008F5202">
        <w:rPr>
          <w:rFonts w:ascii="Times New Roman" w:eastAsiaTheme="minorEastAsia" w:hAnsi="Times New Roman" w:cs="Times New Roman"/>
        </w:rPr>
        <w:t xml:space="preserve"> and </w:t>
      </w:r>
      <m:oMath>
        <m:r>
          <w:rPr>
            <w:rFonts w:ascii="Cambria Math" w:eastAsiaTheme="minorEastAsia" w:hAnsi="Cambria Math" w:cs="Times New Roman"/>
          </w:rPr>
          <m:t>37.22R</m:t>
        </m:r>
        <m:sSubSup>
          <m:sSubSupPr>
            <m:ctrlPr>
              <w:rPr>
                <w:rFonts w:ascii="Cambria Math" w:eastAsiaTheme="minorEastAsia" w:hAnsi="Cambria Math" w:cs="Times New Roman"/>
                <w:i/>
              </w:rPr>
            </m:ctrlPr>
          </m:sSubSupPr>
          <m:e>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d</m:t>
                </m:r>
              </m:sub>
            </m:sSub>
          </m:e>
          <m:sub>
            <m:r>
              <w:rPr>
                <w:rFonts w:ascii="Cambria Math" w:eastAsiaTheme="minorEastAsia" w:hAnsi="Cambria Math" w:cs="Times New Roman"/>
              </w:rPr>
              <m:t>h</m:t>
            </m:r>
          </m:sub>
          <m:sup>
            <m:r>
              <w:rPr>
                <w:rFonts w:ascii="Cambria Math" w:eastAsiaTheme="minorEastAsia" w:hAnsi="Cambria Math" w:cs="Times New Roman"/>
              </w:rPr>
              <m:t>-0.319</m:t>
            </m:r>
          </m:sup>
        </m:sSubSup>
      </m:oMath>
      <w:r w:rsidRPr="008F5202">
        <w:rPr>
          <w:rFonts w:ascii="Times New Roman" w:eastAsiaTheme="minorEastAsia" w:hAnsi="Times New Roman" w:cs="Times New Roman"/>
        </w:rPr>
        <w:t xml:space="preserve">, respectively. </w:t>
      </w:r>
    </w:p>
    <w:p w14:paraId="6BCBAD15" w14:textId="77777777" w:rsidR="00263E1A" w:rsidRPr="008F5202" w:rsidRDefault="00263E1A" w:rsidP="00263E1A">
      <w:pPr>
        <w:keepNext/>
        <w:tabs>
          <w:tab w:val="left" w:pos="360"/>
        </w:tabs>
        <w:spacing w:line="360" w:lineRule="auto"/>
        <w:contextualSpacing/>
        <w:rPr>
          <w:rFonts w:ascii="Times New Roman" w:hAnsi="Times New Roman" w:cs="Times New Roman"/>
        </w:rPr>
      </w:pPr>
      <w:r w:rsidRPr="008F5202">
        <w:rPr>
          <w:rFonts w:ascii="Times New Roman" w:eastAsiaTheme="minorEastAsia" w:hAnsi="Times New Roman" w:cs="Times New Roman"/>
          <w:b/>
          <w:bCs/>
          <w:noProof/>
          <w:sz w:val="18"/>
          <w:szCs w:val="18"/>
        </w:rPr>
        <w:drawing>
          <wp:inline distT="0" distB="0" distL="0" distR="0" wp14:anchorId="5ACF9FF4" wp14:editId="6A383711">
            <wp:extent cx="4508340" cy="2294372"/>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37" cstate="print">
                      <a:extLst>
                        <a:ext uri="{28A0092B-C50C-407E-A947-70E740481C1C}">
                          <a14:useLocalDpi xmlns:a14="http://schemas.microsoft.com/office/drawing/2010/main" val="0"/>
                        </a:ext>
                      </a:extLst>
                    </a:blip>
                    <a:srcRect l="20782" t="21666" r="23073" b="27537"/>
                    <a:stretch/>
                  </pic:blipFill>
                  <pic:spPr bwMode="auto">
                    <a:xfrm>
                      <a:off x="0" y="0"/>
                      <a:ext cx="4526657" cy="2303694"/>
                    </a:xfrm>
                    <a:prstGeom prst="rect">
                      <a:avLst/>
                    </a:prstGeom>
                    <a:ln>
                      <a:noFill/>
                    </a:ln>
                    <a:extLst>
                      <a:ext uri="{53640926-AAD7-44D8-BBD7-CCE9431645EC}">
                        <a14:shadowObscured xmlns:a14="http://schemas.microsoft.com/office/drawing/2010/main"/>
                      </a:ext>
                    </a:extLst>
                  </pic:spPr>
                </pic:pic>
              </a:graphicData>
            </a:graphic>
          </wp:inline>
        </w:drawing>
      </w:r>
    </w:p>
    <w:p w14:paraId="30FF4B24" w14:textId="6C0E632D" w:rsidR="00263E1A" w:rsidRPr="008F5202" w:rsidRDefault="00263E1A" w:rsidP="008F5202">
      <w:pPr>
        <w:pStyle w:val="Caption"/>
        <w:rPr>
          <w:rFonts w:eastAsiaTheme="minorEastAsia"/>
          <w:sz w:val="18"/>
        </w:rPr>
      </w:pPr>
      <w:bookmarkStart w:id="88" w:name="_Ref177687524"/>
      <w:bookmarkStart w:id="89" w:name="_Toc177755199"/>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2</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17</w:t>
      </w:r>
      <w:r w:rsidR="003763D2" w:rsidRPr="008F5202">
        <w:fldChar w:fldCharType="end"/>
      </w:r>
      <w:bookmarkEnd w:id="88"/>
      <w:r w:rsidRPr="008F5202">
        <w:t xml:space="preserve"> Thermal-hydraulic performance based on conjugate Nusselt number in reference to the Reynolds number</w:t>
      </w:r>
      <w:bookmarkEnd w:id="89"/>
    </w:p>
    <w:p w14:paraId="4CF28483" w14:textId="20C593FC" w:rsidR="00263E1A" w:rsidRPr="008F5202" w:rsidRDefault="00263E1A" w:rsidP="00263E1A">
      <w:pPr>
        <w:pStyle w:val="Heading2"/>
        <w:rPr>
          <w:rFonts w:eastAsiaTheme="minorEastAsia"/>
        </w:rPr>
      </w:pPr>
      <w:bookmarkStart w:id="90" w:name="_Toc177758147"/>
      <w:r w:rsidRPr="008F5202">
        <w:rPr>
          <w:rFonts w:eastAsiaTheme="minorEastAsia"/>
        </w:rPr>
        <w:t>Conclusions</w:t>
      </w:r>
      <w:bookmarkEnd w:id="90"/>
    </w:p>
    <w:p w14:paraId="0ED266AA" w14:textId="77777777" w:rsidR="00263E1A" w:rsidRPr="008F5202" w:rsidRDefault="00263E1A" w:rsidP="00263E1A">
      <w:pPr>
        <w:tabs>
          <w:tab w:val="left" w:pos="284"/>
        </w:tabs>
        <w:spacing w:line="360" w:lineRule="auto"/>
        <w:contextualSpacing/>
        <w:jc w:val="both"/>
        <w:rPr>
          <w:rFonts w:ascii="Times New Roman" w:eastAsiaTheme="minorEastAsia" w:hAnsi="Times New Roman" w:cs="Times New Roman"/>
        </w:rPr>
      </w:pPr>
      <w:r w:rsidRPr="008F5202">
        <w:rPr>
          <w:rFonts w:ascii="Times New Roman" w:eastAsiaTheme="minorEastAsia" w:hAnsi="Times New Roman" w:cs="Times New Roman"/>
          <w:b/>
          <w:bCs/>
          <w:sz w:val="18"/>
          <w:szCs w:val="18"/>
        </w:rPr>
        <w:tab/>
      </w:r>
      <w:r w:rsidRPr="008F5202">
        <w:rPr>
          <w:rFonts w:ascii="Times New Roman" w:eastAsiaTheme="minorEastAsia" w:hAnsi="Times New Roman" w:cs="Times New Roman"/>
        </w:rPr>
        <w:t xml:space="preserve">Experimental investigation on flow and heat transfer characteristics of additively manufactured lattice blocks composed of four different unit cell topologies, namely, Octet, FD-Cube, TKD, and Cube has been caried out. The porosity of lattice was ~0.88 and cell density of 2.5 cpi. Heat transfer and pressure drop experiments were conducted over Reynolds number 5,000 &lt; </w:t>
      </w:r>
      <m:oMath>
        <m:r>
          <w:rPr>
            <w:rFonts w:ascii="Cambria Math" w:eastAsiaTheme="minorEastAsia" w:hAnsi="Cambria Math" w:cs="Times New Roman"/>
          </w:rPr>
          <m:t>R</m:t>
        </m:r>
        <m:sSub>
          <m:sSubPr>
            <m:ctrlPr>
              <w:rPr>
                <w:rFonts w:ascii="Cambria Math" w:eastAsiaTheme="minorEastAsia" w:hAnsi="Cambria Math" w:cs="Times New Roman"/>
                <w:i/>
              </w:rPr>
            </m:ctrlPr>
          </m:sSubPr>
          <m:e>
            <m:r>
              <w:rPr>
                <w:rFonts w:ascii="Cambria Math" w:eastAsiaTheme="minorEastAsia" w:hAnsi="Cambria Math" w:cs="Times New Roman"/>
              </w:rPr>
              <m:t>e</m:t>
            </m:r>
          </m:e>
          <m:sub>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h</m:t>
                </m:r>
              </m:sub>
            </m:sSub>
          </m:sub>
        </m:sSub>
      </m:oMath>
      <w:r w:rsidRPr="008F5202">
        <w:rPr>
          <w:rFonts w:ascii="Times New Roman" w:eastAsiaTheme="minorEastAsia" w:hAnsi="Times New Roman" w:cs="Times New Roman"/>
        </w:rPr>
        <w:t xml:space="preserve">&lt; 22, 500, with air as working fluid. Heat transfer experiments were conducted for two types of heating conditions in which: (a) both the </w:t>
      </w:r>
      <w:r w:rsidRPr="008F5202">
        <w:rPr>
          <w:rFonts w:ascii="Times New Roman" w:eastAsiaTheme="minorEastAsia" w:hAnsi="Times New Roman" w:cs="Times New Roman"/>
        </w:rPr>
        <w:lastRenderedPageBreak/>
        <w:t>endwalls were heated, and (b) only bottom wall was heated. Following major conclusions were drawn from the current investigation:</w:t>
      </w:r>
    </w:p>
    <w:p w14:paraId="3835DB09" w14:textId="3D9185AB" w:rsidR="00263E1A" w:rsidRPr="008F5202" w:rsidRDefault="00263E1A" w:rsidP="00263E1A">
      <w:pPr>
        <w:spacing w:line="360" w:lineRule="auto"/>
        <w:jc w:val="both"/>
        <w:rPr>
          <w:rFonts w:ascii="Times New Roman" w:eastAsiaTheme="minorEastAsia" w:hAnsi="Times New Roman" w:cs="Times New Roman"/>
          <w:color w:val="000000" w:themeColor="text1"/>
        </w:rPr>
      </w:pPr>
      <w:r w:rsidRPr="008F5202">
        <w:rPr>
          <w:rFonts w:ascii="Times New Roman" w:eastAsiaTheme="minorEastAsia" w:hAnsi="Times New Roman" w:cs="Times New Roman"/>
        </w:rPr>
        <w:t>1. The length of the samples in the mean flow direction was 100 mm which was sufficient for flow to reach thermally fully developed condition after travelling over five to six rows of unit cells in streamwise direction.</w:t>
      </w:r>
      <w:r w:rsidRPr="008F5202">
        <w:rPr>
          <w:rFonts w:ascii="Times New Roman" w:hAnsi="Times New Roman" w:cs="Times New Roman"/>
          <w:i/>
          <w:iCs/>
          <w:color w:val="000000" w:themeColor="text1"/>
        </w:rPr>
        <w:t xml:space="preserve"> </w:t>
      </w:r>
      <w:r w:rsidRPr="008F5202">
        <w:rPr>
          <w:rFonts w:ascii="Times New Roman" w:hAnsi="Times New Roman" w:cs="Times New Roman"/>
          <w:color w:val="000000" w:themeColor="text1"/>
        </w:rPr>
        <w:t xml:space="preserve">Octet, FD-Cube, and TKD provided similar total heat transfer coefficient values of ~216 </w:t>
      </w:r>
      <m:oMath>
        <m:f>
          <m:fPr>
            <m:type m:val="lin"/>
            <m:ctrlPr>
              <w:rPr>
                <w:rFonts w:ascii="Cambria Math" w:hAnsi="Cambria Math" w:cs="Times New Roman"/>
                <w:color w:val="000000" w:themeColor="text1"/>
              </w:rPr>
            </m:ctrlPr>
          </m:fPr>
          <m:num>
            <m:r>
              <m:rPr>
                <m:sty m:val="p"/>
              </m:rPr>
              <w:rPr>
                <w:rFonts w:ascii="Cambria Math" w:hAnsi="Cambria Math" w:cs="Times New Roman"/>
                <w:color w:val="000000" w:themeColor="text1"/>
              </w:rPr>
              <m:t>W</m:t>
            </m:r>
          </m:num>
          <m:den>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2</m:t>
                </m:r>
              </m:sup>
            </m:sSup>
            <m:r>
              <m:rPr>
                <m:sty m:val="p"/>
              </m:rPr>
              <w:rPr>
                <w:rFonts w:ascii="Cambria Math" w:hAnsi="Cambria Math" w:cs="Times New Roman"/>
                <w:color w:val="000000" w:themeColor="text1"/>
              </w:rPr>
              <m:t>K</m:t>
            </m:r>
          </m:den>
        </m:f>
      </m:oMath>
      <w:r w:rsidRPr="008F5202">
        <w:rPr>
          <w:rFonts w:ascii="Times New Roman" w:eastAsiaTheme="minorEastAsia" w:hAnsi="Times New Roman" w:cs="Times New Roman"/>
          <w:color w:val="000000" w:themeColor="text1"/>
        </w:rPr>
        <w:t xml:space="preserve"> to 415</w:t>
      </w:r>
      <m:oMath>
        <m:r>
          <m:rPr>
            <m:sty m:val="p"/>
          </m:rPr>
          <w:rPr>
            <w:rFonts w:ascii="Cambria Math" w:eastAsiaTheme="minorEastAsia" w:hAnsi="Cambria Math" w:cs="Times New Roman"/>
            <w:color w:val="000000" w:themeColor="text1"/>
          </w:rPr>
          <m:t xml:space="preserve"> </m:t>
        </m:r>
        <m:f>
          <m:fPr>
            <m:type m:val="lin"/>
            <m:ctrlPr>
              <w:rPr>
                <w:rFonts w:ascii="Cambria Math" w:hAnsi="Cambria Math" w:cs="Times New Roman"/>
                <w:color w:val="000000" w:themeColor="text1"/>
              </w:rPr>
            </m:ctrlPr>
          </m:fPr>
          <m:num>
            <m:r>
              <m:rPr>
                <m:sty m:val="p"/>
              </m:rPr>
              <w:rPr>
                <w:rFonts w:ascii="Cambria Math" w:hAnsi="Cambria Math" w:cs="Times New Roman"/>
                <w:color w:val="000000" w:themeColor="text1"/>
              </w:rPr>
              <m:t>W</m:t>
            </m:r>
          </m:num>
          <m:den>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2</m:t>
                </m:r>
              </m:sup>
            </m:sSup>
            <m:r>
              <m:rPr>
                <m:sty m:val="p"/>
              </m:rPr>
              <w:rPr>
                <w:rFonts w:ascii="Cambria Math" w:hAnsi="Cambria Math" w:cs="Times New Roman"/>
                <w:color w:val="000000" w:themeColor="text1"/>
              </w:rPr>
              <m:t>K</m:t>
            </m:r>
          </m:den>
        </m:f>
      </m:oMath>
      <w:r w:rsidRPr="008F5202">
        <w:rPr>
          <w:rFonts w:ascii="Times New Roman" w:eastAsiaTheme="minorEastAsia" w:hAnsi="Times New Roman" w:cs="Times New Roman"/>
          <w:color w:val="000000" w:themeColor="text1"/>
        </w:rPr>
        <w:t xml:space="preserve"> in thermally fully developed zones whereas Cube yielded the lowest heat transfer coefficient values between 167</w:t>
      </w:r>
      <m:oMath>
        <m:f>
          <m:fPr>
            <m:type m:val="lin"/>
            <m:ctrlPr>
              <w:rPr>
                <w:rFonts w:ascii="Cambria Math" w:hAnsi="Cambria Math" w:cs="Times New Roman"/>
                <w:color w:val="000000" w:themeColor="text1"/>
              </w:rPr>
            </m:ctrlPr>
          </m:fPr>
          <m:num>
            <m:r>
              <m:rPr>
                <m:sty m:val="p"/>
              </m:rPr>
              <w:rPr>
                <w:rFonts w:ascii="Cambria Math" w:hAnsi="Cambria Math" w:cs="Times New Roman"/>
                <w:color w:val="000000" w:themeColor="text1"/>
              </w:rPr>
              <m:t xml:space="preserve"> W</m:t>
            </m:r>
          </m:num>
          <m:den>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2</m:t>
                </m:r>
              </m:sup>
            </m:sSup>
            <m:r>
              <m:rPr>
                <m:sty m:val="p"/>
              </m:rPr>
              <w:rPr>
                <w:rFonts w:ascii="Cambria Math" w:hAnsi="Cambria Math" w:cs="Times New Roman"/>
                <w:color w:val="000000" w:themeColor="text1"/>
              </w:rPr>
              <m:t>K</m:t>
            </m:r>
          </m:den>
        </m:f>
      </m:oMath>
      <w:r w:rsidRPr="008F5202">
        <w:rPr>
          <w:rFonts w:ascii="Times New Roman" w:eastAsiaTheme="minorEastAsia" w:hAnsi="Times New Roman" w:cs="Times New Roman"/>
          <w:color w:val="000000" w:themeColor="text1"/>
        </w:rPr>
        <w:t xml:space="preserve"> and 290 </w:t>
      </w:r>
      <m:oMath>
        <m:f>
          <m:fPr>
            <m:type m:val="lin"/>
            <m:ctrlPr>
              <w:rPr>
                <w:rFonts w:ascii="Cambria Math" w:hAnsi="Cambria Math" w:cs="Times New Roman"/>
                <w:color w:val="000000" w:themeColor="text1"/>
              </w:rPr>
            </m:ctrlPr>
          </m:fPr>
          <m:num>
            <m:r>
              <m:rPr>
                <m:sty m:val="p"/>
              </m:rPr>
              <w:rPr>
                <w:rFonts w:ascii="Cambria Math" w:hAnsi="Cambria Math" w:cs="Times New Roman"/>
                <w:color w:val="000000" w:themeColor="text1"/>
              </w:rPr>
              <m:t>W</m:t>
            </m:r>
          </m:num>
          <m:den>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m</m:t>
                </m:r>
              </m:e>
              <m:sup>
                <m:r>
                  <m:rPr>
                    <m:sty m:val="p"/>
                  </m:rPr>
                  <w:rPr>
                    <w:rFonts w:ascii="Cambria Math" w:hAnsi="Cambria Math" w:cs="Times New Roman"/>
                    <w:color w:val="000000" w:themeColor="text1"/>
                  </w:rPr>
                  <m:t>2</m:t>
                </m:r>
              </m:sup>
            </m:sSup>
            <m:r>
              <m:rPr>
                <m:sty m:val="p"/>
              </m:rPr>
              <w:rPr>
                <w:rFonts w:ascii="Cambria Math" w:hAnsi="Cambria Math" w:cs="Times New Roman"/>
                <w:color w:val="000000" w:themeColor="text1"/>
              </w:rPr>
              <m:t>K</m:t>
            </m:r>
          </m:den>
        </m:f>
        <m:r>
          <m:rPr>
            <m:sty m:val="p"/>
          </m:rPr>
          <w:rPr>
            <w:rFonts w:ascii="Cambria Math" w:hAnsi="Cambria Math" w:cs="Times New Roman"/>
            <w:color w:val="000000" w:themeColor="text1"/>
          </w:rPr>
          <m:t>.</m:t>
        </m:r>
      </m:oMath>
    </w:p>
    <w:p w14:paraId="52341B54" w14:textId="0802D2DD" w:rsidR="00263E1A" w:rsidRPr="008F5202" w:rsidRDefault="00263E1A" w:rsidP="00263E1A">
      <w:pPr>
        <w:spacing w:line="360" w:lineRule="auto"/>
        <w:jc w:val="both"/>
        <w:rPr>
          <w:rFonts w:ascii="Times New Roman" w:eastAsiaTheme="minorEastAsia" w:hAnsi="Times New Roman" w:cs="Times New Roman"/>
        </w:rPr>
      </w:pPr>
      <w:r w:rsidRPr="008F5202">
        <w:rPr>
          <w:rFonts w:ascii="Times New Roman" w:eastAsiaTheme="minorEastAsia" w:hAnsi="Times New Roman" w:cs="Times New Roman"/>
        </w:rPr>
        <w:t xml:space="preserve">2.  Introduction of pore diameter and fiber diameter as characteristic length scale to define Nusselt number yielded very coherent data set for all the topologies. Both the characteristic length scales allowed the construction of a single trendline to predict the thermal performance of all the topologies with </w:t>
      </w:r>
      <m:oMath>
        <m:r>
          <w:rPr>
            <w:rFonts w:ascii="Cambria Math" w:eastAsiaTheme="minorEastAsia" w:hAnsi="Cambria Math" w:cs="Times New Roman"/>
          </w:rPr>
          <m:t>±</m:t>
        </m:r>
      </m:oMath>
      <w:r w:rsidRPr="008F5202">
        <w:rPr>
          <w:rFonts w:ascii="Times New Roman" w:eastAsiaTheme="minorEastAsia" w:hAnsi="Times New Roman" w:cs="Times New Roman"/>
        </w:rPr>
        <w:t xml:space="preserve">15% spread for a particular heating condition. </w:t>
      </w:r>
    </w:p>
    <w:p w14:paraId="649377EA" w14:textId="5681AC53" w:rsidR="00263E1A" w:rsidRPr="008F5202" w:rsidRDefault="00263E1A" w:rsidP="00263E1A">
      <w:pPr>
        <w:tabs>
          <w:tab w:val="left" w:pos="284"/>
        </w:tabs>
        <w:spacing w:line="360" w:lineRule="auto"/>
        <w:jc w:val="both"/>
        <w:rPr>
          <w:rFonts w:ascii="Times New Roman" w:eastAsiaTheme="minorEastAsia" w:hAnsi="Times New Roman" w:cs="Times New Roman"/>
        </w:rPr>
      </w:pPr>
      <w:r w:rsidRPr="008F5202">
        <w:rPr>
          <w:rFonts w:ascii="Times New Roman" w:eastAsiaTheme="minorEastAsia" w:hAnsi="Times New Roman" w:cs="Times New Roman"/>
        </w:rPr>
        <w:t>3. Lattices could augment the Nusselt number by roughly 10 – 20 times with respect to the smooth channel.</w:t>
      </w:r>
    </w:p>
    <w:p w14:paraId="3B30A242" w14:textId="1598AECA" w:rsidR="00263E1A" w:rsidRPr="008F5202" w:rsidRDefault="00263E1A" w:rsidP="00263E1A">
      <w:pPr>
        <w:tabs>
          <w:tab w:val="left" w:pos="284"/>
        </w:tabs>
        <w:spacing w:line="360" w:lineRule="auto"/>
        <w:jc w:val="both"/>
        <w:rPr>
          <w:rFonts w:ascii="Times New Roman" w:eastAsiaTheme="minorEastAsia" w:hAnsi="Times New Roman" w:cs="Times New Roman"/>
        </w:rPr>
      </w:pPr>
      <w:r w:rsidRPr="008F5202">
        <w:rPr>
          <w:rFonts w:ascii="Times New Roman" w:eastAsiaTheme="minorEastAsia" w:hAnsi="Times New Roman" w:cs="Times New Roman"/>
        </w:rPr>
        <w:t xml:space="preserve">4. From the flow losses perspective, the maximum pressure gradient was incurred by the FD-Cube and the least pressure drop penalty was provided by Cube topology. At any given pumping power condition, Octet, FD-Cube, and TKD were equally promising for the investigated range of mass flow rates, however, Cube could be useful at very high mass flow rates when only one wall is heated.  </w:t>
      </w:r>
    </w:p>
    <w:p w14:paraId="53CD99C3" w14:textId="77777777" w:rsidR="00263E1A" w:rsidRPr="008F5202" w:rsidRDefault="00263E1A" w:rsidP="00263E1A">
      <w:pPr>
        <w:spacing w:before="240" w:line="360" w:lineRule="auto"/>
        <w:contextualSpacing/>
        <w:jc w:val="both"/>
        <w:rPr>
          <w:rFonts w:ascii="Times New Roman" w:hAnsi="Times New Roman" w:cs="Times New Roman"/>
          <w:i/>
          <w:iCs/>
          <w:color w:val="000000" w:themeColor="text1"/>
        </w:rPr>
      </w:pPr>
      <w:r w:rsidRPr="008F5202">
        <w:rPr>
          <w:rFonts w:ascii="Times New Roman" w:eastAsiaTheme="minorEastAsia" w:hAnsi="Times New Roman" w:cs="Times New Roman"/>
        </w:rPr>
        <w:t xml:space="preserve">5. The thermal-hydraulic performance was quite similar for all the topologies which showed that Octet, FD-Cube, and TKD can be very useful in practical engineering applications where pressure drop is not a constraint variable because these topologies generated higher heat transfer than Cube. </w:t>
      </w:r>
      <w:r w:rsidRPr="008F5202">
        <w:rPr>
          <w:rFonts w:ascii="Times New Roman" w:hAnsi="Times New Roman" w:cs="Times New Roman"/>
          <w:color w:val="000000" w:themeColor="text1"/>
        </w:rPr>
        <w:t>The investigated topologies provided THP of ~ 3 at the lowest investigated Reynolds number.</w:t>
      </w:r>
      <w:r w:rsidRPr="008F5202">
        <w:rPr>
          <w:rFonts w:ascii="Times New Roman" w:hAnsi="Times New Roman" w:cs="Times New Roman"/>
          <w:i/>
          <w:iCs/>
          <w:color w:val="000000" w:themeColor="text1"/>
        </w:rPr>
        <w:t xml:space="preserve"> </w:t>
      </w:r>
    </w:p>
    <w:p w14:paraId="1190BB3D" w14:textId="77777777" w:rsidR="00263E1A" w:rsidRPr="008F5202" w:rsidRDefault="00263E1A" w:rsidP="00263E1A">
      <w:pPr>
        <w:spacing w:before="240" w:line="360" w:lineRule="auto"/>
        <w:contextualSpacing/>
        <w:jc w:val="both"/>
        <w:rPr>
          <w:rFonts w:ascii="Times New Roman" w:hAnsi="Times New Roman" w:cs="Times New Roman"/>
          <w:i/>
          <w:iCs/>
          <w:color w:val="000000" w:themeColor="text1"/>
        </w:rPr>
      </w:pPr>
    </w:p>
    <w:p w14:paraId="786BCE20" w14:textId="77777777" w:rsidR="00263E1A" w:rsidRPr="008F5202" w:rsidRDefault="00263E1A" w:rsidP="00263E1A">
      <w:pPr>
        <w:tabs>
          <w:tab w:val="left" w:pos="284"/>
        </w:tabs>
        <w:spacing w:line="360" w:lineRule="auto"/>
        <w:jc w:val="both"/>
        <w:rPr>
          <w:rFonts w:ascii="Times New Roman" w:eastAsiaTheme="minorEastAsia" w:hAnsi="Times New Roman" w:cs="Times New Roman"/>
        </w:rPr>
      </w:pPr>
      <w:r w:rsidRPr="008F5202">
        <w:rPr>
          <w:rFonts w:ascii="Times New Roman" w:eastAsiaTheme="minorEastAsia" w:hAnsi="Times New Roman" w:cs="Times New Roman"/>
        </w:rPr>
        <w:t xml:space="preserve">6. Overall, it can be concluded that increasing the complexity of the RUC topology is not a very effective method of improving the heat transfer from a surface especially when the dimensions of the samples are large enough to achieve fully developed thermal flows. In the current study, the heat transfer coefficient enhancement with respect to smooth channel </w:t>
      </w:r>
      <w:r w:rsidRPr="008F5202">
        <w:rPr>
          <w:rFonts w:ascii="Times New Roman" w:eastAsiaTheme="minorEastAsia" w:hAnsi="Times New Roman" w:cs="Times New Roman"/>
        </w:rPr>
        <w:lastRenderedPageBreak/>
        <w:t>for lattices with relatively higher degree of complexity showed negligible dependence on the RUC topology.</w:t>
      </w:r>
    </w:p>
    <w:p w14:paraId="7AACADC7" w14:textId="240A9060" w:rsidR="00230F46" w:rsidRPr="008F5202" w:rsidRDefault="00230F46" w:rsidP="008E7EC0">
      <w:pPr>
        <w:pStyle w:val="Heading2"/>
      </w:pPr>
      <w:bookmarkStart w:id="91" w:name="_Toc177758148"/>
      <w:r w:rsidRPr="008F5202">
        <w:t>Numeclature</w:t>
      </w:r>
      <w:bookmarkEnd w:id="91"/>
    </w:p>
    <w:p w14:paraId="4ACAA50B" w14:textId="77777777" w:rsidR="00230F46" w:rsidRPr="008F5202" w:rsidRDefault="00000000" w:rsidP="008E7EC0">
      <w:pPr>
        <w:tabs>
          <w:tab w:val="left" w:pos="180"/>
        </w:tabs>
        <w:autoSpaceDE w:val="0"/>
        <w:autoSpaceDN w:val="0"/>
        <w:adjustRightInd w:val="0"/>
        <w:spacing w:line="360" w:lineRule="auto"/>
        <w:jc w:val="both"/>
        <w:rPr>
          <w:rFonts w:ascii="Times New Roman" w:hAnsi="Times New Roman" w:cs="Times New Roman"/>
          <w:b/>
          <w:bCs/>
        </w:rPr>
      </w:pPr>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ins</m:t>
            </m:r>
          </m:sub>
        </m:sSub>
      </m:oMath>
      <w:r w:rsidR="00230F46" w:rsidRPr="008F5202">
        <w:rPr>
          <w:rFonts w:ascii="Times New Roman" w:hAnsi="Times New Roman" w:cs="Times New Roman"/>
        </w:rPr>
        <w:tab/>
        <w:t xml:space="preserve">    base area of insulation/endwall</w:t>
      </w:r>
    </w:p>
    <w:p w14:paraId="5B2A7F5F"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w:r w:rsidRPr="008F5202">
        <w:rPr>
          <w:rFonts w:ascii="Times New Roman" w:hAnsi="Times New Roman" w:cs="Times New Roman"/>
        </w:rPr>
        <w:t xml:space="preserve">CAD </w:t>
      </w:r>
      <w:r w:rsidRPr="008F5202">
        <w:rPr>
          <w:rFonts w:ascii="Times New Roman" w:hAnsi="Times New Roman" w:cs="Times New Roman"/>
        </w:rPr>
        <w:tab/>
        <w:t xml:space="preserve">computer aided design </w:t>
      </w:r>
    </w:p>
    <w:p w14:paraId="08653A54"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m:oMath>
        <m:r>
          <w:rPr>
            <w:rFonts w:ascii="Cambria Math" w:hAnsi="Cambria Math" w:cs="Times New Roman"/>
          </w:rPr>
          <m:t>c, m</m:t>
        </m:r>
      </m:oMath>
      <w:r w:rsidRPr="008F5202">
        <w:rPr>
          <w:rFonts w:ascii="Times New Roman" w:hAnsi="Times New Roman" w:cs="Times New Roman"/>
        </w:rPr>
        <w:tab/>
        <w:t>coefficients in correlation</w:t>
      </w:r>
    </w:p>
    <w:p w14:paraId="2E7B61B0" w14:textId="21D1C0E9"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p</m:t>
            </m:r>
          </m:sub>
        </m:sSub>
      </m:oMath>
      <w:r w:rsidR="00230F46" w:rsidRPr="008F5202">
        <w:rPr>
          <w:rFonts w:ascii="Times New Roman" w:hAnsi="Times New Roman" w:cs="Times New Roman"/>
        </w:rPr>
        <w:tab/>
      </w:r>
      <w:r w:rsidR="008E7EC0" w:rsidRPr="008F5202">
        <w:rPr>
          <w:rFonts w:ascii="Times New Roman" w:hAnsi="Times New Roman" w:cs="Times New Roman"/>
        </w:rPr>
        <w:t>s</w:t>
      </w:r>
      <w:r w:rsidR="00230F46" w:rsidRPr="008F5202">
        <w:rPr>
          <w:rFonts w:ascii="Times New Roman" w:hAnsi="Times New Roman" w:cs="Times New Roman"/>
        </w:rPr>
        <w:t>pecific heat capacity</w:t>
      </w:r>
    </w:p>
    <w:p w14:paraId="4E5F671E"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w:r w:rsidRPr="008F5202">
        <w:rPr>
          <w:rFonts w:ascii="Times New Roman" w:hAnsi="Times New Roman" w:cs="Times New Roman"/>
        </w:rPr>
        <w:t xml:space="preserve">cpi </w:t>
      </w:r>
      <w:r w:rsidRPr="008F5202">
        <w:rPr>
          <w:rFonts w:ascii="Times New Roman" w:hAnsi="Times New Roman" w:cs="Times New Roman"/>
        </w:rPr>
        <w:tab/>
        <w:t>cells per inch</w:t>
      </w:r>
    </w:p>
    <w:p w14:paraId="3D03BCFF" w14:textId="77777777"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f</m:t>
            </m:r>
          </m:sub>
        </m:sSub>
      </m:oMath>
      <w:r w:rsidR="00230F46" w:rsidRPr="008F5202">
        <w:rPr>
          <w:rFonts w:ascii="Times New Roman" w:hAnsi="Times New Roman" w:cs="Times New Roman"/>
        </w:rPr>
        <w:tab/>
        <w:t xml:space="preserve">fiber-diameter </w:t>
      </w:r>
    </w:p>
    <w:p w14:paraId="537646F8" w14:textId="77777777" w:rsidR="00230F46" w:rsidRPr="008F5202" w:rsidRDefault="00000000" w:rsidP="008E7EC0">
      <w:pPr>
        <w:tabs>
          <w:tab w:val="left" w:pos="180"/>
        </w:tabs>
        <w:autoSpaceDE w:val="0"/>
        <w:autoSpaceDN w:val="0"/>
        <w:adjustRightInd w:val="0"/>
        <w:spacing w:line="36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h</m:t>
            </m:r>
          </m:sub>
        </m:sSub>
      </m:oMath>
      <w:r w:rsidR="00230F46" w:rsidRPr="008F5202">
        <w:rPr>
          <w:rFonts w:ascii="Times New Roman" w:hAnsi="Times New Roman" w:cs="Times New Roman"/>
        </w:rPr>
        <w:tab/>
        <w:t xml:space="preserve">    hydraulic diameter </w:t>
      </w:r>
    </w:p>
    <w:p w14:paraId="7B8D8B1B" w14:textId="77777777"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p</m:t>
            </m:r>
          </m:sub>
        </m:sSub>
      </m:oMath>
      <w:r w:rsidR="00230F46" w:rsidRPr="008F5202">
        <w:rPr>
          <w:rFonts w:ascii="Times New Roman" w:hAnsi="Times New Roman" w:cs="Times New Roman"/>
        </w:rPr>
        <w:tab/>
        <w:t xml:space="preserve">pore-diameter </w:t>
      </w:r>
    </w:p>
    <w:p w14:paraId="001E840C"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m:oMath>
        <m:r>
          <w:rPr>
            <w:rFonts w:ascii="Cambria Math" w:hAnsi="Cambria Math" w:cs="Times New Roman"/>
          </w:rPr>
          <m:t>f</m:t>
        </m:r>
      </m:oMath>
      <w:r w:rsidRPr="008F5202">
        <w:rPr>
          <w:rFonts w:ascii="Times New Roman" w:hAnsi="Times New Roman" w:cs="Times New Roman"/>
        </w:rPr>
        <w:tab/>
      </w:r>
      <w:r w:rsidRPr="008F5202">
        <w:rPr>
          <w:rFonts w:ascii="Times New Roman" w:hAnsi="Times New Roman" w:cs="Times New Roman"/>
        </w:rPr>
        <w:tab/>
        <w:t>friction factor</w:t>
      </w:r>
    </w:p>
    <w:p w14:paraId="2DBC6FF1"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w:r w:rsidRPr="008F5202">
        <w:rPr>
          <w:rFonts w:ascii="Times New Roman" w:hAnsi="Times New Roman" w:cs="Times New Roman"/>
        </w:rPr>
        <w:t>H</w:t>
      </w:r>
      <w:r w:rsidRPr="008F5202">
        <w:rPr>
          <w:rFonts w:ascii="Times New Roman" w:hAnsi="Times New Roman" w:cs="Times New Roman"/>
        </w:rPr>
        <w:tab/>
      </w:r>
      <w:r w:rsidRPr="008F5202">
        <w:rPr>
          <w:rFonts w:ascii="Times New Roman" w:hAnsi="Times New Roman" w:cs="Times New Roman"/>
        </w:rPr>
        <w:tab/>
        <w:t>height of the sample</w:t>
      </w:r>
    </w:p>
    <w:p w14:paraId="311F3124" w14:textId="06E27E6B"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t</m:t>
            </m:r>
          </m:sub>
        </m:sSub>
      </m:oMath>
      <w:r w:rsidR="00230F46" w:rsidRPr="008F5202">
        <w:rPr>
          <w:rFonts w:ascii="Times New Roman" w:hAnsi="Times New Roman" w:cs="Times New Roman"/>
        </w:rPr>
        <w:tab/>
        <w:t xml:space="preserve">local total transfer coefficient </w:t>
      </w:r>
    </w:p>
    <w:p w14:paraId="14AD09F9" w14:textId="77777777"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f</m:t>
            </m:r>
          </m:sub>
        </m:sSub>
      </m:oMath>
      <w:r w:rsidR="00230F46" w:rsidRPr="008F5202">
        <w:rPr>
          <w:rFonts w:ascii="Times New Roman" w:hAnsi="Times New Roman" w:cs="Times New Roman"/>
        </w:rPr>
        <w:t xml:space="preserve"> </w:t>
      </w:r>
      <w:r w:rsidR="00230F46" w:rsidRPr="008F5202">
        <w:rPr>
          <w:rFonts w:ascii="Times New Roman" w:hAnsi="Times New Roman" w:cs="Times New Roman"/>
        </w:rPr>
        <w:tab/>
        <w:t>local forced heat transfer coefficient</w:t>
      </w:r>
    </w:p>
    <w:p w14:paraId="4D644B68" w14:textId="3A188532"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f</m:t>
            </m:r>
          </m:sub>
        </m:sSub>
      </m:oMath>
      <w:r w:rsidR="00230F46" w:rsidRPr="008F5202">
        <w:rPr>
          <w:rFonts w:ascii="Times New Roman" w:hAnsi="Times New Roman" w:cs="Times New Roman"/>
        </w:rPr>
        <w:tab/>
        <w:t>fluid thermal conductivity</w:t>
      </w:r>
    </w:p>
    <w:p w14:paraId="1BADA63B"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w:r w:rsidRPr="008F5202">
        <w:rPr>
          <w:rFonts w:ascii="Times New Roman" w:hAnsi="Times New Roman" w:cs="Times New Roman"/>
        </w:rPr>
        <w:t>L</w:t>
      </w:r>
      <w:r w:rsidRPr="008F5202">
        <w:rPr>
          <w:rFonts w:ascii="Times New Roman" w:hAnsi="Times New Roman" w:cs="Times New Roman"/>
        </w:rPr>
        <w:tab/>
      </w:r>
      <w:r w:rsidRPr="008F5202">
        <w:rPr>
          <w:rFonts w:ascii="Times New Roman" w:hAnsi="Times New Roman" w:cs="Times New Roman"/>
        </w:rPr>
        <w:tab/>
        <w:t>streamwise length of the sample</w:t>
      </w:r>
    </w:p>
    <w:p w14:paraId="6FCEE9EA" w14:textId="59BA9D17"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m</m:t>
            </m:r>
          </m:e>
        </m:acc>
      </m:oMath>
      <w:r w:rsidR="00230F46" w:rsidRPr="008F5202">
        <w:rPr>
          <w:rFonts w:ascii="Times New Roman" w:hAnsi="Times New Roman" w:cs="Times New Roman"/>
        </w:rPr>
        <w:tab/>
        <w:t>mass flow rate</w:t>
      </w:r>
    </w:p>
    <w:p w14:paraId="6FF0B6F5"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m:oMath>
        <m:r>
          <w:rPr>
            <w:rFonts w:ascii="Cambria Math" w:hAnsi="Cambria Math" w:cs="Times New Roman"/>
          </w:rPr>
          <m:t>Nu</m:t>
        </m:r>
      </m:oMath>
      <w:r w:rsidRPr="008F5202">
        <w:rPr>
          <w:rFonts w:ascii="Times New Roman" w:hAnsi="Times New Roman" w:cs="Times New Roman"/>
        </w:rPr>
        <w:tab/>
        <w:t>Nusselt number</w:t>
      </w:r>
    </w:p>
    <w:p w14:paraId="00A7C613"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m:oMath>
        <m:r>
          <m:rPr>
            <m:sty m:val="p"/>
          </m:rPr>
          <w:rPr>
            <w:rFonts w:ascii="Cambria Math" w:hAnsi="Cambria Math" w:cs="Times New Roman"/>
          </w:rPr>
          <m:t>ppi</m:t>
        </m:r>
      </m:oMath>
      <w:r w:rsidRPr="008F5202">
        <w:rPr>
          <w:rFonts w:ascii="Times New Roman" w:hAnsi="Times New Roman" w:cs="Times New Roman"/>
        </w:rPr>
        <w:tab/>
        <w:t>pores per inch</w:t>
      </w:r>
    </w:p>
    <w:p w14:paraId="3F667E20"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m:oMath>
        <m:r>
          <w:rPr>
            <w:rFonts w:ascii="Cambria Math" w:eastAsia="Calibri" w:hAnsi="Cambria Math" w:cs="Times New Roman"/>
          </w:rPr>
          <m:t>Pr</m:t>
        </m:r>
      </m:oMath>
      <w:r w:rsidRPr="008F5202">
        <w:rPr>
          <w:rFonts w:ascii="Times New Roman" w:hAnsi="Times New Roman" w:cs="Times New Roman"/>
        </w:rPr>
        <w:tab/>
        <w:t xml:space="preserve">Prandtl number </w:t>
      </w:r>
    </w:p>
    <w:p w14:paraId="5A016672" w14:textId="77777777"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Q</m:t>
            </m:r>
          </m:e>
          <m:sub>
            <m:r>
              <w:rPr>
                <w:rFonts w:ascii="Cambria Math" w:eastAsia="Calibri" w:hAnsi="Cambria Math" w:cs="Times New Roman"/>
              </w:rPr>
              <m:t>net</m:t>
            </m:r>
          </m:sub>
        </m:sSub>
      </m:oMath>
      <w:r w:rsidR="00230F46" w:rsidRPr="008F5202">
        <w:rPr>
          <w:rFonts w:ascii="Times New Roman" w:hAnsi="Times New Roman" w:cs="Times New Roman"/>
        </w:rPr>
        <w:tab/>
        <w:t>net heat input into the lattice</w:t>
      </w:r>
    </w:p>
    <w:p w14:paraId="02C3FA09" w14:textId="77777777"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Q</m:t>
            </m:r>
          </m:e>
          <m:sub>
            <m:r>
              <w:rPr>
                <w:rFonts w:ascii="Cambria Math" w:eastAsia="Calibri" w:hAnsi="Cambria Math" w:cs="Times New Roman"/>
              </w:rPr>
              <m:t>nf</m:t>
            </m:r>
          </m:sub>
        </m:sSub>
      </m:oMath>
      <w:r w:rsidR="00230F46" w:rsidRPr="008F5202">
        <w:rPr>
          <w:rFonts w:ascii="Times New Roman" w:hAnsi="Times New Roman" w:cs="Times New Roman"/>
        </w:rPr>
        <w:tab/>
        <w:t xml:space="preserve">heater output under </w:t>
      </w:r>
      <w:r w:rsidR="00230F46" w:rsidRPr="008F5202">
        <w:rPr>
          <w:rFonts w:ascii="Times New Roman" w:hAnsi="Times New Roman" w:cs="Times New Roman"/>
          <w:i/>
          <w:iCs/>
        </w:rPr>
        <w:t>no-flow</w:t>
      </w:r>
      <w:r w:rsidR="00230F46" w:rsidRPr="008F5202">
        <w:rPr>
          <w:rFonts w:ascii="Times New Roman" w:hAnsi="Times New Roman" w:cs="Times New Roman"/>
        </w:rPr>
        <w:t xml:space="preserve"> conditions</w:t>
      </w:r>
    </w:p>
    <w:p w14:paraId="335BDDD9" w14:textId="77777777"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Q</m:t>
            </m:r>
          </m:e>
          <m:sub>
            <m:r>
              <w:rPr>
                <w:rFonts w:ascii="Cambria Math" w:eastAsia="Calibri" w:hAnsi="Cambria Math" w:cs="Times New Roman"/>
              </w:rPr>
              <m:t>t</m:t>
            </m:r>
          </m:sub>
        </m:sSub>
      </m:oMath>
      <w:r w:rsidR="00230F46" w:rsidRPr="008F5202">
        <w:rPr>
          <w:rFonts w:ascii="Times New Roman" w:hAnsi="Times New Roman" w:cs="Times New Roman"/>
        </w:rPr>
        <w:tab/>
        <w:t>total heater output</w:t>
      </w:r>
    </w:p>
    <w:p w14:paraId="665A989C" w14:textId="77777777"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Q</m:t>
            </m:r>
          </m:e>
          <m:sub>
            <m:r>
              <w:rPr>
                <w:rFonts w:ascii="Cambria Math" w:eastAsia="Calibri" w:hAnsi="Cambria Math" w:cs="Times New Roman"/>
              </w:rPr>
              <m:t>wf</m:t>
            </m:r>
          </m:sub>
        </m:sSub>
      </m:oMath>
      <w:r w:rsidR="00230F46" w:rsidRPr="008F5202">
        <w:rPr>
          <w:rFonts w:ascii="Times New Roman" w:hAnsi="Times New Roman" w:cs="Times New Roman"/>
        </w:rPr>
        <w:tab/>
        <w:t xml:space="preserve">heat lost through backside insulation  </w:t>
      </w:r>
    </w:p>
    <w:p w14:paraId="3C9D9427" w14:textId="77777777"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Q"</m:t>
            </m:r>
          </m:e>
          <m:sub>
            <m:r>
              <w:rPr>
                <w:rFonts w:ascii="Cambria Math" w:eastAsia="Calibri" w:hAnsi="Cambria Math" w:cs="Times New Roman"/>
              </w:rPr>
              <m:t>net</m:t>
            </m:r>
          </m:sub>
        </m:sSub>
      </m:oMath>
      <w:r w:rsidR="00230F46" w:rsidRPr="008F5202">
        <w:rPr>
          <w:rFonts w:ascii="Times New Roman" w:hAnsi="Times New Roman" w:cs="Times New Roman"/>
        </w:rPr>
        <w:tab/>
        <w:t xml:space="preserve">net heat flux </w:t>
      </w:r>
    </w:p>
    <w:p w14:paraId="04498333" w14:textId="77777777"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htr</m:t>
            </m:r>
          </m:sub>
        </m:sSub>
      </m:oMath>
      <w:r w:rsidR="00230F46" w:rsidRPr="008F5202">
        <w:rPr>
          <w:rFonts w:ascii="Times New Roman" w:hAnsi="Times New Roman" w:cs="Times New Roman"/>
        </w:rPr>
        <w:tab/>
        <w:t>resistance of the heater</w:t>
      </w:r>
    </w:p>
    <w:p w14:paraId="133AE5A4"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m:oMath>
        <m:r>
          <w:rPr>
            <w:rFonts w:ascii="Cambria Math" w:hAnsi="Cambria Math" w:cs="Times New Roman"/>
          </w:rPr>
          <m:t>Re</m:t>
        </m:r>
      </m:oMath>
      <w:r w:rsidRPr="008F5202">
        <w:rPr>
          <w:rFonts w:ascii="Times New Roman" w:hAnsi="Times New Roman" w:cs="Times New Roman"/>
        </w:rPr>
        <w:tab/>
        <w:t xml:space="preserve">Reynolds number </w:t>
      </w:r>
    </w:p>
    <w:p w14:paraId="55887B33"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w:r w:rsidRPr="008F5202">
        <w:rPr>
          <w:rFonts w:ascii="Times New Roman" w:hAnsi="Times New Roman" w:cs="Times New Roman"/>
        </w:rPr>
        <w:t xml:space="preserve">RUC </w:t>
      </w:r>
      <w:r w:rsidRPr="008F5202">
        <w:rPr>
          <w:rFonts w:ascii="Times New Roman" w:hAnsi="Times New Roman" w:cs="Times New Roman"/>
        </w:rPr>
        <w:tab/>
        <w:t>representative unit cell</w:t>
      </w:r>
    </w:p>
    <w:p w14:paraId="6FEB3D53" w14:textId="77777777"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ins</m:t>
            </m:r>
          </m:sub>
        </m:sSub>
      </m:oMath>
      <w:r w:rsidR="00230F46" w:rsidRPr="008F5202">
        <w:rPr>
          <w:rFonts w:ascii="Times New Roman" w:hAnsi="Times New Roman" w:cs="Times New Roman"/>
        </w:rPr>
        <w:tab/>
        <w:t>insulation thickness</w:t>
      </w:r>
    </w:p>
    <w:p w14:paraId="2E9C8546"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m:oMath>
        <m:r>
          <w:rPr>
            <w:rFonts w:ascii="Cambria Math" w:eastAsia="Calibri" w:hAnsi="Cambria Math" w:cs="Times New Roman"/>
          </w:rPr>
          <m:t>T</m:t>
        </m:r>
      </m:oMath>
      <w:r w:rsidRPr="008F5202">
        <w:rPr>
          <w:rFonts w:ascii="Times New Roman" w:hAnsi="Times New Roman" w:cs="Times New Roman"/>
        </w:rPr>
        <w:tab/>
      </w:r>
      <w:r w:rsidRPr="008F5202">
        <w:rPr>
          <w:rFonts w:ascii="Times New Roman" w:hAnsi="Times New Roman" w:cs="Times New Roman"/>
        </w:rPr>
        <w:tab/>
        <w:t xml:space="preserve">temperature </w:t>
      </w:r>
    </w:p>
    <w:p w14:paraId="45B1AC77"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m:oMath>
        <m:r>
          <w:rPr>
            <w:rFonts w:ascii="Cambria Math" w:hAnsi="Cambria Math" w:cs="Times New Roman"/>
          </w:rPr>
          <m:t>THP</m:t>
        </m:r>
      </m:oMath>
      <w:r w:rsidRPr="008F5202">
        <w:rPr>
          <w:rFonts w:ascii="Times New Roman" w:hAnsi="Times New Roman" w:cs="Times New Roman"/>
        </w:rPr>
        <w:tab/>
        <w:t>Thermal hydraulic performance</w:t>
      </w:r>
    </w:p>
    <w:p w14:paraId="4C32297F"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w:r w:rsidRPr="008F5202">
        <w:rPr>
          <w:rFonts w:ascii="Times New Roman" w:hAnsi="Times New Roman" w:cs="Times New Roman"/>
        </w:rPr>
        <w:t xml:space="preserve">TPMS </w:t>
      </w:r>
      <w:r w:rsidRPr="008F5202">
        <w:rPr>
          <w:rFonts w:ascii="Times New Roman" w:hAnsi="Times New Roman" w:cs="Times New Roman"/>
        </w:rPr>
        <w:tab/>
        <w:t>triply periodic minimal surface</w:t>
      </w:r>
    </w:p>
    <w:p w14:paraId="3B6EC5ED"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m:oMath>
        <m:r>
          <w:rPr>
            <w:rFonts w:ascii="Cambria Math" w:hAnsi="Cambria Math" w:cs="Times New Roman"/>
          </w:rPr>
          <m:t>u</m:t>
        </m:r>
      </m:oMath>
      <w:r w:rsidRPr="008F5202">
        <w:rPr>
          <w:rFonts w:ascii="Times New Roman" w:hAnsi="Times New Roman" w:cs="Times New Roman"/>
        </w:rPr>
        <w:tab/>
      </w:r>
      <w:r w:rsidRPr="008F5202">
        <w:rPr>
          <w:rFonts w:ascii="Times New Roman" w:hAnsi="Times New Roman" w:cs="Times New Roman"/>
        </w:rPr>
        <w:tab/>
        <w:t>mean flow velocity</w:t>
      </w:r>
    </w:p>
    <w:p w14:paraId="23ABF84E"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m:oMath>
        <m:r>
          <w:rPr>
            <w:rFonts w:ascii="Cambria Math" w:eastAsia="Calibri" w:hAnsi="Cambria Math" w:cs="Times New Roman"/>
          </w:rPr>
          <m:t>V</m:t>
        </m:r>
      </m:oMath>
      <w:r w:rsidRPr="008F5202">
        <w:rPr>
          <w:rFonts w:ascii="Times New Roman" w:hAnsi="Times New Roman" w:cs="Times New Roman"/>
        </w:rPr>
        <w:tab/>
      </w:r>
      <w:r w:rsidRPr="008F5202">
        <w:rPr>
          <w:rFonts w:ascii="Times New Roman" w:hAnsi="Times New Roman" w:cs="Times New Roman"/>
        </w:rPr>
        <w:tab/>
        <w:t xml:space="preserve">voltage </w:t>
      </w:r>
    </w:p>
    <w:p w14:paraId="17618EB2"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w:r w:rsidRPr="008F5202">
        <w:rPr>
          <w:rFonts w:ascii="Times New Roman" w:hAnsi="Times New Roman" w:cs="Times New Roman"/>
        </w:rPr>
        <w:t>W</w:t>
      </w:r>
      <w:r w:rsidRPr="008F5202">
        <w:rPr>
          <w:rFonts w:ascii="Times New Roman" w:hAnsi="Times New Roman" w:cs="Times New Roman"/>
        </w:rPr>
        <w:tab/>
      </w:r>
      <w:r w:rsidRPr="008F5202">
        <w:rPr>
          <w:rFonts w:ascii="Times New Roman" w:hAnsi="Times New Roman" w:cs="Times New Roman"/>
        </w:rPr>
        <w:tab/>
        <w:t>width of the sample</w:t>
      </w:r>
    </w:p>
    <w:p w14:paraId="14AC0BA6" w14:textId="77777777" w:rsidR="00230F46" w:rsidRPr="008F5202" w:rsidRDefault="00000000" w:rsidP="008E7EC0">
      <w:pPr>
        <w:tabs>
          <w:tab w:val="left" w:pos="180"/>
          <w:tab w:val="left" w:pos="900"/>
        </w:tabs>
        <w:autoSpaceDE w:val="0"/>
        <w:autoSpaceDN w:val="0"/>
        <w:adjustRightInd w:val="0"/>
        <w:spacing w:line="360" w:lineRule="auto"/>
        <w:jc w:val="both"/>
        <w:rPr>
          <w:rFonts w:ascii="Times New Roman"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W</m:t>
            </m:r>
          </m:e>
        </m:acc>
      </m:oMath>
      <w:r w:rsidR="00230F46" w:rsidRPr="008F5202">
        <w:rPr>
          <w:rFonts w:ascii="Times New Roman" w:hAnsi="Times New Roman" w:cs="Times New Roman"/>
        </w:rPr>
        <w:tab/>
      </w:r>
      <w:r w:rsidR="00230F46" w:rsidRPr="008F5202">
        <w:rPr>
          <w:rFonts w:ascii="Times New Roman" w:hAnsi="Times New Roman" w:cs="Times New Roman"/>
        </w:rPr>
        <w:tab/>
        <w:t>pumping power</w:t>
      </w:r>
    </w:p>
    <w:p w14:paraId="27478FA3"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m:oMath>
        <m:r>
          <w:rPr>
            <w:rFonts w:ascii="Cambria Math" w:hAnsi="Cambria Math" w:cs="Times New Roman"/>
          </w:rPr>
          <m:t>∆P</m:t>
        </m:r>
      </m:oMath>
      <w:r w:rsidRPr="008F5202">
        <w:rPr>
          <w:rFonts w:ascii="Times New Roman" w:hAnsi="Times New Roman" w:cs="Times New Roman"/>
        </w:rPr>
        <w:tab/>
        <w:t xml:space="preserve">pressure drop </w:t>
      </w:r>
    </w:p>
    <w:p w14:paraId="7F5E19C2" w14:textId="77777777" w:rsidR="00230F46" w:rsidRPr="008F5202" w:rsidRDefault="00230F46" w:rsidP="008E7EC0">
      <w:pPr>
        <w:spacing w:line="360" w:lineRule="auto"/>
        <w:rPr>
          <w:rFonts w:ascii="Times New Roman" w:hAnsi="Times New Roman" w:cs="Times New Roman"/>
        </w:rPr>
      </w:pPr>
      <w:r w:rsidRPr="008F5202">
        <w:rPr>
          <w:rFonts w:ascii="Times New Roman" w:hAnsi="Times New Roman" w:cs="Times New Roman"/>
        </w:rPr>
        <w:t>ΔT</w:t>
      </w:r>
      <w:r w:rsidRPr="008F5202">
        <w:rPr>
          <w:rFonts w:ascii="Times New Roman" w:hAnsi="Times New Roman" w:cs="Times New Roman"/>
        </w:rPr>
        <w:tab/>
        <w:t>temperature difference</w:t>
      </w:r>
    </w:p>
    <w:p w14:paraId="580F147F" w14:textId="77777777" w:rsidR="00230F46" w:rsidRPr="008F5202" w:rsidRDefault="00230F46" w:rsidP="00230F46">
      <w:pPr>
        <w:tabs>
          <w:tab w:val="left" w:pos="180"/>
        </w:tabs>
        <w:autoSpaceDE w:val="0"/>
        <w:autoSpaceDN w:val="0"/>
        <w:adjustRightInd w:val="0"/>
        <w:spacing w:line="259" w:lineRule="atLeast"/>
        <w:jc w:val="both"/>
        <w:rPr>
          <w:rFonts w:ascii="Times New Roman" w:hAnsi="Times New Roman" w:cs="Times New Roman"/>
          <w:b/>
          <w:bCs/>
          <w:sz w:val="18"/>
          <w:szCs w:val="18"/>
        </w:rPr>
      </w:pPr>
    </w:p>
    <w:p w14:paraId="55923110" w14:textId="256FA11D" w:rsidR="00230F46" w:rsidRPr="008F5202" w:rsidRDefault="00230F46" w:rsidP="008E7EC0">
      <w:pPr>
        <w:pStyle w:val="Heading2"/>
      </w:pPr>
      <w:bookmarkStart w:id="92" w:name="_Toc177758149"/>
      <w:r w:rsidRPr="008F5202">
        <w:t>Greek symbols</w:t>
      </w:r>
      <w:bookmarkEnd w:id="92"/>
    </w:p>
    <w:p w14:paraId="6471265A"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m:oMath>
        <m:r>
          <w:rPr>
            <w:rFonts w:ascii="Cambria Math" w:hAnsi="Cambria Math" w:cs="Times New Roman"/>
          </w:rPr>
          <m:t>μ</m:t>
        </m:r>
      </m:oMath>
      <w:r w:rsidRPr="008F5202">
        <w:rPr>
          <w:rFonts w:ascii="Times New Roman" w:hAnsi="Times New Roman" w:cs="Times New Roman"/>
        </w:rPr>
        <w:tab/>
      </w:r>
      <w:r w:rsidRPr="008F5202">
        <w:rPr>
          <w:rFonts w:ascii="Times New Roman" w:hAnsi="Times New Roman" w:cs="Times New Roman"/>
        </w:rPr>
        <w:tab/>
        <w:t xml:space="preserve">dynamic viscosity </w:t>
      </w:r>
    </w:p>
    <w:p w14:paraId="63D927FB"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m:oMath>
        <m:r>
          <w:rPr>
            <w:rFonts w:ascii="Cambria Math" w:hAnsi="Cambria Math" w:cs="Times New Roman"/>
          </w:rPr>
          <m:t>ρ</m:t>
        </m:r>
      </m:oMath>
      <w:r w:rsidRPr="008F5202">
        <w:rPr>
          <w:rFonts w:ascii="Times New Roman" w:hAnsi="Times New Roman" w:cs="Times New Roman"/>
        </w:rPr>
        <w:tab/>
      </w:r>
      <w:r w:rsidRPr="008F5202">
        <w:rPr>
          <w:rFonts w:ascii="Times New Roman" w:hAnsi="Times New Roman" w:cs="Times New Roman"/>
        </w:rPr>
        <w:tab/>
        <w:t>density</w:t>
      </w:r>
    </w:p>
    <w:p w14:paraId="1CDFA77F" w14:textId="77777777" w:rsidR="00230F46" w:rsidRPr="008F5202" w:rsidRDefault="00230F46" w:rsidP="008E7EC0">
      <w:pPr>
        <w:tabs>
          <w:tab w:val="left" w:pos="180"/>
          <w:tab w:val="left" w:pos="900"/>
        </w:tabs>
        <w:autoSpaceDE w:val="0"/>
        <w:autoSpaceDN w:val="0"/>
        <w:adjustRightInd w:val="0"/>
        <w:spacing w:line="360" w:lineRule="auto"/>
        <w:jc w:val="both"/>
        <w:rPr>
          <w:rFonts w:ascii="Times New Roman" w:hAnsi="Times New Roman" w:cs="Times New Roman"/>
        </w:rPr>
      </w:pPr>
      <m:oMath>
        <m:r>
          <w:rPr>
            <w:rFonts w:ascii="Cambria Math" w:hAnsi="Cambria Math" w:cs="Times New Roman"/>
          </w:rPr>
          <m:t>ε</m:t>
        </m:r>
      </m:oMath>
      <w:r w:rsidRPr="008F5202">
        <w:rPr>
          <w:rFonts w:ascii="Times New Roman" w:hAnsi="Times New Roman" w:cs="Times New Roman"/>
        </w:rPr>
        <w:tab/>
        <w:t xml:space="preserve">  </w:t>
      </w:r>
      <w:r w:rsidRPr="008F5202">
        <w:rPr>
          <w:rFonts w:ascii="Times New Roman" w:hAnsi="Times New Roman" w:cs="Times New Roman"/>
        </w:rPr>
        <w:tab/>
        <w:t>porosity</w:t>
      </w:r>
    </w:p>
    <w:p w14:paraId="4B296869" w14:textId="77777777" w:rsidR="00230F46" w:rsidRPr="008F5202" w:rsidRDefault="00230F46" w:rsidP="008E7EC0">
      <w:pPr>
        <w:spacing w:line="360" w:lineRule="auto"/>
        <w:jc w:val="both"/>
        <w:rPr>
          <w:rFonts w:ascii="Times New Roman" w:hAnsi="Times New Roman" w:cs="Times New Roman"/>
        </w:rPr>
      </w:pPr>
      <w:r w:rsidRPr="008F5202">
        <w:rPr>
          <w:rFonts w:ascii="Times New Roman" w:hAnsi="Times New Roman" w:cs="Times New Roman"/>
        </w:rPr>
        <w:t>ins</w:t>
      </w:r>
      <w:r w:rsidRPr="008F5202">
        <w:rPr>
          <w:rFonts w:ascii="Times New Roman" w:hAnsi="Times New Roman" w:cs="Times New Roman"/>
        </w:rPr>
        <w:tab/>
        <w:t xml:space="preserve">    insulation</w:t>
      </w:r>
    </w:p>
    <w:p w14:paraId="0E97639B" w14:textId="77777777" w:rsidR="00230F46" w:rsidRPr="008F5202" w:rsidRDefault="00230F46" w:rsidP="00230F46">
      <w:pPr>
        <w:tabs>
          <w:tab w:val="left" w:pos="180"/>
        </w:tabs>
        <w:autoSpaceDE w:val="0"/>
        <w:autoSpaceDN w:val="0"/>
        <w:adjustRightInd w:val="0"/>
        <w:spacing w:line="259" w:lineRule="atLeast"/>
        <w:jc w:val="both"/>
        <w:rPr>
          <w:rFonts w:ascii="Times New Roman" w:hAnsi="Times New Roman" w:cs="Times New Roman"/>
          <w:b/>
          <w:bCs/>
          <w:sz w:val="18"/>
          <w:szCs w:val="18"/>
        </w:rPr>
      </w:pPr>
    </w:p>
    <w:p w14:paraId="60D4F485" w14:textId="6F37892C" w:rsidR="00230F46" w:rsidRPr="008F5202" w:rsidRDefault="00230F46" w:rsidP="008E7EC0">
      <w:pPr>
        <w:pStyle w:val="Heading2"/>
      </w:pPr>
      <w:bookmarkStart w:id="93" w:name="_Toc177758150"/>
      <w:r w:rsidRPr="008F5202">
        <w:t>Subscripts</w:t>
      </w:r>
      <w:bookmarkEnd w:id="93"/>
    </w:p>
    <w:p w14:paraId="64B56988" w14:textId="77777777" w:rsidR="00230F46" w:rsidRPr="008F5202" w:rsidRDefault="00230F46" w:rsidP="008E7EC0">
      <w:pPr>
        <w:spacing w:line="360" w:lineRule="auto"/>
        <w:rPr>
          <w:rFonts w:ascii="Times New Roman" w:hAnsi="Times New Roman" w:cs="Times New Roman"/>
        </w:rPr>
      </w:pPr>
      <m:oMath>
        <m:r>
          <w:rPr>
            <w:rFonts w:ascii="Cambria Math" w:hAnsi="Cambria Math" w:cs="Times New Roman"/>
          </w:rPr>
          <m:t>b</m:t>
        </m:r>
      </m:oMath>
      <w:r w:rsidRPr="008F5202">
        <w:rPr>
          <w:rFonts w:ascii="Times New Roman" w:hAnsi="Times New Roman" w:cs="Times New Roman"/>
        </w:rPr>
        <w:tab/>
        <w:t xml:space="preserve">    bulk fluid</w:t>
      </w:r>
    </w:p>
    <w:p w14:paraId="1E9E70BB" w14:textId="77777777" w:rsidR="00230F46" w:rsidRPr="008F5202" w:rsidRDefault="00230F46" w:rsidP="008E7EC0">
      <w:pPr>
        <w:spacing w:line="360" w:lineRule="auto"/>
        <w:rPr>
          <w:rFonts w:ascii="Times New Roman" w:hAnsi="Times New Roman" w:cs="Times New Roman"/>
        </w:rPr>
      </w:pPr>
      <m:oMath>
        <m:r>
          <w:rPr>
            <w:rFonts w:ascii="Cambria Math" w:eastAsia="Calibri" w:hAnsi="Cambria Math" w:cs="Times New Roman"/>
          </w:rPr>
          <m:t>f</m:t>
        </m:r>
      </m:oMath>
      <w:r w:rsidRPr="008F5202">
        <w:rPr>
          <w:rFonts w:ascii="Times New Roman" w:hAnsi="Times New Roman" w:cs="Times New Roman"/>
        </w:rPr>
        <w:tab/>
        <w:t xml:space="preserve">    fiber </w:t>
      </w:r>
    </w:p>
    <w:p w14:paraId="3F57861B" w14:textId="77777777" w:rsidR="00230F46" w:rsidRPr="008F5202" w:rsidRDefault="00230F46" w:rsidP="008E7EC0">
      <w:pPr>
        <w:tabs>
          <w:tab w:val="left" w:pos="720"/>
        </w:tabs>
        <w:spacing w:line="360" w:lineRule="auto"/>
        <w:rPr>
          <w:rFonts w:ascii="Times New Roman" w:hAnsi="Times New Roman" w:cs="Times New Roman"/>
        </w:rPr>
      </w:pPr>
      <m:oMath>
        <m:r>
          <w:rPr>
            <w:rFonts w:ascii="Cambria Math" w:hAnsi="Cambria Math" w:cs="Times New Roman"/>
          </w:rPr>
          <m:t>l</m:t>
        </m:r>
      </m:oMath>
      <w:r w:rsidRPr="008F5202">
        <w:rPr>
          <w:rFonts w:ascii="Times New Roman" w:hAnsi="Times New Roman" w:cs="Times New Roman"/>
        </w:rPr>
        <w:t xml:space="preserve"> </w:t>
      </w:r>
      <w:r w:rsidRPr="008F5202">
        <w:rPr>
          <w:rFonts w:ascii="Times New Roman" w:hAnsi="Times New Roman" w:cs="Times New Roman"/>
        </w:rPr>
        <w:tab/>
        <w:t xml:space="preserve">    local </w:t>
      </w:r>
    </w:p>
    <w:p w14:paraId="1BC0A149" w14:textId="77777777" w:rsidR="00230F46" w:rsidRPr="008F5202" w:rsidRDefault="00230F46" w:rsidP="008E7EC0">
      <w:pPr>
        <w:spacing w:line="360" w:lineRule="auto"/>
        <w:rPr>
          <w:rFonts w:ascii="Times New Roman" w:hAnsi="Times New Roman" w:cs="Times New Roman"/>
          <w:b/>
          <w:bCs/>
        </w:rPr>
      </w:pPr>
      <m:oMath>
        <m:r>
          <w:rPr>
            <w:rFonts w:ascii="Cambria Math" w:eastAsia="Calibri" w:hAnsi="Cambria Math" w:cs="Times New Roman"/>
          </w:rPr>
          <m:t>nf</m:t>
        </m:r>
      </m:oMath>
      <w:r w:rsidRPr="008F5202">
        <w:rPr>
          <w:rFonts w:ascii="Times New Roman" w:hAnsi="Times New Roman" w:cs="Times New Roman"/>
        </w:rPr>
        <w:tab/>
        <w:t xml:space="preserve">    </w:t>
      </w:r>
      <w:r w:rsidRPr="008F5202">
        <w:rPr>
          <w:rFonts w:ascii="Times New Roman" w:hAnsi="Times New Roman" w:cs="Times New Roman"/>
          <w:i/>
          <w:iCs/>
        </w:rPr>
        <w:t>no-flow</w:t>
      </w:r>
    </w:p>
    <w:p w14:paraId="47F84170" w14:textId="77777777" w:rsidR="00230F46" w:rsidRPr="008F5202" w:rsidRDefault="00230F46" w:rsidP="008E7EC0">
      <w:pPr>
        <w:spacing w:line="360" w:lineRule="auto"/>
        <w:rPr>
          <w:rFonts w:ascii="Times New Roman" w:hAnsi="Times New Roman" w:cs="Times New Roman"/>
        </w:rPr>
      </w:pPr>
      <m:oMath>
        <m:r>
          <w:rPr>
            <w:rFonts w:ascii="Cambria Math" w:eastAsia="Calibri" w:hAnsi="Cambria Math" w:cs="Times New Roman"/>
          </w:rPr>
          <m:t>p</m:t>
        </m:r>
      </m:oMath>
      <w:r w:rsidRPr="008F5202">
        <w:rPr>
          <w:rFonts w:ascii="Times New Roman" w:hAnsi="Times New Roman" w:cs="Times New Roman"/>
        </w:rPr>
        <w:tab/>
        <w:t xml:space="preserve">    pore</w:t>
      </w:r>
    </w:p>
    <w:p w14:paraId="19F35050" w14:textId="77777777" w:rsidR="00230F46" w:rsidRPr="008F5202" w:rsidRDefault="00230F46" w:rsidP="008E7EC0">
      <w:pPr>
        <w:spacing w:line="360" w:lineRule="auto"/>
        <w:rPr>
          <w:rFonts w:ascii="Times New Roman" w:eastAsia="Calibri" w:hAnsi="Times New Roman" w:cs="Times New Roman"/>
        </w:rPr>
      </w:pPr>
      <m:oMath>
        <m:r>
          <w:rPr>
            <w:rFonts w:ascii="Cambria Math" w:eastAsia="Calibri" w:hAnsi="Cambria Math" w:cs="Times New Roman"/>
          </w:rPr>
          <m:t>sf</m:t>
        </m:r>
      </m:oMath>
      <w:r w:rsidRPr="008F5202">
        <w:rPr>
          <w:rFonts w:ascii="Times New Roman" w:hAnsi="Times New Roman" w:cs="Times New Roman"/>
        </w:rPr>
        <w:tab/>
        <w:t xml:space="preserve">    interfacial </w:t>
      </w:r>
    </w:p>
    <w:p w14:paraId="265CD2BF" w14:textId="77777777" w:rsidR="00230F46" w:rsidRPr="008F5202" w:rsidRDefault="00230F46" w:rsidP="008E7EC0">
      <w:pPr>
        <w:spacing w:line="360" w:lineRule="auto"/>
        <w:rPr>
          <w:rFonts w:ascii="Times New Roman" w:hAnsi="Times New Roman" w:cs="Times New Roman"/>
        </w:rPr>
      </w:pPr>
      <m:oMath>
        <m:r>
          <w:rPr>
            <w:rFonts w:ascii="Cambria Math" w:hAnsi="Cambria Math" w:cs="Times New Roman"/>
          </w:rPr>
          <m:t>w</m:t>
        </m:r>
      </m:oMath>
      <w:r w:rsidRPr="008F5202">
        <w:rPr>
          <w:rFonts w:ascii="Times New Roman" w:hAnsi="Times New Roman" w:cs="Times New Roman"/>
        </w:rPr>
        <w:tab/>
        <w:t xml:space="preserve">    substrate endwall</w:t>
      </w:r>
    </w:p>
    <w:p w14:paraId="520DC061" w14:textId="77777777" w:rsidR="00230F46" w:rsidRPr="008F5202" w:rsidRDefault="00230F46" w:rsidP="008E7EC0">
      <w:pPr>
        <w:spacing w:line="360" w:lineRule="auto"/>
        <w:rPr>
          <w:rFonts w:ascii="Times New Roman" w:hAnsi="Times New Roman" w:cs="Times New Roman"/>
        </w:rPr>
      </w:pPr>
      <m:oMath>
        <m:r>
          <w:rPr>
            <w:rFonts w:ascii="Cambria Math" w:eastAsia="Calibri" w:hAnsi="Cambria Math" w:cs="Times New Roman"/>
          </w:rPr>
          <m:t>w, i</m:t>
        </m:r>
      </m:oMath>
      <w:r w:rsidRPr="008F5202">
        <w:rPr>
          <w:rFonts w:ascii="Times New Roman" w:hAnsi="Times New Roman" w:cs="Times New Roman"/>
        </w:rPr>
        <w:t xml:space="preserve">  </w:t>
      </w:r>
      <w:r w:rsidRPr="008F5202">
        <w:rPr>
          <w:rFonts w:ascii="Times New Roman" w:hAnsi="Times New Roman" w:cs="Times New Roman"/>
        </w:rPr>
        <w:tab/>
        <w:t xml:space="preserve">    running index for the hole number in the endwalls</w:t>
      </w:r>
    </w:p>
    <w:p w14:paraId="749A1EA7" w14:textId="77777777" w:rsidR="00230F46" w:rsidRPr="008F5202" w:rsidRDefault="00230F46" w:rsidP="008E7EC0">
      <w:pPr>
        <w:spacing w:line="360" w:lineRule="auto"/>
        <w:rPr>
          <w:rFonts w:ascii="Times New Roman" w:hAnsi="Times New Roman" w:cs="Times New Roman"/>
        </w:rPr>
      </w:pPr>
      <m:oMath>
        <m:r>
          <w:rPr>
            <w:rFonts w:ascii="Cambria Math" w:eastAsia="Calibri" w:hAnsi="Cambria Math" w:cs="Times New Roman"/>
          </w:rPr>
          <m:t>wf</m:t>
        </m:r>
      </m:oMath>
      <w:r w:rsidRPr="008F5202">
        <w:rPr>
          <w:rFonts w:ascii="Times New Roman" w:hAnsi="Times New Roman" w:cs="Times New Roman"/>
        </w:rPr>
        <w:tab/>
        <w:t xml:space="preserve">    </w:t>
      </w:r>
      <w:r w:rsidRPr="008F5202">
        <w:rPr>
          <w:rFonts w:ascii="Times New Roman" w:hAnsi="Times New Roman" w:cs="Times New Roman"/>
          <w:i/>
          <w:iCs/>
        </w:rPr>
        <w:t>with-flow</w:t>
      </w:r>
    </w:p>
    <w:p w14:paraId="5796EF91" w14:textId="77777777" w:rsidR="00230F46" w:rsidRPr="008F5202" w:rsidRDefault="00230F46" w:rsidP="008E7EC0">
      <w:pPr>
        <w:spacing w:line="360" w:lineRule="auto"/>
        <w:rPr>
          <w:rFonts w:ascii="Times New Roman" w:hAnsi="Times New Roman" w:cs="Times New Roman"/>
        </w:rPr>
      </w:pPr>
      <m:oMath>
        <m:r>
          <w:rPr>
            <w:rFonts w:ascii="Cambria Math" w:eastAsia="Calibri" w:hAnsi="Cambria Math" w:cs="Times New Roman"/>
          </w:rPr>
          <m:t>0</m:t>
        </m:r>
      </m:oMath>
      <w:r w:rsidRPr="008F5202">
        <w:rPr>
          <w:rFonts w:ascii="Times New Roman" w:hAnsi="Times New Roman" w:cs="Times New Roman"/>
        </w:rPr>
        <w:tab/>
        <w:t xml:space="preserve">    standard correlation</w:t>
      </w:r>
    </w:p>
    <w:p w14:paraId="1E1FBA74" w14:textId="77777777" w:rsidR="00263E1A" w:rsidRPr="008F5202" w:rsidRDefault="00263E1A" w:rsidP="00263E1A">
      <w:pPr>
        <w:rPr>
          <w:rFonts w:ascii="Times New Roman" w:hAnsi="Times New Roman" w:cs="Times New Roman"/>
        </w:rPr>
      </w:pPr>
    </w:p>
    <w:p w14:paraId="08A2CC67" w14:textId="77777777" w:rsidR="00230F46" w:rsidRPr="008F5202" w:rsidRDefault="00230F46" w:rsidP="00230F46">
      <w:pPr>
        <w:pStyle w:val="Heading2"/>
        <w:rPr>
          <w:rFonts w:eastAsiaTheme="minorEastAsia"/>
        </w:rPr>
      </w:pPr>
      <w:bookmarkStart w:id="94" w:name="_Toc177758151"/>
      <w:r w:rsidRPr="008F5202">
        <w:rPr>
          <w:rFonts w:eastAsiaTheme="minorEastAsia"/>
        </w:rPr>
        <w:lastRenderedPageBreak/>
        <w:t>References</w:t>
      </w:r>
      <w:bookmarkEnd w:id="94"/>
    </w:p>
    <w:p w14:paraId="180921D0" w14:textId="3355A204"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.1]</w:t>
      </w:r>
      <w:r w:rsidR="00230F46" w:rsidRPr="008F5202">
        <w:rPr>
          <w:rFonts w:ascii="Times New Roman" w:hAnsi="Times New Roman" w:cs="Times New Roman"/>
        </w:rPr>
        <w:tab/>
        <w:t>Younis_Viskanta_Experimental determination of the volumetric heat transfer coefficient between stream of air and ceramic foam.pdf, (n.d.).</w:t>
      </w:r>
    </w:p>
    <w:p w14:paraId="3162E7F4" w14:textId="51FFF222"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.2]</w:t>
      </w:r>
      <w:r w:rsidR="00230F46" w:rsidRPr="008F5202">
        <w:rPr>
          <w:rFonts w:ascii="Times New Roman" w:hAnsi="Times New Roman" w:cs="Times New Roman"/>
        </w:rPr>
        <w:tab/>
        <w:t>S. Mancin, C. Zilio, A. Diani, L. Rossetto, Air forced convection through metal foams: Experimental results and modeling, Int. J. Heat Mass Transf. (2013). https://doi.org/10.1016/j.ijheatmasstransfer.2013.02.050.</w:t>
      </w:r>
    </w:p>
    <w:p w14:paraId="3A6948BE" w14:textId="02E175EC"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.3]</w:t>
      </w:r>
      <w:r w:rsidR="00230F46" w:rsidRPr="008F5202">
        <w:rPr>
          <w:rFonts w:ascii="Times New Roman" w:hAnsi="Times New Roman" w:cs="Times New Roman"/>
        </w:rPr>
        <w:tab/>
        <w:t>A.J. Fuller, T. Kim, H.P. Hodson, T.J. Lu, Measurement and interpretation of the heat transfer coefficients of metal foams:, Http://Dx.Doi.Org/10.1243/095440605X8414. 219 (2016) 183–191. https://doi.org/10.1243/095440605X8414.</w:t>
      </w:r>
    </w:p>
    <w:p w14:paraId="74187757" w14:textId="1E2F4209"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.4]</w:t>
      </w:r>
      <w:r w:rsidR="00230F46" w:rsidRPr="008F5202">
        <w:rPr>
          <w:rFonts w:ascii="Times New Roman" w:hAnsi="Times New Roman" w:cs="Times New Roman"/>
        </w:rPr>
        <w:tab/>
        <w:t>P.J. Tan, S.R. Reid, J.J. Harrigan, On the dynamic mechanical properties of open-cell metal foams - A re-assessment of the “simple-shock theory,” in: Int. J. Solids Struct., 2012: pp. 2744–2753. https://doi.org/10.1016/j.ijsolstr.2012.03.026.</w:t>
      </w:r>
    </w:p>
    <w:p w14:paraId="69A72808" w14:textId="5EAC07D6"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.5]</w:t>
      </w:r>
      <w:r w:rsidR="00230F46" w:rsidRPr="008F5202">
        <w:rPr>
          <w:rFonts w:ascii="Times New Roman" w:hAnsi="Times New Roman" w:cs="Times New Roman"/>
        </w:rPr>
        <w:tab/>
        <w:t>C.Y. Zhao, Review on thermal transport in high porosity cellular metal foams with open cells, Int. J. Heat Mass Transf. (2012). https://doi.org/10.1016/j.ijheatmasstransfer.2012.03.017.</w:t>
      </w:r>
    </w:p>
    <w:p w14:paraId="4CB7BC9B" w14:textId="35425BEA"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.6]</w:t>
      </w:r>
      <w:r w:rsidR="00230F46" w:rsidRPr="008F5202">
        <w:rPr>
          <w:rFonts w:ascii="Times New Roman" w:hAnsi="Times New Roman" w:cs="Times New Roman"/>
        </w:rPr>
        <w:tab/>
        <w:t>P. Ranut, On the effective thermal conductivity of aluminum metal foams: Review and improvement of the available empirical and analytical models, Appl. Therm. Eng. (2016). https://doi.org/10.1016/j.applthermaleng.2015.09.094.</w:t>
      </w:r>
    </w:p>
    <w:p w14:paraId="3FCB7042" w14:textId="485B10E1"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.7]</w:t>
      </w:r>
      <w:r w:rsidR="00230F46" w:rsidRPr="008F5202">
        <w:rPr>
          <w:rFonts w:ascii="Times New Roman" w:hAnsi="Times New Roman" w:cs="Times New Roman"/>
        </w:rPr>
        <w:tab/>
        <w:t>I. Kaur, P. Singh, Critical evaluation of additively manufactured metal lattices for viability in advanced heat exchangers, Int. J. Heat Mass Transf. 168 (2021) 120858. https://doi.org/10.1016/j.ijheatmasstransfer.2020.120858.</w:t>
      </w:r>
    </w:p>
    <w:p w14:paraId="7A9E67AB" w14:textId="5F141A3D"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.8]</w:t>
      </w:r>
      <w:r w:rsidR="00230F46" w:rsidRPr="008F5202">
        <w:rPr>
          <w:rFonts w:ascii="Times New Roman" w:hAnsi="Times New Roman" w:cs="Times New Roman"/>
        </w:rPr>
        <w:tab/>
        <w:t>H. Yan, X. Yang, T. Lu, G. Xie, Convective heat transfer in a lightweight multifunctional sandwich panel with X-type metallic lattice core, Appl. Therm. Eng. (2017). https://doi.org/10.1016/j.applthermaleng.2017.08.081.</w:t>
      </w:r>
    </w:p>
    <w:p w14:paraId="29FC0734" w14:textId="1AA716F1"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.9]</w:t>
      </w:r>
      <w:r w:rsidR="00230F46" w:rsidRPr="008F5202">
        <w:rPr>
          <w:rFonts w:ascii="Times New Roman" w:hAnsi="Times New Roman" w:cs="Times New Roman"/>
        </w:rPr>
        <w:tab/>
        <w:t>X. Jin, B. Shen, H. Yan, B. Sunden, G. Xie, Comparative evaluations of thermofluidic characteristics of sandwich panels with X-lattice and Pyramidal-lattice cores, Int. J. Heat Mass Transf. (2018). https://doi.org/10.1016/j.ijheatmasstransfer.2018.07.087.</w:t>
      </w:r>
    </w:p>
    <w:p w14:paraId="44AD27F0" w14:textId="6DA86C6D"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lastRenderedPageBreak/>
        <w:t>[2</w:t>
      </w:r>
      <w:r w:rsidR="00230F46" w:rsidRPr="008F5202">
        <w:rPr>
          <w:rFonts w:ascii="Times New Roman" w:hAnsi="Times New Roman" w:cs="Times New Roman"/>
        </w:rPr>
        <w:t>.10]</w:t>
      </w:r>
      <w:r w:rsidR="00230F46" w:rsidRPr="008F5202">
        <w:rPr>
          <w:rFonts w:ascii="Times New Roman" w:hAnsi="Times New Roman" w:cs="Times New Roman"/>
        </w:rPr>
        <w:tab/>
        <w:t>L. Dong, V. Deshpande, H. Wadley, Mechanical response of Ti-6Al-4V octet-truss lattice structures, Int. J. Solids Struct. (2015). https://doi.org/10.1016/j.ijsolstr.2015.02.020.</w:t>
      </w:r>
    </w:p>
    <w:p w14:paraId="41E1F80E" w14:textId="547E5663"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.11]</w:t>
      </w:r>
      <w:r w:rsidR="00230F46" w:rsidRPr="008F5202">
        <w:rPr>
          <w:rFonts w:ascii="Times New Roman" w:hAnsi="Times New Roman" w:cs="Times New Roman"/>
        </w:rPr>
        <w:tab/>
        <w:t>I. Kaur, P. Singh, State-of-the-art in heat exchanger additive manufacturing, Int. J. Heat Mass Transf. 178 (2021) 121600. https://doi.org/10.1016/j.ijheatmasstransfer.2021.121600.</w:t>
      </w:r>
    </w:p>
    <w:p w14:paraId="14F61112" w14:textId="5A5921AD"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.12]</w:t>
      </w:r>
      <w:r w:rsidR="00230F46" w:rsidRPr="008F5202">
        <w:rPr>
          <w:rFonts w:ascii="Times New Roman" w:hAnsi="Times New Roman" w:cs="Times New Roman"/>
        </w:rPr>
        <w:tab/>
        <w:t>K. Hazeli, B.B. Babamiri, J. Indeck, A. Minor, H. Askari, Microstructure-topology relationship effects on the quasi-static and dynamic behavior of additively manufactured lattice structures, Mater. Des. 176 (2019). https://doi.org/10.1016/j.matdes.2019.107826.</w:t>
      </w:r>
    </w:p>
    <w:p w14:paraId="3EF9AD2A" w14:textId="15694F14"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.13]</w:t>
      </w:r>
      <w:r w:rsidR="00230F46" w:rsidRPr="008F5202">
        <w:rPr>
          <w:rFonts w:ascii="Times New Roman" w:hAnsi="Times New Roman" w:cs="Times New Roman"/>
        </w:rPr>
        <w:tab/>
        <w:t>X. Cao, D. Xiao, Y. Li, W. Wen, T. Zhao, Z. Chen, Y. Jiang, D. Fang, Dynamic compressive behavior of a modified additively manufactured rhombic dodecahedron 316L stainless steel lattice structure, Thin-Walled Struct. 148 (2020). https://doi.org/10.1016/j.tws.2019.106586.</w:t>
      </w:r>
    </w:p>
    <w:p w14:paraId="0B7504FE" w14:textId="465BE3E6"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.14]</w:t>
      </w:r>
      <w:r w:rsidR="00230F46" w:rsidRPr="008F5202">
        <w:rPr>
          <w:rFonts w:ascii="Times New Roman" w:hAnsi="Times New Roman" w:cs="Times New Roman"/>
        </w:rPr>
        <w:tab/>
        <w:t>V. V Calmidi, R.L. Mahajan, Forced convection in high porosity metal foams, J. Heat Transfer. (2000). https://doi.org/10.1115/1.1287793.</w:t>
      </w:r>
    </w:p>
    <w:p w14:paraId="234D4ADC" w14:textId="74564D9E"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.15]</w:t>
      </w:r>
      <w:r w:rsidR="00230F46" w:rsidRPr="008F5202">
        <w:rPr>
          <w:rFonts w:ascii="Times New Roman" w:hAnsi="Times New Roman" w:cs="Times New Roman"/>
        </w:rPr>
        <w:tab/>
        <w:t>N. Dukhan, Ö. Baʇci, M. Özdemir, Thermal development in open-cell metal foam: An experiment with constant wall heat flux, Int. J. Heat Mass Transf. 85 (2015) 852–859. https://doi.org/10.1016/j.ijheatmasstransfer.2015.02.047.</w:t>
      </w:r>
    </w:p>
    <w:p w14:paraId="673D9171" w14:textId="6944C4C3"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.16]</w:t>
      </w:r>
      <w:r w:rsidR="00230F46" w:rsidRPr="008F5202">
        <w:rPr>
          <w:rFonts w:ascii="Times New Roman" w:hAnsi="Times New Roman" w:cs="Times New Roman"/>
        </w:rPr>
        <w:tab/>
        <w:t>A. Arbak, N. Dukhan, Ö. Bağcı, M. Özdemir, Influence of pore density on thermal development in open-cell metal foam, Exp. Therm. Fluid Sci. 86 (2017) 180–188. https://doi.org/10.1016/j.expthermflusci.2017.04.012.</w:t>
      </w:r>
    </w:p>
    <w:p w14:paraId="40018CBE" w14:textId="61CFDBBB"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.17]</w:t>
      </w:r>
      <w:r w:rsidR="00230F46" w:rsidRPr="008F5202">
        <w:rPr>
          <w:rFonts w:ascii="Times New Roman" w:hAnsi="Times New Roman" w:cs="Times New Roman"/>
        </w:rPr>
        <w:tab/>
        <w:t>J.S. Noh, K.B. Lee, C.G. Lee, Pressure loss and forced convective heat transfer in an annulus filled with aluminum foam, Int. Commun. Heat Mass Transf. 33 (2006) 434–444. https://doi.org/10.1016/j.icheatmasstransfer.2005.11.003.</w:t>
      </w:r>
    </w:p>
    <w:p w14:paraId="1681360F" w14:textId="345DA14B"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.18]</w:t>
      </w:r>
      <w:r w:rsidR="00230F46" w:rsidRPr="008F5202">
        <w:rPr>
          <w:rFonts w:ascii="Times New Roman" w:hAnsi="Times New Roman" w:cs="Times New Roman"/>
        </w:rPr>
        <w:tab/>
        <w:t>K. Hooman, A. Haji-Sheikh, D.A. Nield, Thermally developing Brinkman-Brinkman forced convection in rectangular ducts with isothermal walls, Int. J. Heat Mass Transf. 50 (2007) 3521–3533. https://doi.org/10.1016/j.ijheatmasstransfer.2007.01.011.</w:t>
      </w:r>
    </w:p>
    <w:p w14:paraId="7603998A" w14:textId="63C5D436"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lastRenderedPageBreak/>
        <w:t>[2</w:t>
      </w:r>
      <w:r w:rsidR="00230F46" w:rsidRPr="008F5202">
        <w:rPr>
          <w:rFonts w:ascii="Times New Roman" w:hAnsi="Times New Roman" w:cs="Times New Roman"/>
        </w:rPr>
        <w:t>.19]</w:t>
      </w:r>
      <w:r w:rsidR="00230F46" w:rsidRPr="008F5202">
        <w:rPr>
          <w:rFonts w:ascii="Times New Roman" w:hAnsi="Times New Roman" w:cs="Times New Roman"/>
        </w:rPr>
        <w:tab/>
        <w:t>A. Haji-Sheikh, D.A. Nield, K. Hooman, Heat transfer in the thermal entrance region for flow through rectangular porous passages, Int. J. Heat Mass Transf. 49 (2006) 3004–3015. https://doi.org/10.1016/j.ijheatmasstransfer.2006.01.040.</w:t>
      </w:r>
    </w:p>
    <w:p w14:paraId="032636E7" w14:textId="2208E51F"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.20]</w:t>
      </w:r>
      <w:r w:rsidR="00230F46" w:rsidRPr="008F5202">
        <w:rPr>
          <w:rFonts w:ascii="Times New Roman" w:hAnsi="Times New Roman" w:cs="Times New Roman"/>
        </w:rPr>
        <w:tab/>
        <w:t>M. Iasiello, S. Cunsolo, N. Bianco, W.K.S. Chiu, V. Naso, Developing thermal flow in open-cell foams, Int. J. Therm. Sci. 111 (2017) 129–137. https://doi.org/10.1016/j.ijthermalsci.2016.08.013.</w:t>
      </w:r>
    </w:p>
    <w:p w14:paraId="6C14E174" w14:textId="291163A5"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.21]</w:t>
      </w:r>
      <w:r w:rsidR="00230F46" w:rsidRPr="008F5202">
        <w:rPr>
          <w:rFonts w:ascii="Times New Roman" w:hAnsi="Times New Roman" w:cs="Times New Roman"/>
        </w:rPr>
        <w:tab/>
        <w:t>Z. Wu, C. Caliot, G. Flamant, Z. Wang, Numerical simulation of convective heat transfer between air flow and ceramic foams to optimise volumetric solar air receiver performances, Int. J. Heat Mass Transf. 54 (2011) 1527–1537. https://doi.org/10.1016/j.ijheatmasstransfer.2010.11.037.</w:t>
      </w:r>
    </w:p>
    <w:p w14:paraId="781A1F6B" w14:textId="79225D36"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.22]</w:t>
      </w:r>
      <w:r w:rsidR="00230F46" w:rsidRPr="008F5202">
        <w:rPr>
          <w:rFonts w:ascii="Times New Roman" w:hAnsi="Times New Roman" w:cs="Times New Roman"/>
        </w:rPr>
        <w:tab/>
        <w:t>A.S. Suleiman, N. Dukhan, Forced convection inside metal foam: Simulation over a long domain and analytical validation, Int. J. Therm. Sci. 86 (2014) 104–114. https://doi.org/10.1016/j.ijthermalsci.2014.06.022.</w:t>
      </w:r>
    </w:p>
    <w:p w14:paraId="1D343B97" w14:textId="6E8DC4EF"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.23]</w:t>
      </w:r>
      <w:r w:rsidR="00230F46" w:rsidRPr="008F5202">
        <w:rPr>
          <w:rFonts w:ascii="Times New Roman" w:hAnsi="Times New Roman" w:cs="Times New Roman"/>
        </w:rPr>
        <w:tab/>
        <w:t>I. Kaur, P. Singh, Flow and Thermal Transport Through Unit Cell Topologies of Cubic and Octahedron Families, Int. J. Heat Mass Transf. 158 (2020). https://doi.org/10.1016/j.ijheatmasstransfer.2020.119784.</w:t>
      </w:r>
    </w:p>
    <w:p w14:paraId="77DEE319" w14:textId="6B06EF91"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.24]</w:t>
      </w:r>
      <w:r w:rsidR="00230F46" w:rsidRPr="008F5202">
        <w:rPr>
          <w:rFonts w:ascii="Times New Roman" w:hAnsi="Times New Roman" w:cs="Times New Roman"/>
        </w:rPr>
        <w:tab/>
        <w:t>I. Kaur, P. Singh, Numerical investigation on conjugate heat transfer in octet-shape-based single unit cell thick metal foam, Int. Commun. Heat Mass Transf. 121 (2021) 105090. https://doi.org/10.1016/j.icheatmasstransfer.2020.105090.</w:t>
      </w:r>
    </w:p>
    <w:p w14:paraId="3CBB2EB8" w14:textId="111F9E2F"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.25]</w:t>
      </w:r>
      <w:r w:rsidR="00230F46" w:rsidRPr="008F5202">
        <w:rPr>
          <w:rFonts w:ascii="Times New Roman" w:hAnsi="Times New Roman" w:cs="Times New Roman"/>
        </w:rPr>
        <w:tab/>
        <w:t>N. Wang, I. Kaur, P. Singh, L. Li, Prediction of Effective Thermal Conductivity of Porous Lattice Structures and Validation with Additively Manufactured Metal Foams, Appl. Therm. Eng. (2021) accepted. https://doi.org/10.1016/j.applthermaleng.2021.116558.</w:t>
      </w:r>
    </w:p>
    <w:p w14:paraId="73FC0D66" w14:textId="0A402F4E"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.26]</w:t>
      </w:r>
      <w:r w:rsidR="00230F46" w:rsidRPr="008F5202">
        <w:rPr>
          <w:rFonts w:ascii="Times New Roman" w:hAnsi="Times New Roman" w:cs="Times New Roman"/>
        </w:rPr>
        <w:tab/>
        <w:t>R.J. Moffat, Describing the uncertainties in experimental results, Exp. Therm. Fluid Sci. 1 (1988) 3–17. https://doi.org/10.1016/0894-1777(88)90043-X.</w:t>
      </w:r>
    </w:p>
    <w:p w14:paraId="279B09FA" w14:textId="11A6BD2D"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.27]</w:t>
      </w:r>
      <w:r w:rsidR="00230F46" w:rsidRPr="008F5202">
        <w:rPr>
          <w:rFonts w:ascii="Times New Roman" w:hAnsi="Times New Roman" w:cs="Times New Roman"/>
        </w:rPr>
        <w:tab/>
        <w:t>J.J. Hwang, G.J. Hwang, R.H. Yeh, C.H. Chao, Measurement of interstitial convective heat transfer and frictional drag for flow across metal foams, J. Heat Transfer. (2002). https://doi.org/10.1115/1.1416690.</w:t>
      </w:r>
    </w:p>
    <w:p w14:paraId="01DA827B" w14:textId="4FE85A9F"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lastRenderedPageBreak/>
        <w:t>[2</w:t>
      </w:r>
      <w:r w:rsidR="00230F46" w:rsidRPr="008F5202">
        <w:rPr>
          <w:rFonts w:ascii="Times New Roman" w:hAnsi="Times New Roman" w:cs="Times New Roman"/>
        </w:rPr>
        <w:t>.28]</w:t>
      </w:r>
      <w:r w:rsidR="00230F46" w:rsidRPr="008F5202">
        <w:rPr>
          <w:rFonts w:ascii="Times New Roman" w:hAnsi="Times New Roman" w:cs="Times New Roman"/>
        </w:rPr>
        <w:tab/>
        <w:t>M. Iasiello, S. Cunsolo, M. Oliviero, W.M. Harris, N. Bianco, W.K.S. Chiu, V. Naso, Numerical analysis of heat transfer and pressure drop in metal foams for different morphological models, J. Heat Transfer. (2014). https://doi.org/10.1115/1.4028113.</w:t>
      </w:r>
    </w:p>
    <w:p w14:paraId="36CC672D" w14:textId="5713C7F8"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.29]</w:t>
      </w:r>
      <w:r w:rsidR="00230F46" w:rsidRPr="008F5202">
        <w:rPr>
          <w:rFonts w:ascii="Times New Roman" w:hAnsi="Times New Roman" w:cs="Times New Roman"/>
        </w:rPr>
        <w:tab/>
        <w:t>O. Al-Ketan, M. Ali, M. Khalil, R. Rowshan, K.A. Khan, R.K. Abu Al-Rub, Forced Convection Computational Fluid Dynamics Analysis of Architected and Three-Dimensional Printable Heat Sinks Based on Triply Periodic Minimal Surfaces, J. Therm. Sci. Eng. Appl. (2021). https://doi.org/10.1115/1.4047385.</w:t>
      </w:r>
    </w:p>
    <w:p w14:paraId="5A9EEF8E" w14:textId="5CD7FA9F"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.30]</w:t>
      </w:r>
      <w:r w:rsidR="00230F46" w:rsidRPr="008F5202">
        <w:rPr>
          <w:rFonts w:ascii="Times New Roman" w:hAnsi="Times New Roman" w:cs="Times New Roman"/>
        </w:rPr>
        <w:tab/>
        <w:t>I. Kaur, P. Singh, Flow and thermal transport characteristics of Triply-Periodic Minimal Surface (TPMS)-based gyroid and Schwarz-P cellular materials, Numer. Heat Transf. Part A Appl. 79 (2021) 553–569. https://doi.org/10.1080/10407782.2021.1872260.</w:t>
      </w:r>
    </w:p>
    <w:p w14:paraId="1E591300" w14:textId="4949DD1B" w:rsidR="00230F46"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.31]</w:t>
      </w:r>
      <w:r w:rsidR="00230F46" w:rsidRPr="008F5202">
        <w:rPr>
          <w:rFonts w:ascii="Times New Roman" w:hAnsi="Times New Roman" w:cs="Times New Roman"/>
        </w:rPr>
        <w:tab/>
        <w:t>M. Iasiello, N. Bianco, W.K.S. Chiu, V. Naso, The effects of variable porosity and cell size on the thermal performance of functionally-graded foams, Int. J. Therm. Sci. 160 (2021) 106696. https://doi.org/10.1016/J.IJTHERMALSCI.2020.106696.</w:t>
      </w:r>
    </w:p>
    <w:p w14:paraId="3345DBE3" w14:textId="6AE3EBA7" w:rsidR="00236E6D" w:rsidRPr="008F5202" w:rsidRDefault="008E7EC0" w:rsidP="00230F46">
      <w:pPr>
        <w:spacing w:line="360" w:lineRule="auto"/>
        <w:contextualSpacing/>
        <w:rPr>
          <w:rFonts w:ascii="Times New Roman" w:hAnsi="Times New Roman" w:cs="Times New Roman"/>
        </w:rPr>
      </w:pPr>
      <w:r w:rsidRPr="008F5202">
        <w:rPr>
          <w:rFonts w:ascii="Times New Roman" w:hAnsi="Times New Roman" w:cs="Times New Roman"/>
        </w:rPr>
        <w:t>[2</w:t>
      </w:r>
      <w:r w:rsidR="00230F46" w:rsidRPr="008F5202">
        <w:rPr>
          <w:rFonts w:ascii="Times New Roman" w:hAnsi="Times New Roman" w:cs="Times New Roman"/>
        </w:rPr>
        <w:t>.32]</w:t>
      </w:r>
      <w:r w:rsidR="00230F46" w:rsidRPr="008F5202">
        <w:rPr>
          <w:rFonts w:ascii="Times New Roman" w:hAnsi="Times New Roman" w:cs="Times New Roman"/>
        </w:rPr>
        <w:tab/>
        <w:t>M. Siavashi, H.R. Talesh Bahrami, E. Aminian, Optimization of heat transfer enhancement and pumping power of a heat exchanger tube using nanofluid with gradient and multi-layered porous foams, Appl. Therm. Eng. 138 (2018) 465–474. https://doi.org/10.1016/J.APPLTHERMALENG.2018.04.066.</w:t>
      </w:r>
    </w:p>
    <w:p w14:paraId="1A116178" w14:textId="5DC41DA5" w:rsidR="00236E6D" w:rsidRPr="008F5202" w:rsidRDefault="00F710F9" w:rsidP="00AF1AFB">
      <w:pPr>
        <w:pStyle w:val="Heading1"/>
      </w:pPr>
      <w:r w:rsidRPr="008F5202">
        <w:br w:type="page"/>
      </w:r>
      <w:bookmarkStart w:id="95" w:name="_Toc420995908"/>
      <w:bookmarkStart w:id="96" w:name="_Toc422997495"/>
      <w:bookmarkStart w:id="97" w:name="_Toc177758152"/>
      <w:r w:rsidR="00FE12BA">
        <w:lastRenderedPageBreak/>
        <w:t>:</w:t>
      </w:r>
      <w:r w:rsidR="007D538B" w:rsidRPr="008F5202">
        <w:br/>
      </w:r>
      <w:bookmarkEnd w:id="95"/>
      <w:bookmarkEnd w:id="96"/>
      <w:r w:rsidR="00230F46" w:rsidRPr="008F5202">
        <w:t>Thermal-Hydraulic Performance of Additively Manufactured Lattices for Gas Turbine Blade Trailing Edge Cooling</w:t>
      </w:r>
      <w:bookmarkEnd w:id="97"/>
    </w:p>
    <w:p w14:paraId="476334AF" w14:textId="77777777" w:rsidR="00393205" w:rsidRPr="008F5202" w:rsidRDefault="00393205" w:rsidP="00393205">
      <w:pPr>
        <w:rPr>
          <w:rFonts w:ascii="Times New Roman" w:hAnsi="Times New Roman" w:cs="Times New Roman"/>
        </w:rPr>
      </w:pPr>
    </w:p>
    <w:p w14:paraId="7B73FA78" w14:textId="5E3CCE97" w:rsidR="00A0666C" w:rsidRPr="008F5202" w:rsidRDefault="0014045E" w:rsidP="00393205">
      <w:pPr>
        <w:pStyle w:val="Heading2"/>
      </w:pPr>
      <w:bookmarkStart w:id="98" w:name="_Toc177758153"/>
      <w:r w:rsidRPr="008F5202">
        <w:t>A</w:t>
      </w:r>
      <w:r w:rsidR="00393205" w:rsidRPr="008F5202">
        <w:t>bstract</w:t>
      </w:r>
      <w:bookmarkEnd w:id="98"/>
    </w:p>
    <w:p w14:paraId="4839B272" w14:textId="77777777" w:rsidR="002B4638" w:rsidRPr="008F5202" w:rsidRDefault="002B4638" w:rsidP="000E4268">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 xml:space="preserve">Gas turbine blade trailing edge cooling is challenging because of the stringent geometrical constraints driven by aerodynamics and thermal stresses. The blade topology becomes significantly thin towards the trailing edge which leaves a narrow room for the construction of internal cooling channels and also makes this section susceptible to failure due to thermal stresses. Conventionally, pin-fins are employed in the internal cooling channels of the trailing edge because they provide high levels of heat transfer coefficient values and also structural integrity. Much of the past studies on pin fins have focused on their relative arrangements, heights, crossflow scheme, etc., with an aim to enhance the endwall heat transfer coefficient as well as leverage the conjugate heat dissipation capabilities of these “extended surfaces”. Lattices on the other hand, have been investigated to a lesser degree, and some studies can be found for blade mid-chord region, however, with their manufacturability challenges at that time, the concepts did not gain traction. Lattices are far more complex topologies with superior local heat transfer characteristics as well as high conjugate heat dissipation capabilities due to large wetted surface area. With the recent advancements in metal additive manufacturing, complex topologies such as lattices can be revisited due to high chances of their realization now. To this end, we are presenting our study on lattices additively manufactured in 420 Stainless Steel (thermal conductivity nearly twice of Inconel 718), where four different unit cell topologies, (a) Octet, (b) Tetrakaidecahedron, (c) Face diagonal-cube, and (d) </w:t>
      </w:r>
      <w:r w:rsidRPr="008F5202">
        <w:rPr>
          <w:rFonts w:ascii="Times New Roman" w:eastAsiaTheme="minorEastAsia" w:hAnsi="Times New Roman" w:cs="Times New Roman"/>
        </w:rPr>
        <w:lastRenderedPageBreak/>
        <w:t xml:space="preserve">Cube, were printed using Binder Jetting technology. The aim of this study is to characterize the conjugate heat transfer capabilities of these lattices manufactured in 420 Stainless Steel prior to conduct similar study with Inconel 718, due to relatively simpler additive manufacturing route of Binder jetting (420 stainless steel) compared to Direct Metal Laser Sintering (Inconel 718). The intended design porosity of the samples was 0.886 and the coupons had single unit cell (edge size of 10 mm) in the thickness. The steady-state experiments were conducted to evaluate the effective thermal conductivity and forced convective heat transfer performance. For forced convection, the experiments were conducted for a wide range of Reynolds numbers with air as the working fluid. Overall heat transfer coefficient, pressure drop, Nusselt number and friction factor enhancement level and pumping power requirements of these structures are presented. The implications of the porosity variation due to manufacturing process on the interpretation of relative performance trends is discussed. The effective thermal conductivity was independent of the topology for considered porosity value. Face diagonal-cube yielded the highest heat transfer and pressure drop for the investigated Reynolds number range. However, Cube provided the best overall thermal hydraulic performance value of 1.94 to 2.78 for the investigated range of Reynolds number. At fixed pumping power conditions, Cube was capable of providing the highest heat transfer coefficient. </w:t>
      </w:r>
    </w:p>
    <w:p w14:paraId="4CA643C2" w14:textId="45FD6909" w:rsidR="002B4638" w:rsidRPr="008F5202" w:rsidRDefault="00593A04" w:rsidP="008E7EC0">
      <w:pPr>
        <w:pStyle w:val="Heading2"/>
      </w:pPr>
      <w:bookmarkStart w:id="99" w:name="_Toc177758154"/>
      <w:r w:rsidRPr="008F5202">
        <w:t>Nomenclature</w:t>
      </w:r>
      <w:bookmarkEnd w:id="99"/>
    </w:p>
    <w:p w14:paraId="5859C6B3" w14:textId="77777777" w:rsidR="00C02333" w:rsidRPr="008F5202" w:rsidRDefault="00000000" w:rsidP="00C24EEE">
      <w:pPr>
        <w:spacing w:line="360" w:lineRule="auto"/>
        <w:jc w:val="both"/>
        <w:rPr>
          <w:rFonts w:ascii="Times New Roman" w:eastAsiaTheme="minorEastAsia" w:hAnsi="Times New Roman"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A</m:t>
            </m:r>
          </m:e>
          <m:sub>
            <m:r>
              <w:rPr>
                <w:rFonts w:ascii="Cambria Math" w:eastAsiaTheme="minorEastAsia" w:hAnsi="Cambria Math" w:cs="Times New Roman"/>
              </w:rPr>
              <m:t>c</m:t>
            </m:r>
          </m:sub>
        </m:sSub>
      </m:oMath>
      <w:r w:rsidR="00C02333" w:rsidRPr="008F5202">
        <w:rPr>
          <w:rFonts w:ascii="Times New Roman" w:eastAsiaTheme="minorEastAsia" w:hAnsi="Times New Roman" w:cs="Times New Roman"/>
        </w:rPr>
        <w:tab/>
        <w:t>cross-section area of the duct</w:t>
      </w:r>
    </w:p>
    <w:p w14:paraId="0728B911" w14:textId="77777777" w:rsidR="00C02333" w:rsidRPr="008F5202" w:rsidRDefault="00000000" w:rsidP="00C24EEE">
      <w:pPr>
        <w:spacing w:line="360" w:lineRule="auto"/>
        <w:rPr>
          <w:rFonts w:ascii="Times New Roman" w:eastAsiaTheme="minorEastAsia" w:hAnsi="Times New Roman"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c</m:t>
            </m:r>
          </m:e>
          <m:sub>
            <m:r>
              <w:rPr>
                <w:rFonts w:ascii="Cambria Math" w:eastAsiaTheme="minorEastAsia" w:hAnsi="Cambria Math" w:cs="Times New Roman"/>
              </w:rPr>
              <m:t>p</m:t>
            </m:r>
          </m:sub>
        </m:sSub>
      </m:oMath>
      <w:r w:rsidR="00C02333" w:rsidRPr="008F5202">
        <w:rPr>
          <w:rFonts w:ascii="Times New Roman" w:eastAsiaTheme="minorEastAsia" w:hAnsi="Times New Roman" w:cs="Times New Roman"/>
        </w:rPr>
        <w:tab/>
        <w:t>specific heat capacity</w:t>
      </w:r>
    </w:p>
    <w:p w14:paraId="40507434" w14:textId="77777777" w:rsidR="00C02333" w:rsidRPr="008F5202" w:rsidRDefault="00C02333" w:rsidP="00C24EEE">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CT</w:t>
      </w:r>
      <w:r w:rsidRPr="008F5202">
        <w:rPr>
          <w:rFonts w:ascii="Times New Roman" w:eastAsiaTheme="minorEastAsia" w:hAnsi="Times New Roman" w:cs="Times New Roman"/>
        </w:rPr>
        <w:tab/>
        <w:t>computed tomography</w:t>
      </w:r>
    </w:p>
    <w:p w14:paraId="6986BD1D" w14:textId="77777777" w:rsidR="00C02333" w:rsidRPr="008F5202" w:rsidRDefault="00C02333" w:rsidP="00C24EEE">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D</w:t>
      </w:r>
      <w:r w:rsidRPr="008F5202">
        <w:rPr>
          <w:rFonts w:ascii="Times New Roman" w:eastAsiaTheme="minorEastAsia" w:hAnsi="Times New Roman" w:cs="Times New Roman"/>
        </w:rPr>
        <w:tab/>
        <w:t>pin-diameter</w:t>
      </w:r>
    </w:p>
    <w:p w14:paraId="7111F3A6" w14:textId="77777777" w:rsidR="00C02333" w:rsidRPr="008F5202" w:rsidRDefault="00000000" w:rsidP="00C24EEE">
      <w:pPr>
        <w:spacing w:line="360" w:lineRule="auto"/>
        <w:rPr>
          <w:rFonts w:ascii="Times New Roman" w:eastAsiaTheme="minorEastAsia" w:hAnsi="Times New Roman"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d</m:t>
            </m:r>
          </m:e>
          <m:sub>
            <m:r>
              <w:rPr>
                <w:rFonts w:ascii="Cambria Math" w:eastAsiaTheme="minorEastAsia" w:hAnsi="Cambria Math" w:cs="Times New Roman"/>
              </w:rPr>
              <m:t>h</m:t>
            </m:r>
          </m:sub>
        </m:sSub>
      </m:oMath>
      <w:r w:rsidR="00C02333" w:rsidRPr="008F5202">
        <w:rPr>
          <w:rFonts w:ascii="Times New Roman" w:eastAsiaTheme="minorEastAsia" w:hAnsi="Times New Roman" w:cs="Times New Roman"/>
        </w:rPr>
        <w:tab/>
        <w:t xml:space="preserve">channel hydraulic diameter </w:t>
      </w:r>
    </w:p>
    <w:p w14:paraId="58BD19A5" w14:textId="77777777" w:rsidR="00C02333" w:rsidRPr="008F5202" w:rsidRDefault="00C02333" w:rsidP="00C24EEE">
      <w:pPr>
        <w:spacing w:line="360" w:lineRule="auto"/>
        <w:rPr>
          <w:rFonts w:ascii="Times New Roman" w:eastAsiaTheme="minorEastAsia" w:hAnsi="Times New Roman" w:cs="Times New Roman"/>
        </w:rPr>
      </w:pPr>
      <m:oMath>
        <m:r>
          <w:rPr>
            <w:rFonts w:ascii="Cambria Math" w:eastAsiaTheme="minorEastAsia" w:hAnsi="Cambria Math" w:cs="Times New Roman"/>
          </w:rPr>
          <m:t>f</m:t>
        </m:r>
      </m:oMath>
      <w:r w:rsidRPr="008F5202">
        <w:rPr>
          <w:rFonts w:ascii="Times New Roman" w:eastAsiaTheme="minorEastAsia" w:hAnsi="Times New Roman" w:cs="Times New Roman"/>
        </w:rPr>
        <w:tab/>
        <w:t>friction factor (</w:t>
      </w:r>
      <m:oMath>
        <m:f>
          <m:fPr>
            <m:type m:val="lin"/>
            <m:ctrlPr>
              <w:rPr>
                <w:rFonts w:ascii="Cambria Math" w:eastAsiaTheme="minorEastAsia" w:hAnsi="Cambria Math" w:cs="Times New Roman"/>
              </w:rPr>
            </m:ctrlPr>
          </m:fPr>
          <m:num>
            <m:r>
              <m:rPr>
                <m:sty m:val="p"/>
              </m:rPr>
              <w:rPr>
                <w:rFonts w:ascii="Cambria Math" w:eastAsiaTheme="minorEastAsia" w:hAnsi="Cambria Math" w:cs="Times New Roman"/>
              </w:rPr>
              <m:t>∆</m:t>
            </m:r>
            <m:r>
              <w:rPr>
                <w:rFonts w:ascii="Cambria Math" w:eastAsiaTheme="minorEastAsia" w:hAnsi="Cambria Math" w:cs="Times New Roman"/>
              </w:rPr>
              <m:t>P</m:t>
            </m:r>
            <m:sSub>
              <m:sSubPr>
                <m:ctrlPr>
                  <w:rPr>
                    <w:rFonts w:ascii="Cambria Math" w:eastAsiaTheme="minorEastAsia" w:hAnsi="Cambria Math" w:cs="Times New Roman"/>
                  </w:rPr>
                </m:ctrlPr>
              </m:sSubPr>
              <m:e>
                <m:r>
                  <w:rPr>
                    <w:rFonts w:ascii="Cambria Math" w:eastAsiaTheme="minorEastAsia" w:hAnsi="Cambria Math" w:cs="Times New Roman"/>
                  </w:rPr>
                  <m:t>d</m:t>
                </m:r>
              </m:e>
              <m:sub>
                <m:r>
                  <w:rPr>
                    <w:rFonts w:ascii="Cambria Math" w:eastAsiaTheme="minorEastAsia" w:hAnsi="Cambria Math" w:cs="Times New Roman"/>
                  </w:rPr>
                  <m:t>h</m:t>
                </m:r>
              </m:sub>
            </m:sSub>
          </m:num>
          <m:den>
            <m:r>
              <m:rPr>
                <m:sty m:val="p"/>
              </m:rPr>
              <w:rPr>
                <w:rFonts w:ascii="Cambria Math" w:eastAsiaTheme="minorEastAsia" w:hAnsi="Cambria Math" w:cs="Times New Roman"/>
              </w:rPr>
              <m:t>2</m:t>
            </m:r>
            <m:r>
              <w:rPr>
                <w:rFonts w:ascii="Cambria Math" w:eastAsiaTheme="minorEastAsia" w:hAnsi="Cambria Math" w:cs="Times New Roman"/>
              </w:rPr>
              <m:t>Lρ</m:t>
            </m:r>
            <m:sSup>
              <m:sSupPr>
                <m:ctrlPr>
                  <w:rPr>
                    <w:rFonts w:ascii="Cambria Math" w:eastAsiaTheme="minorEastAsia" w:hAnsi="Cambria Math" w:cs="Times New Roman"/>
                  </w:rPr>
                </m:ctrlPr>
              </m:sSupPr>
              <m:e>
                <m:r>
                  <w:rPr>
                    <w:rFonts w:ascii="Cambria Math" w:eastAsiaTheme="minorEastAsia" w:hAnsi="Cambria Math" w:cs="Times New Roman"/>
                  </w:rPr>
                  <m:t>u</m:t>
                </m:r>
              </m:e>
              <m:sup>
                <m:r>
                  <m:rPr>
                    <m:sty m:val="p"/>
                  </m:rPr>
                  <w:rPr>
                    <w:rFonts w:ascii="Cambria Math" w:eastAsiaTheme="minorEastAsia" w:hAnsi="Cambria Math" w:cs="Times New Roman"/>
                  </w:rPr>
                  <m:t>2</m:t>
                </m:r>
              </m:sup>
            </m:sSup>
          </m:den>
        </m:f>
      </m:oMath>
      <w:r w:rsidRPr="008F5202">
        <w:rPr>
          <w:rFonts w:ascii="Times New Roman" w:eastAsiaTheme="minorEastAsia" w:hAnsi="Times New Roman" w:cs="Times New Roman"/>
        </w:rPr>
        <w:t>)</w:t>
      </w:r>
    </w:p>
    <w:p w14:paraId="698DAFF9" w14:textId="77777777" w:rsidR="00C02333" w:rsidRPr="008F5202" w:rsidRDefault="00000000" w:rsidP="00C24EEE">
      <w:pPr>
        <w:spacing w:line="360" w:lineRule="auto"/>
        <w:rPr>
          <w:rFonts w:ascii="Times New Roman" w:eastAsiaTheme="minorEastAsia" w:hAnsi="Times New Roman"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f</m:t>
            </m:r>
          </m:e>
          <m:sub>
            <m:r>
              <m:rPr>
                <m:sty m:val="p"/>
              </m:rPr>
              <w:rPr>
                <w:rFonts w:ascii="Cambria Math" w:eastAsiaTheme="minorEastAsia" w:hAnsi="Cambria Math" w:cs="Times New Roman"/>
              </w:rPr>
              <m:t>0</m:t>
            </m:r>
          </m:sub>
        </m:sSub>
      </m:oMath>
      <w:r w:rsidR="00C02333" w:rsidRPr="008F5202">
        <w:rPr>
          <w:rFonts w:ascii="Times New Roman" w:eastAsiaTheme="minorEastAsia" w:hAnsi="Times New Roman" w:cs="Times New Roman"/>
        </w:rPr>
        <w:tab/>
        <w:t>friction factor from Blasius equation (</w:t>
      </w:r>
      <m:oMath>
        <m:sSub>
          <m:sSubPr>
            <m:ctrlPr>
              <w:rPr>
                <w:rFonts w:ascii="Cambria Math" w:eastAsiaTheme="minorEastAsia" w:hAnsi="Cambria Math" w:cs="Times New Roman"/>
              </w:rPr>
            </m:ctrlPr>
          </m:sSubPr>
          <m:e>
            <m:r>
              <w:rPr>
                <w:rFonts w:ascii="Cambria Math" w:eastAsiaTheme="minorEastAsia" w:hAnsi="Cambria Math" w:cs="Times New Roman"/>
              </w:rPr>
              <m:t>f</m:t>
            </m:r>
          </m:e>
          <m:sub>
            <m:r>
              <m:rPr>
                <m:sty m:val="p"/>
              </m:rPr>
              <w:rPr>
                <w:rFonts w:ascii="Cambria Math" w:eastAsiaTheme="minorEastAsia" w:hAnsi="Cambria Math" w:cs="Times New Roman"/>
              </w:rPr>
              <m:t>0</m:t>
            </m:r>
          </m:sub>
        </m:sSub>
        <m:r>
          <m:rPr>
            <m:sty m:val="p"/>
          </m:rPr>
          <w:rPr>
            <w:rFonts w:ascii="Cambria Math" w:eastAsiaTheme="minorEastAsia" w:hAnsi="Cambria Math" w:cs="Times New Roman"/>
          </w:rPr>
          <m:t>=0.079</m:t>
        </m:r>
        <m:r>
          <w:rPr>
            <w:rFonts w:ascii="Cambria Math" w:eastAsiaTheme="minorEastAsia" w:hAnsi="Cambria Math" w:cs="Times New Roman"/>
          </w:rPr>
          <m:t>R</m:t>
        </m:r>
        <m:sSup>
          <m:sSupPr>
            <m:ctrlPr>
              <w:rPr>
                <w:rFonts w:ascii="Cambria Math" w:eastAsiaTheme="minorEastAsia" w:hAnsi="Cambria Math" w:cs="Times New Roman"/>
              </w:rPr>
            </m:ctrlPr>
          </m:sSupPr>
          <m:e>
            <m:r>
              <w:rPr>
                <w:rFonts w:ascii="Cambria Math" w:eastAsiaTheme="minorEastAsia" w:hAnsi="Cambria Math" w:cs="Times New Roman"/>
              </w:rPr>
              <m:t>e</m:t>
            </m:r>
          </m:e>
          <m:sup>
            <m:r>
              <m:rPr>
                <m:sty m:val="p"/>
              </m:rPr>
              <w:rPr>
                <w:rFonts w:ascii="Cambria Math" w:eastAsiaTheme="minorEastAsia" w:hAnsi="Cambria Math" w:cs="Times New Roman"/>
              </w:rPr>
              <m:t>-0.25</m:t>
            </m:r>
          </m:sup>
        </m:sSup>
      </m:oMath>
      <w:r w:rsidR="00C02333" w:rsidRPr="008F5202">
        <w:rPr>
          <w:rFonts w:ascii="Times New Roman" w:eastAsiaTheme="minorEastAsia" w:hAnsi="Times New Roman" w:cs="Times New Roman"/>
        </w:rPr>
        <w:t>)</w:t>
      </w:r>
    </w:p>
    <w:p w14:paraId="7BA4C5E9" w14:textId="77777777" w:rsidR="00C02333" w:rsidRPr="008F5202" w:rsidRDefault="00C02333" w:rsidP="00C24EEE">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 xml:space="preserve">FCC </w:t>
      </w:r>
      <w:r w:rsidRPr="008F5202">
        <w:rPr>
          <w:rFonts w:ascii="Times New Roman" w:eastAsiaTheme="minorEastAsia" w:hAnsi="Times New Roman" w:cs="Times New Roman"/>
        </w:rPr>
        <w:tab/>
        <w:t>Face-centered cube</w:t>
      </w:r>
    </w:p>
    <w:p w14:paraId="7B496F68" w14:textId="77777777" w:rsidR="00C02333" w:rsidRPr="008F5202" w:rsidRDefault="00C02333" w:rsidP="00C24EEE">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H</w:t>
      </w:r>
      <w:r w:rsidRPr="008F5202">
        <w:rPr>
          <w:rFonts w:ascii="Times New Roman" w:eastAsiaTheme="minorEastAsia" w:hAnsi="Times New Roman" w:cs="Times New Roman"/>
        </w:rPr>
        <w:tab/>
        <w:t>unit cell or pin height</w:t>
      </w:r>
    </w:p>
    <w:p w14:paraId="4B43DB0C" w14:textId="77777777" w:rsidR="00C02333" w:rsidRPr="008F5202" w:rsidRDefault="00C02333" w:rsidP="00C24EEE">
      <w:pPr>
        <w:spacing w:line="360" w:lineRule="auto"/>
        <w:rPr>
          <w:rFonts w:ascii="Times New Roman" w:eastAsiaTheme="minorEastAsia" w:hAnsi="Times New Roman" w:cs="Times New Roman"/>
        </w:rPr>
      </w:pPr>
      <m:oMath>
        <m:r>
          <w:rPr>
            <w:rFonts w:ascii="Cambria Math" w:eastAsiaTheme="minorEastAsia" w:hAnsi="Cambria Math" w:cs="Times New Roman"/>
          </w:rPr>
          <m:t>h</m:t>
        </m:r>
      </m:oMath>
      <w:r w:rsidRPr="008F5202">
        <w:rPr>
          <w:rFonts w:ascii="Times New Roman" w:eastAsiaTheme="minorEastAsia" w:hAnsi="Times New Roman" w:cs="Times New Roman"/>
        </w:rPr>
        <w:tab/>
        <w:t>heat transfer coefficient</w:t>
      </w:r>
    </w:p>
    <w:p w14:paraId="0537355A" w14:textId="77777777" w:rsidR="00C02333" w:rsidRPr="008F5202" w:rsidRDefault="00C02333" w:rsidP="00C24EEE">
      <w:pPr>
        <w:spacing w:line="360" w:lineRule="auto"/>
        <w:rPr>
          <w:rFonts w:ascii="Times New Roman" w:eastAsiaTheme="minorEastAsia" w:hAnsi="Times New Roman" w:cs="Times New Roman"/>
        </w:rPr>
      </w:pPr>
      <m:oMath>
        <m:r>
          <w:rPr>
            <w:rFonts w:ascii="Cambria Math" w:eastAsiaTheme="minorEastAsia" w:hAnsi="Cambria Math" w:cs="Times New Roman"/>
          </w:rPr>
          <w:lastRenderedPageBreak/>
          <m:t>I</m:t>
        </m:r>
      </m:oMath>
      <w:r w:rsidRPr="008F5202">
        <w:rPr>
          <w:rFonts w:ascii="Times New Roman" w:eastAsiaTheme="minorEastAsia" w:hAnsi="Times New Roman" w:cs="Times New Roman"/>
        </w:rPr>
        <w:tab/>
        <w:t>current flowing through the circuit</w:t>
      </w:r>
    </w:p>
    <w:p w14:paraId="320676F1" w14:textId="77777777" w:rsidR="00C02333" w:rsidRPr="008F5202" w:rsidRDefault="00C02333" w:rsidP="00C24EEE">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keff</w:t>
      </w:r>
      <w:r w:rsidRPr="008F5202">
        <w:rPr>
          <w:rFonts w:ascii="Times New Roman" w:eastAsiaTheme="minorEastAsia" w:hAnsi="Times New Roman" w:cs="Times New Roman"/>
        </w:rPr>
        <w:tab/>
        <w:t>effective thermal conductivity</w:t>
      </w:r>
    </w:p>
    <w:p w14:paraId="3D0DCCB3" w14:textId="77777777" w:rsidR="00C02333" w:rsidRPr="008F5202" w:rsidRDefault="00000000" w:rsidP="00C24EEE">
      <w:pPr>
        <w:spacing w:line="360" w:lineRule="auto"/>
        <w:jc w:val="both"/>
        <w:rPr>
          <w:rFonts w:ascii="Times New Roman" w:eastAsiaTheme="minorEastAsia" w:hAnsi="Times New Roman"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k</m:t>
            </m:r>
          </m:e>
          <m:sub>
            <m:r>
              <w:rPr>
                <w:rFonts w:ascii="Cambria Math" w:eastAsiaTheme="minorEastAsia" w:hAnsi="Cambria Math" w:cs="Times New Roman"/>
              </w:rPr>
              <m:t>f</m:t>
            </m:r>
          </m:sub>
        </m:sSub>
      </m:oMath>
      <w:r w:rsidR="00C02333" w:rsidRPr="008F5202">
        <w:rPr>
          <w:rFonts w:ascii="Times New Roman" w:eastAsiaTheme="minorEastAsia" w:hAnsi="Times New Roman" w:cs="Times New Roman"/>
        </w:rPr>
        <w:tab/>
        <w:t>fluid thermal conductivity</w:t>
      </w:r>
    </w:p>
    <w:p w14:paraId="5572BE00" w14:textId="77777777" w:rsidR="00C02333" w:rsidRPr="008F5202" w:rsidRDefault="00000000" w:rsidP="00C24EEE">
      <w:pPr>
        <w:spacing w:line="360" w:lineRule="auto"/>
        <w:rPr>
          <w:rFonts w:ascii="Times New Roman" w:eastAsiaTheme="minorEastAsia" w:hAnsi="Times New Roman"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k</m:t>
            </m:r>
          </m:e>
          <m:sub>
            <m:r>
              <w:rPr>
                <w:rFonts w:ascii="Cambria Math" w:eastAsiaTheme="minorEastAsia" w:hAnsi="Cambria Math" w:cs="Times New Roman"/>
              </w:rPr>
              <m:t>s</m:t>
            </m:r>
          </m:sub>
        </m:sSub>
      </m:oMath>
      <w:r w:rsidR="00C02333" w:rsidRPr="008F5202">
        <w:rPr>
          <w:rFonts w:ascii="Times New Roman" w:eastAsiaTheme="minorEastAsia" w:hAnsi="Times New Roman" w:cs="Times New Roman"/>
        </w:rPr>
        <w:tab/>
        <w:t xml:space="preserve">solid material thermal conductivity </w:t>
      </w:r>
    </w:p>
    <w:p w14:paraId="2DEFF113" w14:textId="77777777" w:rsidR="00C02333" w:rsidRPr="008F5202" w:rsidRDefault="00C02333" w:rsidP="00C24EEE">
      <w:pPr>
        <w:spacing w:line="360" w:lineRule="auto"/>
        <w:rPr>
          <w:rFonts w:ascii="Times New Roman" w:eastAsiaTheme="minorEastAsia" w:hAnsi="Times New Roman" w:cs="Times New Roman"/>
        </w:rPr>
      </w:pPr>
      <m:oMath>
        <m:r>
          <w:rPr>
            <w:rFonts w:ascii="Cambria Math" w:eastAsiaTheme="minorEastAsia" w:hAnsi="Cambria Math" w:cs="Times New Roman"/>
          </w:rPr>
          <m:t>L</m:t>
        </m:r>
      </m:oMath>
      <w:r w:rsidRPr="008F5202">
        <w:rPr>
          <w:rFonts w:ascii="Times New Roman" w:eastAsiaTheme="minorEastAsia" w:hAnsi="Times New Roman" w:cs="Times New Roman"/>
        </w:rPr>
        <w:tab/>
        <w:t>streamwise length of the lattice</w:t>
      </w:r>
    </w:p>
    <w:p w14:paraId="69002F08" w14:textId="77777777" w:rsidR="00C02333" w:rsidRPr="008F5202" w:rsidRDefault="00000000" w:rsidP="00C24EEE">
      <w:pPr>
        <w:spacing w:line="360" w:lineRule="auto"/>
        <w:rPr>
          <w:rFonts w:ascii="Times New Roman" w:eastAsiaTheme="minorEastAsia" w:hAnsi="Times New Roman" w:cs="Times New Roman"/>
        </w:rPr>
      </w:pPr>
      <m:oMath>
        <m:acc>
          <m:accPr>
            <m:chr m:val="̇"/>
            <m:ctrlPr>
              <w:rPr>
                <w:rFonts w:ascii="Cambria Math" w:eastAsiaTheme="minorEastAsia" w:hAnsi="Cambria Math" w:cs="Times New Roman"/>
              </w:rPr>
            </m:ctrlPr>
          </m:accPr>
          <m:e>
            <m:r>
              <w:rPr>
                <w:rFonts w:ascii="Cambria Math" w:eastAsiaTheme="minorEastAsia" w:hAnsi="Cambria Math" w:cs="Times New Roman"/>
              </w:rPr>
              <m:t>m</m:t>
            </m:r>
          </m:e>
        </m:acc>
      </m:oMath>
      <w:r w:rsidR="00C02333" w:rsidRPr="008F5202">
        <w:rPr>
          <w:rFonts w:ascii="Times New Roman" w:eastAsiaTheme="minorEastAsia" w:hAnsi="Times New Roman" w:cs="Times New Roman"/>
        </w:rPr>
        <w:tab/>
        <w:t>mass flow rate</w:t>
      </w:r>
    </w:p>
    <w:p w14:paraId="2990D0A5" w14:textId="77777777" w:rsidR="00A5429F" w:rsidRPr="008F5202" w:rsidRDefault="00A5429F" w:rsidP="00C24EEE">
      <w:pPr>
        <w:spacing w:line="360" w:lineRule="auto"/>
        <w:jc w:val="both"/>
        <w:rPr>
          <w:rFonts w:ascii="Times New Roman" w:eastAsiaTheme="minorEastAsia" w:hAnsi="Times New Roman" w:cs="Times New Roman"/>
        </w:rPr>
      </w:pPr>
      <m:oMath>
        <m:r>
          <w:rPr>
            <w:rFonts w:ascii="Cambria Math" w:eastAsiaTheme="minorEastAsia" w:hAnsi="Cambria Math" w:cs="Times New Roman"/>
          </w:rPr>
          <m:t>Nu</m:t>
        </m:r>
      </m:oMath>
      <w:r w:rsidRPr="008F5202">
        <w:rPr>
          <w:rFonts w:ascii="Times New Roman" w:eastAsiaTheme="minorEastAsia" w:hAnsi="Times New Roman" w:cs="Times New Roman"/>
        </w:rPr>
        <w:tab/>
        <w:t>Nusselt number based on the channel hydraulic diameter (</w:t>
      </w:r>
      <m:oMath>
        <m:f>
          <m:fPr>
            <m:type m:val="lin"/>
            <m:ctrlPr>
              <w:rPr>
                <w:rFonts w:ascii="Cambria Math" w:eastAsiaTheme="minorEastAsia" w:hAnsi="Cambria Math" w:cs="Times New Roman"/>
              </w:rPr>
            </m:ctrlPr>
          </m:fPr>
          <m:num>
            <m:r>
              <w:rPr>
                <w:rFonts w:ascii="Cambria Math" w:eastAsiaTheme="minorEastAsia" w:hAnsi="Cambria Math" w:cs="Times New Roman"/>
              </w:rPr>
              <m:t>h</m:t>
            </m:r>
            <m:sSub>
              <m:sSubPr>
                <m:ctrlPr>
                  <w:rPr>
                    <w:rFonts w:ascii="Cambria Math" w:eastAsiaTheme="minorEastAsia" w:hAnsi="Cambria Math" w:cs="Times New Roman"/>
                  </w:rPr>
                </m:ctrlPr>
              </m:sSubPr>
              <m:e>
                <m:r>
                  <w:rPr>
                    <w:rFonts w:ascii="Cambria Math" w:eastAsiaTheme="minorEastAsia" w:hAnsi="Cambria Math" w:cs="Times New Roman"/>
                  </w:rPr>
                  <m:t>d</m:t>
                </m:r>
              </m:e>
              <m:sub>
                <m:r>
                  <w:rPr>
                    <w:rFonts w:ascii="Cambria Math" w:eastAsiaTheme="minorEastAsia" w:hAnsi="Cambria Math" w:cs="Times New Roman"/>
                  </w:rPr>
                  <m:t>h</m:t>
                </m:r>
              </m:sub>
            </m:sSub>
          </m:num>
          <m:den>
            <m:sSub>
              <m:sSubPr>
                <m:ctrlPr>
                  <w:rPr>
                    <w:rFonts w:ascii="Cambria Math" w:eastAsiaTheme="minorEastAsia" w:hAnsi="Cambria Math" w:cs="Times New Roman"/>
                  </w:rPr>
                </m:ctrlPr>
              </m:sSubPr>
              <m:e>
                <m:r>
                  <w:rPr>
                    <w:rFonts w:ascii="Cambria Math" w:eastAsiaTheme="minorEastAsia" w:hAnsi="Cambria Math" w:cs="Times New Roman"/>
                  </w:rPr>
                  <m:t>k</m:t>
                </m:r>
              </m:e>
              <m:sub>
                <m:r>
                  <w:rPr>
                    <w:rFonts w:ascii="Cambria Math" w:eastAsiaTheme="minorEastAsia" w:hAnsi="Cambria Math" w:cs="Times New Roman"/>
                  </w:rPr>
                  <m:t>f</m:t>
                </m:r>
              </m:sub>
            </m:sSub>
          </m:den>
        </m:f>
      </m:oMath>
      <w:r w:rsidRPr="008F5202">
        <w:rPr>
          <w:rFonts w:ascii="Times New Roman" w:eastAsiaTheme="minorEastAsia" w:hAnsi="Times New Roman" w:cs="Times New Roman"/>
        </w:rPr>
        <w:t>)</w:t>
      </w:r>
    </w:p>
    <w:p w14:paraId="33A11399" w14:textId="77777777" w:rsidR="00A5429F" w:rsidRPr="008F5202" w:rsidRDefault="00A5429F" w:rsidP="00C24EEE">
      <w:pPr>
        <w:spacing w:line="360" w:lineRule="auto"/>
        <w:rPr>
          <w:rFonts w:ascii="Times New Roman" w:eastAsiaTheme="minorEastAsia" w:hAnsi="Times New Roman" w:cs="Times New Roman"/>
        </w:rPr>
      </w:pPr>
      <m:oMath>
        <m:r>
          <w:rPr>
            <w:rFonts w:ascii="Cambria Math" w:eastAsiaTheme="minorEastAsia" w:hAnsi="Cambria Math" w:cs="Times New Roman"/>
          </w:rPr>
          <m:t>N</m:t>
        </m:r>
        <m:sSub>
          <m:sSubPr>
            <m:ctrlPr>
              <w:rPr>
                <w:rFonts w:ascii="Cambria Math" w:eastAsiaTheme="minorEastAsia" w:hAnsi="Cambria Math" w:cs="Times New Roman"/>
              </w:rPr>
            </m:ctrlPr>
          </m:sSubPr>
          <m:e>
            <m:r>
              <w:rPr>
                <w:rFonts w:ascii="Cambria Math" w:eastAsiaTheme="minorEastAsia" w:hAnsi="Cambria Math" w:cs="Times New Roman"/>
              </w:rPr>
              <m:t>u</m:t>
            </m:r>
          </m:e>
          <m:sub>
            <m:r>
              <m:rPr>
                <m:sty m:val="p"/>
              </m:rPr>
              <w:rPr>
                <w:rFonts w:ascii="Cambria Math" w:eastAsiaTheme="minorEastAsia" w:hAnsi="Cambria Math" w:cs="Times New Roman"/>
              </w:rPr>
              <m:t>0</m:t>
            </m:r>
          </m:sub>
        </m:sSub>
      </m:oMath>
      <w:r w:rsidRPr="008F5202">
        <w:rPr>
          <w:rFonts w:ascii="Times New Roman" w:eastAsiaTheme="minorEastAsia" w:hAnsi="Times New Roman" w:cs="Times New Roman"/>
        </w:rPr>
        <w:tab/>
        <w:t>Nusselt number from Dittus-Boelter correlation in smooth channels (</w:t>
      </w:r>
      <m:oMath>
        <m:r>
          <w:rPr>
            <w:rFonts w:ascii="Cambria Math" w:eastAsiaTheme="minorEastAsia" w:hAnsi="Cambria Math" w:cs="Times New Roman"/>
          </w:rPr>
          <m:t>N</m:t>
        </m:r>
        <m:sSub>
          <m:sSubPr>
            <m:ctrlPr>
              <w:rPr>
                <w:rFonts w:ascii="Cambria Math" w:eastAsiaTheme="minorEastAsia" w:hAnsi="Cambria Math" w:cs="Times New Roman"/>
              </w:rPr>
            </m:ctrlPr>
          </m:sSubPr>
          <m:e>
            <m:r>
              <w:rPr>
                <w:rFonts w:ascii="Cambria Math" w:eastAsiaTheme="minorEastAsia" w:hAnsi="Cambria Math" w:cs="Times New Roman"/>
              </w:rPr>
              <m:t>u</m:t>
            </m:r>
          </m:e>
          <m:sub>
            <m:r>
              <m:rPr>
                <m:sty m:val="p"/>
              </m:rPr>
              <w:rPr>
                <w:rFonts w:ascii="Cambria Math" w:eastAsiaTheme="minorEastAsia" w:hAnsi="Cambria Math" w:cs="Times New Roman"/>
              </w:rPr>
              <m:t>0</m:t>
            </m:r>
          </m:sub>
        </m:sSub>
        <m:r>
          <m:rPr>
            <m:sty m:val="p"/>
          </m:rPr>
          <w:rPr>
            <w:rFonts w:ascii="Cambria Math" w:eastAsiaTheme="minorEastAsia" w:hAnsi="Cambria Math" w:cs="Times New Roman"/>
          </w:rPr>
          <m:t>=0.023</m:t>
        </m:r>
        <m:r>
          <w:rPr>
            <w:rFonts w:ascii="Cambria Math" w:eastAsiaTheme="minorEastAsia" w:hAnsi="Cambria Math" w:cs="Times New Roman"/>
          </w:rPr>
          <m:t>R</m:t>
        </m:r>
        <m:sSup>
          <m:sSupPr>
            <m:ctrlPr>
              <w:rPr>
                <w:rFonts w:ascii="Cambria Math" w:eastAsiaTheme="minorEastAsia" w:hAnsi="Cambria Math" w:cs="Times New Roman"/>
              </w:rPr>
            </m:ctrlPr>
          </m:sSupPr>
          <m:e>
            <m:r>
              <w:rPr>
                <w:rFonts w:ascii="Cambria Math" w:eastAsiaTheme="minorEastAsia" w:hAnsi="Cambria Math" w:cs="Times New Roman"/>
              </w:rPr>
              <m:t>e</m:t>
            </m:r>
          </m:e>
          <m:sup>
            <m:r>
              <m:rPr>
                <m:sty m:val="p"/>
              </m:rPr>
              <w:rPr>
                <w:rFonts w:ascii="Cambria Math" w:eastAsiaTheme="minorEastAsia" w:hAnsi="Cambria Math" w:cs="Times New Roman"/>
              </w:rPr>
              <m:t>0.8</m:t>
            </m:r>
          </m:sup>
        </m:sSup>
        <m:sSup>
          <m:sSupPr>
            <m:ctrlPr>
              <w:rPr>
                <w:rFonts w:ascii="Cambria Math" w:eastAsiaTheme="minorEastAsia" w:hAnsi="Cambria Math" w:cs="Times New Roman"/>
              </w:rPr>
            </m:ctrlPr>
          </m:sSupPr>
          <m:e>
            <m:r>
              <w:rPr>
                <w:rFonts w:ascii="Cambria Math" w:eastAsiaTheme="minorEastAsia" w:hAnsi="Cambria Math" w:cs="Times New Roman"/>
              </w:rPr>
              <m:t>Pr</m:t>
            </m:r>
          </m:e>
          <m:sup>
            <m:r>
              <m:rPr>
                <m:sty m:val="p"/>
              </m:rPr>
              <w:rPr>
                <w:rFonts w:ascii="Cambria Math" w:eastAsiaTheme="minorEastAsia" w:hAnsi="Cambria Math" w:cs="Times New Roman"/>
              </w:rPr>
              <m:t>0.4</m:t>
            </m:r>
          </m:sup>
        </m:sSup>
      </m:oMath>
      <w:r w:rsidRPr="008F5202">
        <w:rPr>
          <w:rFonts w:ascii="Times New Roman" w:eastAsiaTheme="minorEastAsia" w:hAnsi="Times New Roman" w:cs="Times New Roman"/>
        </w:rPr>
        <w:t>)</w:t>
      </w:r>
    </w:p>
    <w:p w14:paraId="45799D43" w14:textId="77777777" w:rsidR="00A5429F" w:rsidRPr="008F5202" w:rsidRDefault="00A5429F" w:rsidP="00C24EEE">
      <w:pPr>
        <w:spacing w:line="360" w:lineRule="auto"/>
        <w:rPr>
          <w:rFonts w:ascii="Times New Roman" w:eastAsiaTheme="minorEastAsia" w:hAnsi="Times New Roman" w:cs="Times New Roman"/>
        </w:rPr>
      </w:pPr>
      <m:oMath>
        <m:r>
          <w:rPr>
            <w:rFonts w:ascii="Cambria Math" w:eastAsiaTheme="minorEastAsia" w:hAnsi="Cambria Math" w:cs="Times New Roman"/>
          </w:rPr>
          <m:t>N</m:t>
        </m:r>
        <m:sSub>
          <m:sSubPr>
            <m:ctrlPr>
              <w:rPr>
                <w:rFonts w:ascii="Cambria Math" w:eastAsiaTheme="minorEastAsia" w:hAnsi="Cambria Math" w:cs="Times New Roman"/>
              </w:rPr>
            </m:ctrlPr>
          </m:sSubPr>
          <m:e>
            <m:r>
              <w:rPr>
                <w:rFonts w:ascii="Cambria Math" w:eastAsiaTheme="minorEastAsia" w:hAnsi="Cambria Math" w:cs="Times New Roman"/>
              </w:rPr>
              <m:t>u</m:t>
            </m:r>
          </m:e>
          <m:sub>
            <m:r>
              <w:rPr>
                <w:rFonts w:ascii="Cambria Math" w:eastAsiaTheme="minorEastAsia" w:hAnsi="Cambria Math" w:cs="Times New Roman"/>
              </w:rPr>
              <m:t>s</m:t>
            </m:r>
          </m:sub>
        </m:sSub>
      </m:oMath>
      <w:r w:rsidRPr="008F5202">
        <w:rPr>
          <w:rFonts w:ascii="Times New Roman" w:eastAsiaTheme="minorEastAsia" w:hAnsi="Times New Roman" w:cs="Times New Roman"/>
        </w:rPr>
        <w:tab/>
        <w:t>Nusselt number for thermally developing flows in smooth channels</w:t>
      </w:r>
    </w:p>
    <w:p w14:paraId="6592F485" w14:textId="77777777" w:rsidR="00A5429F" w:rsidRPr="008F5202" w:rsidRDefault="00A5429F" w:rsidP="00C24EEE">
      <w:pPr>
        <w:spacing w:line="360" w:lineRule="auto"/>
        <w:rPr>
          <w:rFonts w:ascii="Times New Roman" w:eastAsiaTheme="minorEastAsia" w:hAnsi="Times New Roman" w:cs="Times New Roman"/>
        </w:rPr>
      </w:pPr>
      <m:oMath>
        <m:r>
          <w:rPr>
            <w:rFonts w:ascii="Cambria Math" w:eastAsiaTheme="minorEastAsia" w:hAnsi="Cambria Math" w:cs="Times New Roman"/>
          </w:rPr>
          <m:t>Pr</m:t>
        </m:r>
      </m:oMath>
      <w:r w:rsidRPr="008F5202">
        <w:rPr>
          <w:rFonts w:ascii="Times New Roman" w:eastAsiaTheme="minorEastAsia" w:hAnsi="Times New Roman" w:cs="Times New Roman"/>
        </w:rPr>
        <w:tab/>
        <w:t xml:space="preserve">Prandtl number </w:t>
      </w:r>
    </w:p>
    <w:p w14:paraId="51BB82B5" w14:textId="77777777" w:rsidR="00A5429F" w:rsidRPr="008F5202" w:rsidRDefault="00A5429F" w:rsidP="00C24EEE">
      <w:pPr>
        <w:spacing w:line="360" w:lineRule="auto"/>
        <w:rPr>
          <w:rFonts w:ascii="Times New Roman" w:eastAsiaTheme="minorEastAsia" w:hAnsi="Times New Roman" w:cs="Times New Roman"/>
        </w:rPr>
      </w:pPr>
      <m:oMath>
        <m:r>
          <m:rPr>
            <m:sty m:val="p"/>
          </m:rPr>
          <w:rPr>
            <w:rFonts w:ascii="Cambria Math" w:eastAsiaTheme="minorEastAsia" w:hAnsi="Cambria Math" w:cs="Times New Roman"/>
          </w:rPr>
          <m:t>∆</m:t>
        </m:r>
        <m:r>
          <w:rPr>
            <w:rFonts w:ascii="Cambria Math" w:eastAsiaTheme="minorEastAsia" w:hAnsi="Cambria Math" w:cs="Times New Roman"/>
          </w:rPr>
          <m:t>P</m:t>
        </m:r>
      </m:oMath>
      <w:r w:rsidRPr="008F5202">
        <w:rPr>
          <w:rFonts w:ascii="Times New Roman" w:eastAsiaTheme="minorEastAsia" w:hAnsi="Times New Roman" w:cs="Times New Roman"/>
        </w:rPr>
        <w:tab/>
        <w:t>pressure drop</w:t>
      </w:r>
    </w:p>
    <w:p w14:paraId="21924547" w14:textId="77777777" w:rsidR="00A5429F" w:rsidRPr="008F5202" w:rsidRDefault="00000000" w:rsidP="00C24EEE">
      <w:pPr>
        <w:spacing w:line="360" w:lineRule="auto"/>
        <w:rPr>
          <w:rFonts w:ascii="Times New Roman" w:eastAsiaTheme="minorEastAsia" w:hAnsi="Times New Roman"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Q</m:t>
            </m:r>
          </m:e>
          <m:sub>
            <m:r>
              <w:rPr>
                <w:rFonts w:ascii="Cambria Math" w:eastAsiaTheme="minorEastAsia" w:hAnsi="Cambria Math" w:cs="Times New Roman"/>
              </w:rPr>
              <m:t>l</m:t>
            </m:r>
            <m:r>
              <m:rPr>
                <m:sty m:val="p"/>
              </m:rPr>
              <w:rPr>
                <w:rFonts w:ascii="Cambria Math" w:eastAsiaTheme="minorEastAsia" w:hAnsi="Cambria Math" w:cs="Times New Roman"/>
              </w:rPr>
              <m:t xml:space="preserve">,  </m:t>
            </m:r>
            <m:r>
              <w:rPr>
                <w:rFonts w:ascii="Cambria Math" w:eastAsiaTheme="minorEastAsia" w:hAnsi="Cambria Math" w:cs="Times New Roman"/>
              </w:rPr>
              <m:t>ins</m:t>
            </m:r>
          </m:sub>
        </m:sSub>
      </m:oMath>
      <w:r w:rsidR="00A5429F" w:rsidRPr="008F5202">
        <w:rPr>
          <w:rFonts w:ascii="Times New Roman" w:eastAsiaTheme="minorEastAsia" w:hAnsi="Times New Roman" w:cs="Times New Roman"/>
        </w:rPr>
        <w:tab/>
        <w:t>heat loss through insulation</w:t>
      </w:r>
    </w:p>
    <w:p w14:paraId="03788160" w14:textId="01C41693" w:rsidR="00A5429F" w:rsidRPr="008F5202" w:rsidRDefault="00000000" w:rsidP="00C24EEE">
      <w:pPr>
        <w:spacing w:line="360" w:lineRule="auto"/>
        <w:rPr>
          <w:rFonts w:ascii="Times New Roman" w:eastAsiaTheme="minorEastAsia" w:hAnsi="Times New Roman"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Q</m:t>
            </m:r>
          </m:e>
          <m:sub>
            <m:r>
              <w:rPr>
                <w:rFonts w:ascii="Cambria Math" w:eastAsiaTheme="minorEastAsia" w:hAnsi="Cambria Math" w:cs="Times New Roman"/>
              </w:rPr>
              <m:t>net</m:t>
            </m:r>
            <m:r>
              <m:rPr>
                <m:sty m:val="p"/>
              </m:rPr>
              <w:rPr>
                <w:rFonts w:ascii="Cambria Math" w:eastAsiaTheme="minorEastAsia" w:hAnsi="Cambria Math" w:cs="Times New Roman"/>
              </w:rPr>
              <m:t xml:space="preserve">, </m:t>
            </m:r>
            <m:r>
              <w:rPr>
                <w:rFonts w:ascii="Cambria Math" w:eastAsiaTheme="minorEastAsia" w:hAnsi="Cambria Math" w:cs="Times New Roman"/>
              </w:rPr>
              <m:t>C</m:t>
            </m:r>
            <m:r>
              <m:rPr>
                <m:sty m:val="p"/>
              </m:rPr>
              <w:rPr>
                <w:rFonts w:ascii="Cambria Math" w:eastAsiaTheme="minorEastAsia" w:hAnsi="Cambria Math" w:cs="Times New Roman"/>
              </w:rPr>
              <m:t>.</m:t>
            </m:r>
            <m:r>
              <w:rPr>
                <w:rFonts w:ascii="Cambria Math" w:eastAsiaTheme="minorEastAsia" w:hAnsi="Cambria Math" w:cs="Times New Roman"/>
              </w:rPr>
              <m:t>V</m:t>
            </m:r>
            <m:r>
              <m:rPr>
                <m:sty m:val="p"/>
              </m:rPr>
              <w:rPr>
                <w:rFonts w:ascii="Cambria Math" w:eastAsiaTheme="minorEastAsia" w:hAnsi="Cambria Math" w:cs="Times New Roman"/>
              </w:rPr>
              <m:t>.</m:t>
            </m:r>
          </m:sub>
        </m:sSub>
      </m:oMath>
      <w:r w:rsidR="00C24EEE" w:rsidRPr="008F5202">
        <w:rPr>
          <w:rFonts w:ascii="Times New Roman" w:eastAsiaTheme="minorEastAsia" w:hAnsi="Times New Roman" w:cs="Times New Roman"/>
        </w:rPr>
        <w:t xml:space="preserve"> </w:t>
      </w:r>
      <w:r w:rsidR="00A5429F" w:rsidRPr="008F5202">
        <w:rPr>
          <w:rFonts w:ascii="Times New Roman" w:eastAsiaTheme="minorEastAsia" w:hAnsi="Times New Roman" w:cs="Times New Roman"/>
        </w:rPr>
        <w:t xml:space="preserve">net heat input to the lattice </w:t>
      </w:r>
    </w:p>
    <w:p w14:paraId="4107E56A" w14:textId="77777777" w:rsidR="00A5429F" w:rsidRPr="008F5202" w:rsidRDefault="00000000" w:rsidP="00C24EEE">
      <w:pPr>
        <w:spacing w:line="360" w:lineRule="auto"/>
        <w:rPr>
          <w:rFonts w:ascii="Times New Roman" w:eastAsiaTheme="minorEastAsia" w:hAnsi="Times New Roman"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htr</m:t>
            </m:r>
          </m:sub>
        </m:sSub>
      </m:oMath>
      <w:r w:rsidR="00A5429F" w:rsidRPr="008F5202">
        <w:rPr>
          <w:rFonts w:ascii="Times New Roman" w:eastAsiaTheme="minorEastAsia" w:hAnsi="Times New Roman" w:cs="Times New Roman"/>
        </w:rPr>
        <w:tab/>
        <w:t>resistance of the heater</w:t>
      </w:r>
    </w:p>
    <w:p w14:paraId="66F8ED6B" w14:textId="77777777" w:rsidR="00A5429F" w:rsidRPr="008F5202" w:rsidRDefault="00A5429F" w:rsidP="00C24EEE">
      <w:pPr>
        <w:spacing w:line="360" w:lineRule="auto"/>
        <w:rPr>
          <w:rFonts w:ascii="Times New Roman" w:eastAsiaTheme="minorEastAsia" w:hAnsi="Times New Roman" w:cs="Times New Roman"/>
        </w:rPr>
      </w:pPr>
      <m:oMath>
        <m:r>
          <w:rPr>
            <w:rFonts w:ascii="Cambria Math" w:eastAsiaTheme="minorEastAsia" w:hAnsi="Cambria Math" w:cs="Times New Roman"/>
          </w:rPr>
          <m:t>Re</m:t>
        </m:r>
      </m:oMath>
      <w:r w:rsidRPr="008F5202">
        <w:rPr>
          <w:rFonts w:ascii="Times New Roman" w:eastAsiaTheme="minorEastAsia" w:hAnsi="Times New Roman" w:cs="Times New Roman"/>
        </w:rPr>
        <w:tab/>
        <w:t>Reynolds number (</w:t>
      </w:r>
      <m:oMath>
        <m:f>
          <m:fPr>
            <m:type m:val="lin"/>
            <m:ctrlPr>
              <w:rPr>
                <w:rFonts w:ascii="Cambria Math" w:eastAsiaTheme="minorEastAsia" w:hAnsi="Cambria Math" w:cs="Times New Roman"/>
              </w:rPr>
            </m:ctrlPr>
          </m:fPr>
          <m:num>
            <m:r>
              <w:rPr>
                <w:rFonts w:ascii="Cambria Math" w:eastAsiaTheme="minorEastAsia" w:hAnsi="Cambria Math" w:cs="Times New Roman"/>
              </w:rPr>
              <m:t>ρu</m:t>
            </m:r>
            <m:sSub>
              <m:sSubPr>
                <m:ctrlPr>
                  <w:rPr>
                    <w:rFonts w:ascii="Cambria Math" w:eastAsiaTheme="minorEastAsia" w:hAnsi="Cambria Math" w:cs="Times New Roman"/>
                  </w:rPr>
                </m:ctrlPr>
              </m:sSubPr>
              <m:e>
                <m:r>
                  <w:rPr>
                    <w:rFonts w:ascii="Cambria Math" w:eastAsiaTheme="minorEastAsia" w:hAnsi="Cambria Math" w:cs="Times New Roman"/>
                  </w:rPr>
                  <m:t>d</m:t>
                </m:r>
              </m:e>
              <m:sub>
                <m:r>
                  <w:rPr>
                    <w:rFonts w:ascii="Cambria Math" w:eastAsiaTheme="minorEastAsia" w:hAnsi="Cambria Math" w:cs="Times New Roman"/>
                  </w:rPr>
                  <m:t>h</m:t>
                </m:r>
              </m:sub>
            </m:sSub>
          </m:num>
          <m:den>
            <m:r>
              <w:rPr>
                <w:rFonts w:ascii="Cambria Math" w:eastAsiaTheme="minorEastAsia" w:hAnsi="Cambria Math" w:cs="Times New Roman"/>
              </w:rPr>
              <m:t>μ</m:t>
            </m:r>
          </m:den>
        </m:f>
      </m:oMath>
      <w:r w:rsidRPr="008F5202">
        <w:rPr>
          <w:rFonts w:ascii="Times New Roman" w:eastAsiaTheme="minorEastAsia" w:hAnsi="Times New Roman" w:cs="Times New Roman"/>
        </w:rPr>
        <w:t>)</w:t>
      </w:r>
    </w:p>
    <w:p w14:paraId="76B920DF" w14:textId="77777777" w:rsidR="00A5429F" w:rsidRPr="008F5202" w:rsidRDefault="00A5429F" w:rsidP="00C24EEE">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 xml:space="preserve">SLA </w:t>
      </w:r>
      <w:r w:rsidRPr="008F5202">
        <w:rPr>
          <w:rFonts w:ascii="Times New Roman" w:eastAsiaTheme="minorEastAsia" w:hAnsi="Times New Roman" w:cs="Times New Roman"/>
        </w:rPr>
        <w:tab/>
        <w:t xml:space="preserve">stereolithography </w:t>
      </w:r>
    </w:p>
    <w:p w14:paraId="372F06A5" w14:textId="77777777" w:rsidR="00A5429F" w:rsidRPr="008F5202" w:rsidRDefault="00A5429F" w:rsidP="00C24EEE">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S/D</w:t>
      </w:r>
      <w:r w:rsidRPr="008F5202">
        <w:rPr>
          <w:rFonts w:ascii="Times New Roman" w:eastAsiaTheme="minorEastAsia" w:hAnsi="Times New Roman" w:cs="Times New Roman"/>
        </w:rPr>
        <w:tab/>
        <w:t>spanwise pitch</w:t>
      </w:r>
    </w:p>
    <w:p w14:paraId="221EB6B1" w14:textId="77777777" w:rsidR="00A5429F" w:rsidRPr="008F5202" w:rsidRDefault="00A5429F" w:rsidP="00C24EEE">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THP</w:t>
      </w:r>
      <w:r w:rsidRPr="008F5202">
        <w:rPr>
          <w:rFonts w:ascii="Times New Roman" w:eastAsiaTheme="minorEastAsia" w:hAnsi="Times New Roman" w:cs="Times New Roman"/>
        </w:rPr>
        <w:tab/>
        <w:t xml:space="preserve">thermal-hydraulic performance with respect to thermally developed flows </w:t>
      </w:r>
    </w:p>
    <w:p w14:paraId="0F537A79" w14:textId="77777777" w:rsidR="00A5429F" w:rsidRPr="008F5202" w:rsidRDefault="00A5429F" w:rsidP="00C24EEE">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THPs</w:t>
      </w:r>
      <w:r w:rsidRPr="008F5202">
        <w:rPr>
          <w:rFonts w:ascii="Times New Roman" w:eastAsiaTheme="minorEastAsia" w:hAnsi="Times New Roman" w:cs="Times New Roman"/>
        </w:rPr>
        <w:tab/>
        <w:t xml:space="preserve">thermal-hydraulic performance with respect to thermally developing flows </w:t>
      </w:r>
    </w:p>
    <w:p w14:paraId="108E2317" w14:textId="77777777" w:rsidR="00A5429F" w:rsidRPr="008F5202" w:rsidRDefault="00A5429F" w:rsidP="00C24EEE">
      <w:pPr>
        <w:spacing w:line="360" w:lineRule="auto"/>
        <w:rPr>
          <w:rFonts w:ascii="Times New Roman" w:eastAsiaTheme="minorEastAsia" w:hAnsi="Times New Roman" w:cs="Times New Roman"/>
        </w:rPr>
      </w:pPr>
      <w:r w:rsidRPr="008F5202">
        <w:rPr>
          <w:rFonts w:ascii="Times New Roman" w:eastAsiaTheme="minorEastAsia" w:hAnsi="Times New Roman" w:cs="Times New Roman"/>
        </w:rPr>
        <w:t>TLC</w:t>
      </w:r>
      <w:r w:rsidRPr="008F5202">
        <w:rPr>
          <w:rFonts w:ascii="Times New Roman" w:eastAsiaTheme="minorEastAsia" w:hAnsi="Times New Roman" w:cs="Times New Roman"/>
        </w:rPr>
        <w:tab/>
        <w:t>Transient liquid crystal</w:t>
      </w:r>
    </w:p>
    <w:p w14:paraId="37E4E67F" w14:textId="77777777" w:rsidR="00A5429F" w:rsidRPr="008F5202" w:rsidRDefault="00000000" w:rsidP="00C24EEE">
      <w:pPr>
        <w:spacing w:line="360" w:lineRule="auto"/>
        <w:rPr>
          <w:rFonts w:ascii="Times New Roman" w:eastAsiaTheme="minorEastAsia" w:hAnsi="Times New Roman"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T</m:t>
            </m:r>
          </m:e>
          <m:sub>
            <m:r>
              <w:rPr>
                <w:rFonts w:ascii="Cambria Math" w:eastAsiaTheme="minorEastAsia" w:hAnsi="Cambria Math" w:cs="Times New Roman"/>
              </w:rPr>
              <m:t>b</m:t>
            </m:r>
            <m:r>
              <m:rPr>
                <m:sty m:val="p"/>
              </m:rPr>
              <w:rPr>
                <w:rFonts w:ascii="Cambria Math" w:eastAsiaTheme="minorEastAsia" w:hAnsi="Cambria Math" w:cs="Times New Roman"/>
              </w:rPr>
              <m:t xml:space="preserve">, </m:t>
            </m:r>
            <m:r>
              <w:rPr>
                <w:rFonts w:ascii="Cambria Math" w:eastAsiaTheme="minorEastAsia" w:hAnsi="Cambria Math" w:cs="Times New Roman"/>
              </w:rPr>
              <m:t>L</m:t>
            </m:r>
          </m:sub>
        </m:sSub>
      </m:oMath>
      <w:r w:rsidR="00A5429F" w:rsidRPr="008F5202">
        <w:rPr>
          <w:rFonts w:ascii="Times New Roman" w:eastAsiaTheme="minorEastAsia" w:hAnsi="Times New Roman" w:cs="Times New Roman"/>
        </w:rPr>
        <w:tab/>
        <w:t xml:space="preserve">bulk temperature at the exit </w:t>
      </w:r>
    </w:p>
    <w:p w14:paraId="636B785E" w14:textId="77777777" w:rsidR="00A5429F" w:rsidRPr="008F5202" w:rsidRDefault="00000000" w:rsidP="00C24EEE">
      <w:pPr>
        <w:spacing w:line="360" w:lineRule="auto"/>
        <w:rPr>
          <w:rFonts w:ascii="Times New Roman" w:eastAsiaTheme="minorEastAsia" w:hAnsi="Times New Roman"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T</m:t>
            </m:r>
          </m:e>
          <m:sub>
            <m:r>
              <w:rPr>
                <w:rFonts w:ascii="Cambria Math" w:eastAsiaTheme="minorEastAsia" w:hAnsi="Cambria Math" w:cs="Times New Roman"/>
              </w:rPr>
              <m:t>b</m:t>
            </m:r>
            <m:r>
              <m:rPr>
                <m:sty m:val="p"/>
              </m:rPr>
              <w:rPr>
                <w:rFonts w:ascii="Cambria Math" w:eastAsiaTheme="minorEastAsia" w:hAnsi="Cambria Math" w:cs="Times New Roman"/>
              </w:rPr>
              <m:t xml:space="preserve">, </m:t>
            </m:r>
            <m:r>
              <w:rPr>
                <w:rFonts w:ascii="Cambria Math" w:eastAsiaTheme="minorEastAsia" w:hAnsi="Cambria Math" w:cs="Times New Roman"/>
              </w:rPr>
              <m:t>x</m:t>
            </m:r>
          </m:sub>
        </m:sSub>
      </m:oMath>
      <w:r w:rsidR="00A5429F" w:rsidRPr="008F5202">
        <w:rPr>
          <w:rFonts w:ascii="Times New Roman" w:eastAsiaTheme="minorEastAsia" w:hAnsi="Times New Roman" w:cs="Times New Roman"/>
        </w:rPr>
        <w:tab/>
        <w:t>local bulk temperature</w:t>
      </w:r>
    </w:p>
    <w:p w14:paraId="2CF58D02" w14:textId="77777777" w:rsidR="00A5429F" w:rsidRPr="008F5202" w:rsidRDefault="00000000" w:rsidP="00C24EEE">
      <w:pPr>
        <w:spacing w:line="360" w:lineRule="auto"/>
        <w:rPr>
          <w:rFonts w:ascii="Times New Roman" w:eastAsiaTheme="minorEastAsia" w:hAnsi="Times New Roman"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T</m:t>
            </m:r>
          </m:e>
          <m:sub>
            <m:r>
              <w:rPr>
                <w:rFonts w:ascii="Cambria Math" w:eastAsiaTheme="minorEastAsia" w:hAnsi="Cambria Math" w:cs="Times New Roman"/>
              </w:rPr>
              <m:t>in</m:t>
            </m:r>
          </m:sub>
        </m:sSub>
      </m:oMath>
      <w:r w:rsidR="00A5429F" w:rsidRPr="008F5202">
        <w:rPr>
          <w:rFonts w:ascii="Times New Roman" w:eastAsiaTheme="minorEastAsia" w:hAnsi="Times New Roman" w:cs="Times New Roman"/>
        </w:rPr>
        <w:tab/>
        <w:t>inlet temperature</w:t>
      </w:r>
    </w:p>
    <w:p w14:paraId="632F5DEA" w14:textId="77777777" w:rsidR="00A5429F" w:rsidRPr="008F5202" w:rsidRDefault="00000000" w:rsidP="00C24EEE">
      <w:pPr>
        <w:spacing w:line="360" w:lineRule="auto"/>
        <w:rPr>
          <w:rFonts w:ascii="Times New Roman" w:eastAsiaTheme="minorEastAsia" w:hAnsi="Times New Roman" w:cs="Times New Roman"/>
        </w:rPr>
      </w:pPr>
      <m:oMath>
        <m:sSub>
          <m:sSubPr>
            <m:ctrlPr>
              <w:rPr>
                <w:rFonts w:ascii="Cambria Math" w:eastAsiaTheme="minorEastAsia" w:hAnsi="Cambria Math" w:cs="Times New Roman"/>
              </w:rPr>
            </m:ctrlPr>
          </m:sSubPr>
          <m:e>
            <m:r>
              <w:rPr>
                <w:rFonts w:ascii="Cambria Math" w:eastAsiaTheme="minorEastAsia" w:hAnsi="Cambria Math" w:cs="Times New Roman"/>
              </w:rPr>
              <m:t>T</m:t>
            </m:r>
          </m:e>
          <m:sub>
            <m:r>
              <w:rPr>
                <w:rFonts w:ascii="Cambria Math" w:eastAsiaTheme="minorEastAsia" w:hAnsi="Cambria Math" w:cs="Times New Roman"/>
              </w:rPr>
              <m:t>ref</m:t>
            </m:r>
          </m:sub>
        </m:sSub>
      </m:oMath>
      <w:r w:rsidR="00A5429F" w:rsidRPr="008F5202">
        <w:rPr>
          <w:rFonts w:ascii="Times New Roman" w:eastAsiaTheme="minorEastAsia" w:hAnsi="Times New Roman" w:cs="Times New Roman"/>
        </w:rPr>
        <w:tab/>
        <w:t>reference temperature</w:t>
      </w:r>
    </w:p>
    <w:p w14:paraId="2B32D232" w14:textId="77777777" w:rsidR="00A5429F" w:rsidRPr="008F5202" w:rsidRDefault="00000000" w:rsidP="00C24EEE">
      <w:pPr>
        <w:spacing w:line="360" w:lineRule="auto"/>
        <w:rPr>
          <w:rFonts w:ascii="Times New Roman" w:eastAsiaTheme="minorEastAsia" w:hAnsi="Times New Roman" w:cs="Times New Roman"/>
        </w:rPr>
      </w:pPr>
      <m:oMath>
        <m:sSub>
          <m:sSubPr>
            <m:ctrlPr>
              <w:rPr>
                <w:rFonts w:ascii="Cambria Math" w:eastAsiaTheme="minorEastAsia" w:hAnsi="Cambria Math" w:cs="Times New Roman"/>
              </w:rPr>
            </m:ctrlPr>
          </m:sSubPr>
          <m:e>
            <m:acc>
              <m:accPr>
                <m:chr m:val="̃"/>
                <m:ctrlPr>
                  <w:rPr>
                    <w:rFonts w:ascii="Cambria Math" w:eastAsiaTheme="minorEastAsia" w:hAnsi="Cambria Math" w:cs="Times New Roman"/>
                  </w:rPr>
                </m:ctrlPr>
              </m:accPr>
              <m:e>
                <m:r>
                  <w:rPr>
                    <w:rFonts w:ascii="Cambria Math" w:eastAsiaTheme="minorEastAsia" w:hAnsi="Cambria Math" w:cs="Times New Roman"/>
                  </w:rPr>
                  <m:t>T</m:t>
                </m:r>
              </m:e>
            </m:acc>
          </m:e>
          <m:sub>
            <m:r>
              <w:rPr>
                <w:rFonts w:ascii="Cambria Math" w:eastAsiaTheme="minorEastAsia" w:hAnsi="Cambria Math" w:cs="Times New Roman"/>
              </w:rPr>
              <m:t>w</m:t>
            </m:r>
          </m:sub>
        </m:sSub>
      </m:oMath>
      <w:r w:rsidR="00A5429F" w:rsidRPr="008F5202">
        <w:rPr>
          <w:rFonts w:ascii="Times New Roman" w:eastAsiaTheme="minorEastAsia" w:hAnsi="Times New Roman" w:cs="Times New Roman"/>
        </w:rPr>
        <w:tab/>
        <w:t>average wall temperature</w:t>
      </w:r>
    </w:p>
    <w:p w14:paraId="57B68920" w14:textId="77777777" w:rsidR="00A5429F" w:rsidRPr="008F5202" w:rsidRDefault="00A5429F" w:rsidP="00C24EEE">
      <w:pPr>
        <w:spacing w:line="360" w:lineRule="auto"/>
        <w:jc w:val="both"/>
        <w:rPr>
          <w:rFonts w:ascii="Times New Roman" w:eastAsiaTheme="minorEastAsia" w:hAnsi="Times New Roman" w:cs="Times New Roman"/>
        </w:rPr>
      </w:pPr>
      <m:oMath>
        <m:r>
          <w:rPr>
            <w:rFonts w:ascii="Cambria Math" w:eastAsiaTheme="minorEastAsia" w:hAnsi="Cambria Math" w:cs="Times New Roman"/>
          </w:rPr>
          <m:t>u</m:t>
        </m:r>
      </m:oMath>
      <w:r w:rsidRPr="008F5202">
        <w:rPr>
          <w:rFonts w:ascii="Times New Roman" w:eastAsiaTheme="minorEastAsia" w:hAnsi="Times New Roman" w:cs="Times New Roman"/>
        </w:rPr>
        <w:tab/>
        <w:t>mean flow velocity</w:t>
      </w:r>
    </w:p>
    <w:p w14:paraId="10B77CF9" w14:textId="77777777" w:rsidR="00A5429F" w:rsidRPr="008F5202" w:rsidRDefault="00A5429F" w:rsidP="00C24EEE">
      <w:pPr>
        <w:spacing w:line="360" w:lineRule="auto"/>
        <w:jc w:val="both"/>
        <w:rPr>
          <w:rFonts w:ascii="Times New Roman" w:eastAsiaTheme="minorEastAsia" w:hAnsi="Times New Roman" w:cs="Times New Roman"/>
        </w:rPr>
      </w:pPr>
      <w:r w:rsidRPr="008F5202">
        <w:rPr>
          <w:rFonts w:ascii="Times New Roman" w:eastAsiaTheme="minorEastAsia" w:hAnsi="Times New Roman" w:cs="Times New Roman"/>
        </w:rPr>
        <w:t>X/D</w:t>
      </w:r>
      <w:r w:rsidRPr="008F5202">
        <w:rPr>
          <w:rFonts w:ascii="Times New Roman" w:eastAsiaTheme="minorEastAsia" w:hAnsi="Times New Roman" w:cs="Times New Roman"/>
        </w:rPr>
        <w:tab/>
        <w:t>streamwise pitch</w:t>
      </w:r>
    </w:p>
    <w:p w14:paraId="1C94B0B0" w14:textId="14CA3BC7" w:rsidR="00A5429F" w:rsidRPr="008F5202" w:rsidRDefault="00BE5A49" w:rsidP="008E7EC0">
      <w:pPr>
        <w:pStyle w:val="Heading2"/>
      </w:pPr>
      <w:bookmarkStart w:id="100" w:name="_Toc177758155"/>
      <w:r w:rsidRPr="008F5202">
        <w:lastRenderedPageBreak/>
        <w:t>Greek symbols</w:t>
      </w:r>
      <w:bookmarkEnd w:id="100"/>
    </w:p>
    <w:p w14:paraId="60A43745" w14:textId="77777777" w:rsidR="00C24EEE" w:rsidRPr="008F5202" w:rsidRDefault="00C24EEE" w:rsidP="00C24EEE">
      <w:pPr>
        <w:spacing w:line="360" w:lineRule="auto"/>
        <w:rPr>
          <w:rFonts w:ascii="Times New Roman" w:eastAsiaTheme="minorEastAsia" w:hAnsi="Times New Roman" w:cs="Times New Roman"/>
        </w:rPr>
      </w:pPr>
      <m:oMath>
        <m:r>
          <w:rPr>
            <w:rFonts w:ascii="Cambria Math" w:eastAsiaTheme="minorEastAsia" w:hAnsi="Cambria Math" w:cs="Times New Roman"/>
          </w:rPr>
          <m:t>ρ</m:t>
        </m:r>
      </m:oMath>
      <w:r w:rsidRPr="008F5202">
        <w:rPr>
          <w:rFonts w:ascii="Times New Roman" w:eastAsiaTheme="minorEastAsia" w:hAnsi="Times New Roman" w:cs="Times New Roman"/>
        </w:rPr>
        <w:tab/>
        <w:t>density of the fluid</w:t>
      </w:r>
    </w:p>
    <w:p w14:paraId="16E94E00" w14:textId="77777777" w:rsidR="00C24EEE" w:rsidRPr="008F5202" w:rsidRDefault="00C24EEE" w:rsidP="00C24EEE">
      <w:pPr>
        <w:spacing w:line="360" w:lineRule="auto"/>
        <w:rPr>
          <w:rFonts w:ascii="Times New Roman" w:eastAsiaTheme="minorEastAsia" w:hAnsi="Times New Roman" w:cs="Times New Roman"/>
        </w:rPr>
      </w:pPr>
      <m:oMath>
        <m:r>
          <w:rPr>
            <w:rFonts w:ascii="Cambria Math" w:eastAsiaTheme="minorEastAsia" w:hAnsi="Cambria Math" w:cs="Times New Roman"/>
          </w:rPr>
          <m:t>μ</m:t>
        </m:r>
      </m:oMath>
      <w:r w:rsidRPr="008F5202">
        <w:rPr>
          <w:rFonts w:ascii="Times New Roman" w:eastAsiaTheme="minorEastAsia" w:hAnsi="Times New Roman" w:cs="Times New Roman"/>
        </w:rPr>
        <w:tab/>
        <w:t>dynamic viscosity</w:t>
      </w:r>
    </w:p>
    <w:p w14:paraId="0504821A" w14:textId="46A2942F" w:rsidR="008F5DF4" w:rsidRPr="008F5202" w:rsidRDefault="00C24EEE" w:rsidP="002870B9">
      <w:pPr>
        <w:spacing w:line="360" w:lineRule="auto"/>
        <w:rPr>
          <w:rFonts w:ascii="Times New Roman" w:eastAsiaTheme="minorEastAsia" w:hAnsi="Times New Roman" w:cs="Times New Roman"/>
        </w:rPr>
      </w:pPr>
      <m:oMath>
        <m:r>
          <w:rPr>
            <w:rFonts w:ascii="Cambria Math" w:eastAsiaTheme="minorEastAsia" w:hAnsi="Cambria Math" w:cs="Times New Roman"/>
          </w:rPr>
          <m:t>ε</m:t>
        </m:r>
      </m:oMath>
      <w:r w:rsidRPr="008F5202">
        <w:rPr>
          <w:rFonts w:ascii="Times New Roman" w:eastAsiaTheme="minorEastAsia" w:hAnsi="Times New Roman" w:cs="Times New Roman"/>
        </w:rPr>
        <w:tab/>
        <w:t>porosity</w:t>
      </w:r>
    </w:p>
    <w:p w14:paraId="527A5157" w14:textId="215B779F" w:rsidR="002B757E" w:rsidRPr="008F5202" w:rsidRDefault="002B757E" w:rsidP="00A752BA">
      <w:pPr>
        <w:pStyle w:val="Heading2"/>
        <w:rPr>
          <w:rFonts w:eastAsiaTheme="minorEastAsia"/>
        </w:rPr>
      </w:pPr>
      <w:bookmarkStart w:id="101" w:name="_Toc177758156"/>
      <w:r w:rsidRPr="008F5202">
        <w:rPr>
          <w:rFonts w:eastAsiaTheme="minorEastAsia"/>
        </w:rPr>
        <w:t>Introduction</w:t>
      </w:r>
      <w:bookmarkEnd w:id="101"/>
    </w:p>
    <w:p w14:paraId="5135889D" w14:textId="7C27078F" w:rsidR="009F163E" w:rsidRPr="008F5202" w:rsidRDefault="009F163E" w:rsidP="00A752BA">
      <w:pPr>
        <w:spacing w:line="360" w:lineRule="auto"/>
        <w:ind w:firstLine="284"/>
        <w:jc w:val="both"/>
        <w:rPr>
          <w:rFonts w:ascii="Times New Roman" w:eastAsiaTheme="minorEastAsia" w:hAnsi="Times New Roman" w:cs="Times New Roman"/>
        </w:rPr>
      </w:pPr>
      <w:r w:rsidRPr="008F5202">
        <w:rPr>
          <w:rFonts w:ascii="Times New Roman" w:hAnsi="Times New Roman" w:cs="Times New Roman"/>
        </w:rPr>
        <w:t xml:space="preserve">Advanced high-pressure stage gas-turbine blades are exposed to incoming hot gases with inlet temperatures as high as ~ 1700 </w:t>
      </w:r>
      <m:oMath>
        <m:r>
          <w:rPr>
            <w:rFonts w:ascii="Cambria Math" w:hAnsi="Cambria Math" w:cs="Times New Roman"/>
          </w:rPr>
          <m:t>ͦ</m:t>
        </m:r>
      </m:oMath>
      <w:r w:rsidRPr="008F5202">
        <w:rPr>
          <w:rFonts w:ascii="Times New Roman" w:eastAsiaTheme="minorEastAsia" w:hAnsi="Times New Roman" w:cs="Times New Roman"/>
        </w:rPr>
        <w:t xml:space="preserve">C. There has been continuous effort to develop complementary cooling techniques for efficient heat dissipation so that blade temperature can be maintained in safe operating range. </w:t>
      </w:r>
    </w:p>
    <w:p w14:paraId="20BA147F" w14:textId="3B5ABF9A" w:rsidR="009F163E" w:rsidRPr="008F5202" w:rsidRDefault="009F163E" w:rsidP="00A752BA">
      <w:pPr>
        <w:spacing w:line="360" w:lineRule="auto"/>
        <w:ind w:firstLine="284"/>
        <w:jc w:val="both"/>
        <w:rPr>
          <w:rFonts w:ascii="Times New Roman" w:eastAsiaTheme="minorEastAsia" w:hAnsi="Times New Roman" w:cs="Times New Roman"/>
        </w:rPr>
      </w:pPr>
      <w:r w:rsidRPr="008F5202">
        <w:rPr>
          <w:rFonts w:ascii="Times New Roman" w:eastAsiaTheme="minorEastAsia" w:hAnsi="Times New Roman" w:cs="Times New Roman"/>
        </w:rPr>
        <w:t xml:space="preserve">Considering complex contoured profile of a typical turbine blade as shown in </w:t>
      </w:r>
      <w:r w:rsidRPr="008F5202">
        <w:rPr>
          <w:rFonts w:ascii="Times New Roman" w:eastAsiaTheme="minorEastAsia" w:hAnsi="Times New Roman" w:cs="Times New Roman"/>
        </w:rPr>
        <w:fldChar w:fldCharType="begin"/>
      </w:r>
      <w:r w:rsidRPr="008F5202">
        <w:rPr>
          <w:rFonts w:ascii="Times New Roman" w:eastAsiaTheme="minorEastAsia" w:hAnsi="Times New Roman" w:cs="Times New Roman"/>
        </w:rPr>
        <w:instrText xml:space="preserve"> REF _Ref177736758 \h  \* MERGEFORMAT </w:instrText>
      </w:r>
      <w:r w:rsidRPr="008F5202">
        <w:rPr>
          <w:rFonts w:ascii="Times New Roman" w:eastAsiaTheme="minorEastAsia" w:hAnsi="Times New Roman" w:cs="Times New Roman"/>
        </w:rPr>
      </w:r>
      <w:r w:rsidRPr="008F5202">
        <w:rPr>
          <w:rFonts w:ascii="Times New Roman" w:eastAsiaTheme="minorEastAsia" w:hAnsi="Times New Roman" w:cs="Times New Roman"/>
        </w:rPr>
        <w:fldChar w:fldCharType="separate"/>
      </w:r>
      <w:r w:rsidR="00AF1AFB" w:rsidRPr="00AF1AFB">
        <w:rPr>
          <w:rFonts w:ascii="Times New Roman" w:eastAsiaTheme="minorEastAsia" w:hAnsi="Times New Roman" w:cs="Times New Roman"/>
        </w:rPr>
        <w:t>Figure 3.1</w:t>
      </w:r>
      <w:r w:rsidRPr="008F5202">
        <w:rPr>
          <w:rFonts w:ascii="Times New Roman" w:eastAsiaTheme="minorEastAsia" w:hAnsi="Times New Roman" w:cs="Times New Roman"/>
        </w:rPr>
        <w:fldChar w:fldCharType="end"/>
      </w:r>
      <w:r w:rsidRPr="008F5202">
        <w:rPr>
          <w:rFonts w:ascii="Times New Roman" w:eastAsiaTheme="minorEastAsia" w:hAnsi="Times New Roman" w:cs="Times New Roman"/>
        </w:rPr>
        <w:t xml:space="preserve">, various types of internal and external cooling techniques have been developed over the years, depending on the local heat-load levels, space constraints, and structural integrity requirements. Designing a cooling concept for trailing edge area is challenging because the blade thickness reduces significantly in this zone allowing the fabrication of only narrow internal channels for the coolant flow. Further, it is expected from trailing edge cooling design that the blade structural integrity is not compromised. The augmentation of heat transfer from the trailing edge surface is achieved by introducing turbulence-promoting features on the internal walls of the channels. Amongst several features, pin-fins have emerged as one of the most promising options for trailing edge because they provide high heat transfer enhancement levels. A comprehensive review on different heat transfer augmentation techniques was provided by Ligrani et al. </w:t>
      </w:r>
      <w:r w:rsidR="008E7EC0" w:rsidRPr="008F5202">
        <w:rPr>
          <w:rFonts w:ascii="Times New Roman" w:hAnsi="Times New Roman" w:cs="Times New Roman"/>
        </w:rPr>
        <w:t>[3</w:t>
      </w:r>
      <w:r w:rsidR="00FC5E9E" w:rsidRPr="008F5202">
        <w:rPr>
          <w:rFonts w:ascii="Times New Roman" w:hAnsi="Times New Roman" w:cs="Times New Roman"/>
        </w:rPr>
        <w:t>.</w:t>
      </w:r>
      <w:r w:rsidRPr="008F5202">
        <w:rPr>
          <w:rFonts w:ascii="Times New Roman" w:hAnsi="Times New Roman" w:cs="Times New Roman"/>
        </w:rPr>
        <w:t>2]</w:t>
      </w:r>
      <w:r w:rsidRPr="008F5202">
        <w:rPr>
          <w:rFonts w:ascii="Times New Roman" w:eastAsiaTheme="minorEastAsia" w:hAnsi="Times New Roman" w:cs="Times New Roman"/>
        </w:rPr>
        <w:t>.</w:t>
      </w:r>
    </w:p>
    <w:p w14:paraId="1DB10AC7" w14:textId="4A913909" w:rsidR="009F163E" w:rsidRPr="008F5202" w:rsidRDefault="009F163E" w:rsidP="00A752BA">
      <w:pPr>
        <w:spacing w:line="360" w:lineRule="auto"/>
        <w:ind w:firstLine="284"/>
        <w:jc w:val="both"/>
        <w:rPr>
          <w:rFonts w:ascii="Times New Roman" w:hAnsi="Times New Roman" w:cs="Times New Roman"/>
        </w:rPr>
      </w:pPr>
      <w:r w:rsidRPr="008F5202">
        <w:rPr>
          <w:rFonts w:ascii="Times New Roman" w:hAnsi="Times New Roman" w:cs="Times New Roman"/>
        </w:rPr>
        <w:t xml:space="preserve">Matrix cooling or latticework cooling is another method of augmenting heat transfer in the internal channels of the turbine blades. Relatively less attention has been given to this cooling technique as compared to pin-fin features for applications in the trailing edge cooling. Matrix cooling involves two sets of parallel ribs inclined to each other at an angle. This matrix divides the channel volume into subchannels which improves the heat transfer by enhancing the surface area, promoting crossflow interaction, changing the direction of the flow from the suction side to pressure side (vice versa), and flow impingement. Apart from providing high heat transfer augmentation, lattices lend the much-needed mechanical support to the blade structure which further establishes their suitability as cooling concepts </w:t>
      </w:r>
      <w:r w:rsidRPr="008F5202">
        <w:rPr>
          <w:rFonts w:ascii="Times New Roman" w:hAnsi="Times New Roman" w:cs="Times New Roman"/>
        </w:rPr>
        <w:lastRenderedPageBreak/>
        <w:t xml:space="preserve">in the trailing edge section. Bunker </w:t>
      </w:r>
      <w:r w:rsidR="008E7EC0" w:rsidRPr="008F5202">
        <w:rPr>
          <w:rFonts w:ascii="Times New Roman" w:hAnsi="Times New Roman" w:cs="Times New Roman"/>
        </w:rPr>
        <w:t>[3</w:t>
      </w:r>
      <w:r w:rsidR="00FC5E9E" w:rsidRPr="008F5202">
        <w:rPr>
          <w:rFonts w:ascii="Times New Roman" w:hAnsi="Times New Roman" w:cs="Times New Roman"/>
        </w:rPr>
        <w:t>.</w:t>
      </w:r>
      <w:r w:rsidRPr="008F5202">
        <w:rPr>
          <w:rFonts w:ascii="Times New Roman" w:hAnsi="Times New Roman" w:cs="Times New Roman"/>
        </w:rPr>
        <w:t xml:space="preserve">3] highlighted the advantages of latticework cooling which included overall heat transfer coefficient levels comparable to the well-known turbulated serpentine channel, superior blade-strength, and robust structure realizable through investment casting manufacturing technique. Saha et al. </w:t>
      </w:r>
      <w:r w:rsidR="008E7EC0" w:rsidRPr="008F5202">
        <w:rPr>
          <w:rFonts w:ascii="Times New Roman" w:hAnsi="Times New Roman" w:cs="Times New Roman"/>
        </w:rPr>
        <w:t>[3</w:t>
      </w:r>
      <w:r w:rsidR="00FC5E9E" w:rsidRPr="008F5202">
        <w:rPr>
          <w:rFonts w:ascii="Times New Roman" w:hAnsi="Times New Roman" w:cs="Times New Roman"/>
        </w:rPr>
        <w:t>.</w:t>
      </w:r>
      <w:r w:rsidRPr="008F5202">
        <w:rPr>
          <w:rFonts w:ascii="Times New Roman" w:hAnsi="Times New Roman" w:cs="Times New Roman"/>
        </w:rPr>
        <w:t xml:space="preserve">4] experimentally investigated the heat transfer and pressure drop characteristics of lattice structures employed in the converging channel of the trailing edge where the working fluid entered into lattices following a </w:t>
      </w:r>
      <m:oMath>
        <m:sSup>
          <m:sSupPr>
            <m:ctrlPr>
              <w:rPr>
                <w:rFonts w:ascii="Cambria Math" w:hAnsi="Cambria Math" w:cs="Times New Roman"/>
                <w:i/>
              </w:rPr>
            </m:ctrlPr>
          </m:sSupPr>
          <m:e>
            <m:r>
              <w:rPr>
                <w:rFonts w:ascii="Cambria Math" w:hAnsi="Cambria Math" w:cs="Times New Roman"/>
              </w:rPr>
              <m:t>90</m:t>
            </m:r>
          </m:e>
          <m:sup>
            <m:r>
              <w:rPr>
                <w:rFonts w:ascii="Cambria Math" w:hAnsi="Cambria Math" w:cs="Times New Roman"/>
              </w:rPr>
              <m:t>∘</m:t>
            </m:r>
          </m:sup>
        </m:sSup>
      </m:oMath>
      <w:r w:rsidRPr="008F5202">
        <w:rPr>
          <w:rFonts w:ascii="Times New Roman" w:hAnsi="Times New Roman" w:cs="Times New Roman"/>
        </w:rPr>
        <w:t xml:space="preserve"> turn. Liquid crystal thermography was used to determine local heat transfer coefficient distribution. The two-inlet lattice channel provided higher overall thermal-hydraulic performance than the pin-fin configuration for the investigated range of Reynolds number. The heat transfer augmentation provided by the two-inlet lattice was 2.1 to 3.4 times of the smooth channel. Acharya et al. </w:t>
      </w:r>
      <w:r w:rsidR="008E7EC0" w:rsidRPr="008F5202">
        <w:rPr>
          <w:rFonts w:ascii="Times New Roman" w:hAnsi="Times New Roman" w:cs="Times New Roman"/>
        </w:rPr>
        <w:t>[3</w:t>
      </w:r>
      <w:r w:rsidR="00FC5E9E" w:rsidRPr="008F5202">
        <w:rPr>
          <w:rFonts w:ascii="Times New Roman" w:hAnsi="Times New Roman" w:cs="Times New Roman"/>
        </w:rPr>
        <w:t>.</w:t>
      </w:r>
      <w:r w:rsidRPr="008F5202">
        <w:rPr>
          <w:rFonts w:ascii="Times New Roman" w:hAnsi="Times New Roman" w:cs="Times New Roman"/>
        </w:rPr>
        <w:t xml:space="preserve">5] studied the effect of channel rotation on the heat transfer of channels featuring lattice for a wide range of Reynolds number and rotation number. The authors observed uniform heat transfer distribution for Reynolds number greater than 20,000. Rotation number and density ratio had negligible effect on heat transfer for Reynolds number greater than 20,000. Oh et al. </w:t>
      </w:r>
      <w:r w:rsidR="008E7EC0" w:rsidRPr="008F5202">
        <w:rPr>
          <w:rFonts w:ascii="Times New Roman" w:hAnsi="Times New Roman" w:cs="Times New Roman"/>
        </w:rPr>
        <w:t>[3</w:t>
      </w:r>
      <w:r w:rsidR="00FC5E9E" w:rsidRPr="008F5202">
        <w:rPr>
          <w:rFonts w:ascii="Times New Roman" w:hAnsi="Times New Roman" w:cs="Times New Roman"/>
        </w:rPr>
        <w:t>.</w:t>
      </w:r>
      <w:r w:rsidRPr="008F5202">
        <w:rPr>
          <w:rFonts w:ascii="Times New Roman" w:hAnsi="Times New Roman" w:cs="Times New Roman"/>
        </w:rPr>
        <w:t xml:space="preserve">6] also determined the heat transfer and friction loss characteristics of rotating matrix cooling channel using naphthalene sublimation technique. For rotating configurations, the Sherwood number ratio increased with increasing rotation number on the leading surface but the effect on the trailing surface was insignificant. Tsuru et al. </w:t>
      </w:r>
      <w:r w:rsidR="008E7EC0" w:rsidRPr="008F5202">
        <w:rPr>
          <w:rFonts w:ascii="Times New Roman" w:hAnsi="Times New Roman" w:cs="Times New Roman"/>
        </w:rPr>
        <w:t>[3</w:t>
      </w:r>
      <w:r w:rsidR="00FC5E9E" w:rsidRPr="008F5202">
        <w:rPr>
          <w:rFonts w:ascii="Times New Roman" w:hAnsi="Times New Roman" w:cs="Times New Roman"/>
        </w:rPr>
        <w:t>.</w:t>
      </w:r>
      <w:r w:rsidRPr="008F5202">
        <w:rPr>
          <w:rFonts w:ascii="Times New Roman" w:hAnsi="Times New Roman" w:cs="Times New Roman"/>
        </w:rPr>
        <w:t xml:space="preserve">7] used Magnetic Resonance Imaging (MRI) technique to visualize the flow field in a lattice channel with copper sulfate aqueous solution as the working fluid. The investigation revealed the formation of longitudinal vortex features in each subchannel, the spread of which was reported to be influenced by the rib inclination angle. Bu et al. </w:t>
      </w:r>
      <w:r w:rsidR="008E7EC0" w:rsidRPr="008F5202">
        <w:rPr>
          <w:rFonts w:ascii="Times New Roman" w:hAnsi="Times New Roman" w:cs="Times New Roman"/>
        </w:rPr>
        <w:t>[3</w:t>
      </w:r>
      <w:r w:rsidR="00FC5E9E" w:rsidRPr="008F5202">
        <w:rPr>
          <w:rFonts w:ascii="Times New Roman" w:hAnsi="Times New Roman" w:cs="Times New Roman"/>
        </w:rPr>
        <w:t>.</w:t>
      </w:r>
      <w:r w:rsidRPr="008F5202">
        <w:rPr>
          <w:rFonts w:ascii="Times New Roman" w:hAnsi="Times New Roman" w:cs="Times New Roman"/>
        </w:rPr>
        <w:t xml:space="preserve">8]  found the streamwise vortex features in subchannels because of sidewall turnings which caused high heat transfer values at the entrance of every subchannel. Du et al. </w:t>
      </w:r>
      <w:r w:rsidR="008E7EC0" w:rsidRPr="008F5202">
        <w:rPr>
          <w:rFonts w:ascii="Times New Roman" w:hAnsi="Times New Roman" w:cs="Times New Roman"/>
        </w:rPr>
        <w:t>[3</w:t>
      </w:r>
      <w:r w:rsidR="00FC5E9E" w:rsidRPr="008F5202">
        <w:rPr>
          <w:rFonts w:ascii="Times New Roman" w:hAnsi="Times New Roman" w:cs="Times New Roman"/>
        </w:rPr>
        <w:t>.</w:t>
      </w:r>
      <w:r w:rsidRPr="008F5202">
        <w:rPr>
          <w:rFonts w:ascii="Times New Roman" w:hAnsi="Times New Roman" w:cs="Times New Roman"/>
        </w:rPr>
        <w:t xml:space="preserve">9] analyzed the effect of clearance between the two sets of inclined rib and rotation number on the heat transfer and flow structures in a latticework channel. Various flow configurations can be identified for latticework cooling depending on how the fluid enters the matrix. Luo et al. </w:t>
      </w:r>
      <w:r w:rsidR="008E7EC0" w:rsidRPr="008F5202">
        <w:rPr>
          <w:rFonts w:ascii="Times New Roman" w:hAnsi="Times New Roman" w:cs="Times New Roman"/>
        </w:rPr>
        <w:t>[3</w:t>
      </w:r>
      <w:r w:rsidR="00FC5E9E" w:rsidRPr="008F5202">
        <w:rPr>
          <w:rFonts w:ascii="Times New Roman" w:hAnsi="Times New Roman" w:cs="Times New Roman"/>
        </w:rPr>
        <w:t>.</w:t>
      </w:r>
      <w:r w:rsidRPr="008F5202">
        <w:rPr>
          <w:rFonts w:ascii="Times New Roman" w:hAnsi="Times New Roman" w:cs="Times New Roman"/>
        </w:rPr>
        <w:t xml:space="preserve">10] numerically investigated three such configurations, viz. (a) radial flow configuration, (b) cross-flow configuration, and (c) turning flow configuration. Non-uniform flow distribution in turning flow </w:t>
      </w:r>
      <w:r w:rsidRPr="008F5202">
        <w:rPr>
          <w:rFonts w:ascii="Times New Roman" w:hAnsi="Times New Roman" w:cs="Times New Roman"/>
        </w:rPr>
        <w:lastRenderedPageBreak/>
        <w:t xml:space="preserve">configuration provided less uniform heat transfer in comparison to the other two configurations. For the same mass flow rate, radial flow configuration provided the highest heat transfer and flow losses. Carcasci et al. </w:t>
      </w:r>
      <w:r w:rsidR="008E7EC0" w:rsidRPr="008F5202">
        <w:rPr>
          <w:rFonts w:ascii="Times New Roman" w:hAnsi="Times New Roman" w:cs="Times New Roman"/>
        </w:rPr>
        <w:t>[3</w:t>
      </w:r>
      <w:r w:rsidR="00FC5E9E" w:rsidRPr="008F5202">
        <w:rPr>
          <w:rFonts w:ascii="Times New Roman" w:hAnsi="Times New Roman" w:cs="Times New Roman"/>
        </w:rPr>
        <w:t>.</w:t>
      </w:r>
      <w:r w:rsidRPr="008F5202">
        <w:rPr>
          <w:rFonts w:ascii="Times New Roman" w:hAnsi="Times New Roman" w:cs="Times New Roman"/>
        </w:rPr>
        <w:t xml:space="preserve">11] investigated the effect of rib-height, rib-thickness, and number of subchannels on the overall thermal hydraulic performance of latticework channel for cooling applications in the mid-chord and trailing edge sections of the turbine blade. </w:t>
      </w:r>
    </w:p>
    <w:p w14:paraId="2BF74870" w14:textId="548D2FDA" w:rsidR="009F163E" w:rsidRPr="008F5202" w:rsidRDefault="009F163E" w:rsidP="00A752BA">
      <w:pPr>
        <w:spacing w:line="360" w:lineRule="auto"/>
        <w:ind w:firstLine="284"/>
        <w:jc w:val="both"/>
        <w:rPr>
          <w:rFonts w:ascii="Times New Roman" w:hAnsi="Times New Roman" w:cs="Times New Roman"/>
        </w:rPr>
      </w:pPr>
      <w:bookmarkStart w:id="102" w:name="_Hlk97281451"/>
      <w:r w:rsidRPr="008F5202">
        <w:rPr>
          <w:rFonts w:ascii="Times New Roman" w:hAnsi="Times New Roman" w:cs="Times New Roman"/>
        </w:rPr>
        <w:t xml:space="preserve">Above studies demonstrate the potential of lattice structures as effective cooling concepts in the turbine blades. The studies mentioned above focused on the traditional inclined subchannels as latticework in the cooling channels. Lattice frames composed of relatively complex unit-cell topologies have been rarely investigated in the past for turbine applications. One such study was by Shen et al.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12] who numerically analyzed the thermal performance of wedge-shaped cooling channel consisting of different numbers of rows of Kagome-shaped unit cells as turbulence promoters. The performance of the Kagome-shaped lattice in trailing edge channel was then compared with the pin-fin configuration. Nusselt number of the three-array Kagome configuration was higher than two and three arrays of pin-fins. This study suggests that incorporating lattices composed of periodically organized unit cells made from well-defined unique arrangement of fibers can be very effective in augmenting heat transfer in trailing edge section. The rib latticework and Kagome-shaped cells can be traditionally cast-integrated into the channels of the turbine blade while manufacturing. However, the traditional technologies impede the realization of architecturally more complex unit-cells. Additive manufacturing technology has emerged as an alternative route to manufacture such lattices with advanced unit-cell topologies. Many recent studies have focused on analyzing the hydraulic and thermal performance of additively manufactured lattices and some prominent studies of the additively manufactured lattice coupons are discussed below. However, it should be noted that not all of these studies necessarily catered to the turbine applications. </w:t>
      </w:r>
    </w:p>
    <w:bookmarkEnd w:id="102"/>
    <w:p w14:paraId="48A2C9DA" w14:textId="2566EB17" w:rsidR="009F163E" w:rsidRPr="008F5202" w:rsidRDefault="009F163E" w:rsidP="00A752BA">
      <w:pPr>
        <w:spacing w:line="360" w:lineRule="auto"/>
        <w:ind w:firstLine="284"/>
        <w:jc w:val="both"/>
        <w:rPr>
          <w:rFonts w:ascii="Times New Roman" w:hAnsi="Times New Roman" w:cs="Times New Roman"/>
        </w:rPr>
      </w:pPr>
      <w:r w:rsidRPr="008F5202">
        <w:rPr>
          <w:rFonts w:ascii="Times New Roman" w:hAnsi="Times New Roman" w:cs="Times New Roman"/>
        </w:rPr>
        <w:t xml:space="preserve">Parbat et al.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13] performed steady-state heat transfer experiments on coupons composed of Kagome-shaped unit cells additively manufactured in Inconel 718 material for turbine blade cooling. In this single-cell thick sandwich configuration, heat transfer augmentation of ~ 4 to 5 times was observed with the corresponding increment of ~ 30 to </w:t>
      </w:r>
      <w:r w:rsidRPr="008F5202">
        <w:rPr>
          <w:rFonts w:ascii="Times New Roman" w:hAnsi="Times New Roman" w:cs="Times New Roman"/>
        </w:rPr>
        <w:lastRenderedPageBreak/>
        <w:t xml:space="preserve">50 times friction factor as compared to the smooth channel. Although the reported roughness of the samples were ~ 28.45 µm, the enhancement of the samples was compared to the smooth channel data predicted by Gnielinski correlation, thus the overall reported enhancement accounted for the manufactured rough endwalls as well. Chaudhari et al.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14] investigated Octet lattice having three different porosities ranging between ~0.70 and 0.91 printed in aluminum alloy. Corresponding effective stagnant thermal conductivity (</w:t>
      </w:r>
      <w:r w:rsidRPr="008F5202">
        <w:rPr>
          <w:rFonts w:ascii="Times New Roman" w:hAnsi="Times New Roman" w:cs="Times New Roman"/>
          <w:i/>
          <w:iCs/>
        </w:rPr>
        <w:t>k</w:t>
      </w:r>
      <w:r w:rsidRPr="008F5202">
        <w:rPr>
          <w:rFonts w:ascii="Times New Roman" w:hAnsi="Times New Roman" w:cs="Times New Roman"/>
          <w:vertAlign w:val="subscript"/>
        </w:rPr>
        <w:t>eff</w:t>
      </w:r>
      <w:r w:rsidRPr="008F5202">
        <w:rPr>
          <w:rFonts w:ascii="Times New Roman" w:hAnsi="Times New Roman" w:cs="Times New Roman"/>
        </w:rPr>
        <w:t xml:space="preserve">), inertial coefficient, friction factor, and Nusselt number were reported by the authors. The endwall effects in sandwich configuration having Face-centered cubic (FCC) lattice with three different types of fiber designs printed in epoxy resin were visualized using transient liquid crystal (TLC) technique by Liang et al.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15]. Elliptical fibers yielded higher Nusselt number as well as friction factor in comparison to rectangular and circular fibers. </w:t>
      </w:r>
    </w:p>
    <w:p w14:paraId="28268FE1" w14:textId="184FBE92" w:rsidR="009F163E" w:rsidRPr="008F5202" w:rsidRDefault="009F163E" w:rsidP="00A752BA">
      <w:pPr>
        <w:spacing w:line="360" w:lineRule="auto"/>
        <w:ind w:firstLine="284"/>
        <w:jc w:val="both"/>
        <w:rPr>
          <w:rFonts w:ascii="Times New Roman" w:hAnsi="Times New Roman" w:cs="Times New Roman"/>
        </w:rPr>
      </w:pPr>
      <w:r w:rsidRPr="008F5202">
        <w:rPr>
          <w:rFonts w:ascii="Times New Roman" w:hAnsi="Times New Roman" w:cs="Times New Roman"/>
        </w:rPr>
        <w:t xml:space="preserve">Many studies have investigated samples which have unit-cells periodically arranged in the three-dimensions as opposed to single cell thick configurations. Broughton and Joshi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16] compared the pressure gradient and Nusselt number obtained from additively manufactured Rhombic-dodecahedron lattice with that of the stochastic metal foams having similar porosity, fiber-diameter, and cell-size. The Rhombic-dodecahedron lattice printed in aluminum alloy demonstrated 60% and 66% higher heat transfer coefficient and pressure drop, respectively, as compared to metal foams. Ho et al.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17] employed the Rhombi-octet lattice in a commercial scale heat exchanger to enhance the air-side heat transfer. Additively manufactured lattice heat exchangers yielded in better thermal performance as compared to commercial fin-and-tube heat exchanger. Octet lattice printed in aluminum alloy was subjected to pool boiling conditions by Wong and Leong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18], who observed heat transfer coefficient enhancement of about ~ 2.81 times of the plain surface. </w:t>
      </w:r>
    </w:p>
    <w:p w14:paraId="6A6A82DA" w14:textId="6B4F8411" w:rsidR="009F163E" w:rsidRPr="008F5202" w:rsidRDefault="009F163E" w:rsidP="00A752BA">
      <w:pPr>
        <w:spacing w:line="360" w:lineRule="auto"/>
        <w:ind w:firstLine="284"/>
        <w:jc w:val="both"/>
        <w:rPr>
          <w:rFonts w:ascii="Times New Roman" w:hAnsi="Times New Roman" w:cs="Times New Roman"/>
          <w:i/>
          <w:iCs/>
          <w:color w:val="0432FF"/>
        </w:rPr>
      </w:pPr>
      <w:r w:rsidRPr="008F5202">
        <w:rPr>
          <w:rFonts w:ascii="Times New Roman" w:hAnsi="Times New Roman" w:cs="Times New Roman"/>
          <w:lang w:val="fr-FR"/>
        </w:rPr>
        <w:t xml:space="preserve">Montazerian et al. </w:t>
      </w:r>
      <w:r w:rsidR="008E7EC0" w:rsidRPr="008F5202">
        <w:rPr>
          <w:rFonts w:ascii="Times New Roman" w:hAnsi="Times New Roman" w:cs="Times New Roman"/>
          <w:lang w:val="fr-FR"/>
        </w:rPr>
        <w:t>[3</w:t>
      </w:r>
      <w:r w:rsidR="00C975B5" w:rsidRPr="008F5202">
        <w:rPr>
          <w:rFonts w:ascii="Times New Roman" w:hAnsi="Times New Roman" w:cs="Times New Roman"/>
          <w:lang w:val="fr-FR"/>
        </w:rPr>
        <w:t>.</w:t>
      </w:r>
      <w:r w:rsidRPr="008F5202">
        <w:rPr>
          <w:rFonts w:ascii="Times New Roman" w:hAnsi="Times New Roman" w:cs="Times New Roman"/>
          <w:lang w:val="fr-FR"/>
        </w:rPr>
        <w:t xml:space="preserve">19], Du et al.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20], Timercan et al.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21], and Ali and Sen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22] numerically and experimentally investigated the mechanical and permeability characteristics of different lattices such as Cube, Rhombic-dodecahedron, Diamond, Octet, and Tetrakaidecahedron (TKD). Numerical analysis of heat transfer in different lattice topologies that could be printed by additive manufacturing has been conducted by several </w:t>
      </w:r>
      <w:r w:rsidRPr="008F5202">
        <w:rPr>
          <w:rFonts w:ascii="Times New Roman" w:hAnsi="Times New Roman" w:cs="Times New Roman"/>
        </w:rPr>
        <w:lastRenderedPageBreak/>
        <w:t>authors</w:t>
      </w:r>
      <w:bookmarkStart w:id="103" w:name="_Hlk97285042"/>
      <w:r w:rsidRPr="008F5202">
        <w:rPr>
          <w:rFonts w:ascii="Times New Roman" w:hAnsi="Times New Roman" w:cs="Times New Roman"/>
        </w:rPr>
        <w:t xml:space="preserve">. Kaur and Singh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23] investigated the heat transfer coefficient and pressure drop characteristics of Octet, Face diagonal-cube (FD-cube), TKD and Cubic lattices to establish that the interfacial heat transfer coefficient of Octet was the highest amongst all the topologies. </w:t>
      </w:r>
      <w:bookmarkEnd w:id="103"/>
      <w:r w:rsidRPr="008F5202">
        <w:rPr>
          <w:rFonts w:ascii="Times New Roman" w:hAnsi="Times New Roman" w:cs="Times New Roman"/>
        </w:rPr>
        <w:t xml:space="preserve">TKD is recognized as one of the topologies that bears strong resemblance to the real structure of stochastic metal foams and regular arrangement of TKD unit cells has been studied in the past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24]. Kaur and Singh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25] reported the conjugate thermal performance of Octet lattice in single-cell thick configuration with water as the working fluid for electronics cooling applications. Further, the endwall heat transfer of Octet, Octa and V-Octet lattices in a unit aspect ratio channel was reported by the group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26] using transient liquid crystal (TLC) technique and numerical simulations were performed to analyze the heat transfer mechanism for fully turbulent flows. The above studies established that near-wall flow physics significantly influence the endwall characteristics besides the conjugate thermal exchange happening at the strut-fluid interface in the regions away from the endwalls. Singh and group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27] performed experimental investigation on thick blocks of three-dimensionally reticulated Octet, FD-cube, TKD, and Cube lattices, where the streamwise development of endwall heat transfer coefficient was reported. The thermal performance of Octet, FD-cube, and TKD in the periodic heat transfer zone was similar. It was shown that with the choice of pore-scale dimensions such as pore-diameters and fiber-diameters as characteristic length-scales, the Nusselt number of all the topologies could collapse to a single trendline. To the best of author’s knowledge, this was the first work to address the periodic heat transfer aspect in additively manufactured blocks of the investigated topologies. Recently, Kaur and Singh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28] conducted numerical investigation on three-dimensionally periodic unit cells of Octet, TKD, and Rhombic-dodecahedron in laminar regime with air as the working fluid. Higher heat transfer coefficient was generally encountered on the upstream faces of the fibers prone to the impingement of the incoming flow. Highest mean interfacial heat transfer coefficient was obtained for Rhombic-dodecahedron, followed by Octet and TKD. The pore diameter as characteristic length scale provided singe trendlines for interfacial Nusselt number for all the topologies.</w:t>
      </w:r>
    </w:p>
    <w:p w14:paraId="132AD66A" w14:textId="1933B614" w:rsidR="009F163E" w:rsidRPr="008F5202" w:rsidRDefault="009F163E" w:rsidP="00A752BA">
      <w:pPr>
        <w:spacing w:line="360" w:lineRule="auto"/>
        <w:ind w:firstLine="284"/>
        <w:jc w:val="both"/>
        <w:rPr>
          <w:rFonts w:ascii="Times New Roman" w:hAnsi="Times New Roman" w:cs="Times New Roman"/>
        </w:rPr>
      </w:pPr>
      <w:r w:rsidRPr="008F5202">
        <w:rPr>
          <w:rFonts w:ascii="Times New Roman" w:hAnsi="Times New Roman" w:cs="Times New Roman"/>
        </w:rPr>
        <w:lastRenderedPageBreak/>
        <w:t xml:space="preserve">In a recent comprehensive review on the state-of-the-art in additively manufactured heat exchange applications, Kaur and Singh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29] highlighted the role of additive manufacturing in the field of turbomachinery. Additively manufactured internal cooling channels, film cooling holes, and transpiration cooling configurations have been explored by the authors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30–</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32]. Kirsch and Thole </w:t>
      </w:r>
      <w:r w:rsidR="008E7EC0" w:rsidRPr="008F5202">
        <w:rPr>
          <w:rFonts w:ascii="Times New Roman" w:hAnsi="Times New Roman" w:cs="Times New Roman"/>
        </w:rPr>
        <w:t>[3</w:t>
      </w:r>
      <w:r w:rsidR="00C975B5" w:rsidRPr="008F5202">
        <w:rPr>
          <w:rFonts w:ascii="Times New Roman" w:hAnsi="Times New Roman" w:cs="Times New Roman"/>
        </w:rPr>
        <w:t>.</w:t>
      </w:r>
      <w:r w:rsidRPr="008F5202">
        <w:rPr>
          <w:rFonts w:ascii="Times New Roman" w:hAnsi="Times New Roman" w:cs="Times New Roman"/>
        </w:rPr>
        <w:t xml:space="preserve">33] recently investigated additively manufactured pin-fin array and pointed out the importance of inherent surface roughness considerations in characterizing the performance of additively manufactured samples. Despite many existing studies on additively manufactured lattices, the thermal-hydraulic performance of the lattices has been reported to a lesser degree. Moreover, the roughness in lattices printed via additive manufacturing is also an important consideration in heat transfer analysis which makes the experimental investigation on them very crucial. The experimental data reveals the actual thermal-hydraulic characteristics of lattices which can have deviations from predictions on smooth CAD models. </w:t>
      </w:r>
    </w:p>
    <w:p w14:paraId="6D706597" w14:textId="77777777" w:rsidR="009F163E" w:rsidRPr="008F5202" w:rsidRDefault="009F163E" w:rsidP="00A752BA">
      <w:pPr>
        <w:spacing w:line="360" w:lineRule="auto"/>
        <w:ind w:firstLine="284"/>
        <w:jc w:val="both"/>
        <w:rPr>
          <w:rFonts w:ascii="Times New Roman" w:hAnsi="Times New Roman" w:cs="Times New Roman"/>
        </w:rPr>
      </w:pPr>
      <w:r w:rsidRPr="008F5202">
        <w:rPr>
          <w:rFonts w:ascii="Times New Roman" w:hAnsi="Times New Roman" w:cs="Times New Roman"/>
        </w:rPr>
        <w:t xml:space="preserve">This study investigates the thermal and hydraulic performance of four different regular lattices, namely, Octet, TKD, FD-cube, and Cube, printed in 420 Stainless Steel (infiltrated with Bronze) through Binder Jetting process. The single-cell thick lattice configuration appropriate for trailing edge cooling channel with the dimensions of 50 mm x 50 mm x 10 mm (L x W x H) were manufactured with channel aspect ratio (width-to-height) of 5:1. The lattice structure was manufactured as an integrated structure with two substrate endwalls on which constant heat flux boundary condition was imposed to obtain the thermal performance of the lattices. Two types of heating configurations were explored in the current investigation, i.e., (a) both endwalls heated, and (b) single endwall heated. The primary focus of the current investigation is to establish the suitability of lattices for turbine blade cooling applications; however, the results can be extended to electronics package cooling applications as well where single wall heating-type conditions are commonly encountered. Stainless Steel was chosen as a precursor to a follow-up study on Inconel 718 to rank the topologies based on their thermal hydraulic performance and using the findings of this paper to make design decisions, on whether or not, Laser Powder Bed Fusion based printing in Inconel 718 is required to further explore above topologies or conventional fabrication methods would suffice. The motivation behind this study is to also evaluate the </w:t>
      </w:r>
      <w:r w:rsidRPr="008F5202">
        <w:rPr>
          <w:rFonts w:ascii="Times New Roman" w:hAnsi="Times New Roman" w:cs="Times New Roman"/>
        </w:rPr>
        <w:lastRenderedPageBreak/>
        <w:t xml:space="preserve">performance-to-cost metric of proposed cooling designs, where additive manufacturing in its current state, is definitely more expensive and less scalable. Following sections provide details on the experimental setup, unit cell topology description, heat transfer coefficient calculation methodology, followed by results and some conclusions. </w:t>
      </w:r>
    </w:p>
    <w:p w14:paraId="19F54ED2" w14:textId="77777777" w:rsidR="009F163E" w:rsidRPr="008F5202" w:rsidRDefault="009F163E" w:rsidP="00A752BA">
      <w:pPr>
        <w:spacing w:line="360" w:lineRule="auto"/>
        <w:rPr>
          <w:rFonts w:ascii="Times New Roman" w:eastAsiaTheme="minorEastAsia" w:hAnsi="Times New Roman" w:cs="Times New Roman"/>
        </w:rPr>
      </w:pPr>
    </w:p>
    <w:p w14:paraId="1F3C8E2F" w14:textId="77777777" w:rsidR="007377CB" w:rsidRPr="008F5202" w:rsidRDefault="0023726B" w:rsidP="00A752BA">
      <w:pPr>
        <w:keepNext/>
        <w:spacing w:line="360" w:lineRule="auto"/>
        <w:rPr>
          <w:rFonts w:ascii="Times New Roman" w:hAnsi="Times New Roman" w:cs="Times New Roman"/>
        </w:rPr>
      </w:pPr>
      <w:r w:rsidRPr="008F5202">
        <w:rPr>
          <w:rFonts w:ascii="Times New Roman" w:hAnsi="Times New Roman" w:cs="Times New Roman"/>
          <w:noProof/>
          <w:sz w:val="18"/>
          <w:szCs w:val="18"/>
        </w:rPr>
        <w:drawing>
          <wp:inline distT="0" distB="0" distL="0" distR="0" wp14:anchorId="6543FE43" wp14:editId="7C7E31E5">
            <wp:extent cx="3594259" cy="25241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8" cstate="print">
                      <a:extLst>
                        <a:ext uri="{28A0092B-C50C-407E-A947-70E740481C1C}">
                          <a14:useLocalDpi xmlns:a14="http://schemas.microsoft.com/office/drawing/2010/main" val="0"/>
                        </a:ext>
                      </a:extLst>
                    </a:blip>
                    <a:srcRect l="24431" t="15659" r="23546" b="19392"/>
                    <a:stretch/>
                  </pic:blipFill>
                  <pic:spPr bwMode="auto">
                    <a:xfrm>
                      <a:off x="0" y="0"/>
                      <a:ext cx="3623992" cy="2545006"/>
                    </a:xfrm>
                    <a:prstGeom prst="rect">
                      <a:avLst/>
                    </a:prstGeom>
                    <a:ln>
                      <a:noFill/>
                    </a:ln>
                    <a:extLst>
                      <a:ext uri="{53640926-AAD7-44D8-BBD7-CCE9431645EC}">
                        <a14:shadowObscured xmlns:a14="http://schemas.microsoft.com/office/drawing/2010/main"/>
                      </a:ext>
                    </a:extLst>
                  </pic:spPr>
                </pic:pic>
              </a:graphicData>
            </a:graphic>
          </wp:inline>
        </w:drawing>
      </w:r>
    </w:p>
    <w:p w14:paraId="4C79F536" w14:textId="7B679789" w:rsidR="002870B9" w:rsidRPr="008F5202" w:rsidRDefault="007377CB" w:rsidP="008F5202">
      <w:pPr>
        <w:pStyle w:val="Caption"/>
      </w:pPr>
      <w:bookmarkStart w:id="104" w:name="_Ref177736758"/>
      <w:bookmarkStart w:id="105" w:name="_Toc177755200"/>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w:t>
      </w:r>
      <w:r w:rsidR="003763D2" w:rsidRPr="008F5202">
        <w:fldChar w:fldCharType="end"/>
      </w:r>
      <w:bookmarkEnd w:id="104"/>
      <w:r w:rsidR="00896600" w:rsidRPr="008F5202">
        <w:t xml:space="preserve"> Schematic of the turbine blade </w:t>
      </w:r>
      <w:r w:rsidR="008E7EC0" w:rsidRPr="008F5202">
        <w:t>[3</w:t>
      </w:r>
      <w:r w:rsidR="00896600" w:rsidRPr="008F5202">
        <w:t>.1]; also shown is the lattice structure design for the trailing edge cooling section</w:t>
      </w:r>
      <w:bookmarkEnd w:id="105"/>
    </w:p>
    <w:p w14:paraId="53C22DC1" w14:textId="718E3F73" w:rsidR="00836B4D" w:rsidRPr="008F5202" w:rsidRDefault="00836B4D" w:rsidP="00A752BA">
      <w:pPr>
        <w:pStyle w:val="Heading2"/>
        <w:rPr>
          <w:rFonts w:eastAsia="Aptos"/>
        </w:rPr>
      </w:pPr>
      <w:bookmarkStart w:id="106" w:name="_Toc177758157"/>
      <w:r w:rsidRPr="008F5202">
        <w:rPr>
          <w:rFonts w:eastAsia="Aptos"/>
        </w:rPr>
        <w:t>Description of the test samples</w:t>
      </w:r>
      <w:bookmarkEnd w:id="106"/>
    </w:p>
    <w:p w14:paraId="5B6228C4" w14:textId="1A53942C" w:rsidR="00836B4D" w:rsidRPr="008F5202" w:rsidRDefault="00836B4D" w:rsidP="009F2E22">
      <w:pPr>
        <w:spacing w:after="160" w:line="360" w:lineRule="auto"/>
        <w:ind w:firstLine="284"/>
        <w:jc w:val="both"/>
        <w:rPr>
          <w:rFonts w:ascii="Times New Roman" w:hAnsi="Times New Roman" w:cs="Times New Roman"/>
          <w:kern w:val="2"/>
          <w14:ligatures w14:val="standardContextual"/>
        </w:rPr>
      </w:pPr>
      <w:r w:rsidRPr="008F5202">
        <w:rPr>
          <w:rFonts w:ascii="Times New Roman" w:eastAsia="Aptos" w:hAnsi="Times New Roman" w:cs="Times New Roman"/>
          <w:kern w:val="2"/>
          <w14:ligatures w14:val="standardContextual"/>
        </w:rPr>
        <w:t xml:space="preserve">Figure </w:t>
      </w:r>
      <w:r w:rsidR="00C544AE"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 xml:space="preserve">2 shows the investigated test samples printed in 420 Stainless Steel (infiltrated with Bronze) through Binder Jetting process. The material matrix was composed of 60% Stainless Steel and 40% Bronze. The surface finishing of the test samples was achieved through bead-blasting process. </w:t>
      </w:r>
      <w:bookmarkStart w:id="107" w:name="_Hlk97287066"/>
      <w:r w:rsidRPr="008F5202">
        <w:rPr>
          <w:rFonts w:ascii="Times New Roman" w:hAnsi="Times New Roman" w:cs="Times New Roman"/>
          <w:kern w:val="2"/>
          <w14:ligatures w14:val="standardContextual"/>
        </w:rPr>
        <w:t xml:space="preserve">Figure </w:t>
      </w:r>
      <w:r w:rsidR="00C544AE"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3 shows the four different unit cell topologies that were investigated, viz. Octet, TKD, FD-cube, and Cube along with the schematic of the samples with relevant dimensions. FD-cube was obtained by linearly translating single face-diagonal unit cell in a periodic fashion resulting in the formation of </w:t>
      </w:r>
      <w:r w:rsidRPr="008F5202">
        <w:rPr>
          <w:rFonts w:ascii="Times New Roman" w:hAnsi="Times New Roman" w:cs="Times New Roman"/>
          <w:i/>
          <w:iCs/>
          <w:kern w:val="2"/>
          <w14:ligatures w14:val="standardContextual"/>
        </w:rPr>
        <w:t xml:space="preserve">‘cross of diagonal fibers’ </w:t>
      </w:r>
      <w:r w:rsidRPr="008F5202">
        <w:rPr>
          <w:rFonts w:ascii="Times New Roman" w:hAnsi="Times New Roman" w:cs="Times New Roman"/>
          <w:kern w:val="2"/>
          <w14:ligatures w14:val="standardContextual"/>
        </w:rPr>
        <w:t xml:space="preserve">with four small triangular openings at the mating plane of adjacent cells (Fig. </w:t>
      </w:r>
      <w:r w:rsidR="00C544AE"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3a).</w:t>
      </w:r>
    </w:p>
    <w:p w14:paraId="5FC2D75F" w14:textId="77777777" w:rsidR="00836B4D" w:rsidRPr="008F5202" w:rsidRDefault="00836B4D" w:rsidP="00A752BA">
      <w:pPr>
        <w:spacing w:after="160" w:line="360" w:lineRule="auto"/>
        <w:ind w:firstLine="284"/>
        <w:jc w:val="both"/>
        <w:rPr>
          <w:rFonts w:ascii="Times New Roman" w:hAnsi="Times New Roman" w:cs="Times New Roman"/>
          <w:kern w:val="2"/>
          <w:sz w:val="18"/>
          <w:szCs w:val="18"/>
          <w14:ligatures w14:val="standardContextual"/>
        </w:rPr>
      </w:pPr>
    </w:p>
    <w:bookmarkEnd w:id="107"/>
    <w:p w14:paraId="379C98DA" w14:textId="77777777" w:rsidR="000223A6" w:rsidRPr="008F5202" w:rsidRDefault="00836B4D" w:rsidP="00A752BA">
      <w:pPr>
        <w:keepNext/>
        <w:spacing w:after="160" w:line="360" w:lineRule="auto"/>
        <w:jc w:val="center"/>
        <w:rPr>
          <w:rFonts w:ascii="Times New Roman" w:hAnsi="Times New Roman" w:cs="Times New Roman"/>
        </w:rPr>
      </w:pPr>
      <w:r w:rsidRPr="008F5202">
        <w:rPr>
          <w:rFonts w:ascii="Times New Roman" w:hAnsi="Times New Roman" w:cs="Times New Roman"/>
          <w:b/>
          <w:bCs/>
          <w:noProof/>
          <w:kern w:val="2"/>
          <w:sz w:val="18"/>
          <w:szCs w:val="18"/>
          <w14:ligatures w14:val="standardContextual"/>
        </w:rPr>
        <w:lastRenderedPageBreak/>
        <w:drawing>
          <wp:inline distT="0" distB="0" distL="0" distR="0" wp14:anchorId="073C3AC7" wp14:editId="2CA7A016">
            <wp:extent cx="5772495" cy="1171575"/>
            <wp:effectExtent l="0" t="0" r="0" b="0"/>
            <wp:docPr id="1990983217" name="Picture 1990983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9" cstate="print">
                      <a:extLst>
                        <a:ext uri="{28A0092B-C50C-407E-A947-70E740481C1C}">
                          <a14:useLocalDpi xmlns:a14="http://schemas.microsoft.com/office/drawing/2010/main" val="0"/>
                        </a:ext>
                      </a:extLst>
                    </a:blip>
                    <a:srcRect l="30366" t="16674" r="24572" b="67066"/>
                    <a:stretch/>
                  </pic:blipFill>
                  <pic:spPr bwMode="auto">
                    <a:xfrm>
                      <a:off x="0" y="0"/>
                      <a:ext cx="5894876" cy="1196413"/>
                    </a:xfrm>
                    <a:prstGeom prst="rect">
                      <a:avLst/>
                    </a:prstGeom>
                    <a:ln>
                      <a:noFill/>
                    </a:ln>
                    <a:extLst>
                      <a:ext uri="{53640926-AAD7-44D8-BBD7-CCE9431645EC}">
                        <a14:shadowObscured xmlns:a14="http://schemas.microsoft.com/office/drawing/2010/main"/>
                      </a:ext>
                    </a:extLst>
                  </pic:spPr>
                </pic:pic>
              </a:graphicData>
            </a:graphic>
          </wp:inline>
        </w:drawing>
      </w:r>
    </w:p>
    <w:p w14:paraId="50CD2E21" w14:textId="031A6712" w:rsidR="00836B4D" w:rsidRPr="008F5202" w:rsidRDefault="000223A6" w:rsidP="008F5202">
      <w:pPr>
        <w:pStyle w:val="Caption"/>
        <w:rPr>
          <w:kern w:val="2"/>
          <w:sz w:val="18"/>
          <w14:ligatures w14:val="standardContextual"/>
        </w:rPr>
      </w:pPr>
      <w:bookmarkStart w:id="108" w:name="_Toc177755201"/>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2</w:t>
      </w:r>
      <w:r w:rsidR="003763D2" w:rsidRPr="008F5202">
        <w:fldChar w:fldCharType="end"/>
      </w:r>
      <w:r w:rsidRPr="008F5202">
        <w:t xml:space="preserve"> Test samples additively manufactured in 420 Stainless Steel with Bronze infiltration via Binder Jetting process</w:t>
      </w:r>
      <w:bookmarkEnd w:id="108"/>
    </w:p>
    <w:p w14:paraId="76A698DE" w14:textId="77777777" w:rsidR="005C0973" w:rsidRPr="008F5202" w:rsidRDefault="00836B4D" w:rsidP="00A752BA">
      <w:pPr>
        <w:keepNext/>
        <w:spacing w:after="160" w:line="360" w:lineRule="auto"/>
        <w:jc w:val="center"/>
        <w:rPr>
          <w:rFonts w:ascii="Times New Roman" w:hAnsi="Times New Roman" w:cs="Times New Roman"/>
        </w:rPr>
      </w:pPr>
      <w:r w:rsidRPr="008F5202">
        <w:rPr>
          <w:rFonts w:ascii="Times New Roman" w:hAnsi="Times New Roman" w:cs="Times New Roman"/>
          <w:noProof/>
          <w:kern w:val="2"/>
          <w:sz w:val="18"/>
          <w:szCs w:val="18"/>
          <w14:ligatures w14:val="standardContextual"/>
        </w:rPr>
        <w:drawing>
          <wp:inline distT="0" distB="0" distL="0" distR="0" wp14:anchorId="35B543E2" wp14:editId="05FA116B">
            <wp:extent cx="5656457" cy="2182495"/>
            <wp:effectExtent l="0" t="0" r="190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40" cstate="print">
                      <a:extLst>
                        <a:ext uri="{28A0092B-C50C-407E-A947-70E740481C1C}">
                          <a14:useLocalDpi xmlns:a14="http://schemas.microsoft.com/office/drawing/2010/main" val="0"/>
                        </a:ext>
                      </a:extLst>
                    </a:blip>
                    <a:srcRect l="4804" t="32567" b="2133"/>
                    <a:stretch/>
                  </pic:blipFill>
                  <pic:spPr bwMode="auto">
                    <a:xfrm>
                      <a:off x="0" y="0"/>
                      <a:ext cx="5658098" cy="2183128"/>
                    </a:xfrm>
                    <a:prstGeom prst="rect">
                      <a:avLst/>
                    </a:prstGeom>
                    <a:ln>
                      <a:noFill/>
                    </a:ln>
                    <a:extLst>
                      <a:ext uri="{53640926-AAD7-44D8-BBD7-CCE9431645EC}">
                        <a14:shadowObscured xmlns:a14="http://schemas.microsoft.com/office/drawing/2010/main"/>
                      </a:ext>
                    </a:extLst>
                  </pic:spPr>
                </pic:pic>
              </a:graphicData>
            </a:graphic>
          </wp:inline>
        </w:drawing>
      </w:r>
    </w:p>
    <w:p w14:paraId="101A09A4" w14:textId="14FD8C43" w:rsidR="00836B4D" w:rsidRPr="008F5202" w:rsidRDefault="005C0973" w:rsidP="008F5202">
      <w:pPr>
        <w:pStyle w:val="Caption"/>
      </w:pPr>
      <w:bookmarkStart w:id="109" w:name="_Toc177755202"/>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3</w:t>
      </w:r>
      <w:r w:rsidR="003763D2" w:rsidRPr="008F5202">
        <w:fldChar w:fldCharType="end"/>
      </w:r>
      <w:r w:rsidRPr="008F5202">
        <w:t xml:space="preserve"> (a) Unit cell topologies of the investigated samples, (b) schematic of the samples showing important dimensions</w:t>
      </w:r>
      <w:bookmarkEnd w:id="109"/>
    </w:p>
    <w:p w14:paraId="28B35AA4" w14:textId="5B41EDDB" w:rsidR="00836B4D" w:rsidRPr="008F5202" w:rsidRDefault="00836B4D" w:rsidP="009F2E22">
      <w:pPr>
        <w:spacing w:after="160" w:line="360" w:lineRule="auto"/>
        <w:ind w:firstLine="284"/>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The overall dimensions of the lattices were 50 mm x 50 mm x 10 mm. The unit-cell size was 10 mm and there were five unit-cells in streamwise and spanwise direction. The substrate wall thickness on the upper and bottom side of the lattice was ~ 3.175 mm which was provided with cylindrical slots of ~ 1.905 mm diameter for thermocouples. The designed porosity of the samples was ~ 0.886 and the corresponding intended fiber diameters are reported in Table </w:t>
      </w:r>
      <w:r w:rsidR="008700FD"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1. The table also shows the measured porosities of the as-printed samples. The measured porosities were about ~ 1% to 7.1% deviated from the intended porosity of ~ 0.886. Amongst the printed samples, Octet showed the maximum deviation of ~ 7.1% and the Cube exhibited the least deviation of ~ 1%. Cube provided the porosity value closest to the design porosity and the porosities of TKD and FD-Cube were 2.3% and 0.9% lower than the Cube topology. The thermal-hydraulic performance of TKD, </w:t>
      </w:r>
      <w:r w:rsidRPr="008F5202">
        <w:rPr>
          <w:rFonts w:ascii="Times New Roman" w:hAnsi="Times New Roman" w:cs="Times New Roman"/>
          <w:kern w:val="2"/>
          <w14:ligatures w14:val="standardContextual"/>
        </w:rPr>
        <w:lastRenderedPageBreak/>
        <w:t>FD-cube, and Cube obtained from the experiments of these three test samples could be compared fairly at similar flow conditions. However, commenting on the relative performance benefits of the Octet topology with porosity difference of 6.1% from the Cube topology was not deemed suitable. The first iteration of printing provided information on the expected percentage deviation in the morphological characteristics of the samples. Considering the occurrence of anomalies in structure while printing, another Octet CAD model was prepared for printing with porosity of ~ 0.93. Octet sample manufactured using 0.93 designed porosity had an actual porosity of ~0.888, which was similar to previously printed (1</w:t>
      </w:r>
      <w:r w:rsidRPr="008F5202">
        <w:rPr>
          <w:rFonts w:ascii="Times New Roman" w:hAnsi="Times New Roman" w:cs="Times New Roman"/>
          <w:kern w:val="2"/>
          <w:vertAlign w:val="superscript"/>
          <w14:ligatures w14:val="standardContextual"/>
        </w:rPr>
        <w:t>st</w:t>
      </w:r>
      <w:r w:rsidRPr="008F5202">
        <w:rPr>
          <w:rFonts w:ascii="Times New Roman" w:hAnsi="Times New Roman" w:cs="Times New Roman"/>
          <w:kern w:val="2"/>
          <w14:ligatures w14:val="standardContextual"/>
        </w:rPr>
        <w:t xml:space="preserve"> batch) TKD, FD-cube, and Cube samples. The final experiments were therefore conducted on five different samples including two for Octet (measured porosities of 0.823 and 0.888) and one each for TKD, FD-cube, and Cube with relatively similar measured porosities as listed in Table </w:t>
      </w:r>
      <w:r w:rsidR="008700FD"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1.</w:t>
      </w:r>
    </w:p>
    <w:p w14:paraId="09400F0C" w14:textId="46653F67" w:rsidR="00983810" w:rsidRPr="008F5202" w:rsidRDefault="00983810" w:rsidP="008F5202">
      <w:pPr>
        <w:pStyle w:val="Caption"/>
      </w:pPr>
      <w:bookmarkStart w:id="110" w:name="_Toc177755180"/>
      <w:r w:rsidRPr="008F5202">
        <w:t xml:space="preserve">Table </w:t>
      </w:r>
      <w:r w:rsidR="00561B55" w:rsidRPr="008F5202">
        <w:fldChar w:fldCharType="begin"/>
      </w:r>
      <w:r w:rsidR="00561B55" w:rsidRPr="008F5202">
        <w:instrText xml:space="preserve"> STYLEREF 1 \s </w:instrText>
      </w:r>
      <w:r w:rsidR="00561B55" w:rsidRPr="008F5202">
        <w:fldChar w:fldCharType="separate"/>
      </w:r>
      <w:r w:rsidR="00AF1AFB">
        <w:rPr>
          <w:noProof/>
        </w:rPr>
        <w:t>3</w:t>
      </w:r>
      <w:r w:rsidR="00561B55" w:rsidRPr="008F5202">
        <w:fldChar w:fldCharType="end"/>
      </w:r>
      <w:r w:rsidR="00561B55" w:rsidRPr="008F5202">
        <w:t>.</w:t>
      </w:r>
      <w:r w:rsidR="00561B55" w:rsidRPr="008F5202">
        <w:fldChar w:fldCharType="begin"/>
      </w:r>
      <w:r w:rsidR="00561B55" w:rsidRPr="008F5202">
        <w:instrText xml:space="preserve"> SEQ Table \* ARABIC \s 1 </w:instrText>
      </w:r>
      <w:r w:rsidR="00561B55" w:rsidRPr="008F5202">
        <w:fldChar w:fldCharType="separate"/>
      </w:r>
      <w:r w:rsidR="00AF1AFB">
        <w:rPr>
          <w:noProof/>
        </w:rPr>
        <w:t>1</w:t>
      </w:r>
      <w:r w:rsidR="00561B55" w:rsidRPr="008F5202">
        <w:fldChar w:fldCharType="end"/>
      </w:r>
      <w:r w:rsidR="00243412" w:rsidRPr="008F5202">
        <w:t xml:space="preserve"> Fiber diameter and measured bulk porosity of the investigated samples</w:t>
      </w:r>
      <w:bookmarkEnd w:id="110"/>
    </w:p>
    <w:tbl>
      <w:tblPr>
        <w:tblW w:w="59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451"/>
        <w:gridCol w:w="2083"/>
        <w:gridCol w:w="2396"/>
      </w:tblGrid>
      <w:tr w:rsidR="009C369A" w:rsidRPr="008F5202" w14:paraId="31B79CE8" w14:textId="77777777" w:rsidTr="00983810">
        <w:trPr>
          <w:trHeight w:hRule="exact" w:val="288"/>
        </w:trPr>
        <w:tc>
          <w:tcPr>
            <w:tcW w:w="1451" w:type="dxa"/>
            <w:shd w:val="clear" w:color="auto" w:fill="E8E8E8"/>
          </w:tcPr>
          <w:p w14:paraId="72761EBE" w14:textId="77777777" w:rsidR="009C369A" w:rsidRPr="008F5202" w:rsidRDefault="009C369A" w:rsidP="00A752BA">
            <w:pPr>
              <w:spacing w:after="160" w:line="360" w:lineRule="auto"/>
              <w:jc w:val="center"/>
              <w:rPr>
                <w:rFonts w:ascii="Times New Roman" w:hAnsi="Times New Roman" w:cs="Times New Roman"/>
                <w:b/>
                <w:bCs/>
                <w:kern w:val="2"/>
                <w:sz w:val="18"/>
                <w:szCs w:val="18"/>
                <w14:ligatures w14:val="standardContextual"/>
              </w:rPr>
            </w:pPr>
            <w:r w:rsidRPr="008F5202">
              <w:rPr>
                <w:rFonts w:ascii="Times New Roman" w:hAnsi="Times New Roman" w:cs="Times New Roman"/>
                <w:b/>
                <w:bCs/>
                <w:kern w:val="2"/>
                <w:sz w:val="18"/>
                <w:szCs w:val="18"/>
                <w14:ligatures w14:val="standardContextual"/>
              </w:rPr>
              <w:t>Topology</w:t>
            </w:r>
          </w:p>
        </w:tc>
        <w:tc>
          <w:tcPr>
            <w:tcW w:w="2083" w:type="dxa"/>
            <w:shd w:val="clear" w:color="auto" w:fill="E8E8E8"/>
          </w:tcPr>
          <w:p w14:paraId="388658A2" w14:textId="77777777" w:rsidR="009C369A" w:rsidRPr="008F5202" w:rsidRDefault="009C369A" w:rsidP="00A752BA">
            <w:pPr>
              <w:spacing w:after="160" w:line="360" w:lineRule="auto"/>
              <w:jc w:val="center"/>
              <w:rPr>
                <w:rFonts w:ascii="Times New Roman" w:hAnsi="Times New Roman" w:cs="Times New Roman"/>
                <w:b/>
                <w:bCs/>
                <w:kern w:val="2"/>
                <w:sz w:val="18"/>
                <w:szCs w:val="18"/>
                <w14:ligatures w14:val="standardContextual"/>
              </w:rPr>
            </w:pPr>
            <w:r w:rsidRPr="008F5202">
              <w:rPr>
                <w:rFonts w:ascii="Times New Roman" w:hAnsi="Times New Roman" w:cs="Times New Roman"/>
                <w:b/>
                <w:bCs/>
                <w:kern w:val="2"/>
                <w:sz w:val="18"/>
                <w:szCs w:val="18"/>
                <w14:ligatures w14:val="standardContextual"/>
              </w:rPr>
              <w:t>Fiber diameter (CAD)</w:t>
            </w:r>
          </w:p>
        </w:tc>
        <w:tc>
          <w:tcPr>
            <w:tcW w:w="2396" w:type="dxa"/>
            <w:shd w:val="clear" w:color="auto" w:fill="E8E8E8"/>
          </w:tcPr>
          <w:p w14:paraId="15031133" w14:textId="77777777" w:rsidR="009C369A" w:rsidRPr="008F5202" w:rsidRDefault="009C369A" w:rsidP="00A752BA">
            <w:pPr>
              <w:spacing w:after="160" w:line="360" w:lineRule="auto"/>
              <w:jc w:val="center"/>
              <w:rPr>
                <w:rFonts w:ascii="Times New Roman" w:hAnsi="Times New Roman" w:cs="Times New Roman"/>
                <w:b/>
                <w:bCs/>
                <w:kern w:val="2"/>
                <w:sz w:val="18"/>
                <w:szCs w:val="18"/>
                <w14:ligatures w14:val="standardContextual"/>
              </w:rPr>
            </w:pPr>
            <w:r w:rsidRPr="008F5202">
              <w:rPr>
                <w:rFonts w:ascii="Times New Roman" w:hAnsi="Times New Roman" w:cs="Times New Roman"/>
                <w:b/>
                <w:bCs/>
                <w:kern w:val="2"/>
                <w:sz w:val="18"/>
                <w:szCs w:val="18"/>
                <w14:ligatures w14:val="standardContextual"/>
              </w:rPr>
              <w:t xml:space="preserve">Measured bulk porosity </w:t>
            </w:r>
          </w:p>
        </w:tc>
      </w:tr>
      <w:tr w:rsidR="009C369A" w:rsidRPr="008F5202" w14:paraId="08B7AA3A" w14:textId="77777777" w:rsidTr="00983810">
        <w:trPr>
          <w:trHeight w:hRule="exact" w:val="288"/>
        </w:trPr>
        <w:tc>
          <w:tcPr>
            <w:tcW w:w="1451" w:type="dxa"/>
            <w:shd w:val="clear" w:color="auto" w:fill="auto"/>
          </w:tcPr>
          <w:p w14:paraId="6C0B3FC7" w14:textId="77777777" w:rsidR="009C369A" w:rsidRPr="008F5202" w:rsidRDefault="009C369A" w:rsidP="00A752BA">
            <w:pPr>
              <w:spacing w:after="160" w:line="360" w:lineRule="auto"/>
              <w:jc w:val="center"/>
              <w:rPr>
                <w:rFonts w:ascii="Times New Roman" w:hAnsi="Times New Roman" w:cs="Times New Roman"/>
                <w:kern w:val="2"/>
                <w:sz w:val="18"/>
                <w:szCs w:val="18"/>
                <w14:ligatures w14:val="standardContextual"/>
              </w:rPr>
            </w:pPr>
            <w:r w:rsidRPr="008F5202">
              <w:rPr>
                <w:rFonts w:ascii="Times New Roman" w:hAnsi="Times New Roman" w:cs="Times New Roman"/>
                <w:kern w:val="2"/>
                <w:sz w:val="18"/>
                <w:szCs w:val="18"/>
                <w14:ligatures w14:val="standardContextual"/>
              </w:rPr>
              <w:t>Octet</w:t>
            </w:r>
          </w:p>
        </w:tc>
        <w:tc>
          <w:tcPr>
            <w:tcW w:w="2083" w:type="dxa"/>
          </w:tcPr>
          <w:p w14:paraId="069AAAC9" w14:textId="77777777" w:rsidR="009C369A" w:rsidRPr="008F5202" w:rsidRDefault="009C369A" w:rsidP="00A752BA">
            <w:pPr>
              <w:spacing w:after="160" w:line="360" w:lineRule="auto"/>
              <w:jc w:val="center"/>
              <w:rPr>
                <w:rFonts w:ascii="Times New Roman" w:hAnsi="Times New Roman" w:cs="Times New Roman"/>
                <w:kern w:val="2"/>
                <w:sz w:val="18"/>
                <w:szCs w:val="18"/>
                <w14:ligatures w14:val="standardContextual"/>
              </w:rPr>
            </w:pPr>
            <w:r w:rsidRPr="008F5202">
              <w:rPr>
                <w:rFonts w:ascii="Times New Roman" w:hAnsi="Times New Roman" w:cs="Times New Roman"/>
                <w:kern w:val="2"/>
                <w:sz w:val="18"/>
                <w:szCs w:val="18"/>
                <w14:ligatures w14:val="standardContextual"/>
              </w:rPr>
              <w:t>1.00 mm</w:t>
            </w:r>
          </w:p>
        </w:tc>
        <w:tc>
          <w:tcPr>
            <w:tcW w:w="2396" w:type="dxa"/>
          </w:tcPr>
          <w:p w14:paraId="76968D4D" w14:textId="77777777" w:rsidR="009C369A" w:rsidRPr="008F5202" w:rsidRDefault="009C369A" w:rsidP="00A752BA">
            <w:pPr>
              <w:spacing w:after="160" w:line="360" w:lineRule="auto"/>
              <w:jc w:val="center"/>
              <w:rPr>
                <w:rFonts w:ascii="Times New Roman" w:hAnsi="Times New Roman" w:cs="Times New Roman"/>
                <w:kern w:val="2"/>
                <w:sz w:val="18"/>
                <w:szCs w:val="18"/>
                <w14:ligatures w14:val="standardContextual"/>
              </w:rPr>
            </w:pPr>
            <w:r w:rsidRPr="008F5202">
              <w:rPr>
                <w:rFonts w:ascii="Times New Roman" w:hAnsi="Times New Roman" w:cs="Times New Roman"/>
                <w:kern w:val="2"/>
                <w:sz w:val="18"/>
                <w:szCs w:val="18"/>
                <w14:ligatures w14:val="standardContextual"/>
              </w:rPr>
              <w:t>0.823</w:t>
            </w:r>
          </w:p>
        </w:tc>
      </w:tr>
      <w:tr w:rsidR="009C369A" w:rsidRPr="008F5202" w14:paraId="49623BF7" w14:textId="77777777" w:rsidTr="00983810">
        <w:trPr>
          <w:trHeight w:hRule="exact" w:val="288"/>
        </w:trPr>
        <w:tc>
          <w:tcPr>
            <w:tcW w:w="1451" w:type="dxa"/>
            <w:shd w:val="clear" w:color="auto" w:fill="auto"/>
          </w:tcPr>
          <w:p w14:paraId="090A323D" w14:textId="77777777" w:rsidR="009C369A" w:rsidRPr="008F5202" w:rsidRDefault="009C369A" w:rsidP="00A752BA">
            <w:pPr>
              <w:spacing w:after="160" w:line="360" w:lineRule="auto"/>
              <w:jc w:val="center"/>
              <w:rPr>
                <w:rFonts w:ascii="Times New Roman" w:hAnsi="Times New Roman" w:cs="Times New Roman"/>
                <w:kern w:val="2"/>
                <w:sz w:val="18"/>
                <w:szCs w:val="18"/>
                <w14:ligatures w14:val="standardContextual"/>
              </w:rPr>
            </w:pPr>
            <w:r w:rsidRPr="008F5202">
              <w:rPr>
                <w:rFonts w:ascii="Times New Roman" w:hAnsi="Times New Roman" w:cs="Times New Roman"/>
                <w:kern w:val="2"/>
                <w:sz w:val="18"/>
                <w:szCs w:val="18"/>
                <w14:ligatures w14:val="standardContextual"/>
              </w:rPr>
              <w:t>TKD</w:t>
            </w:r>
          </w:p>
        </w:tc>
        <w:tc>
          <w:tcPr>
            <w:tcW w:w="2083" w:type="dxa"/>
          </w:tcPr>
          <w:p w14:paraId="6736065B" w14:textId="77777777" w:rsidR="009C369A" w:rsidRPr="008F5202" w:rsidRDefault="009C369A" w:rsidP="00A752BA">
            <w:pPr>
              <w:spacing w:after="160" w:line="360" w:lineRule="auto"/>
              <w:jc w:val="center"/>
              <w:rPr>
                <w:rFonts w:ascii="Times New Roman" w:hAnsi="Times New Roman" w:cs="Times New Roman"/>
                <w:kern w:val="2"/>
                <w:sz w:val="18"/>
                <w:szCs w:val="18"/>
                <w14:ligatures w14:val="standardContextual"/>
              </w:rPr>
            </w:pPr>
            <w:r w:rsidRPr="008F5202">
              <w:rPr>
                <w:rFonts w:ascii="Times New Roman" w:hAnsi="Times New Roman" w:cs="Times New Roman"/>
                <w:kern w:val="2"/>
                <w:sz w:val="18"/>
                <w:szCs w:val="18"/>
                <w14:ligatures w14:val="standardContextual"/>
              </w:rPr>
              <w:t>1.43 mm</w:t>
            </w:r>
          </w:p>
        </w:tc>
        <w:tc>
          <w:tcPr>
            <w:tcW w:w="2396" w:type="dxa"/>
          </w:tcPr>
          <w:p w14:paraId="1E9EB3BE" w14:textId="77777777" w:rsidR="009C369A" w:rsidRPr="008F5202" w:rsidRDefault="009C369A" w:rsidP="00A752BA">
            <w:pPr>
              <w:spacing w:after="160" w:line="360" w:lineRule="auto"/>
              <w:jc w:val="center"/>
              <w:rPr>
                <w:rFonts w:ascii="Times New Roman" w:hAnsi="Times New Roman" w:cs="Times New Roman"/>
                <w:kern w:val="2"/>
                <w:sz w:val="18"/>
                <w:szCs w:val="18"/>
                <w14:ligatures w14:val="standardContextual"/>
              </w:rPr>
            </w:pPr>
            <w:r w:rsidRPr="008F5202">
              <w:rPr>
                <w:rFonts w:ascii="Times New Roman" w:hAnsi="Times New Roman" w:cs="Times New Roman"/>
                <w:kern w:val="2"/>
                <w:sz w:val="18"/>
                <w:szCs w:val="18"/>
                <w14:ligatures w14:val="standardContextual"/>
              </w:rPr>
              <w:t>0.856</w:t>
            </w:r>
          </w:p>
        </w:tc>
      </w:tr>
      <w:tr w:rsidR="009C369A" w:rsidRPr="008F5202" w14:paraId="2937EAE5" w14:textId="77777777" w:rsidTr="00983810">
        <w:trPr>
          <w:trHeight w:hRule="exact" w:val="288"/>
        </w:trPr>
        <w:tc>
          <w:tcPr>
            <w:tcW w:w="1451" w:type="dxa"/>
            <w:shd w:val="clear" w:color="auto" w:fill="auto"/>
          </w:tcPr>
          <w:p w14:paraId="58A3588F" w14:textId="77777777" w:rsidR="009C369A" w:rsidRPr="008F5202" w:rsidRDefault="009C369A" w:rsidP="00A752BA">
            <w:pPr>
              <w:spacing w:after="160" w:line="360" w:lineRule="auto"/>
              <w:jc w:val="center"/>
              <w:rPr>
                <w:rFonts w:ascii="Times New Roman" w:hAnsi="Times New Roman" w:cs="Times New Roman"/>
                <w:kern w:val="2"/>
                <w:sz w:val="18"/>
                <w:szCs w:val="18"/>
                <w14:ligatures w14:val="standardContextual"/>
              </w:rPr>
            </w:pPr>
            <w:r w:rsidRPr="008F5202">
              <w:rPr>
                <w:rFonts w:ascii="Times New Roman" w:hAnsi="Times New Roman" w:cs="Times New Roman"/>
                <w:kern w:val="2"/>
                <w:sz w:val="18"/>
                <w:szCs w:val="18"/>
                <w14:ligatures w14:val="standardContextual"/>
              </w:rPr>
              <w:t>FD-cube</w:t>
            </w:r>
          </w:p>
        </w:tc>
        <w:tc>
          <w:tcPr>
            <w:tcW w:w="2083" w:type="dxa"/>
          </w:tcPr>
          <w:p w14:paraId="0D893A06" w14:textId="77777777" w:rsidR="009C369A" w:rsidRPr="008F5202" w:rsidRDefault="009C369A" w:rsidP="00A752BA">
            <w:pPr>
              <w:spacing w:after="160" w:line="360" w:lineRule="auto"/>
              <w:jc w:val="center"/>
              <w:rPr>
                <w:rFonts w:ascii="Times New Roman" w:hAnsi="Times New Roman" w:cs="Times New Roman"/>
                <w:kern w:val="2"/>
                <w:sz w:val="18"/>
                <w:szCs w:val="18"/>
                <w14:ligatures w14:val="standardContextual"/>
              </w:rPr>
            </w:pPr>
            <w:r w:rsidRPr="008F5202">
              <w:rPr>
                <w:rFonts w:ascii="Times New Roman" w:hAnsi="Times New Roman" w:cs="Times New Roman"/>
                <w:kern w:val="2"/>
                <w:sz w:val="18"/>
                <w:szCs w:val="18"/>
                <w14:ligatures w14:val="standardContextual"/>
              </w:rPr>
              <w:t>1.54 mm</w:t>
            </w:r>
          </w:p>
        </w:tc>
        <w:tc>
          <w:tcPr>
            <w:tcW w:w="2396" w:type="dxa"/>
          </w:tcPr>
          <w:p w14:paraId="6483A403" w14:textId="77777777" w:rsidR="009C369A" w:rsidRPr="008F5202" w:rsidRDefault="009C369A" w:rsidP="00A752BA">
            <w:pPr>
              <w:spacing w:after="160" w:line="360" w:lineRule="auto"/>
              <w:jc w:val="center"/>
              <w:rPr>
                <w:rFonts w:ascii="Times New Roman" w:hAnsi="Times New Roman" w:cs="Times New Roman"/>
                <w:kern w:val="2"/>
                <w:sz w:val="18"/>
                <w:szCs w:val="18"/>
                <w14:ligatures w14:val="standardContextual"/>
              </w:rPr>
            </w:pPr>
            <w:r w:rsidRPr="008F5202">
              <w:rPr>
                <w:rFonts w:ascii="Times New Roman" w:hAnsi="Times New Roman" w:cs="Times New Roman"/>
                <w:kern w:val="2"/>
                <w:sz w:val="18"/>
                <w:szCs w:val="18"/>
                <w14:ligatures w14:val="standardContextual"/>
              </w:rPr>
              <w:t>0.869</w:t>
            </w:r>
          </w:p>
        </w:tc>
      </w:tr>
      <w:tr w:rsidR="009C369A" w:rsidRPr="008F5202" w14:paraId="18C29715" w14:textId="77777777" w:rsidTr="00983810">
        <w:trPr>
          <w:trHeight w:hRule="exact" w:val="288"/>
        </w:trPr>
        <w:tc>
          <w:tcPr>
            <w:tcW w:w="1451" w:type="dxa"/>
            <w:shd w:val="clear" w:color="auto" w:fill="auto"/>
          </w:tcPr>
          <w:p w14:paraId="613B2AEE" w14:textId="77777777" w:rsidR="009C369A" w:rsidRPr="008F5202" w:rsidRDefault="009C369A" w:rsidP="00A752BA">
            <w:pPr>
              <w:spacing w:after="160" w:line="360" w:lineRule="auto"/>
              <w:jc w:val="center"/>
              <w:rPr>
                <w:rFonts w:ascii="Times New Roman" w:hAnsi="Times New Roman" w:cs="Times New Roman"/>
                <w:kern w:val="2"/>
                <w:sz w:val="18"/>
                <w:szCs w:val="18"/>
                <w14:ligatures w14:val="standardContextual"/>
              </w:rPr>
            </w:pPr>
            <w:r w:rsidRPr="008F5202">
              <w:rPr>
                <w:rFonts w:ascii="Times New Roman" w:hAnsi="Times New Roman" w:cs="Times New Roman"/>
                <w:kern w:val="2"/>
                <w:sz w:val="18"/>
                <w:szCs w:val="18"/>
                <w14:ligatures w14:val="standardContextual"/>
              </w:rPr>
              <w:t>Cube</w:t>
            </w:r>
          </w:p>
        </w:tc>
        <w:tc>
          <w:tcPr>
            <w:tcW w:w="2083" w:type="dxa"/>
          </w:tcPr>
          <w:p w14:paraId="35EAE133" w14:textId="77777777" w:rsidR="009C369A" w:rsidRPr="008F5202" w:rsidRDefault="009C369A" w:rsidP="00A752BA">
            <w:pPr>
              <w:spacing w:after="160" w:line="360" w:lineRule="auto"/>
              <w:jc w:val="center"/>
              <w:rPr>
                <w:rFonts w:ascii="Times New Roman" w:hAnsi="Times New Roman" w:cs="Times New Roman"/>
                <w:kern w:val="2"/>
                <w:sz w:val="18"/>
                <w:szCs w:val="18"/>
                <w14:ligatures w14:val="standardContextual"/>
              </w:rPr>
            </w:pPr>
            <w:r w:rsidRPr="008F5202">
              <w:rPr>
                <w:rFonts w:ascii="Times New Roman" w:hAnsi="Times New Roman" w:cs="Times New Roman"/>
                <w:kern w:val="2"/>
                <w:sz w:val="18"/>
                <w:szCs w:val="18"/>
                <w14:ligatures w14:val="standardContextual"/>
              </w:rPr>
              <w:t>2.37 mm</w:t>
            </w:r>
          </w:p>
        </w:tc>
        <w:tc>
          <w:tcPr>
            <w:tcW w:w="2396" w:type="dxa"/>
          </w:tcPr>
          <w:p w14:paraId="0ECE3B38" w14:textId="77777777" w:rsidR="009C369A" w:rsidRPr="008F5202" w:rsidRDefault="009C369A" w:rsidP="00A752BA">
            <w:pPr>
              <w:spacing w:after="160" w:line="360" w:lineRule="auto"/>
              <w:jc w:val="center"/>
              <w:rPr>
                <w:rFonts w:ascii="Times New Roman" w:hAnsi="Times New Roman" w:cs="Times New Roman"/>
                <w:kern w:val="2"/>
                <w:sz w:val="18"/>
                <w:szCs w:val="18"/>
                <w14:ligatures w14:val="standardContextual"/>
              </w:rPr>
            </w:pPr>
            <w:r w:rsidRPr="008F5202">
              <w:rPr>
                <w:rFonts w:ascii="Times New Roman" w:hAnsi="Times New Roman" w:cs="Times New Roman"/>
                <w:kern w:val="2"/>
                <w:sz w:val="18"/>
                <w:szCs w:val="18"/>
                <w14:ligatures w14:val="standardContextual"/>
              </w:rPr>
              <w:t>0.877</w:t>
            </w:r>
          </w:p>
        </w:tc>
      </w:tr>
    </w:tbl>
    <w:p w14:paraId="2BADB56A" w14:textId="77777777" w:rsidR="0069185B" w:rsidRPr="008F5202" w:rsidRDefault="0069185B" w:rsidP="00A752BA">
      <w:pPr>
        <w:spacing w:after="160" w:line="360" w:lineRule="auto"/>
        <w:contextualSpacing/>
        <w:jc w:val="both"/>
        <w:rPr>
          <w:rFonts w:ascii="Times New Roman" w:eastAsia="Aptos" w:hAnsi="Times New Roman" w:cs="Times New Roman"/>
          <w:b/>
          <w:bCs/>
          <w:i/>
          <w:iCs/>
          <w:kern w:val="2"/>
          <w:sz w:val="18"/>
          <w:szCs w:val="18"/>
          <w:u w:val="single"/>
          <w14:ligatures w14:val="standardContextual"/>
        </w:rPr>
      </w:pPr>
    </w:p>
    <w:p w14:paraId="2039184E" w14:textId="49661F68" w:rsidR="00E03CE5" w:rsidRPr="008F5202" w:rsidRDefault="00836B4D" w:rsidP="00A752BA">
      <w:pPr>
        <w:pStyle w:val="Heading3"/>
        <w:spacing w:line="360" w:lineRule="auto"/>
        <w:rPr>
          <w:rFonts w:eastAsia="Aptos"/>
        </w:rPr>
      </w:pPr>
      <w:bookmarkStart w:id="111" w:name="_Toc177758158"/>
      <w:r w:rsidRPr="008F5202">
        <w:rPr>
          <w:rFonts w:eastAsia="Aptos"/>
        </w:rPr>
        <w:t>X-ray Computed Tomography (CT)</w:t>
      </w:r>
      <w:bookmarkEnd w:id="111"/>
    </w:p>
    <w:p w14:paraId="03A90186" w14:textId="148F9E67" w:rsidR="00836B4D" w:rsidRPr="008F5202" w:rsidRDefault="00836B4D" w:rsidP="00A752BA">
      <w:pPr>
        <w:spacing w:after="160" w:line="360" w:lineRule="auto"/>
        <w:contextualSpacing/>
        <w:jc w:val="both"/>
        <w:rPr>
          <w:rFonts w:ascii="Times New Roman" w:hAnsi="Times New Roman" w:cs="Times New Roman"/>
          <w:kern w:val="2"/>
          <w14:ligatures w14:val="standardContextual"/>
        </w:rPr>
      </w:pPr>
      <w:r w:rsidRPr="008F5202">
        <w:rPr>
          <w:rFonts w:ascii="Times New Roman" w:eastAsia="Aptos" w:hAnsi="Times New Roman" w:cs="Times New Roman"/>
          <w:kern w:val="2"/>
          <w:sz w:val="20"/>
          <w:szCs w:val="20"/>
          <w14:ligatures w14:val="standardContextual"/>
        </w:rPr>
        <w:t xml:space="preserve"> </w:t>
      </w:r>
      <w:r w:rsidRPr="008F5202">
        <w:rPr>
          <w:rFonts w:ascii="Times New Roman" w:eastAsia="Aptos" w:hAnsi="Times New Roman" w:cs="Times New Roman"/>
          <w:kern w:val="2"/>
          <w14:ligatures w14:val="standardContextual"/>
        </w:rPr>
        <w:t xml:space="preserve">Additively manufactured samples often deviate from the intended CAD models. Hence it is imperative to characterize the local defects/deviations and their cumulative effect on bulk properties such as porosity. </w:t>
      </w:r>
      <w:r w:rsidRPr="008F5202">
        <w:rPr>
          <w:rFonts w:ascii="Times New Roman" w:hAnsi="Times New Roman" w:cs="Times New Roman"/>
          <w:kern w:val="2"/>
          <w14:ligatures w14:val="standardContextual"/>
        </w:rPr>
        <w:t xml:space="preserve">The CT data was obtained using Nikon’s XTH225ST system with a 225KV rotating target. The high-resolution images were obtained using scanning voltage of 220 KV, 170 </w:t>
      </w:r>
      <m:oMath>
        <m:r>
          <w:rPr>
            <w:rFonts w:ascii="Cambria Math" w:hAnsi="Cambria Math" w:cs="Times New Roman"/>
            <w:kern w:val="2"/>
            <w14:ligatures w14:val="standardContextual"/>
          </w:rPr>
          <m:t>μ</m:t>
        </m:r>
      </m:oMath>
      <w:r w:rsidRPr="008F5202">
        <w:rPr>
          <w:rFonts w:ascii="Times New Roman" w:hAnsi="Times New Roman" w:cs="Times New Roman"/>
          <w:kern w:val="2"/>
          <w14:ligatures w14:val="standardContextual"/>
        </w:rPr>
        <w:t xml:space="preserve">A current, and exposure time of 708 ms. </w:t>
      </w:r>
      <w:r w:rsidRPr="008F5202">
        <w:rPr>
          <w:rFonts w:ascii="Times New Roman" w:eastAsia="Aptos" w:hAnsi="Times New Roman" w:cs="Times New Roman"/>
          <w:kern w:val="2"/>
          <w14:ligatures w14:val="standardContextual"/>
        </w:rPr>
        <w:t xml:space="preserve">Figure </w:t>
      </w:r>
      <w:r w:rsidR="00C544AE"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 xml:space="preserve">4 shows the CT scan images of Octet (porosity = 0.823) and TKD (porosity = 0.856) samples. </w:t>
      </w:r>
      <w:r w:rsidRPr="008F5202">
        <w:rPr>
          <w:rFonts w:ascii="Times New Roman" w:hAnsi="Times New Roman" w:cs="Times New Roman"/>
          <w:kern w:val="2"/>
          <w14:ligatures w14:val="standardContextual"/>
        </w:rPr>
        <w:t xml:space="preserve">The fibers by design were cylindrical in shape (Fig. </w:t>
      </w:r>
      <w:r w:rsidR="00C544AE"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3), however, the CT scan images reveal that the printed fibers did not exactly retain their intended smooth configuration, and moreover, there were local defects prevalent over the entire sample with some instances of identifiable ones (missing material zone identified in Fig. </w:t>
      </w:r>
      <w:r w:rsidR="00C544AE"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4a). These anomalies in the samples </w:t>
      </w:r>
      <w:r w:rsidRPr="008F5202">
        <w:rPr>
          <w:rFonts w:ascii="Times New Roman" w:hAnsi="Times New Roman" w:cs="Times New Roman"/>
          <w:kern w:val="2"/>
          <w14:ligatures w14:val="standardContextual"/>
        </w:rPr>
        <w:lastRenderedPageBreak/>
        <w:t xml:space="preserve">contribute to the deviation in transport properties predicted by computations carried out on intended CAD models. </w:t>
      </w:r>
    </w:p>
    <w:p w14:paraId="4D77DEBF" w14:textId="77777777" w:rsidR="005B098E" w:rsidRPr="008F5202" w:rsidRDefault="00836B4D" w:rsidP="00A752BA">
      <w:pPr>
        <w:keepNext/>
        <w:spacing w:after="160" w:line="360" w:lineRule="auto"/>
        <w:contextualSpacing/>
        <w:jc w:val="center"/>
        <w:rPr>
          <w:rFonts w:ascii="Times New Roman" w:hAnsi="Times New Roman" w:cs="Times New Roman"/>
        </w:rPr>
      </w:pPr>
      <w:r w:rsidRPr="008F5202">
        <w:rPr>
          <w:rFonts w:ascii="Times New Roman" w:eastAsia="Aptos" w:hAnsi="Times New Roman" w:cs="Times New Roman"/>
          <w:b/>
          <w:bCs/>
          <w:noProof/>
          <w:kern w:val="2"/>
          <w:sz w:val="18"/>
          <w:szCs w:val="18"/>
          <w14:ligatures w14:val="standardContextual"/>
        </w:rPr>
        <w:drawing>
          <wp:inline distT="0" distB="0" distL="0" distR="0" wp14:anchorId="657AE0F4" wp14:editId="3614DB7D">
            <wp:extent cx="4173647" cy="4343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41" cstate="print">
                      <a:extLst>
                        <a:ext uri="{28A0092B-C50C-407E-A947-70E740481C1C}">
                          <a14:useLocalDpi xmlns:a14="http://schemas.microsoft.com/office/drawing/2010/main" val="0"/>
                        </a:ext>
                      </a:extLst>
                    </a:blip>
                    <a:srcRect l="24280" r="22899" b="2276"/>
                    <a:stretch/>
                  </pic:blipFill>
                  <pic:spPr bwMode="auto">
                    <a:xfrm>
                      <a:off x="0" y="0"/>
                      <a:ext cx="4179780" cy="4349782"/>
                    </a:xfrm>
                    <a:prstGeom prst="rect">
                      <a:avLst/>
                    </a:prstGeom>
                    <a:ln>
                      <a:noFill/>
                    </a:ln>
                    <a:extLst>
                      <a:ext uri="{53640926-AAD7-44D8-BBD7-CCE9431645EC}">
                        <a14:shadowObscured xmlns:a14="http://schemas.microsoft.com/office/drawing/2010/main"/>
                      </a:ext>
                    </a:extLst>
                  </pic:spPr>
                </pic:pic>
              </a:graphicData>
            </a:graphic>
          </wp:inline>
        </w:drawing>
      </w:r>
    </w:p>
    <w:p w14:paraId="51BF7C12" w14:textId="4C48E0B0" w:rsidR="005B098E" w:rsidRPr="008F5202" w:rsidRDefault="005B098E" w:rsidP="008F5202">
      <w:pPr>
        <w:pStyle w:val="Caption"/>
      </w:pPr>
      <w:bookmarkStart w:id="112" w:name="_Toc177755203"/>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4</w:t>
      </w:r>
      <w:r w:rsidR="003763D2" w:rsidRPr="008F5202">
        <w:fldChar w:fldCharType="end"/>
      </w:r>
      <w:r w:rsidRPr="008F5202">
        <w:t xml:space="preserve"> CT-scan reconstruction of (a) Octet, and (b) TKD samples</w:t>
      </w:r>
      <w:bookmarkEnd w:id="112"/>
    </w:p>
    <w:p w14:paraId="4E466FC9" w14:textId="7ACE25B2" w:rsidR="00836B4D" w:rsidRPr="008F5202" w:rsidRDefault="00836B4D" w:rsidP="00A752BA">
      <w:pPr>
        <w:pStyle w:val="Heading2"/>
        <w:rPr>
          <w:rFonts w:eastAsia="Aptos"/>
        </w:rPr>
      </w:pPr>
      <w:bookmarkStart w:id="113" w:name="_Toc177758159"/>
      <w:r w:rsidRPr="008F5202">
        <w:rPr>
          <w:rFonts w:eastAsia="Aptos"/>
        </w:rPr>
        <w:t>Experimental set-up</w:t>
      </w:r>
      <w:bookmarkEnd w:id="113"/>
    </w:p>
    <w:p w14:paraId="7F3B55D2" w14:textId="77777777" w:rsidR="00836B4D" w:rsidRPr="008F5202" w:rsidRDefault="00836B4D" w:rsidP="00A752BA">
      <w:pPr>
        <w:pStyle w:val="Heading3"/>
        <w:spacing w:line="360" w:lineRule="auto"/>
        <w:rPr>
          <w:rFonts w:eastAsia="Aptos"/>
        </w:rPr>
      </w:pPr>
      <w:bookmarkStart w:id="114" w:name="_Toc177758160"/>
      <w:r w:rsidRPr="008F5202">
        <w:rPr>
          <w:rFonts w:eastAsia="Aptos"/>
        </w:rPr>
        <w:t>k</w:t>
      </w:r>
      <w:r w:rsidRPr="008F5202">
        <w:rPr>
          <w:rFonts w:eastAsia="Aptos"/>
          <w:vertAlign w:val="subscript"/>
        </w:rPr>
        <w:t xml:space="preserve">eff  </w:t>
      </w:r>
      <w:r w:rsidRPr="008F5202">
        <w:rPr>
          <w:rFonts w:eastAsia="Aptos"/>
        </w:rPr>
        <w:t>experiments</w:t>
      </w:r>
      <w:bookmarkEnd w:id="114"/>
      <w:r w:rsidRPr="008F5202">
        <w:rPr>
          <w:rFonts w:eastAsia="Aptos"/>
        </w:rPr>
        <w:t xml:space="preserve"> </w:t>
      </w:r>
    </w:p>
    <w:p w14:paraId="22585765" w14:textId="7E0D8587" w:rsidR="00836B4D" w:rsidRPr="008F5202" w:rsidRDefault="00836B4D" w:rsidP="00A752BA">
      <w:pPr>
        <w:tabs>
          <w:tab w:val="left" w:pos="284"/>
        </w:tabs>
        <w:spacing w:after="160" w:line="360" w:lineRule="auto"/>
        <w:jc w:val="both"/>
        <w:rPr>
          <w:rFonts w:ascii="Times New Roman" w:eastAsia="Aptos" w:hAnsi="Times New Roman" w:cs="Times New Roman"/>
          <w:kern w:val="2"/>
          <w14:ligatures w14:val="standardContextual"/>
        </w:rPr>
      </w:pPr>
      <w:r w:rsidRPr="008F5202">
        <w:rPr>
          <w:rFonts w:ascii="Times New Roman" w:eastAsia="Aptos" w:hAnsi="Times New Roman" w:cs="Times New Roman"/>
          <w:kern w:val="2"/>
          <w:sz w:val="18"/>
          <w:szCs w:val="18"/>
          <w14:ligatures w14:val="standardContextual"/>
        </w:rPr>
        <w:tab/>
      </w:r>
      <w:r w:rsidRPr="008F5202">
        <w:rPr>
          <w:rFonts w:ascii="Times New Roman" w:eastAsia="Aptos" w:hAnsi="Times New Roman" w:cs="Times New Roman"/>
          <w:kern w:val="2"/>
          <w14:ligatures w14:val="standardContextual"/>
        </w:rPr>
        <w:t>The effective thermal conductivity (</w:t>
      </w:r>
      <w:r w:rsidRPr="008F5202">
        <w:rPr>
          <w:rFonts w:ascii="Times New Roman" w:eastAsia="Aptos" w:hAnsi="Times New Roman" w:cs="Times New Roman"/>
          <w:i/>
          <w:iCs/>
          <w:kern w:val="2"/>
          <w14:ligatures w14:val="standardContextual"/>
        </w:rPr>
        <w:t>k</w:t>
      </w:r>
      <w:r w:rsidRPr="008F5202">
        <w:rPr>
          <w:rFonts w:ascii="Times New Roman" w:eastAsia="Aptos" w:hAnsi="Times New Roman" w:cs="Times New Roman"/>
          <w:kern w:val="2"/>
          <w:vertAlign w:val="subscript"/>
          <w14:ligatures w14:val="standardContextual"/>
        </w:rPr>
        <w:t>eff</w:t>
      </w:r>
      <w:r w:rsidRPr="008F5202">
        <w:rPr>
          <w:rFonts w:ascii="Times New Roman" w:eastAsia="Aptos" w:hAnsi="Times New Roman" w:cs="Times New Roman"/>
          <w:kern w:val="2"/>
          <w14:ligatures w14:val="standardContextual"/>
        </w:rPr>
        <w:t xml:space="preserve">) of the 420 Stainless Steel samples shown in Figs. </w:t>
      </w:r>
      <w:r w:rsidR="00C544AE"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 xml:space="preserve">2 and </w:t>
      </w:r>
      <w:r w:rsidR="00C544AE"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 xml:space="preserve">3 with air as the working fluid was measured through the steady-state experiments described in detail in a previous work by the authors </w:t>
      </w:r>
      <w:r w:rsidR="00EA4E2B" w:rsidRPr="008F5202">
        <w:rPr>
          <w:rFonts w:ascii="Times New Roman" w:eastAsia="Aptos" w:hAnsi="Times New Roman" w:cs="Times New Roman"/>
          <w:kern w:val="2"/>
          <w14:ligatures w14:val="standardContextual"/>
        </w:rPr>
        <w:t>[3</w:t>
      </w:r>
      <w:r w:rsidR="009A2D90"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kern w:val="2"/>
          <w14:ligatures w14:val="standardContextual"/>
        </w:rPr>
        <w:t>34]. The solid thermal conductivity (</w:t>
      </w:r>
      <w:r w:rsidRPr="008F5202">
        <w:rPr>
          <w:rFonts w:ascii="Times New Roman" w:eastAsia="Aptos" w:hAnsi="Times New Roman" w:cs="Times New Roman"/>
          <w:i/>
          <w:iCs/>
          <w:kern w:val="2"/>
          <w14:ligatures w14:val="standardContextual"/>
        </w:rPr>
        <w:t>k</w:t>
      </w:r>
      <w:r w:rsidRPr="008F5202">
        <w:rPr>
          <w:rFonts w:ascii="Times New Roman" w:eastAsia="Aptos" w:hAnsi="Times New Roman" w:cs="Times New Roman"/>
          <w:kern w:val="2"/>
          <w:vertAlign w:val="subscript"/>
          <w14:ligatures w14:val="standardContextual"/>
        </w:rPr>
        <w:t>s</w:t>
      </w:r>
      <w:r w:rsidRPr="008F5202">
        <w:rPr>
          <w:rFonts w:ascii="Times New Roman" w:eastAsia="Aptos" w:hAnsi="Times New Roman" w:cs="Times New Roman"/>
          <w:kern w:val="2"/>
          <w14:ligatures w14:val="standardContextual"/>
        </w:rPr>
        <w:t xml:space="preserve">) was also measured experimentally to thoroughly characterize the material properties.  </w:t>
      </w:r>
    </w:p>
    <w:p w14:paraId="321D8C24" w14:textId="77777777" w:rsidR="00836B4D" w:rsidRPr="008F5202" w:rsidRDefault="00836B4D" w:rsidP="00A752BA">
      <w:pPr>
        <w:pStyle w:val="Heading3"/>
        <w:spacing w:line="360" w:lineRule="auto"/>
        <w:rPr>
          <w:rFonts w:eastAsia="Aptos"/>
        </w:rPr>
      </w:pPr>
      <w:bookmarkStart w:id="115" w:name="_Toc177758161"/>
      <w:r w:rsidRPr="008F5202">
        <w:rPr>
          <w:rFonts w:eastAsia="Aptos"/>
        </w:rPr>
        <w:lastRenderedPageBreak/>
        <w:t>Forced convection experiments</w:t>
      </w:r>
      <w:bookmarkEnd w:id="115"/>
    </w:p>
    <w:p w14:paraId="329621BD" w14:textId="31419D32" w:rsidR="00836B4D" w:rsidRPr="008F5202" w:rsidRDefault="00836B4D" w:rsidP="00C544AE">
      <w:pPr>
        <w:spacing w:after="160" w:line="360" w:lineRule="auto"/>
        <w:ind w:firstLine="284"/>
        <w:jc w:val="both"/>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 xml:space="preserve">Figure </w:t>
      </w:r>
      <w:r w:rsidR="00C544AE"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 xml:space="preserve">5a shows the 2D-schematic of the experimental facility. Air was drawn from a reservoir held at a constant pressure and connected to a compressor set to deliver air at 1 MPa. The desired air flow rate was then set using a pressure regulator installed upstream of an ASME orifice plate where flow rate was metered. The pressure differential (Dwyer 477 AV-2 (0-10 kPa)), static air-pressure (Dwyer DPG-002 (0-100 kPa)) and the temperature of the air passing through the orifice plate was recorded to determine the mass flowrate using an in-house MATLAB code. After flow-metering through the orifice-plate, the air was directed towards the test-section where the transition of the circular pipe of ~ 25.4 mm diameter to 50 mm x 10 mm cross-section of the test section was achieved with the help of a diffuser. </w:t>
      </w:r>
    </w:p>
    <w:p w14:paraId="2476C5DA" w14:textId="77777777" w:rsidR="00E03CE5" w:rsidRPr="008F5202" w:rsidRDefault="00836B4D" w:rsidP="00A752BA">
      <w:pPr>
        <w:keepNext/>
        <w:spacing w:after="160" w:line="360" w:lineRule="auto"/>
        <w:jc w:val="center"/>
        <w:rPr>
          <w:rFonts w:ascii="Times New Roman" w:hAnsi="Times New Roman" w:cs="Times New Roman"/>
        </w:rPr>
      </w:pPr>
      <w:r w:rsidRPr="008F5202">
        <w:rPr>
          <w:rFonts w:ascii="Times New Roman" w:hAnsi="Times New Roman" w:cs="Times New Roman"/>
          <w:noProof/>
          <w:kern w:val="2"/>
          <w:sz w:val="18"/>
          <w:szCs w:val="18"/>
          <w14:ligatures w14:val="standardContextual"/>
        </w:rPr>
        <w:drawing>
          <wp:inline distT="0" distB="0" distL="0" distR="0" wp14:anchorId="593524FF" wp14:editId="66D93BA0">
            <wp:extent cx="5674378" cy="3190875"/>
            <wp:effectExtent l="0" t="0" r="2540" b="0"/>
            <wp:docPr id="951240281" name="Picture 951240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42" cstate="print">
                      <a:extLst>
                        <a:ext uri="{28A0092B-C50C-407E-A947-70E740481C1C}">
                          <a14:useLocalDpi xmlns:a14="http://schemas.microsoft.com/office/drawing/2010/main" val="0"/>
                        </a:ext>
                      </a:extLst>
                    </a:blip>
                    <a:srcRect l="4480" t="5104" r="8954" b="8356"/>
                    <a:stretch/>
                  </pic:blipFill>
                  <pic:spPr bwMode="auto">
                    <a:xfrm>
                      <a:off x="0" y="0"/>
                      <a:ext cx="5706651" cy="3209023"/>
                    </a:xfrm>
                    <a:prstGeom prst="rect">
                      <a:avLst/>
                    </a:prstGeom>
                    <a:ln>
                      <a:noFill/>
                    </a:ln>
                    <a:extLst>
                      <a:ext uri="{53640926-AAD7-44D8-BBD7-CCE9431645EC}">
                        <a14:shadowObscured xmlns:a14="http://schemas.microsoft.com/office/drawing/2010/main"/>
                      </a:ext>
                    </a:extLst>
                  </pic:spPr>
                </pic:pic>
              </a:graphicData>
            </a:graphic>
          </wp:inline>
        </w:drawing>
      </w:r>
    </w:p>
    <w:p w14:paraId="3EEBD270" w14:textId="53897F27" w:rsidR="00836B4D" w:rsidRPr="008F5202" w:rsidRDefault="00E03CE5" w:rsidP="008F5202">
      <w:pPr>
        <w:pStyle w:val="Caption"/>
        <w:rPr>
          <w:kern w:val="2"/>
          <w:sz w:val="18"/>
          <w14:ligatures w14:val="standardContextual"/>
        </w:rPr>
      </w:pPr>
      <w:bookmarkStart w:id="116" w:name="_Toc177755204"/>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5</w:t>
      </w:r>
      <w:r w:rsidR="003763D2" w:rsidRPr="008F5202">
        <w:fldChar w:fldCharType="end"/>
      </w:r>
      <w:r w:rsidRPr="008F5202">
        <w:t xml:space="preserve"> Schematic of the experimental set-up, (b) test-section along with attached diffuser section for smooth flow transition, (c) schematic of the heater-lattice assembly used for the test-runs</w:t>
      </w:r>
      <w:bookmarkEnd w:id="116"/>
    </w:p>
    <w:p w14:paraId="77F4DCA3" w14:textId="332E203B"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r w:rsidRPr="008F5202">
        <w:rPr>
          <w:rFonts w:ascii="Times New Roman" w:eastAsia="Aptos" w:hAnsi="Times New Roman" w:cs="Times New Roman"/>
          <w:kern w:val="2"/>
          <w14:ligatures w14:val="standardContextual"/>
        </w:rPr>
        <w:t xml:space="preserve">Figure </w:t>
      </w:r>
      <w:r w:rsidR="00C544AE"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 xml:space="preserve">5b shows the isometric view of the diffuser and test-section assembly. The components of this assembly were manufactured using resin via Stereolithography (SLA) </w:t>
      </w:r>
      <w:r w:rsidRPr="008F5202">
        <w:rPr>
          <w:rFonts w:ascii="Times New Roman" w:eastAsia="Aptos" w:hAnsi="Times New Roman" w:cs="Times New Roman"/>
          <w:kern w:val="2"/>
          <w14:ligatures w14:val="standardContextual"/>
        </w:rPr>
        <w:lastRenderedPageBreak/>
        <w:t>process through a Form 3 printer. The test-section was ~ 10</w:t>
      </w:r>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d</m:t>
            </m:r>
          </m:e>
          <m:sub>
            <m:r>
              <w:rPr>
                <w:rFonts w:ascii="Cambria Math" w:eastAsia="Aptos" w:hAnsi="Cambria Math" w:cs="Times New Roman"/>
                <w:kern w:val="2"/>
                <w14:ligatures w14:val="standardContextual"/>
              </w:rPr>
              <m:t>h</m:t>
            </m:r>
          </m:sub>
        </m:sSub>
      </m:oMath>
      <w:r w:rsidRPr="008F5202">
        <w:rPr>
          <w:rFonts w:ascii="Times New Roman" w:hAnsi="Times New Roman" w:cs="Times New Roman"/>
          <w:kern w:val="2"/>
          <w14:ligatures w14:val="standardContextual"/>
        </w:rPr>
        <w:t xml:space="preserve"> long and had the cross-section of 50 mm x 10 mm. The lattice samples were placed ~ 5</w:t>
      </w:r>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d</m:t>
            </m:r>
          </m:e>
          <m:sub>
            <m:r>
              <w:rPr>
                <w:rFonts w:ascii="Cambria Math" w:eastAsia="Aptos" w:hAnsi="Cambria Math" w:cs="Times New Roman"/>
                <w:kern w:val="2"/>
                <w14:ligatures w14:val="standardContextual"/>
              </w:rPr>
              <m:t>h</m:t>
            </m:r>
          </m:sub>
        </m:sSub>
      </m:oMath>
      <w:r w:rsidRPr="008F5202">
        <w:rPr>
          <w:rFonts w:ascii="Times New Roman" w:hAnsi="Times New Roman" w:cs="Times New Roman"/>
          <w:kern w:val="2"/>
          <w14:ligatures w14:val="standardContextual"/>
        </w:rPr>
        <w:t xml:space="preserve"> downstream of the test-section inlet and ~2</w:t>
      </w:r>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d</m:t>
            </m:r>
          </m:e>
          <m:sub>
            <m:r>
              <w:rPr>
                <w:rFonts w:ascii="Cambria Math" w:eastAsia="Aptos" w:hAnsi="Cambria Math" w:cs="Times New Roman"/>
                <w:kern w:val="2"/>
                <w14:ligatures w14:val="standardContextual"/>
              </w:rPr>
              <m:t>h</m:t>
            </m:r>
          </m:sub>
        </m:sSub>
      </m:oMath>
      <w:r w:rsidRPr="008F5202">
        <w:rPr>
          <w:rFonts w:ascii="Times New Roman" w:hAnsi="Times New Roman" w:cs="Times New Roman"/>
          <w:kern w:val="2"/>
          <w14:ligatures w14:val="standardContextual"/>
        </w:rPr>
        <w:t xml:space="preserve"> exit length was provided at the end to prevent the influence of ambient conditions on the heat transfer measurements. </w:t>
      </w:r>
    </w:p>
    <w:p w14:paraId="07C16423" w14:textId="465244E5"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The heater and test-sample assembly is presented in the Fig. </w:t>
      </w:r>
      <w:r w:rsidR="00C544AE"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5c. Patch heaters were glued to the substrate walls with the help of RTV (room temperature vulcanizing) silicone to provide uniform heat flux boundary condition. For double-wall heating experiments, similar heat flux values were maintained on the upper and lower substrate walls, whereas in single wall-heating conditions, only one wall (bottom) was heated, and the other was held adiabatic by providing the insulation. The backside of the heaters was covered with Styrofoam insulation having thermal conductivity of ~0.037 </w:t>
      </w:r>
      <m:oMath>
        <m:f>
          <m:fPr>
            <m:type m:val="lin"/>
            <m:ctrlPr>
              <w:rPr>
                <w:rFonts w:ascii="Cambria Math" w:hAnsi="Cambria Math" w:cs="Times New Roman"/>
                <w:i/>
                <w:kern w:val="2"/>
                <w14:ligatures w14:val="standardContextual"/>
              </w:rPr>
            </m:ctrlPr>
          </m:fPr>
          <m:num>
            <m:r>
              <w:rPr>
                <w:rFonts w:ascii="Cambria Math" w:hAnsi="Cambria Math" w:cs="Times New Roman"/>
                <w:kern w:val="2"/>
                <w14:ligatures w14:val="standardContextual"/>
              </w:rPr>
              <m:t>W</m:t>
            </m:r>
          </m:num>
          <m:den>
            <m:r>
              <w:rPr>
                <w:rFonts w:ascii="Cambria Math" w:hAnsi="Cambria Math" w:cs="Times New Roman"/>
                <w:kern w:val="2"/>
                <w14:ligatures w14:val="standardContextual"/>
              </w:rPr>
              <m:t>mK</m:t>
            </m:r>
          </m:den>
        </m:f>
      </m:oMath>
      <w:r w:rsidRPr="008F5202">
        <w:rPr>
          <w:rFonts w:ascii="Times New Roman" w:hAnsi="Times New Roman" w:cs="Times New Roman"/>
          <w:kern w:val="2"/>
          <w14:ligatures w14:val="standardContextual"/>
        </w:rPr>
        <w:t xml:space="preserve"> to minimize the heat losses. </w:t>
      </w:r>
      <w:bookmarkStart w:id="117" w:name="_Hlk97288549"/>
    </w:p>
    <w:p w14:paraId="212B3D34" w14:textId="4140BEC2" w:rsidR="00836B4D" w:rsidRPr="008F5202" w:rsidRDefault="00836B4D" w:rsidP="00A752BA">
      <w:pPr>
        <w:pStyle w:val="Heading2"/>
        <w:rPr>
          <w:rFonts w:eastAsia="Aptos"/>
        </w:rPr>
      </w:pPr>
      <w:bookmarkStart w:id="118" w:name="_Toc177758162"/>
      <w:bookmarkEnd w:id="117"/>
      <w:r w:rsidRPr="008F5202">
        <w:rPr>
          <w:rFonts w:eastAsia="Aptos"/>
        </w:rPr>
        <w:t>Experimental method and data reduction</w:t>
      </w:r>
      <w:bookmarkEnd w:id="118"/>
    </w:p>
    <w:p w14:paraId="12D7A6FF" w14:textId="11AE901B"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As mentioned above, the details for the </w:t>
      </w:r>
      <w:r w:rsidRPr="008F5202">
        <w:rPr>
          <w:rFonts w:ascii="Times New Roman" w:hAnsi="Times New Roman" w:cs="Times New Roman"/>
          <w:i/>
          <w:iCs/>
          <w:kern w:val="2"/>
          <w14:ligatures w14:val="standardContextual"/>
        </w:rPr>
        <w:t>k</w:t>
      </w:r>
      <w:r w:rsidRPr="008F5202">
        <w:rPr>
          <w:rFonts w:ascii="Times New Roman" w:hAnsi="Times New Roman" w:cs="Times New Roman"/>
          <w:kern w:val="2"/>
          <w:vertAlign w:val="subscript"/>
          <w14:ligatures w14:val="standardContextual"/>
        </w:rPr>
        <w:t>eff</w:t>
      </w:r>
      <w:r w:rsidRPr="008F5202">
        <w:rPr>
          <w:rFonts w:ascii="Times New Roman" w:hAnsi="Times New Roman" w:cs="Times New Roman"/>
          <w:kern w:val="2"/>
          <w14:ligatures w14:val="standardContextual"/>
        </w:rPr>
        <w:t xml:space="preserve"> measurement procedure are provided in prior published work of the authors </w:t>
      </w:r>
      <w:r w:rsidR="00EA4E2B" w:rsidRPr="008F5202">
        <w:rPr>
          <w:rFonts w:ascii="Times New Roman" w:eastAsia="Aptos" w:hAnsi="Times New Roman" w:cs="Times New Roman"/>
          <w:kern w:val="2"/>
          <w14:ligatures w14:val="standardContextual"/>
        </w:rPr>
        <w:t>[3</w:t>
      </w:r>
      <w:r w:rsidR="009A2D90"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kern w:val="2"/>
          <w14:ligatures w14:val="standardContextual"/>
        </w:rPr>
        <w:t>34]</w:t>
      </w:r>
      <w:r w:rsidRPr="008F5202">
        <w:rPr>
          <w:rFonts w:ascii="Times New Roman" w:hAnsi="Times New Roman" w:cs="Times New Roman"/>
          <w:kern w:val="2"/>
          <w14:ligatures w14:val="standardContextual"/>
        </w:rPr>
        <w:t xml:space="preserve"> and will be omitted here in the interest of brevity. The methodology adopted to evaluate the flow and forced convection thermal characteristics of the investigated lattices is discussed below.</w:t>
      </w:r>
    </w:p>
    <w:p w14:paraId="762E3377" w14:textId="77777777"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Steady-state heat transfer experiments were conducted where required flow conditions were set first, followed by suitable heat load at the top and bottom walls. The top and bottom walls of the lattice samples were subjected to constant heat flux boundary condition, where heat was supplied through a patch heater glued perfectly with both the walls. The heaters were connected to DC power supply with high accuracy of 3-decimal places current output, which was used for heat transfer coefficient calculations described later. On the back side of the two heaters, an insulation was glued to minimize the conduction losses. This heat loss was also calculated by measuring temperature difference across the insulator. Maximum heat loss observed did not exceed ~5% of the total heat supplied. Once the steady-state was reached, the temperature measurements at the sample and insulation were carried out, along with the air temperature at the inlet of the test section. The supply pressure was also measured at this time. </w:t>
      </w:r>
    </w:p>
    <w:p w14:paraId="65794A39" w14:textId="77777777"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lastRenderedPageBreak/>
        <w:t>Overall conjugate heat transfer was measured through the control volume analysis which encompasses the effects of flow, lattice structure, working fluid, and the solid-material. The heat supplied to the system from one of the substrate walls was calculated as:</w:t>
      </w:r>
    </w:p>
    <w:p w14:paraId="2B454236" w14:textId="232519F6" w:rsidR="00E03CE5" w:rsidRPr="008F5202" w:rsidRDefault="00E03CE5" w:rsidP="008F5202">
      <w:pPr>
        <w:pStyle w:val="Caption"/>
      </w:pPr>
      <w:bookmarkStart w:id="119" w:name="_Hlk84684070"/>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3</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1</w:t>
      </w:r>
      <w:r w:rsidR="000978FD" w:rsidRPr="008F5202">
        <w:fldChar w:fldCharType="end"/>
      </w:r>
    </w:p>
    <w:p w14:paraId="79215F6B" w14:textId="00A641B7" w:rsidR="00836B4D" w:rsidRPr="008F5202" w:rsidRDefault="00000000" w:rsidP="00A752BA">
      <w:pPr>
        <w:spacing w:after="160" w:line="360" w:lineRule="auto"/>
        <w:jc w:val="both"/>
        <w:rPr>
          <w:rFonts w:ascii="Times New Roman" w:hAnsi="Times New Roman" w:cs="Times New Roman"/>
          <w:kern w:val="2"/>
          <w14:ligatures w14:val="standardContextual"/>
        </w:rPr>
      </w:pPr>
      <m:oMathPara>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Q</m:t>
              </m:r>
            </m:e>
            <m:sub>
              <m:r>
                <w:rPr>
                  <w:rFonts w:ascii="Cambria Math" w:eastAsia="Aptos" w:hAnsi="Cambria Math" w:cs="Times New Roman"/>
                  <w:kern w:val="2"/>
                  <w14:ligatures w14:val="standardContextual"/>
                </w:rPr>
                <m:t xml:space="preserve"> C.V.</m:t>
              </m:r>
            </m:sub>
          </m:sSub>
          <w:bookmarkEnd w:id="119"/>
          <m:r>
            <w:rPr>
              <w:rFonts w:ascii="Cambria Math" w:eastAsia="Aptos" w:hAnsi="Cambria Math" w:cs="Times New Roman"/>
              <w:kern w:val="2"/>
              <w14:ligatures w14:val="standardContextual"/>
            </w:rPr>
            <m:t>=(</m:t>
          </m:r>
          <m:sSup>
            <m:sSupPr>
              <m:ctrlPr>
                <w:rPr>
                  <w:rFonts w:ascii="Cambria Math" w:eastAsia="Aptos" w:hAnsi="Cambria Math" w:cs="Times New Roman"/>
                  <w:i/>
                  <w:kern w:val="2"/>
                  <w14:ligatures w14:val="standardContextual"/>
                </w:rPr>
              </m:ctrlPr>
            </m:sSupPr>
            <m:e>
              <m:r>
                <w:rPr>
                  <w:rFonts w:ascii="Cambria Math" w:eastAsia="Aptos" w:hAnsi="Cambria Math" w:cs="Times New Roman"/>
                  <w:kern w:val="2"/>
                  <w14:ligatures w14:val="standardContextual"/>
                </w:rPr>
                <m:t>I</m:t>
              </m:r>
            </m:e>
            <m:sup>
              <m:r>
                <w:rPr>
                  <w:rFonts w:ascii="Cambria Math" w:eastAsia="Aptos" w:hAnsi="Cambria Math" w:cs="Times New Roman"/>
                  <w:kern w:val="2"/>
                  <w14:ligatures w14:val="standardContextual"/>
                </w:rPr>
                <m:t>2</m:t>
              </m:r>
            </m:sup>
          </m:sSup>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R</m:t>
              </m:r>
            </m:e>
            <m:sub>
              <m:r>
                <w:rPr>
                  <w:rFonts w:ascii="Cambria Math" w:eastAsia="Aptos" w:hAnsi="Cambria Math" w:cs="Times New Roman"/>
                  <w:kern w:val="2"/>
                  <w14:ligatures w14:val="standardContextual"/>
                </w:rPr>
                <m:t>htr</m:t>
              </m:r>
            </m:sub>
          </m:sSub>
          <m:r>
            <w:rPr>
              <w:rFonts w:ascii="Cambria Math" w:eastAsia="Aptos" w:hAnsi="Cambria Math" w:cs="Times New Roman"/>
              <w:kern w:val="2"/>
              <w14:ligatures w14:val="standardContextual"/>
            </w:rPr>
            <m:t>)-</m:t>
          </m:r>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(Q</m:t>
              </m:r>
            </m:e>
            <m:sub>
              <m:r>
                <w:rPr>
                  <w:rFonts w:ascii="Cambria Math" w:eastAsia="Aptos" w:hAnsi="Cambria Math" w:cs="Times New Roman"/>
                  <w:kern w:val="2"/>
                  <w14:ligatures w14:val="standardContextual"/>
                </w:rPr>
                <m:t>l,  ins</m:t>
              </m:r>
            </m:sub>
          </m:sSub>
          <m:r>
            <w:rPr>
              <w:rFonts w:ascii="Cambria Math" w:eastAsia="Aptos" w:hAnsi="Cambria Math" w:cs="Times New Roman"/>
              <w:kern w:val="2"/>
              <w14:ligatures w14:val="standardContextual"/>
            </w:rPr>
            <m:t>)</m:t>
          </m:r>
        </m:oMath>
      </m:oMathPara>
    </w:p>
    <w:p w14:paraId="10568F99" w14:textId="77777777" w:rsidR="00836B4D" w:rsidRPr="008F5202" w:rsidRDefault="00836B4D" w:rsidP="00A752BA">
      <w:pPr>
        <w:spacing w:after="160" w:line="360" w:lineRule="auto"/>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where, </w:t>
      </w:r>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Q</m:t>
            </m:r>
          </m:e>
          <m:sub>
            <m:r>
              <w:rPr>
                <w:rFonts w:ascii="Cambria Math" w:eastAsia="Aptos" w:hAnsi="Cambria Math" w:cs="Times New Roman"/>
                <w:kern w:val="2"/>
                <w14:ligatures w14:val="standardContextual"/>
              </w:rPr>
              <m:t>l,  ins</m:t>
            </m:r>
          </m:sub>
        </m:sSub>
      </m:oMath>
      <w:r w:rsidRPr="008F5202">
        <w:rPr>
          <w:rFonts w:ascii="Times New Roman" w:hAnsi="Times New Roman" w:cs="Times New Roman"/>
          <w:kern w:val="2"/>
          <w14:ligatures w14:val="standardContextual"/>
        </w:rPr>
        <w:t xml:space="preserve"> was the heat loss through the backside insulation measured using Fourier’s law. The net heat input </w:t>
      </w:r>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Q</m:t>
            </m:r>
          </m:e>
          <m:sub>
            <m:r>
              <w:rPr>
                <w:rFonts w:ascii="Cambria Math" w:eastAsia="Aptos" w:hAnsi="Cambria Math" w:cs="Times New Roman"/>
                <w:kern w:val="2"/>
                <w14:ligatures w14:val="standardContextual"/>
              </w:rPr>
              <m:t>net, C.V.</m:t>
            </m:r>
          </m:sub>
        </m:sSub>
        <m:r>
          <w:rPr>
            <w:rFonts w:ascii="Cambria Math" w:eastAsia="Aptos" w:hAnsi="Cambria Math" w:cs="Times New Roman"/>
            <w:kern w:val="2"/>
            <w14:ligatures w14:val="standardContextual"/>
          </w:rPr>
          <m:t xml:space="preserve"> </m:t>
        </m:r>
      </m:oMath>
      <w:r w:rsidRPr="008F5202">
        <w:rPr>
          <w:rFonts w:ascii="Times New Roman" w:hAnsi="Times New Roman" w:cs="Times New Roman"/>
          <w:kern w:val="2"/>
          <w14:ligatures w14:val="standardContextual"/>
        </w:rPr>
        <w:t xml:space="preserve">into the lattice during double wall heating conditions was taken as summation of </w:t>
      </w:r>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Q</m:t>
            </m:r>
          </m:e>
          <m:sub>
            <m:r>
              <w:rPr>
                <w:rFonts w:ascii="Cambria Math" w:eastAsia="Aptos" w:hAnsi="Cambria Math" w:cs="Times New Roman"/>
                <w:kern w:val="2"/>
                <w14:ligatures w14:val="standardContextual"/>
              </w:rPr>
              <m:t xml:space="preserve"> C.V.</m:t>
            </m:r>
          </m:sub>
        </m:sSub>
      </m:oMath>
      <w:r w:rsidRPr="008F5202">
        <w:rPr>
          <w:rFonts w:ascii="Times New Roman" w:hAnsi="Times New Roman" w:cs="Times New Roman"/>
          <w:kern w:val="2"/>
          <w14:ligatures w14:val="standardContextual"/>
        </w:rPr>
        <w:t xml:space="preserve"> from the top and bottom substrate walls. The exit bulk-temperature was obtained from the energy-balance method as following:</w:t>
      </w:r>
    </w:p>
    <w:p w14:paraId="63CFA0A5" w14:textId="77777777" w:rsidR="00836B4D" w:rsidRPr="008F5202" w:rsidRDefault="00836B4D" w:rsidP="00A752BA">
      <w:pPr>
        <w:spacing w:line="360" w:lineRule="auto"/>
        <w:jc w:val="both"/>
        <w:rPr>
          <w:rFonts w:ascii="Times New Roman" w:hAnsi="Times New Roman" w:cs="Times New Roman"/>
          <w:kern w:val="2"/>
          <w14:ligatures w14:val="standardContextual"/>
        </w:rPr>
      </w:pPr>
    </w:p>
    <w:p w14:paraId="24F767B6" w14:textId="7CD60553" w:rsidR="008208E8" w:rsidRPr="008F5202" w:rsidRDefault="008208E8" w:rsidP="008F5202">
      <w:pPr>
        <w:pStyle w:val="Caption"/>
      </w:pPr>
      <w:bookmarkStart w:id="120" w:name="_Hlk84684120"/>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3</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2</w:t>
      </w:r>
      <w:r w:rsidR="000978FD" w:rsidRPr="008F5202">
        <w:fldChar w:fldCharType="end"/>
      </w:r>
    </w:p>
    <w:p w14:paraId="2F52BF65" w14:textId="6D3FA7F8" w:rsidR="00836B4D" w:rsidRPr="008F5202" w:rsidRDefault="00000000" w:rsidP="00A752BA">
      <w:pPr>
        <w:spacing w:line="360" w:lineRule="auto"/>
        <w:jc w:val="both"/>
        <w:rPr>
          <w:rFonts w:ascii="Times New Roman" w:hAnsi="Times New Roman" w:cs="Times New Roman"/>
          <w:kern w:val="2"/>
          <w14:ligatures w14:val="standardContextual"/>
        </w:rPr>
      </w:pPr>
      <m:oMathPara>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T</m:t>
              </m:r>
            </m:e>
            <m:sub>
              <m:r>
                <w:rPr>
                  <w:rFonts w:ascii="Cambria Math" w:eastAsia="Aptos" w:hAnsi="Cambria Math" w:cs="Times New Roman"/>
                  <w:kern w:val="2"/>
                  <w14:ligatures w14:val="standardContextual"/>
                </w:rPr>
                <m:t>b, L</m:t>
              </m:r>
            </m:sub>
          </m:sSub>
          <w:bookmarkEnd w:id="120"/>
          <m:r>
            <w:rPr>
              <w:rFonts w:ascii="Cambria Math" w:eastAsia="Aptos" w:hAnsi="Cambria Math" w:cs="Times New Roman"/>
              <w:kern w:val="2"/>
              <w14:ligatures w14:val="standardContextual"/>
            </w:rPr>
            <m:t>=</m:t>
          </m:r>
          <w:bookmarkStart w:id="121" w:name="_Hlk84684136"/>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T</m:t>
              </m:r>
            </m:e>
            <m:sub>
              <m:r>
                <w:rPr>
                  <w:rFonts w:ascii="Cambria Math" w:eastAsia="Aptos" w:hAnsi="Cambria Math" w:cs="Times New Roman"/>
                  <w:kern w:val="2"/>
                  <w14:ligatures w14:val="standardContextual"/>
                </w:rPr>
                <m:t>in</m:t>
              </m:r>
            </m:sub>
          </m:sSub>
          <w:bookmarkEnd w:id="121"/>
          <m:r>
            <w:rPr>
              <w:rFonts w:ascii="Cambria Math" w:eastAsia="Aptos" w:hAnsi="Cambria Math" w:cs="Times New Roman"/>
              <w:kern w:val="2"/>
              <w14:ligatures w14:val="standardContextual"/>
            </w:rPr>
            <m:t xml:space="preserve">+ </m:t>
          </m:r>
          <m:f>
            <m:fPr>
              <m:ctrlPr>
                <w:rPr>
                  <w:rFonts w:ascii="Cambria Math" w:eastAsia="Aptos" w:hAnsi="Cambria Math" w:cs="Times New Roman"/>
                  <w:i/>
                  <w:kern w:val="2"/>
                  <w14:ligatures w14:val="standardContextual"/>
                </w:rPr>
              </m:ctrlPr>
            </m:fPr>
            <m:num>
              <w:bookmarkStart w:id="122" w:name="_Hlk84684155"/>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Q</m:t>
                  </m:r>
                </m:e>
                <m:sub>
                  <m:r>
                    <w:rPr>
                      <w:rFonts w:ascii="Cambria Math" w:eastAsia="Aptos" w:hAnsi="Cambria Math" w:cs="Times New Roman"/>
                      <w:kern w:val="2"/>
                      <w14:ligatures w14:val="standardContextual"/>
                    </w:rPr>
                    <m:t>net, C.V.</m:t>
                  </m:r>
                </m:sub>
              </m:sSub>
              <w:bookmarkEnd w:id="122"/>
            </m:num>
            <m:den>
              <w:bookmarkStart w:id="123" w:name="_Hlk84684165"/>
              <m:acc>
                <m:accPr>
                  <m:chr m:val="̇"/>
                  <m:ctrlPr>
                    <w:rPr>
                      <w:rFonts w:ascii="Cambria Math" w:eastAsia="Aptos" w:hAnsi="Cambria Math" w:cs="Times New Roman"/>
                      <w:i/>
                      <w:kern w:val="2"/>
                      <w14:ligatures w14:val="standardContextual"/>
                    </w:rPr>
                  </m:ctrlPr>
                </m:accPr>
                <m:e>
                  <m:r>
                    <w:rPr>
                      <w:rFonts w:ascii="Cambria Math" w:eastAsia="Aptos" w:hAnsi="Cambria Math" w:cs="Times New Roman"/>
                      <w:kern w:val="2"/>
                      <w14:ligatures w14:val="standardContextual"/>
                    </w:rPr>
                    <m:t>m</m:t>
                  </m:r>
                </m:e>
              </m:acc>
              <w:bookmarkStart w:id="124" w:name="_Hlk84684173"/>
              <w:bookmarkEnd w:id="123"/>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c</m:t>
                  </m:r>
                </m:e>
                <m:sub>
                  <m:r>
                    <w:rPr>
                      <w:rFonts w:ascii="Cambria Math" w:eastAsia="Aptos" w:hAnsi="Cambria Math" w:cs="Times New Roman"/>
                      <w:kern w:val="2"/>
                      <w14:ligatures w14:val="standardContextual"/>
                    </w:rPr>
                    <m:t>p</m:t>
                  </m:r>
                </m:sub>
              </m:sSub>
              <w:bookmarkEnd w:id="124"/>
            </m:den>
          </m:f>
        </m:oMath>
      </m:oMathPara>
    </w:p>
    <w:p w14:paraId="14855D49" w14:textId="77777777" w:rsidR="00836B4D" w:rsidRPr="008F5202" w:rsidRDefault="00836B4D" w:rsidP="00A752BA">
      <w:pPr>
        <w:spacing w:line="360" w:lineRule="auto"/>
        <w:jc w:val="both"/>
        <w:rPr>
          <w:rFonts w:ascii="Times New Roman" w:hAnsi="Times New Roman" w:cs="Times New Roman"/>
          <w:kern w:val="2"/>
          <w14:ligatures w14:val="standardContextual"/>
        </w:rPr>
      </w:pPr>
    </w:p>
    <w:p w14:paraId="5B5879F5" w14:textId="77777777" w:rsidR="00836B4D" w:rsidRPr="008F5202" w:rsidRDefault="00836B4D" w:rsidP="00A752BA">
      <w:pPr>
        <w:spacing w:line="360" w:lineRule="auto"/>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where </w:t>
      </w:r>
      <m:oMath>
        <m:acc>
          <m:accPr>
            <m:chr m:val="̇"/>
            <m:ctrlPr>
              <w:rPr>
                <w:rFonts w:ascii="Cambria Math" w:eastAsia="Aptos" w:hAnsi="Cambria Math" w:cs="Times New Roman"/>
                <w:i/>
                <w:kern w:val="2"/>
                <w14:ligatures w14:val="standardContextual"/>
              </w:rPr>
            </m:ctrlPr>
          </m:accPr>
          <m:e>
            <m:r>
              <w:rPr>
                <w:rFonts w:ascii="Cambria Math" w:eastAsia="Aptos" w:hAnsi="Cambria Math" w:cs="Times New Roman"/>
                <w:kern w:val="2"/>
                <w14:ligatures w14:val="standardContextual"/>
              </w:rPr>
              <m:t>m</m:t>
            </m:r>
          </m:e>
        </m:acc>
      </m:oMath>
      <w:r w:rsidRPr="008F5202">
        <w:rPr>
          <w:rFonts w:ascii="Times New Roman" w:hAnsi="Times New Roman" w:cs="Times New Roman"/>
          <w:kern w:val="2"/>
          <w14:ligatures w14:val="standardContextual"/>
        </w:rPr>
        <w:t xml:space="preserve"> and </w:t>
      </w:r>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c</m:t>
            </m:r>
          </m:e>
          <m:sub>
            <m:r>
              <w:rPr>
                <w:rFonts w:ascii="Cambria Math" w:eastAsia="Aptos" w:hAnsi="Cambria Math" w:cs="Times New Roman"/>
                <w:kern w:val="2"/>
                <w14:ligatures w14:val="standardContextual"/>
              </w:rPr>
              <m:t>p</m:t>
            </m:r>
          </m:sub>
        </m:sSub>
      </m:oMath>
      <w:r w:rsidRPr="008F5202">
        <w:rPr>
          <w:rFonts w:ascii="Times New Roman" w:hAnsi="Times New Roman" w:cs="Times New Roman"/>
          <w:kern w:val="2"/>
          <w14:ligatures w14:val="standardContextual"/>
        </w:rPr>
        <w:t xml:space="preserve"> were the mass flow rate and specific heat capacity of air, respectively. Linear variation of the bulk temperature (</w:t>
      </w:r>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T</m:t>
            </m:r>
          </m:e>
          <m:sub>
            <m:r>
              <w:rPr>
                <w:rFonts w:ascii="Cambria Math" w:eastAsia="Aptos" w:hAnsi="Cambria Math" w:cs="Times New Roman"/>
                <w:kern w:val="2"/>
                <w14:ligatures w14:val="standardContextual"/>
              </w:rPr>
              <m:t>b, x</m:t>
            </m:r>
          </m:sub>
        </m:sSub>
      </m:oMath>
      <w:r w:rsidRPr="008F5202">
        <w:rPr>
          <w:rFonts w:ascii="Times New Roman" w:hAnsi="Times New Roman" w:cs="Times New Roman"/>
          <w:kern w:val="2"/>
          <w14:ligatures w14:val="standardContextual"/>
        </w:rPr>
        <w:t>) with respect to streamwise distance was obtained using the inlet (</w:t>
      </w:r>
      <m:oMath>
        <m:r>
          <w:rPr>
            <w:rFonts w:ascii="Cambria Math" w:hAnsi="Cambria Math" w:cs="Times New Roman"/>
            <w:kern w:val="2"/>
            <w14:ligatures w14:val="standardContextual"/>
          </w:rPr>
          <m:t>x</m:t>
        </m:r>
      </m:oMath>
      <w:r w:rsidRPr="008F5202">
        <w:rPr>
          <w:rFonts w:ascii="Times New Roman" w:hAnsi="Times New Roman" w:cs="Times New Roman"/>
          <w:kern w:val="2"/>
          <w14:ligatures w14:val="standardContextual"/>
        </w:rPr>
        <w:t xml:space="preserve"> = 0) and exit (</w:t>
      </w:r>
      <m:oMath>
        <m:r>
          <w:rPr>
            <w:rFonts w:ascii="Cambria Math" w:hAnsi="Cambria Math" w:cs="Times New Roman"/>
            <w:kern w:val="2"/>
            <w14:ligatures w14:val="standardContextual"/>
          </w:rPr>
          <m:t>x</m:t>
        </m:r>
      </m:oMath>
      <w:r w:rsidRPr="008F5202">
        <w:rPr>
          <w:rFonts w:ascii="Times New Roman" w:hAnsi="Times New Roman" w:cs="Times New Roman"/>
          <w:kern w:val="2"/>
          <w14:ligatures w14:val="standardContextual"/>
        </w:rPr>
        <w:t xml:space="preserve"> = L) temperatures. Length averaged bulk temperature defined below was taken as the reference for heat transfer coefficient:</w:t>
      </w:r>
    </w:p>
    <w:p w14:paraId="6C4B8DEF" w14:textId="77777777" w:rsidR="00836B4D" w:rsidRPr="008F5202" w:rsidRDefault="00836B4D" w:rsidP="00A752BA">
      <w:pPr>
        <w:spacing w:line="360" w:lineRule="auto"/>
        <w:jc w:val="both"/>
        <w:rPr>
          <w:rFonts w:ascii="Times New Roman" w:hAnsi="Times New Roman" w:cs="Times New Roman"/>
          <w:kern w:val="2"/>
          <w14:ligatures w14:val="standardContextual"/>
        </w:rPr>
      </w:pPr>
    </w:p>
    <w:p w14:paraId="310F184C" w14:textId="74B3ECB5" w:rsidR="008208E8" w:rsidRPr="008F5202" w:rsidRDefault="008208E8" w:rsidP="008F5202">
      <w:pPr>
        <w:pStyle w:val="Caption"/>
      </w:pPr>
      <w:bookmarkStart w:id="125" w:name="_Hlk84684189"/>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3</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3</w:t>
      </w:r>
      <w:r w:rsidR="000978FD" w:rsidRPr="008F5202">
        <w:fldChar w:fldCharType="end"/>
      </w:r>
    </w:p>
    <w:p w14:paraId="2990F32D" w14:textId="434984D2" w:rsidR="00836B4D" w:rsidRPr="008F5202" w:rsidRDefault="00000000" w:rsidP="00A752BA">
      <w:pPr>
        <w:spacing w:line="360" w:lineRule="auto"/>
        <w:jc w:val="both"/>
        <w:rPr>
          <w:rFonts w:ascii="Times New Roman" w:hAnsi="Times New Roman" w:cs="Times New Roman"/>
          <w:kern w:val="2"/>
          <w14:ligatures w14:val="standardContextual"/>
        </w:rPr>
      </w:pPr>
      <m:oMathPara>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T</m:t>
              </m:r>
            </m:e>
            <m:sub>
              <m:r>
                <w:rPr>
                  <w:rFonts w:ascii="Cambria Math" w:eastAsia="Aptos" w:hAnsi="Cambria Math" w:cs="Times New Roman"/>
                  <w:kern w:val="2"/>
                  <w14:ligatures w14:val="standardContextual"/>
                </w:rPr>
                <m:t>ref</m:t>
              </m:r>
            </m:sub>
          </m:sSub>
          <w:bookmarkEnd w:id="125"/>
          <m:r>
            <w:rPr>
              <w:rFonts w:ascii="Cambria Math" w:eastAsia="Aptos" w:hAnsi="Cambria Math" w:cs="Times New Roman"/>
              <w:kern w:val="2"/>
              <w14:ligatures w14:val="standardContextual"/>
            </w:rPr>
            <m:t>=</m:t>
          </m:r>
          <m:f>
            <m:fPr>
              <m:ctrlPr>
                <w:rPr>
                  <w:rFonts w:ascii="Cambria Math" w:eastAsia="Aptos" w:hAnsi="Cambria Math" w:cs="Times New Roman"/>
                  <w:i/>
                  <w:kern w:val="2"/>
                  <w14:ligatures w14:val="standardContextual"/>
                </w:rPr>
              </m:ctrlPr>
            </m:fPr>
            <m:num>
              <m:r>
                <w:rPr>
                  <w:rFonts w:ascii="Cambria Math" w:eastAsia="Aptos" w:hAnsi="Cambria Math" w:cs="Times New Roman"/>
                  <w:kern w:val="2"/>
                  <w14:ligatures w14:val="standardContextual"/>
                </w:rPr>
                <m:t>1</m:t>
              </m:r>
            </m:num>
            <m:den>
              <m:r>
                <w:rPr>
                  <w:rFonts w:ascii="Cambria Math" w:eastAsia="Aptos" w:hAnsi="Cambria Math" w:cs="Times New Roman"/>
                  <w:kern w:val="2"/>
                  <w14:ligatures w14:val="standardContextual"/>
                </w:rPr>
                <m:t>L</m:t>
              </m:r>
            </m:den>
          </m:f>
          <m:r>
            <w:rPr>
              <w:rFonts w:ascii="Cambria Math" w:hAnsi="Cambria Math" w:cs="Times New Roman"/>
              <w:kern w:val="2"/>
              <w14:ligatures w14:val="standardContextual"/>
            </w:rPr>
            <m:t xml:space="preserve"> </m:t>
          </m:r>
          <m:nary>
            <m:naryPr>
              <m:limLoc m:val="subSup"/>
              <m:ctrlPr>
                <w:rPr>
                  <w:rFonts w:ascii="Cambria Math" w:hAnsi="Cambria Math" w:cs="Times New Roman"/>
                  <w:i/>
                  <w:kern w:val="2"/>
                  <w14:ligatures w14:val="standardContextual"/>
                </w:rPr>
              </m:ctrlPr>
            </m:naryPr>
            <m:sub>
              <m:r>
                <w:rPr>
                  <w:rFonts w:ascii="Cambria Math" w:hAnsi="Cambria Math" w:cs="Times New Roman"/>
                  <w:kern w:val="2"/>
                  <w14:ligatures w14:val="standardContextual"/>
                </w:rPr>
                <m:t>0</m:t>
              </m:r>
            </m:sub>
            <m:sup>
              <m:r>
                <w:rPr>
                  <w:rFonts w:ascii="Cambria Math" w:hAnsi="Cambria Math" w:cs="Times New Roman"/>
                  <w:kern w:val="2"/>
                  <w14:ligatures w14:val="standardContextual"/>
                </w:rPr>
                <m:t>L</m:t>
              </m:r>
            </m:sup>
            <m:e>
              <w:bookmarkStart w:id="126" w:name="_Hlk84684226"/>
              <m:sSub>
                <m:sSubPr>
                  <m:ctrlPr>
                    <w:rPr>
                      <w:rFonts w:ascii="Cambria Math" w:hAnsi="Cambria Math" w:cs="Times New Roman"/>
                      <w:i/>
                      <w:kern w:val="2"/>
                      <w14:ligatures w14:val="standardContextual"/>
                    </w:rPr>
                  </m:ctrlPr>
                </m:sSubPr>
                <m:e>
                  <m:r>
                    <w:rPr>
                      <w:rFonts w:ascii="Cambria Math" w:hAnsi="Cambria Math" w:cs="Times New Roman"/>
                      <w:kern w:val="2"/>
                      <w14:ligatures w14:val="standardContextual"/>
                    </w:rPr>
                    <m:t>T</m:t>
                  </m:r>
                </m:e>
                <m:sub>
                  <m:r>
                    <w:rPr>
                      <w:rFonts w:ascii="Cambria Math" w:hAnsi="Cambria Math" w:cs="Times New Roman"/>
                      <w:kern w:val="2"/>
                      <w14:ligatures w14:val="standardContextual"/>
                    </w:rPr>
                    <m:t>b, x</m:t>
                  </m:r>
                </m:sub>
              </m:sSub>
              <w:bookmarkEnd w:id="126"/>
              <m:r>
                <w:rPr>
                  <w:rFonts w:ascii="Cambria Math" w:hAnsi="Cambria Math" w:cs="Times New Roman"/>
                  <w:kern w:val="2"/>
                  <w14:ligatures w14:val="standardContextual"/>
                </w:rPr>
                <m:t xml:space="preserve"> dx</m:t>
              </m:r>
            </m:e>
          </m:nary>
        </m:oMath>
      </m:oMathPara>
    </w:p>
    <w:p w14:paraId="38CDC7CF" w14:textId="77777777" w:rsidR="00836B4D" w:rsidRPr="008F5202" w:rsidRDefault="00836B4D" w:rsidP="00A752BA">
      <w:pPr>
        <w:spacing w:line="360" w:lineRule="auto"/>
        <w:jc w:val="both"/>
        <w:rPr>
          <w:rFonts w:ascii="Times New Roman" w:hAnsi="Times New Roman" w:cs="Times New Roman"/>
          <w:kern w:val="2"/>
          <w14:ligatures w14:val="standardContextual"/>
        </w:rPr>
      </w:pPr>
    </w:p>
    <w:p w14:paraId="49772E75" w14:textId="77777777" w:rsidR="00836B4D" w:rsidRPr="008F5202" w:rsidRDefault="00836B4D" w:rsidP="00A752BA">
      <w:pPr>
        <w:spacing w:line="360" w:lineRule="auto"/>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The overall/global heat transfer coefficient was then determined as following:</w:t>
      </w:r>
    </w:p>
    <w:p w14:paraId="7C3E2BAC" w14:textId="77777777" w:rsidR="00836B4D" w:rsidRPr="008F5202" w:rsidRDefault="00836B4D" w:rsidP="00A752BA">
      <w:pPr>
        <w:spacing w:line="360" w:lineRule="auto"/>
        <w:jc w:val="both"/>
        <w:rPr>
          <w:rFonts w:ascii="Times New Roman" w:hAnsi="Times New Roman" w:cs="Times New Roman"/>
          <w:kern w:val="2"/>
          <w14:ligatures w14:val="standardContextual"/>
        </w:rPr>
      </w:pPr>
    </w:p>
    <w:p w14:paraId="6ED0F22C" w14:textId="2B207CE5" w:rsidR="008208E8" w:rsidRPr="008F5202" w:rsidRDefault="008208E8" w:rsidP="008F5202">
      <w:pPr>
        <w:pStyle w:val="Caption"/>
      </w:pPr>
      <w:bookmarkStart w:id="127" w:name="_Hlk84684239"/>
      <w:r w:rsidRPr="008F5202">
        <w:lastRenderedPageBreak/>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3</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4</w:t>
      </w:r>
      <w:r w:rsidR="000978FD" w:rsidRPr="008F5202">
        <w:fldChar w:fldCharType="end"/>
      </w:r>
    </w:p>
    <w:p w14:paraId="781E5845" w14:textId="7F2E5DEB" w:rsidR="00836B4D" w:rsidRPr="008F5202" w:rsidRDefault="00836B4D" w:rsidP="00A752BA">
      <w:pPr>
        <w:spacing w:line="360" w:lineRule="auto"/>
        <w:jc w:val="both"/>
        <w:rPr>
          <w:rFonts w:ascii="Times New Roman" w:hAnsi="Times New Roman" w:cs="Times New Roman"/>
          <w:kern w:val="2"/>
          <w14:ligatures w14:val="standardContextual"/>
        </w:rPr>
      </w:pPr>
      <m:oMathPara>
        <m:oMath>
          <m:r>
            <w:rPr>
              <w:rFonts w:ascii="Cambria Math" w:eastAsia="Aptos" w:hAnsi="Cambria Math" w:cs="Times New Roman"/>
              <w:kern w:val="2"/>
              <w14:ligatures w14:val="standardContextual"/>
            </w:rPr>
            <m:t>h</m:t>
          </m:r>
          <w:bookmarkEnd w:id="127"/>
          <m:r>
            <w:rPr>
              <w:rFonts w:ascii="Cambria Math" w:eastAsia="Aptos" w:hAnsi="Cambria Math" w:cs="Times New Roman"/>
              <w:kern w:val="2"/>
              <w14:ligatures w14:val="standardContextual"/>
            </w:rPr>
            <m:t xml:space="preserve">= </m:t>
          </m:r>
          <m:f>
            <m:fPr>
              <m:ctrlPr>
                <w:rPr>
                  <w:rFonts w:ascii="Cambria Math" w:eastAsia="Aptos" w:hAnsi="Cambria Math" w:cs="Times New Roman"/>
                  <w:i/>
                  <w:kern w:val="2"/>
                  <w14:ligatures w14:val="standardContextual"/>
                </w:rPr>
              </m:ctrlPr>
            </m:fPr>
            <m:num>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Q"</m:t>
                  </m:r>
                </m:e>
                <m:sub>
                  <m:r>
                    <w:rPr>
                      <w:rFonts w:ascii="Cambria Math" w:eastAsia="Aptos" w:hAnsi="Cambria Math" w:cs="Times New Roman"/>
                      <w:kern w:val="2"/>
                      <w14:ligatures w14:val="standardContextual"/>
                    </w:rPr>
                    <m:t>net, C.V.</m:t>
                  </m:r>
                </m:sub>
              </m:sSub>
            </m:num>
            <m:den>
              <m:d>
                <m:dPr>
                  <m:ctrlPr>
                    <w:rPr>
                      <w:rFonts w:ascii="Cambria Math" w:eastAsia="Aptos" w:hAnsi="Cambria Math" w:cs="Times New Roman"/>
                      <w:i/>
                      <w:kern w:val="2"/>
                      <w14:ligatures w14:val="standardContextual"/>
                    </w:rPr>
                  </m:ctrlPr>
                </m:dPr>
                <m:e>
                  <w:bookmarkStart w:id="128" w:name="_Hlk84684276"/>
                  <m:sSub>
                    <m:sSubPr>
                      <m:ctrlPr>
                        <w:rPr>
                          <w:rFonts w:ascii="Cambria Math" w:eastAsia="Aptos" w:hAnsi="Cambria Math" w:cs="Times New Roman"/>
                          <w:i/>
                          <w:kern w:val="2"/>
                          <w14:ligatures w14:val="standardContextual"/>
                        </w:rPr>
                      </m:ctrlPr>
                    </m:sSubPr>
                    <m:e>
                      <m:acc>
                        <m:accPr>
                          <m:chr m:val="̃"/>
                          <m:ctrlPr>
                            <w:rPr>
                              <w:rFonts w:ascii="Cambria Math" w:eastAsia="Aptos" w:hAnsi="Cambria Math" w:cs="Times New Roman"/>
                              <w:i/>
                              <w:kern w:val="2"/>
                              <w14:ligatures w14:val="standardContextual"/>
                            </w:rPr>
                          </m:ctrlPr>
                        </m:accPr>
                        <m:e>
                          <m:r>
                            <w:rPr>
                              <w:rFonts w:ascii="Cambria Math" w:eastAsia="Aptos" w:hAnsi="Cambria Math" w:cs="Times New Roman"/>
                              <w:kern w:val="2"/>
                              <w14:ligatures w14:val="standardContextual"/>
                            </w:rPr>
                            <m:t>T</m:t>
                          </m:r>
                        </m:e>
                      </m:acc>
                    </m:e>
                    <m:sub>
                      <m:r>
                        <w:rPr>
                          <w:rFonts w:ascii="Cambria Math" w:eastAsia="Aptos" w:hAnsi="Cambria Math" w:cs="Times New Roman"/>
                          <w:kern w:val="2"/>
                          <w14:ligatures w14:val="standardContextual"/>
                        </w:rPr>
                        <m:t>w</m:t>
                      </m:r>
                    </m:sub>
                  </m:sSub>
                  <w:bookmarkEnd w:id="128"/>
                  <m:r>
                    <w:rPr>
                      <w:rFonts w:ascii="Cambria Math" w:eastAsia="Aptos" w:hAnsi="Cambria Math" w:cs="Times New Roman"/>
                      <w:kern w:val="2"/>
                      <w14:ligatures w14:val="standardContextual"/>
                    </w:rPr>
                    <m:t>-</m:t>
                  </m:r>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T</m:t>
                      </m:r>
                    </m:e>
                    <m:sub>
                      <m:r>
                        <w:rPr>
                          <w:rFonts w:ascii="Cambria Math" w:eastAsia="Aptos" w:hAnsi="Cambria Math" w:cs="Times New Roman"/>
                          <w:kern w:val="2"/>
                          <w14:ligatures w14:val="standardContextual"/>
                        </w:rPr>
                        <m:t>ref</m:t>
                      </m:r>
                    </m:sub>
                  </m:sSub>
                </m:e>
              </m:d>
            </m:den>
          </m:f>
        </m:oMath>
      </m:oMathPara>
    </w:p>
    <w:p w14:paraId="3F2D59C2" w14:textId="77777777" w:rsidR="00836B4D" w:rsidRPr="008F5202" w:rsidRDefault="00836B4D" w:rsidP="00A752BA">
      <w:pPr>
        <w:spacing w:line="360" w:lineRule="auto"/>
        <w:jc w:val="both"/>
        <w:rPr>
          <w:rFonts w:ascii="Times New Roman" w:hAnsi="Times New Roman" w:cs="Times New Roman"/>
          <w:kern w:val="2"/>
          <w14:ligatures w14:val="standardContextual"/>
        </w:rPr>
      </w:pPr>
    </w:p>
    <w:p w14:paraId="49D949B5" w14:textId="77777777" w:rsidR="00836B4D" w:rsidRPr="008F5202" w:rsidRDefault="00836B4D" w:rsidP="00A752BA">
      <w:pPr>
        <w:spacing w:line="360" w:lineRule="auto"/>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where, </w:t>
      </w:r>
      <m:oMath>
        <m:sSub>
          <m:sSubPr>
            <m:ctrlPr>
              <w:rPr>
                <w:rFonts w:ascii="Cambria Math" w:eastAsia="Aptos" w:hAnsi="Cambria Math" w:cs="Times New Roman"/>
                <w:i/>
                <w:kern w:val="2"/>
                <w14:ligatures w14:val="standardContextual"/>
              </w:rPr>
            </m:ctrlPr>
          </m:sSubPr>
          <m:e>
            <m:acc>
              <m:accPr>
                <m:chr m:val="̃"/>
                <m:ctrlPr>
                  <w:rPr>
                    <w:rFonts w:ascii="Cambria Math" w:eastAsia="Aptos" w:hAnsi="Cambria Math" w:cs="Times New Roman"/>
                    <w:i/>
                    <w:kern w:val="2"/>
                    <w14:ligatures w14:val="standardContextual"/>
                  </w:rPr>
                </m:ctrlPr>
              </m:accPr>
              <m:e>
                <m:r>
                  <w:rPr>
                    <w:rFonts w:ascii="Cambria Math" w:eastAsia="Aptos" w:hAnsi="Cambria Math" w:cs="Times New Roman"/>
                    <w:kern w:val="2"/>
                    <w14:ligatures w14:val="standardContextual"/>
                  </w:rPr>
                  <m:t>T</m:t>
                </m:r>
              </m:e>
            </m:acc>
          </m:e>
          <m:sub>
            <m:r>
              <w:rPr>
                <w:rFonts w:ascii="Cambria Math" w:eastAsia="Aptos" w:hAnsi="Cambria Math" w:cs="Times New Roman"/>
                <w:kern w:val="2"/>
                <w14:ligatures w14:val="standardContextual"/>
              </w:rPr>
              <m:t>w</m:t>
            </m:r>
          </m:sub>
        </m:sSub>
      </m:oMath>
      <w:r w:rsidRPr="008F5202">
        <w:rPr>
          <w:rFonts w:ascii="Times New Roman" w:hAnsi="Times New Roman" w:cs="Times New Roman"/>
          <w:kern w:val="2"/>
          <w14:ligatures w14:val="standardContextual"/>
        </w:rPr>
        <w:t xml:space="preserve"> was the average wall temperature and </w:t>
      </w:r>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Q"</m:t>
            </m:r>
          </m:e>
          <m:sub>
            <m:r>
              <w:rPr>
                <w:rFonts w:ascii="Cambria Math" w:eastAsia="Aptos" w:hAnsi="Cambria Math" w:cs="Times New Roman"/>
                <w:kern w:val="2"/>
                <w14:ligatures w14:val="standardContextual"/>
              </w:rPr>
              <m:t>net, C.V.</m:t>
            </m:r>
          </m:sub>
        </m:sSub>
      </m:oMath>
      <w:r w:rsidRPr="008F5202">
        <w:rPr>
          <w:rFonts w:ascii="Times New Roman" w:hAnsi="Times New Roman" w:cs="Times New Roman"/>
          <w:kern w:val="2"/>
          <w14:ligatures w14:val="standardContextual"/>
        </w:rPr>
        <w:t xml:space="preserve"> was the net heat flux supplied to the system. The Nusselt number was then defined as:</w:t>
      </w:r>
    </w:p>
    <w:p w14:paraId="2FED839D" w14:textId="77777777" w:rsidR="00836B4D" w:rsidRPr="008F5202" w:rsidRDefault="00836B4D" w:rsidP="00A752BA">
      <w:pPr>
        <w:spacing w:line="360" w:lineRule="auto"/>
        <w:jc w:val="both"/>
        <w:rPr>
          <w:rFonts w:ascii="Times New Roman" w:hAnsi="Times New Roman" w:cs="Times New Roman"/>
          <w:kern w:val="2"/>
          <w14:ligatures w14:val="standardContextual"/>
        </w:rPr>
      </w:pPr>
    </w:p>
    <w:p w14:paraId="5FAD8897" w14:textId="295E9507" w:rsidR="00D92F2B" w:rsidRPr="008F5202" w:rsidRDefault="00D92F2B"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3</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5</w:t>
      </w:r>
      <w:r w:rsidR="000978FD" w:rsidRPr="008F5202">
        <w:fldChar w:fldCharType="end"/>
      </w:r>
    </w:p>
    <w:p w14:paraId="45DEF63A" w14:textId="3D5B9A81" w:rsidR="00836B4D" w:rsidRPr="008F5202" w:rsidRDefault="00836B4D" w:rsidP="00A752BA">
      <w:pPr>
        <w:spacing w:line="360" w:lineRule="auto"/>
        <w:jc w:val="both"/>
        <w:rPr>
          <w:rFonts w:ascii="Times New Roman" w:hAnsi="Times New Roman" w:cs="Times New Roman"/>
          <w:kern w:val="2"/>
          <w14:ligatures w14:val="standardContextual"/>
        </w:rPr>
      </w:pPr>
      <m:oMathPara>
        <m:oMath>
          <m:r>
            <w:rPr>
              <w:rFonts w:ascii="Cambria Math" w:eastAsia="Aptos" w:hAnsi="Cambria Math" w:cs="Times New Roman"/>
              <w:kern w:val="2"/>
              <w14:ligatures w14:val="standardContextual"/>
            </w:rPr>
            <m:t xml:space="preserve">Nu= </m:t>
          </m:r>
          <m:f>
            <m:fPr>
              <m:ctrlPr>
                <w:rPr>
                  <w:rFonts w:ascii="Cambria Math" w:eastAsia="Aptos" w:hAnsi="Cambria Math" w:cs="Times New Roman"/>
                  <w:i/>
                  <w:kern w:val="2"/>
                  <w14:ligatures w14:val="standardContextual"/>
                </w:rPr>
              </m:ctrlPr>
            </m:fPr>
            <m:num>
              <m:r>
                <w:rPr>
                  <w:rFonts w:ascii="Cambria Math" w:eastAsia="Aptos" w:hAnsi="Cambria Math" w:cs="Times New Roman"/>
                  <w:kern w:val="2"/>
                  <w14:ligatures w14:val="standardContextual"/>
                </w:rPr>
                <m:t xml:space="preserve">h </m:t>
              </m:r>
              <w:bookmarkStart w:id="129" w:name="_Hlk84684323"/>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d</m:t>
                  </m:r>
                </m:e>
                <m:sub>
                  <m:r>
                    <w:rPr>
                      <w:rFonts w:ascii="Cambria Math" w:eastAsia="Aptos" w:hAnsi="Cambria Math" w:cs="Times New Roman"/>
                      <w:kern w:val="2"/>
                      <w14:ligatures w14:val="standardContextual"/>
                    </w:rPr>
                    <m:t>h</m:t>
                  </m:r>
                </m:sub>
              </m:sSub>
              <w:bookmarkEnd w:id="129"/>
            </m:num>
            <m:den>
              <w:bookmarkStart w:id="130" w:name="_Hlk84684339"/>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k</m:t>
                  </m:r>
                </m:e>
                <m:sub>
                  <m:r>
                    <w:rPr>
                      <w:rFonts w:ascii="Cambria Math" w:eastAsia="Aptos" w:hAnsi="Cambria Math" w:cs="Times New Roman"/>
                      <w:kern w:val="2"/>
                      <w14:ligatures w14:val="standardContextual"/>
                    </w:rPr>
                    <m:t>f</m:t>
                  </m:r>
                </m:sub>
              </m:sSub>
              <w:bookmarkEnd w:id="130"/>
            </m:den>
          </m:f>
        </m:oMath>
      </m:oMathPara>
    </w:p>
    <w:p w14:paraId="1598E0E5" w14:textId="77777777" w:rsidR="00836B4D" w:rsidRPr="008F5202" w:rsidRDefault="00836B4D" w:rsidP="00A752BA">
      <w:pPr>
        <w:spacing w:line="360" w:lineRule="auto"/>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where, </w:t>
      </w:r>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k</m:t>
            </m:r>
          </m:e>
          <m:sub>
            <m:r>
              <w:rPr>
                <w:rFonts w:ascii="Cambria Math" w:eastAsia="Aptos" w:hAnsi="Cambria Math" w:cs="Times New Roman"/>
                <w:kern w:val="2"/>
                <w14:ligatures w14:val="standardContextual"/>
              </w:rPr>
              <m:t>f</m:t>
            </m:r>
          </m:sub>
        </m:sSub>
      </m:oMath>
      <w:r w:rsidRPr="008F5202">
        <w:rPr>
          <w:rFonts w:ascii="Times New Roman" w:hAnsi="Times New Roman" w:cs="Times New Roman"/>
          <w:kern w:val="2"/>
          <w14:ligatures w14:val="standardContextual"/>
        </w:rPr>
        <w:t xml:space="preserve"> was the air thermal conductivity.</w:t>
      </w:r>
    </w:p>
    <w:p w14:paraId="24F87228" w14:textId="77777777" w:rsidR="00836B4D" w:rsidRPr="008F5202" w:rsidRDefault="00836B4D" w:rsidP="00A752BA">
      <w:pPr>
        <w:spacing w:line="360" w:lineRule="auto"/>
        <w:jc w:val="both"/>
        <w:rPr>
          <w:rFonts w:ascii="Times New Roman" w:hAnsi="Times New Roman" w:cs="Times New Roman"/>
          <w:kern w:val="2"/>
          <w14:ligatures w14:val="standardContextual"/>
        </w:rPr>
      </w:pPr>
    </w:p>
    <w:p w14:paraId="6A402E83" w14:textId="1FA3ECA8" w:rsidR="00836B4D" w:rsidRPr="008F5202" w:rsidRDefault="00836B4D" w:rsidP="00A752BA">
      <w:pPr>
        <w:spacing w:line="360" w:lineRule="auto"/>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The measurement uncertainty analysis was carried out through sequential perturbation method </w:t>
      </w:r>
      <w:r w:rsidR="00EA4E2B" w:rsidRPr="008F5202">
        <w:rPr>
          <w:rFonts w:ascii="Times New Roman" w:eastAsia="Aptos" w:hAnsi="Times New Roman" w:cs="Times New Roman"/>
          <w:kern w:val="2"/>
          <w14:ligatures w14:val="standardContextual"/>
        </w:rPr>
        <w:t>[3</w:t>
      </w:r>
      <w:r w:rsidR="009A2D90"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kern w:val="2"/>
          <w14:ligatures w14:val="standardContextual"/>
        </w:rPr>
        <w:t>35]</w:t>
      </w:r>
      <w:r w:rsidRPr="008F5202">
        <w:rPr>
          <w:rFonts w:ascii="Times New Roman" w:hAnsi="Times New Roman" w:cs="Times New Roman"/>
          <w:kern w:val="2"/>
          <w14:ligatures w14:val="standardContextual"/>
        </w:rPr>
        <w:t xml:space="preserve"> .The typical uncertainty range for Nusselt number was between 2-5% and that for the Reynolds number was within 4%. </w:t>
      </w:r>
    </w:p>
    <w:p w14:paraId="3B454A75" w14:textId="77777777" w:rsidR="00836B4D" w:rsidRPr="008F5202" w:rsidRDefault="00836B4D" w:rsidP="00A752BA">
      <w:pPr>
        <w:spacing w:line="360" w:lineRule="auto"/>
        <w:jc w:val="both"/>
        <w:rPr>
          <w:rFonts w:ascii="Times New Roman" w:hAnsi="Times New Roman" w:cs="Times New Roman"/>
          <w:b/>
          <w:bCs/>
          <w:kern w:val="2"/>
          <w:sz w:val="18"/>
          <w:szCs w:val="18"/>
          <w14:ligatures w14:val="standardContextual"/>
        </w:rPr>
      </w:pPr>
    </w:p>
    <w:p w14:paraId="6C462F70" w14:textId="04F2B69B" w:rsidR="00836B4D" w:rsidRPr="008F5202" w:rsidRDefault="00836B4D" w:rsidP="00A752BA">
      <w:pPr>
        <w:pStyle w:val="Heading2"/>
        <w:rPr>
          <w:rFonts w:eastAsia="Aptos"/>
        </w:rPr>
      </w:pPr>
      <w:bookmarkStart w:id="131" w:name="_Toc177758163"/>
      <w:r w:rsidRPr="008F5202">
        <w:rPr>
          <w:rFonts w:eastAsia="Aptos"/>
        </w:rPr>
        <w:t>Results and discussion</w:t>
      </w:r>
      <w:bookmarkEnd w:id="131"/>
    </w:p>
    <w:p w14:paraId="5B96B9B9" w14:textId="77777777" w:rsidR="00836B4D" w:rsidRPr="008F5202" w:rsidRDefault="00836B4D" w:rsidP="00A752BA">
      <w:pPr>
        <w:tabs>
          <w:tab w:val="left" w:pos="284"/>
        </w:tabs>
        <w:spacing w:after="160" w:line="360" w:lineRule="auto"/>
        <w:jc w:val="both"/>
        <w:rPr>
          <w:rFonts w:ascii="Times New Roman" w:eastAsia="Aptos" w:hAnsi="Times New Roman" w:cs="Times New Roman"/>
          <w:kern w:val="2"/>
          <w14:ligatures w14:val="standardContextual"/>
        </w:rPr>
      </w:pPr>
      <w:r w:rsidRPr="008F5202">
        <w:rPr>
          <w:rFonts w:ascii="Times New Roman" w:eastAsia="Aptos" w:hAnsi="Times New Roman" w:cs="Times New Roman"/>
          <w:kern w:val="2"/>
          <w:sz w:val="18"/>
          <w:szCs w:val="18"/>
          <w14:ligatures w14:val="standardContextual"/>
        </w:rPr>
        <w:tab/>
      </w:r>
      <w:r w:rsidRPr="008F5202">
        <w:rPr>
          <w:rFonts w:ascii="Times New Roman" w:eastAsia="Aptos" w:hAnsi="Times New Roman" w:cs="Times New Roman"/>
          <w:kern w:val="2"/>
          <w14:ligatures w14:val="standardContextual"/>
        </w:rPr>
        <w:t>This section presents the effective thermal conductivity (</w:t>
      </w:r>
      <w:r w:rsidRPr="008F5202">
        <w:rPr>
          <w:rFonts w:ascii="Times New Roman" w:eastAsia="Aptos" w:hAnsi="Times New Roman" w:cs="Times New Roman"/>
          <w:i/>
          <w:iCs/>
          <w:kern w:val="2"/>
          <w14:ligatures w14:val="standardContextual"/>
        </w:rPr>
        <w:t>k</w:t>
      </w:r>
      <w:r w:rsidRPr="008F5202">
        <w:rPr>
          <w:rFonts w:ascii="Times New Roman" w:eastAsia="Aptos" w:hAnsi="Times New Roman" w:cs="Times New Roman"/>
          <w:kern w:val="2"/>
          <w:vertAlign w:val="subscript"/>
          <w14:ligatures w14:val="standardContextual"/>
        </w:rPr>
        <w:t>eff</w:t>
      </w:r>
      <w:r w:rsidRPr="008F5202">
        <w:rPr>
          <w:rFonts w:ascii="Times New Roman" w:eastAsia="Aptos" w:hAnsi="Times New Roman" w:cs="Times New Roman"/>
          <w:kern w:val="2"/>
          <w14:ligatures w14:val="standardContextual"/>
        </w:rPr>
        <w:t>), forced convective heat transfer (</w:t>
      </w:r>
      <w:r w:rsidRPr="008F5202">
        <w:rPr>
          <w:rFonts w:ascii="Times New Roman" w:eastAsia="Aptos" w:hAnsi="Times New Roman" w:cs="Times New Roman"/>
          <w:i/>
          <w:iCs/>
          <w:kern w:val="2"/>
          <w14:ligatures w14:val="standardContextual"/>
        </w:rPr>
        <w:t>h</w:t>
      </w:r>
      <w:r w:rsidRPr="008F5202">
        <w:rPr>
          <w:rFonts w:ascii="Times New Roman" w:eastAsia="Aptos" w:hAnsi="Times New Roman" w:cs="Times New Roman"/>
          <w:kern w:val="2"/>
          <w14:ligatures w14:val="standardContextual"/>
        </w:rPr>
        <w:t xml:space="preserve">), pressure drop, and thermal-hydraulic performance of the investigated lattices. The pumping power requirements for each lattice are also reported. </w:t>
      </w:r>
    </w:p>
    <w:p w14:paraId="405FC68C" w14:textId="4DC7F72A" w:rsidR="00836B4D" w:rsidRPr="008F5202" w:rsidRDefault="00836B4D" w:rsidP="00A752BA">
      <w:pPr>
        <w:pStyle w:val="Heading3"/>
        <w:spacing w:line="360" w:lineRule="auto"/>
        <w:rPr>
          <w:rFonts w:eastAsia="Times New Roman"/>
        </w:rPr>
      </w:pPr>
      <w:bookmarkStart w:id="132" w:name="_Toc177758164"/>
      <w:r w:rsidRPr="008F5202">
        <w:rPr>
          <w:rFonts w:eastAsia="Aptos"/>
          <w:iCs/>
        </w:rPr>
        <w:t>k</w:t>
      </w:r>
      <w:r w:rsidRPr="008F5202">
        <w:rPr>
          <w:rFonts w:eastAsia="Aptos"/>
          <w:vertAlign w:val="subscript"/>
        </w:rPr>
        <w:t>eff</w:t>
      </w:r>
      <w:r w:rsidRPr="008F5202">
        <w:rPr>
          <w:rFonts w:eastAsia="Aptos"/>
        </w:rPr>
        <w:t xml:space="preserve"> </w:t>
      </w:r>
      <w:r w:rsidRPr="008F5202">
        <w:rPr>
          <w:rFonts w:eastAsia="Times New Roman"/>
        </w:rPr>
        <w:t>measurements</w:t>
      </w:r>
      <w:bookmarkEnd w:id="132"/>
    </w:p>
    <w:p w14:paraId="3550C89E" w14:textId="6C889868" w:rsidR="00836B4D" w:rsidRPr="008F5202" w:rsidRDefault="00836B4D" w:rsidP="00A752BA">
      <w:pPr>
        <w:spacing w:after="160" w:line="360" w:lineRule="auto"/>
        <w:ind w:firstLine="284"/>
        <w:contextualSpacing/>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The </w:t>
      </w:r>
      <w:r w:rsidRPr="008F5202">
        <w:rPr>
          <w:rFonts w:ascii="Times New Roman" w:eastAsia="Aptos" w:hAnsi="Times New Roman" w:cs="Times New Roman"/>
          <w:i/>
          <w:iCs/>
          <w:kern w:val="2"/>
          <w14:ligatures w14:val="standardContextual"/>
        </w:rPr>
        <w:t>k</w:t>
      </w:r>
      <w:r w:rsidRPr="008F5202">
        <w:rPr>
          <w:rFonts w:ascii="Times New Roman" w:eastAsia="Aptos" w:hAnsi="Times New Roman" w:cs="Times New Roman"/>
          <w:kern w:val="2"/>
          <w:vertAlign w:val="subscript"/>
          <w14:ligatures w14:val="standardContextual"/>
        </w:rPr>
        <w:t>eff</w:t>
      </w:r>
      <w:r w:rsidRPr="008F5202">
        <w:rPr>
          <w:rFonts w:ascii="Times New Roman" w:hAnsi="Times New Roman" w:cs="Times New Roman"/>
          <w:kern w:val="2"/>
          <w14:ligatures w14:val="standardContextual"/>
        </w:rPr>
        <w:t xml:space="preserve"> measurements were conducted at three different heat flux levels to ensure that the obtained values were only dependent on the solid material property and the lattice topology. Figure </w:t>
      </w:r>
      <w:r w:rsidR="00C544AE"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6 shows the variation of  </w:t>
      </w:r>
      <w:r w:rsidRPr="008F5202">
        <w:rPr>
          <w:rFonts w:ascii="Times New Roman" w:eastAsia="Aptos" w:hAnsi="Times New Roman" w:cs="Times New Roman"/>
          <w:i/>
          <w:iCs/>
          <w:kern w:val="2"/>
          <w14:ligatures w14:val="standardContextual"/>
        </w:rPr>
        <w:t>k</w:t>
      </w:r>
      <w:r w:rsidRPr="008F5202">
        <w:rPr>
          <w:rFonts w:ascii="Times New Roman" w:eastAsia="Aptos" w:hAnsi="Times New Roman" w:cs="Times New Roman"/>
          <w:kern w:val="2"/>
          <w:vertAlign w:val="subscript"/>
          <w14:ligatures w14:val="standardContextual"/>
        </w:rPr>
        <w:t>eff</w:t>
      </w:r>
      <w:r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i/>
          <w:iCs/>
          <w:kern w:val="2"/>
          <w14:ligatures w14:val="standardContextual"/>
        </w:rPr>
        <w:t>k</w:t>
      </w:r>
      <w:r w:rsidRPr="008F5202">
        <w:rPr>
          <w:rFonts w:ascii="Times New Roman" w:eastAsia="Aptos" w:hAnsi="Times New Roman" w:cs="Times New Roman"/>
          <w:kern w:val="2"/>
          <w:vertAlign w:val="subscript"/>
          <w14:ligatures w14:val="standardContextual"/>
        </w:rPr>
        <w:t>s</w:t>
      </w:r>
      <w:r w:rsidRPr="008F5202">
        <w:rPr>
          <w:rFonts w:ascii="Times New Roman" w:hAnsi="Times New Roman" w:cs="Times New Roman"/>
          <w:kern w:val="2"/>
          <w14:ligatures w14:val="standardContextual"/>
        </w:rPr>
        <w:t xml:space="preserve"> ratio for different heat flux conditions.</w:t>
      </w:r>
      <w:r w:rsidRPr="008F5202">
        <w:rPr>
          <w:rFonts w:ascii="Times New Roman" w:eastAsia="Aptos" w:hAnsi="Times New Roman" w:cs="Times New Roman"/>
          <w:kern w:val="2"/>
          <w14:ligatures w14:val="standardContextual"/>
        </w:rPr>
        <w:t xml:space="preserve"> </w:t>
      </w:r>
      <w:bookmarkStart w:id="133" w:name="_Hlk97713831"/>
      <w:r w:rsidRPr="008F5202">
        <w:rPr>
          <w:rFonts w:ascii="Times New Roman" w:eastAsia="Aptos" w:hAnsi="Times New Roman" w:cs="Times New Roman"/>
          <w:kern w:val="2"/>
          <w14:ligatures w14:val="standardContextual"/>
        </w:rPr>
        <w:t>In-house measurements were carried out to determine the solid material thermal conductivity (</w:t>
      </w:r>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k</m:t>
            </m:r>
          </m:e>
          <m:sub>
            <m:r>
              <w:rPr>
                <w:rFonts w:ascii="Cambria Math" w:eastAsia="Aptos" w:hAnsi="Cambria Math" w:cs="Times New Roman"/>
                <w:kern w:val="2"/>
                <w14:ligatures w14:val="standardContextual"/>
              </w:rPr>
              <m:t>s</m:t>
            </m:r>
          </m:sub>
        </m:sSub>
      </m:oMath>
      <w:r w:rsidRPr="008F5202">
        <w:rPr>
          <w:rFonts w:ascii="Times New Roman" w:hAnsi="Times New Roman" w:cs="Times New Roman"/>
          <w:kern w:val="2"/>
          <w14:ligatures w14:val="standardContextual"/>
        </w:rPr>
        <w:t xml:space="preserve">) </w:t>
      </w:r>
      <w:r w:rsidRPr="008F5202">
        <w:rPr>
          <w:rFonts w:ascii="Times New Roman" w:eastAsia="Aptos" w:hAnsi="Times New Roman" w:cs="Times New Roman"/>
          <w:kern w:val="2"/>
          <w14:ligatures w14:val="standardContextual"/>
        </w:rPr>
        <w:t xml:space="preserve">and was found to be </w:t>
      </w:r>
      <w:r w:rsidRPr="008F5202">
        <w:rPr>
          <w:rFonts w:ascii="Times New Roman" w:hAnsi="Times New Roman" w:cs="Times New Roman"/>
          <w:kern w:val="2"/>
          <w14:ligatures w14:val="standardContextual"/>
        </w:rPr>
        <w:t xml:space="preserve">20.8 </w:t>
      </w:r>
      <m:oMath>
        <m:f>
          <m:fPr>
            <m:type m:val="lin"/>
            <m:ctrlPr>
              <w:rPr>
                <w:rFonts w:ascii="Cambria Math" w:hAnsi="Cambria Math" w:cs="Times New Roman"/>
                <w:i/>
                <w:kern w:val="2"/>
                <w14:ligatures w14:val="standardContextual"/>
              </w:rPr>
            </m:ctrlPr>
          </m:fPr>
          <m:num>
            <m:r>
              <w:rPr>
                <w:rFonts w:ascii="Cambria Math" w:hAnsi="Cambria Math" w:cs="Times New Roman"/>
                <w:kern w:val="2"/>
                <w14:ligatures w14:val="standardContextual"/>
              </w:rPr>
              <m:t>W</m:t>
            </m:r>
          </m:num>
          <m:den>
            <m:r>
              <w:rPr>
                <w:rFonts w:ascii="Cambria Math" w:hAnsi="Cambria Math" w:cs="Times New Roman"/>
                <w:kern w:val="2"/>
                <w14:ligatures w14:val="standardContextual"/>
              </w:rPr>
              <m:t>mK</m:t>
            </m:r>
          </m:den>
        </m:f>
      </m:oMath>
      <w:r w:rsidRPr="008F5202">
        <w:rPr>
          <w:rFonts w:ascii="Times New Roman" w:hAnsi="Times New Roman" w:cs="Times New Roman"/>
          <w:kern w:val="2"/>
          <w14:ligatures w14:val="standardContextual"/>
        </w:rPr>
        <w:t xml:space="preserve"> </w:t>
      </w:r>
      <w:r w:rsidR="00EA4E2B" w:rsidRPr="008F5202">
        <w:rPr>
          <w:rFonts w:ascii="Times New Roman" w:eastAsia="Aptos" w:hAnsi="Times New Roman" w:cs="Times New Roman"/>
          <w:kern w:val="2"/>
          <w14:ligatures w14:val="standardContextual"/>
        </w:rPr>
        <w:t>[3</w:t>
      </w:r>
      <w:r w:rsidR="009A2D90"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kern w:val="2"/>
          <w14:ligatures w14:val="standardContextual"/>
        </w:rPr>
        <w:t>34]</w:t>
      </w:r>
      <w:r w:rsidRPr="008F5202">
        <w:rPr>
          <w:rFonts w:ascii="Times New Roman" w:hAnsi="Times New Roman" w:cs="Times New Roman"/>
          <w:kern w:val="2"/>
          <w14:ligatures w14:val="standardContextual"/>
        </w:rPr>
        <w:t xml:space="preserve">. </w:t>
      </w:r>
      <w:bookmarkEnd w:id="133"/>
      <w:r w:rsidRPr="008F5202">
        <w:rPr>
          <w:rFonts w:ascii="Times New Roman" w:hAnsi="Times New Roman" w:cs="Times New Roman"/>
          <w:kern w:val="2"/>
          <w14:ligatures w14:val="standardContextual"/>
        </w:rPr>
        <w:t xml:space="preserve">The measured </w:t>
      </w:r>
      <w:r w:rsidRPr="008F5202">
        <w:rPr>
          <w:rFonts w:ascii="Times New Roman" w:eastAsia="Aptos" w:hAnsi="Times New Roman" w:cs="Times New Roman"/>
          <w:i/>
          <w:iCs/>
          <w:kern w:val="2"/>
          <w14:ligatures w14:val="standardContextual"/>
        </w:rPr>
        <w:t>k</w:t>
      </w:r>
      <w:r w:rsidRPr="008F5202">
        <w:rPr>
          <w:rFonts w:ascii="Times New Roman" w:eastAsia="Aptos" w:hAnsi="Times New Roman" w:cs="Times New Roman"/>
          <w:kern w:val="2"/>
          <w:vertAlign w:val="subscript"/>
          <w14:ligatures w14:val="standardContextual"/>
        </w:rPr>
        <w:t>eff</w:t>
      </w:r>
      <w:r w:rsidRPr="008F5202">
        <w:rPr>
          <w:rFonts w:ascii="Times New Roman" w:hAnsi="Times New Roman" w:cs="Times New Roman"/>
          <w:kern w:val="2"/>
          <w14:ligatures w14:val="standardContextual"/>
        </w:rPr>
        <w:t xml:space="preserve"> values were nearly constant for respective topologies throughout different steady-state experiments. The average values of </w:t>
      </w:r>
      <w:r w:rsidRPr="008F5202">
        <w:rPr>
          <w:rFonts w:ascii="Times New Roman" w:eastAsia="Aptos" w:hAnsi="Times New Roman" w:cs="Times New Roman"/>
          <w:i/>
          <w:iCs/>
          <w:kern w:val="2"/>
          <w14:ligatures w14:val="standardContextual"/>
        </w:rPr>
        <w:t>k</w:t>
      </w:r>
      <w:r w:rsidRPr="008F5202">
        <w:rPr>
          <w:rFonts w:ascii="Times New Roman" w:eastAsia="Aptos" w:hAnsi="Times New Roman" w:cs="Times New Roman"/>
          <w:kern w:val="2"/>
          <w:vertAlign w:val="subscript"/>
          <w14:ligatures w14:val="standardContextual"/>
        </w:rPr>
        <w:t>eff</w:t>
      </w:r>
      <w:r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i/>
          <w:iCs/>
          <w:kern w:val="2"/>
          <w14:ligatures w14:val="standardContextual"/>
        </w:rPr>
        <w:t>k</w:t>
      </w:r>
      <w:r w:rsidRPr="008F5202">
        <w:rPr>
          <w:rFonts w:ascii="Times New Roman" w:eastAsia="Aptos" w:hAnsi="Times New Roman" w:cs="Times New Roman"/>
          <w:kern w:val="2"/>
          <w:vertAlign w:val="subscript"/>
          <w14:ligatures w14:val="standardContextual"/>
        </w:rPr>
        <w:t>s</w:t>
      </w:r>
      <w:r w:rsidRPr="008F5202">
        <w:rPr>
          <w:rFonts w:ascii="Times New Roman" w:hAnsi="Times New Roman" w:cs="Times New Roman"/>
          <w:kern w:val="2"/>
          <w14:ligatures w14:val="standardContextual"/>
        </w:rPr>
        <w:t xml:space="preserve"> were 0.079, 0.065, 0.059, and 0.055 for Octet, TKD, FD-cube, </w:t>
      </w:r>
      <w:r w:rsidRPr="008F5202">
        <w:rPr>
          <w:rFonts w:ascii="Times New Roman" w:hAnsi="Times New Roman" w:cs="Times New Roman"/>
          <w:kern w:val="2"/>
          <w14:ligatures w14:val="standardContextual"/>
        </w:rPr>
        <w:lastRenderedPageBreak/>
        <w:t xml:space="preserve">and Cube, respectively. Earlier studies found that the </w:t>
      </w:r>
      <w:r w:rsidRPr="008F5202">
        <w:rPr>
          <w:rFonts w:ascii="Times New Roman" w:eastAsia="Aptos" w:hAnsi="Times New Roman" w:cs="Times New Roman"/>
          <w:i/>
          <w:iCs/>
          <w:kern w:val="2"/>
          <w14:ligatures w14:val="standardContextual"/>
        </w:rPr>
        <w:t>k</w:t>
      </w:r>
      <w:r w:rsidRPr="008F5202">
        <w:rPr>
          <w:rFonts w:ascii="Times New Roman" w:eastAsia="Aptos" w:hAnsi="Times New Roman" w:cs="Times New Roman"/>
          <w:kern w:val="2"/>
          <w:vertAlign w:val="subscript"/>
          <w14:ligatures w14:val="standardContextual"/>
        </w:rPr>
        <w:t>eff</w:t>
      </w:r>
      <w:r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i/>
          <w:iCs/>
          <w:kern w:val="2"/>
          <w14:ligatures w14:val="standardContextual"/>
        </w:rPr>
        <w:t>k</w:t>
      </w:r>
      <w:r w:rsidRPr="008F5202">
        <w:rPr>
          <w:rFonts w:ascii="Times New Roman" w:eastAsia="Aptos" w:hAnsi="Times New Roman" w:cs="Times New Roman"/>
          <w:kern w:val="2"/>
          <w:vertAlign w:val="subscript"/>
          <w14:ligatures w14:val="standardContextual"/>
        </w:rPr>
        <w:t>s</w:t>
      </w:r>
      <w:r w:rsidRPr="008F5202">
        <w:rPr>
          <w:rFonts w:ascii="Times New Roman" w:hAnsi="Times New Roman" w:cs="Times New Roman"/>
          <w:kern w:val="2"/>
          <w14:ligatures w14:val="standardContextual"/>
        </w:rPr>
        <w:t xml:space="preserve"> of the metal foams is independent of cell sizes (at any given porosity) and is influenced only by the porosity variation for fixed solid material </w:t>
      </w:r>
      <w:r w:rsidR="00EA4E2B" w:rsidRPr="008F5202">
        <w:rPr>
          <w:rFonts w:ascii="Times New Roman" w:eastAsia="Aptos" w:hAnsi="Times New Roman" w:cs="Times New Roman"/>
          <w:kern w:val="2"/>
          <w:lang w:val="fr-FR"/>
          <w14:ligatures w14:val="standardContextual"/>
        </w:rPr>
        <w:t>[3</w:t>
      </w:r>
      <w:r w:rsidR="009A2D90" w:rsidRPr="008F5202">
        <w:rPr>
          <w:rFonts w:ascii="Times New Roman" w:eastAsia="Aptos" w:hAnsi="Times New Roman" w:cs="Times New Roman"/>
          <w:kern w:val="2"/>
          <w:lang w:val="fr-FR"/>
          <w14:ligatures w14:val="standardContextual"/>
        </w:rPr>
        <w:t>.</w:t>
      </w:r>
      <w:r w:rsidRPr="008F5202">
        <w:rPr>
          <w:rFonts w:ascii="Times New Roman" w:eastAsia="Aptos" w:hAnsi="Times New Roman" w:cs="Times New Roman"/>
          <w:kern w:val="2"/>
          <w:lang w:val="fr-FR"/>
          <w14:ligatures w14:val="standardContextual"/>
        </w:rPr>
        <w:t>36]</w:t>
      </w:r>
      <w:r w:rsidRPr="008F5202">
        <w:rPr>
          <w:rFonts w:ascii="Times New Roman" w:hAnsi="Times New Roman" w:cs="Times New Roman"/>
          <w:kern w:val="2"/>
          <w:lang w:val="fr-FR"/>
          <w14:ligatures w14:val="standardContextual"/>
        </w:rPr>
        <w:t xml:space="preserve">. </w:t>
      </w:r>
      <w:r w:rsidRPr="008F5202">
        <w:rPr>
          <w:rFonts w:ascii="Times New Roman" w:hAnsi="Times New Roman" w:cs="Times New Roman"/>
          <w:kern w:val="2"/>
          <w14:ligatures w14:val="standardContextual"/>
        </w:rPr>
        <w:t xml:space="preserve">Wang et al. </w:t>
      </w:r>
      <w:r w:rsidR="00EA4E2B" w:rsidRPr="008F5202">
        <w:rPr>
          <w:rFonts w:ascii="Times New Roman" w:eastAsia="Aptos" w:hAnsi="Times New Roman" w:cs="Times New Roman"/>
          <w:kern w:val="2"/>
          <w14:ligatures w14:val="standardContextual"/>
        </w:rPr>
        <w:t>[3</w:t>
      </w:r>
      <w:r w:rsidR="009A2D90"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kern w:val="2"/>
          <w14:ligatures w14:val="standardContextual"/>
        </w:rPr>
        <w:t>34]</w:t>
      </w:r>
      <w:r w:rsidRPr="008F5202">
        <w:rPr>
          <w:rFonts w:ascii="Times New Roman" w:hAnsi="Times New Roman" w:cs="Times New Roman"/>
          <w:kern w:val="2"/>
          <w14:ligatures w14:val="standardContextual"/>
        </w:rPr>
        <w:t xml:space="preserve"> also suggested that the </w:t>
      </w:r>
      <w:r w:rsidRPr="008F5202">
        <w:rPr>
          <w:rFonts w:ascii="Times New Roman" w:eastAsia="Aptos" w:hAnsi="Times New Roman" w:cs="Times New Roman"/>
          <w:i/>
          <w:iCs/>
          <w:kern w:val="2"/>
          <w14:ligatures w14:val="standardContextual"/>
        </w:rPr>
        <w:t>k</w:t>
      </w:r>
      <w:r w:rsidRPr="008F5202">
        <w:rPr>
          <w:rFonts w:ascii="Times New Roman" w:eastAsia="Aptos" w:hAnsi="Times New Roman" w:cs="Times New Roman"/>
          <w:kern w:val="2"/>
          <w:vertAlign w:val="subscript"/>
          <w14:ligatures w14:val="standardContextual"/>
        </w:rPr>
        <w:t>eff</w:t>
      </w:r>
      <w:r w:rsidRPr="008F5202">
        <w:rPr>
          <w:rFonts w:ascii="Times New Roman" w:hAnsi="Times New Roman" w:cs="Times New Roman"/>
          <w:kern w:val="2"/>
          <w14:ligatures w14:val="standardContextual"/>
        </w:rPr>
        <w:t xml:space="preserve"> of the regular lattices was not a strong function of topology for porosities around 0.90 and above through simulations. The difference in the relative magnitudes of </w:t>
      </w:r>
      <w:r w:rsidRPr="008F5202">
        <w:rPr>
          <w:rFonts w:ascii="Times New Roman" w:eastAsia="Aptos" w:hAnsi="Times New Roman" w:cs="Times New Roman"/>
          <w:i/>
          <w:iCs/>
          <w:kern w:val="2"/>
          <w14:ligatures w14:val="standardContextual"/>
        </w:rPr>
        <w:t>k</w:t>
      </w:r>
      <w:r w:rsidRPr="008F5202">
        <w:rPr>
          <w:rFonts w:ascii="Times New Roman" w:eastAsia="Aptos" w:hAnsi="Times New Roman" w:cs="Times New Roman"/>
          <w:kern w:val="2"/>
          <w:vertAlign w:val="subscript"/>
          <w14:ligatures w14:val="standardContextual"/>
        </w:rPr>
        <w:t>eff</w:t>
      </w:r>
      <w:r w:rsidRPr="008F5202">
        <w:rPr>
          <w:rFonts w:ascii="Times New Roman" w:hAnsi="Times New Roman" w:cs="Times New Roman"/>
          <w:kern w:val="2"/>
          <w14:ligatures w14:val="standardContextual"/>
        </w:rPr>
        <w:t xml:space="preserve"> between different configurations herein is, therefore, attributed to the difference in their respective porosities. Note that the intended porosity was same for each 3D printed configuration, however, the porosities of the actual parts had significant deviations. If one has to obtain uniform porosity for each configuration, there has to be a trial-and-error method for each configuration, since the deviations in the porosity values we observed were random in nature. In order to facilitate a direct comparison of </w:t>
      </w:r>
      <w:r w:rsidRPr="008F5202">
        <w:rPr>
          <w:rFonts w:ascii="Times New Roman" w:eastAsia="Aptos" w:hAnsi="Times New Roman" w:cs="Times New Roman"/>
          <w:i/>
          <w:iCs/>
          <w:kern w:val="2"/>
          <w14:ligatures w14:val="standardContextual"/>
        </w:rPr>
        <w:t>k</w:t>
      </w:r>
      <w:r w:rsidRPr="008F5202">
        <w:rPr>
          <w:rFonts w:ascii="Times New Roman" w:eastAsia="Aptos" w:hAnsi="Times New Roman" w:cs="Times New Roman"/>
          <w:kern w:val="2"/>
          <w:vertAlign w:val="subscript"/>
          <w14:ligatures w14:val="standardContextual"/>
        </w:rPr>
        <w:t>eff</w:t>
      </w:r>
      <w:r w:rsidRPr="008F5202">
        <w:rPr>
          <w:rFonts w:ascii="Times New Roman" w:hAnsi="Times New Roman" w:cs="Times New Roman"/>
          <w:kern w:val="2"/>
          <w14:ligatures w14:val="standardContextual"/>
        </w:rPr>
        <w:t xml:space="preserve"> values of different configurations at same porosity, we adopted a computational route instead. Steady-state heat transfer simulations were conducted in finite-volume solver FLUENT with procedure delineated by Ekade at al. </w:t>
      </w:r>
      <w:r w:rsidR="00EA4E2B" w:rsidRPr="008F5202">
        <w:rPr>
          <w:rFonts w:ascii="Times New Roman" w:eastAsia="Aptos" w:hAnsi="Times New Roman" w:cs="Times New Roman"/>
          <w:kern w:val="2"/>
          <w14:ligatures w14:val="standardContextual"/>
        </w:rPr>
        <w:t>[3</w:t>
      </w:r>
      <w:r w:rsidR="00430618"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kern w:val="2"/>
          <w14:ligatures w14:val="standardContextual"/>
        </w:rPr>
        <w:t>37]</w:t>
      </w:r>
      <w:r w:rsidRPr="008F5202">
        <w:rPr>
          <w:rFonts w:ascii="Times New Roman" w:hAnsi="Times New Roman" w:cs="Times New Roman"/>
          <w:kern w:val="2"/>
          <w14:ligatures w14:val="standardContextual"/>
        </w:rPr>
        <w:t xml:space="preserve">. Firstly, the computational model was validated with experimental data by creating unit cell topologies matching the porosities of the 3D printed parts. Table </w:t>
      </w:r>
      <w:r w:rsidR="008700FD"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2 shows a comparison between experimental and computational results </w:t>
      </w:r>
    </w:p>
    <w:p w14:paraId="49CBD4E1" w14:textId="77777777" w:rsidR="00E63077" w:rsidRPr="008F5202" w:rsidRDefault="00836B4D" w:rsidP="00A752BA">
      <w:pPr>
        <w:keepNext/>
        <w:tabs>
          <w:tab w:val="left" w:pos="284"/>
        </w:tabs>
        <w:spacing w:after="160" w:line="360" w:lineRule="auto"/>
        <w:rPr>
          <w:rFonts w:ascii="Times New Roman" w:hAnsi="Times New Roman" w:cs="Times New Roman"/>
        </w:rPr>
      </w:pPr>
      <w:r w:rsidRPr="008F5202">
        <w:rPr>
          <w:rFonts w:ascii="Times New Roman" w:hAnsi="Times New Roman" w:cs="Times New Roman"/>
          <w:b/>
          <w:bCs/>
          <w:noProof/>
          <w:kern w:val="2"/>
          <w:sz w:val="18"/>
          <w:szCs w:val="18"/>
          <w14:ligatures w14:val="standardContextual"/>
        </w:rPr>
        <w:drawing>
          <wp:inline distT="0" distB="0" distL="0" distR="0" wp14:anchorId="36D16608" wp14:editId="1A4412E1">
            <wp:extent cx="2885764" cy="2571750"/>
            <wp:effectExtent l="0" t="0" r="0" b="0"/>
            <wp:docPr id="357759042" name="Picture 357759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43" cstate="print">
                      <a:extLst>
                        <a:ext uri="{28A0092B-C50C-407E-A947-70E740481C1C}">
                          <a14:useLocalDpi xmlns:a14="http://schemas.microsoft.com/office/drawing/2010/main" val="0"/>
                        </a:ext>
                      </a:extLst>
                    </a:blip>
                    <a:srcRect l="2565" t="19373" r="64343" b="28197"/>
                    <a:stretch/>
                  </pic:blipFill>
                  <pic:spPr bwMode="auto">
                    <a:xfrm>
                      <a:off x="0" y="0"/>
                      <a:ext cx="2893539" cy="2578679"/>
                    </a:xfrm>
                    <a:prstGeom prst="rect">
                      <a:avLst/>
                    </a:prstGeom>
                    <a:ln>
                      <a:noFill/>
                    </a:ln>
                    <a:extLst>
                      <a:ext uri="{53640926-AAD7-44D8-BBD7-CCE9431645EC}">
                        <a14:shadowObscured xmlns:a14="http://schemas.microsoft.com/office/drawing/2010/main"/>
                      </a:ext>
                    </a:extLst>
                  </pic:spPr>
                </pic:pic>
              </a:graphicData>
            </a:graphic>
          </wp:inline>
        </w:drawing>
      </w:r>
    </w:p>
    <w:p w14:paraId="1C433FC8" w14:textId="6E5B983D" w:rsidR="00836B4D" w:rsidRPr="008F5202" w:rsidRDefault="00E63077" w:rsidP="008F5202">
      <w:pPr>
        <w:pStyle w:val="Caption"/>
        <w:rPr>
          <w:kern w:val="2"/>
          <w:sz w:val="18"/>
          <w14:ligatures w14:val="standardContextual"/>
        </w:rPr>
      </w:pPr>
      <w:bookmarkStart w:id="134" w:name="_Toc177755205"/>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6</w:t>
      </w:r>
      <w:r w:rsidR="003763D2" w:rsidRPr="008F5202">
        <w:fldChar w:fldCharType="end"/>
      </w:r>
      <w:r w:rsidRPr="008F5202">
        <w:t xml:space="preserve"> Variation of k</w:t>
      </w:r>
      <w:r w:rsidRPr="008F5202">
        <w:rPr>
          <w:vertAlign w:val="subscript"/>
        </w:rPr>
        <w:t>eff</w:t>
      </w:r>
      <w:r w:rsidRPr="008F5202">
        <w:t>/k</w:t>
      </w:r>
      <w:r w:rsidRPr="008F5202">
        <w:rPr>
          <w:vertAlign w:val="subscript"/>
        </w:rPr>
        <w:t>s</w:t>
      </w:r>
      <w:r w:rsidRPr="008F5202">
        <w:t xml:space="preserve"> with respect to the supplied heat flux</w:t>
      </w:r>
      <w:bookmarkEnd w:id="134"/>
    </w:p>
    <w:p w14:paraId="47F82CF2" w14:textId="489FDC61" w:rsidR="00E63077" w:rsidRPr="008F5202" w:rsidRDefault="00E63077" w:rsidP="008F5202">
      <w:pPr>
        <w:pStyle w:val="Caption"/>
      </w:pPr>
      <w:bookmarkStart w:id="135" w:name="_Toc177755181"/>
      <w:r w:rsidRPr="008F5202">
        <w:t xml:space="preserve">Table </w:t>
      </w:r>
      <w:r w:rsidR="00561B55" w:rsidRPr="008F5202">
        <w:fldChar w:fldCharType="begin"/>
      </w:r>
      <w:r w:rsidR="00561B55" w:rsidRPr="008F5202">
        <w:instrText xml:space="preserve"> STYLEREF 1 \s </w:instrText>
      </w:r>
      <w:r w:rsidR="00561B55" w:rsidRPr="008F5202">
        <w:fldChar w:fldCharType="separate"/>
      </w:r>
      <w:r w:rsidR="00AF1AFB">
        <w:rPr>
          <w:noProof/>
        </w:rPr>
        <w:t>3</w:t>
      </w:r>
      <w:r w:rsidR="00561B55" w:rsidRPr="008F5202">
        <w:fldChar w:fldCharType="end"/>
      </w:r>
      <w:r w:rsidR="00561B55" w:rsidRPr="008F5202">
        <w:t>.</w:t>
      </w:r>
      <w:r w:rsidR="00561B55" w:rsidRPr="008F5202">
        <w:fldChar w:fldCharType="begin"/>
      </w:r>
      <w:r w:rsidR="00561B55" w:rsidRPr="008F5202">
        <w:instrText xml:space="preserve"> SEQ Table \* ARABIC \s 1 </w:instrText>
      </w:r>
      <w:r w:rsidR="00561B55" w:rsidRPr="008F5202">
        <w:fldChar w:fldCharType="separate"/>
      </w:r>
      <w:r w:rsidR="00AF1AFB">
        <w:rPr>
          <w:noProof/>
        </w:rPr>
        <w:t>2</w:t>
      </w:r>
      <w:r w:rsidR="00561B55" w:rsidRPr="008F5202">
        <w:fldChar w:fldCharType="end"/>
      </w:r>
      <w:r w:rsidRPr="008F5202">
        <w:t xml:space="preserve"> Comparison of k</w:t>
      </w:r>
      <w:r w:rsidRPr="008F5202">
        <w:rPr>
          <w:vertAlign w:val="subscript"/>
        </w:rPr>
        <w:t>eff</w:t>
      </w:r>
      <w:r w:rsidRPr="008F5202">
        <w:t>/k</w:t>
      </w:r>
      <w:r w:rsidRPr="008F5202">
        <w:rPr>
          <w:vertAlign w:val="subscript"/>
        </w:rPr>
        <w:t>s</w:t>
      </w:r>
      <w:r w:rsidRPr="008F5202">
        <w:t xml:space="preserve"> obtained from experiments and computations</w:t>
      </w:r>
      <w:bookmarkEnd w:id="135"/>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36"/>
        <w:gridCol w:w="1459"/>
        <w:gridCol w:w="1710"/>
        <w:gridCol w:w="1530"/>
        <w:gridCol w:w="1620"/>
      </w:tblGrid>
      <w:tr w:rsidR="00836B4D" w:rsidRPr="008F5202" w14:paraId="7C022906" w14:textId="77777777" w:rsidTr="007B7D94">
        <w:trPr>
          <w:trHeight w:hRule="exact" w:val="284"/>
        </w:trPr>
        <w:tc>
          <w:tcPr>
            <w:tcW w:w="1236" w:type="dxa"/>
            <w:shd w:val="clear" w:color="auto" w:fill="E8E8E8"/>
            <w:vAlign w:val="center"/>
          </w:tcPr>
          <w:p w14:paraId="5AF2A11D" w14:textId="77777777" w:rsidR="00836B4D" w:rsidRPr="008F5202" w:rsidRDefault="00836B4D" w:rsidP="00A752BA">
            <w:pPr>
              <w:spacing w:after="160" w:line="360" w:lineRule="auto"/>
              <w:contextualSpacing/>
              <w:jc w:val="center"/>
              <w:rPr>
                <w:rFonts w:ascii="Times New Roman" w:eastAsia="Aptos" w:hAnsi="Times New Roman" w:cs="Times New Roman"/>
                <w:b/>
                <w:bCs/>
                <w:kern w:val="2"/>
                <w:sz w:val="18"/>
                <w:szCs w:val="18"/>
                <w14:ligatures w14:val="standardContextual"/>
              </w:rPr>
            </w:pPr>
            <w:r w:rsidRPr="008F5202">
              <w:rPr>
                <w:rFonts w:ascii="Times New Roman" w:eastAsia="Aptos" w:hAnsi="Times New Roman" w:cs="Times New Roman"/>
                <w:b/>
                <w:bCs/>
                <w:kern w:val="2"/>
                <w:sz w:val="18"/>
                <w:szCs w:val="18"/>
                <w14:ligatures w14:val="standardContextual"/>
              </w:rPr>
              <w:t>Topology</w:t>
            </w:r>
          </w:p>
        </w:tc>
        <w:tc>
          <w:tcPr>
            <w:tcW w:w="1459" w:type="dxa"/>
            <w:shd w:val="clear" w:color="auto" w:fill="E8E8E8"/>
            <w:vAlign w:val="center"/>
            <w:hideMark/>
          </w:tcPr>
          <w:p w14:paraId="291BBDFD" w14:textId="77777777" w:rsidR="00836B4D" w:rsidRPr="008F5202" w:rsidRDefault="00836B4D" w:rsidP="00A752BA">
            <w:pPr>
              <w:spacing w:after="160" w:line="360" w:lineRule="auto"/>
              <w:contextualSpacing/>
              <w:rPr>
                <w:rFonts w:ascii="Times New Roman" w:eastAsia="Aptos" w:hAnsi="Times New Roman" w:cs="Times New Roman"/>
                <w:b/>
                <w:bCs/>
                <w:kern w:val="2"/>
                <w:sz w:val="18"/>
                <w:szCs w:val="18"/>
                <w14:ligatures w14:val="standardContextual"/>
              </w:rPr>
            </w:pPr>
            <w:r w:rsidRPr="008F5202">
              <w:rPr>
                <w:rFonts w:ascii="Times New Roman" w:eastAsia="Aptos" w:hAnsi="Times New Roman" w:cs="Times New Roman"/>
                <w:b/>
                <w:bCs/>
                <w:kern w:val="2"/>
                <w:sz w:val="18"/>
                <w:szCs w:val="18"/>
                <w14:ligatures w14:val="standardContextual"/>
              </w:rPr>
              <w:t>Porosity (</w:t>
            </w:r>
            <m:oMath>
              <m:r>
                <m:rPr>
                  <m:sty m:val="bi"/>
                </m:rPr>
                <w:rPr>
                  <w:rFonts w:ascii="Cambria Math" w:eastAsia="Aptos" w:hAnsi="Cambria Math" w:cs="Times New Roman"/>
                  <w:kern w:val="2"/>
                  <w:sz w:val="18"/>
                  <w:szCs w:val="18"/>
                  <w14:ligatures w14:val="standardContextual"/>
                </w:rPr>
                <m:t>ε</m:t>
              </m:r>
            </m:oMath>
            <w:r w:rsidRPr="008F5202">
              <w:rPr>
                <w:rFonts w:ascii="Times New Roman" w:hAnsi="Times New Roman" w:cs="Times New Roman"/>
                <w:b/>
                <w:bCs/>
                <w:kern w:val="2"/>
                <w:sz w:val="18"/>
                <w:szCs w:val="18"/>
                <w14:ligatures w14:val="standardContextual"/>
              </w:rPr>
              <w:t>)</w:t>
            </w:r>
          </w:p>
        </w:tc>
        <w:tc>
          <w:tcPr>
            <w:tcW w:w="1710" w:type="dxa"/>
            <w:shd w:val="clear" w:color="auto" w:fill="E8E8E8"/>
            <w:vAlign w:val="center"/>
            <w:hideMark/>
          </w:tcPr>
          <w:p w14:paraId="28544E54" w14:textId="77777777" w:rsidR="00836B4D" w:rsidRPr="008F5202" w:rsidRDefault="00836B4D" w:rsidP="00A752BA">
            <w:pPr>
              <w:spacing w:after="160" w:line="360" w:lineRule="auto"/>
              <w:contextualSpacing/>
              <w:jc w:val="center"/>
              <w:rPr>
                <w:rFonts w:ascii="Times New Roman" w:eastAsia="Aptos" w:hAnsi="Times New Roman" w:cs="Times New Roman"/>
                <w:b/>
                <w:bCs/>
                <w:kern w:val="2"/>
                <w:sz w:val="18"/>
                <w:szCs w:val="18"/>
                <w14:ligatures w14:val="standardContextual"/>
              </w:rPr>
            </w:pPr>
            <w:r w:rsidRPr="008F5202">
              <w:rPr>
                <w:rFonts w:ascii="Times New Roman" w:eastAsia="Aptos" w:hAnsi="Times New Roman" w:cs="Times New Roman"/>
                <w:b/>
                <w:bCs/>
                <w:kern w:val="2"/>
                <w:sz w:val="18"/>
                <w:szCs w:val="18"/>
                <w14:ligatures w14:val="standardContextual"/>
              </w:rPr>
              <w:t>Experiments</w:t>
            </w:r>
          </w:p>
        </w:tc>
        <w:tc>
          <w:tcPr>
            <w:tcW w:w="1530" w:type="dxa"/>
            <w:shd w:val="clear" w:color="auto" w:fill="E8E8E8"/>
            <w:vAlign w:val="center"/>
            <w:hideMark/>
          </w:tcPr>
          <w:p w14:paraId="454DC7EE" w14:textId="77777777" w:rsidR="00836B4D" w:rsidRPr="008F5202" w:rsidRDefault="00836B4D" w:rsidP="00A752BA">
            <w:pPr>
              <w:spacing w:after="160" w:line="360" w:lineRule="auto"/>
              <w:contextualSpacing/>
              <w:jc w:val="center"/>
              <w:rPr>
                <w:rFonts w:ascii="Times New Roman" w:eastAsia="Aptos" w:hAnsi="Times New Roman" w:cs="Times New Roman"/>
                <w:b/>
                <w:bCs/>
                <w:kern w:val="2"/>
                <w:sz w:val="18"/>
                <w:szCs w:val="18"/>
                <w14:ligatures w14:val="standardContextual"/>
              </w:rPr>
            </w:pPr>
            <w:r w:rsidRPr="008F5202">
              <w:rPr>
                <w:rFonts w:ascii="Times New Roman" w:eastAsia="Aptos" w:hAnsi="Times New Roman" w:cs="Times New Roman"/>
                <w:b/>
                <w:bCs/>
                <w:kern w:val="2"/>
                <w:sz w:val="18"/>
                <w:szCs w:val="18"/>
                <w14:ligatures w14:val="standardContextual"/>
              </w:rPr>
              <w:t>Computations</w:t>
            </w:r>
          </w:p>
        </w:tc>
        <w:tc>
          <w:tcPr>
            <w:tcW w:w="1620" w:type="dxa"/>
            <w:shd w:val="clear" w:color="auto" w:fill="E8E8E8"/>
            <w:vAlign w:val="center"/>
            <w:hideMark/>
          </w:tcPr>
          <w:p w14:paraId="53FBC004" w14:textId="77777777" w:rsidR="00836B4D" w:rsidRPr="008F5202" w:rsidRDefault="00836B4D" w:rsidP="00A752BA">
            <w:pPr>
              <w:spacing w:after="160" w:line="360" w:lineRule="auto"/>
              <w:contextualSpacing/>
              <w:jc w:val="center"/>
              <w:rPr>
                <w:rFonts w:ascii="Times New Roman" w:eastAsia="Aptos" w:hAnsi="Times New Roman" w:cs="Times New Roman"/>
                <w:b/>
                <w:bCs/>
                <w:kern w:val="2"/>
                <w:sz w:val="18"/>
                <w:szCs w:val="18"/>
                <w14:ligatures w14:val="standardContextual"/>
              </w:rPr>
            </w:pPr>
            <w:r w:rsidRPr="008F5202">
              <w:rPr>
                <w:rFonts w:ascii="Times New Roman" w:eastAsia="Aptos" w:hAnsi="Times New Roman" w:cs="Times New Roman"/>
                <w:b/>
                <w:bCs/>
                <w:kern w:val="2"/>
                <w:sz w:val="18"/>
                <w:szCs w:val="18"/>
                <w14:ligatures w14:val="standardContextual"/>
              </w:rPr>
              <w:t>% Difference</w:t>
            </w:r>
          </w:p>
        </w:tc>
      </w:tr>
      <w:tr w:rsidR="00836B4D" w:rsidRPr="008F5202" w14:paraId="27805872" w14:textId="77777777" w:rsidTr="007B7D94">
        <w:trPr>
          <w:trHeight w:hRule="exact" w:val="225"/>
        </w:trPr>
        <w:tc>
          <w:tcPr>
            <w:tcW w:w="1236" w:type="dxa"/>
          </w:tcPr>
          <w:p w14:paraId="79ECC7A2"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lastRenderedPageBreak/>
              <w:t>Octet</w:t>
            </w:r>
          </w:p>
        </w:tc>
        <w:tc>
          <w:tcPr>
            <w:tcW w:w="1459" w:type="dxa"/>
          </w:tcPr>
          <w:p w14:paraId="0BB386D1"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0.823</w:t>
            </w:r>
          </w:p>
        </w:tc>
        <w:tc>
          <w:tcPr>
            <w:tcW w:w="1710" w:type="dxa"/>
          </w:tcPr>
          <w:p w14:paraId="0147C83C"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0.079</w:t>
            </w:r>
          </w:p>
        </w:tc>
        <w:tc>
          <w:tcPr>
            <w:tcW w:w="1530" w:type="dxa"/>
          </w:tcPr>
          <w:p w14:paraId="39D96423"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 xml:space="preserve">0.080 </w:t>
            </w:r>
          </w:p>
        </w:tc>
        <w:tc>
          <w:tcPr>
            <w:tcW w:w="1620" w:type="dxa"/>
          </w:tcPr>
          <w:p w14:paraId="63E37159"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1.26 %</w:t>
            </w:r>
          </w:p>
        </w:tc>
      </w:tr>
      <w:tr w:rsidR="00836B4D" w:rsidRPr="008F5202" w14:paraId="50E0B5F0" w14:textId="77777777" w:rsidTr="007B7D94">
        <w:trPr>
          <w:trHeight w:hRule="exact" w:val="288"/>
        </w:trPr>
        <w:tc>
          <w:tcPr>
            <w:tcW w:w="1236" w:type="dxa"/>
          </w:tcPr>
          <w:p w14:paraId="01CDE396"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TKD</w:t>
            </w:r>
          </w:p>
        </w:tc>
        <w:tc>
          <w:tcPr>
            <w:tcW w:w="1459" w:type="dxa"/>
          </w:tcPr>
          <w:p w14:paraId="52A0A09F"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0.856</w:t>
            </w:r>
          </w:p>
        </w:tc>
        <w:tc>
          <w:tcPr>
            <w:tcW w:w="1710" w:type="dxa"/>
          </w:tcPr>
          <w:p w14:paraId="773ED744"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0.065</w:t>
            </w:r>
          </w:p>
        </w:tc>
        <w:tc>
          <w:tcPr>
            <w:tcW w:w="1530" w:type="dxa"/>
          </w:tcPr>
          <w:p w14:paraId="40D544F0"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 xml:space="preserve">0.067 </w:t>
            </w:r>
          </w:p>
        </w:tc>
        <w:tc>
          <w:tcPr>
            <w:tcW w:w="1620" w:type="dxa"/>
          </w:tcPr>
          <w:p w14:paraId="50C28121"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3.08 %</w:t>
            </w:r>
          </w:p>
        </w:tc>
      </w:tr>
      <w:tr w:rsidR="00836B4D" w:rsidRPr="008F5202" w14:paraId="6443200D" w14:textId="77777777" w:rsidTr="007B7D94">
        <w:trPr>
          <w:trHeight w:hRule="exact" w:val="288"/>
        </w:trPr>
        <w:tc>
          <w:tcPr>
            <w:tcW w:w="1236" w:type="dxa"/>
          </w:tcPr>
          <w:p w14:paraId="57B0A80E"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FD-cube</w:t>
            </w:r>
          </w:p>
        </w:tc>
        <w:tc>
          <w:tcPr>
            <w:tcW w:w="1459" w:type="dxa"/>
          </w:tcPr>
          <w:p w14:paraId="2F2C0232"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0.869</w:t>
            </w:r>
          </w:p>
        </w:tc>
        <w:tc>
          <w:tcPr>
            <w:tcW w:w="1710" w:type="dxa"/>
          </w:tcPr>
          <w:p w14:paraId="465CFB3A"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0.059</w:t>
            </w:r>
          </w:p>
        </w:tc>
        <w:tc>
          <w:tcPr>
            <w:tcW w:w="1530" w:type="dxa"/>
          </w:tcPr>
          <w:p w14:paraId="781EA959"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 xml:space="preserve">0.058 </w:t>
            </w:r>
          </w:p>
        </w:tc>
        <w:tc>
          <w:tcPr>
            <w:tcW w:w="1620" w:type="dxa"/>
          </w:tcPr>
          <w:p w14:paraId="4B53ADE6"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1.69 %</w:t>
            </w:r>
          </w:p>
        </w:tc>
      </w:tr>
      <w:tr w:rsidR="00836B4D" w:rsidRPr="008F5202" w14:paraId="3569F6FF" w14:textId="77777777" w:rsidTr="007B7D94">
        <w:trPr>
          <w:trHeight w:hRule="exact" w:val="288"/>
        </w:trPr>
        <w:tc>
          <w:tcPr>
            <w:tcW w:w="1236" w:type="dxa"/>
          </w:tcPr>
          <w:p w14:paraId="7E318835"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 xml:space="preserve">Cube </w:t>
            </w:r>
          </w:p>
        </w:tc>
        <w:tc>
          <w:tcPr>
            <w:tcW w:w="1459" w:type="dxa"/>
          </w:tcPr>
          <w:p w14:paraId="4D435243"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0.877</w:t>
            </w:r>
          </w:p>
        </w:tc>
        <w:tc>
          <w:tcPr>
            <w:tcW w:w="1710" w:type="dxa"/>
          </w:tcPr>
          <w:p w14:paraId="2AB7BBAB"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0.055</w:t>
            </w:r>
          </w:p>
        </w:tc>
        <w:tc>
          <w:tcPr>
            <w:tcW w:w="1530" w:type="dxa"/>
          </w:tcPr>
          <w:p w14:paraId="65A7551A"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 xml:space="preserve">0.055 </w:t>
            </w:r>
          </w:p>
        </w:tc>
        <w:tc>
          <w:tcPr>
            <w:tcW w:w="1620" w:type="dxa"/>
          </w:tcPr>
          <w:p w14:paraId="5F78B94F" w14:textId="77777777" w:rsidR="00836B4D" w:rsidRPr="008F5202" w:rsidRDefault="00836B4D" w:rsidP="00A752BA">
            <w:pPr>
              <w:spacing w:after="160" w:line="360" w:lineRule="auto"/>
              <w:contextualSpacing/>
              <w:jc w:val="center"/>
              <w:rPr>
                <w:rFonts w:ascii="Times New Roman" w:eastAsia="Aptos" w:hAnsi="Times New Roman" w:cs="Times New Roman"/>
                <w:kern w:val="2"/>
                <w:sz w:val="20"/>
                <w:szCs w:val="20"/>
                <w14:ligatures w14:val="standardContextual"/>
              </w:rPr>
            </w:pPr>
            <w:r w:rsidRPr="008F5202">
              <w:rPr>
                <w:rFonts w:ascii="Times New Roman" w:eastAsia="Aptos" w:hAnsi="Times New Roman" w:cs="Times New Roman"/>
                <w:kern w:val="2"/>
                <w:sz w:val="20"/>
                <w:szCs w:val="20"/>
                <w14:ligatures w14:val="standardContextual"/>
              </w:rPr>
              <w:t>~0%</w:t>
            </w:r>
          </w:p>
        </w:tc>
      </w:tr>
    </w:tbl>
    <w:p w14:paraId="757BB208" w14:textId="68448360" w:rsidR="000873DB" w:rsidRPr="008F5202" w:rsidRDefault="00836B4D" w:rsidP="00A752BA">
      <w:pPr>
        <w:spacing w:after="160" w:line="360" w:lineRule="auto"/>
        <w:ind w:firstLine="284"/>
        <w:contextualSpacing/>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The validated computational model was then extended to find </w:t>
      </w:r>
      <w:r w:rsidRPr="008F5202">
        <w:rPr>
          <w:rFonts w:ascii="Times New Roman" w:hAnsi="Times New Roman" w:cs="Times New Roman"/>
          <w:i/>
          <w:iCs/>
          <w:kern w:val="2"/>
          <w14:ligatures w14:val="standardContextual"/>
        </w:rPr>
        <w:t>k</w:t>
      </w:r>
      <w:r w:rsidRPr="008F5202">
        <w:rPr>
          <w:rFonts w:ascii="Times New Roman" w:hAnsi="Times New Roman" w:cs="Times New Roman"/>
          <w:kern w:val="2"/>
          <w:vertAlign w:val="subscript"/>
          <w14:ligatures w14:val="standardContextual"/>
        </w:rPr>
        <w:t>eff</w:t>
      </w:r>
      <w:r w:rsidRPr="008F5202">
        <w:rPr>
          <w:rFonts w:ascii="Times New Roman" w:hAnsi="Times New Roman" w:cs="Times New Roman"/>
          <w:kern w:val="2"/>
          <w14:ligatures w14:val="standardContextual"/>
        </w:rPr>
        <w:t xml:space="preserve"> values at a fixed unit cell porosity of 0.886. At fixed porosity of 0.886, the </w:t>
      </w:r>
      <w:r w:rsidRPr="008F5202">
        <w:rPr>
          <w:rFonts w:ascii="Times New Roman" w:hAnsi="Times New Roman" w:cs="Times New Roman"/>
          <w:i/>
          <w:iCs/>
          <w:kern w:val="2"/>
          <w14:ligatures w14:val="standardContextual"/>
        </w:rPr>
        <w:t>k</w:t>
      </w:r>
      <w:r w:rsidRPr="008F5202">
        <w:rPr>
          <w:rFonts w:ascii="Times New Roman" w:hAnsi="Times New Roman" w:cs="Times New Roman"/>
          <w:kern w:val="2"/>
          <w:vertAlign w:val="subscript"/>
          <w14:ligatures w14:val="standardContextual"/>
        </w:rPr>
        <w:t>eff</w:t>
      </w:r>
      <w:r w:rsidRPr="008F5202">
        <w:rPr>
          <w:rFonts w:ascii="Times New Roman" w:hAnsi="Times New Roman" w:cs="Times New Roman"/>
          <w:kern w:val="2"/>
          <w14:ligatures w14:val="standardContextual"/>
        </w:rPr>
        <w:t xml:space="preserve"> values yielded by each topology was same establishing that for the investigated porosity range, the </w:t>
      </w:r>
      <w:r w:rsidRPr="008F5202">
        <w:rPr>
          <w:rFonts w:ascii="Times New Roman" w:hAnsi="Times New Roman" w:cs="Times New Roman"/>
          <w:i/>
          <w:iCs/>
          <w:kern w:val="2"/>
          <w14:ligatures w14:val="standardContextual"/>
        </w:rPr>
        <w:t>k</w:t>
      </w:r>
      <w:r w:rsidRPr="008F5202">
        <w:rPr>
          <w:rFonts w:ascii="Times New Roman" w:hAnsi="Times New Roman" w:cs="Times New Roman"/>
          <w:kern w:val="2"/>
          <w:vertAlign w:val="subscript"/>
          <w14:ligatures w14:val="standardContextual"/>
        </w:rPr>
        <w:t>eff</w:t>
      </w:r>
      <w:r w:rsidRPr="008F5202">
        <w:rPr>
          <w:rFonts w:ascii="Times New Roman" w:hAnsi="Times New Roman" w:cs="Times New Roman"/>
          <w:kern w:val="2"/>
          <w14:ligatures w14:val="standardContextual"/>
        </w:rPr>
        <w:t xml:space="preserve"> is indeed independent of topology. The </w:t>
      </w:r>
      <w:r w:rsidRPr="008F5202">
        <w:rPr>
          <w:rFonts w:ascii="Times New Roman" w:hAnsi="Times New Roman" w:cs="Times New Roman"/>
          <w:i/>
          <w:iCs/>
          <w:kern w:val="2"/>
          <w14:ligatures w14:val="standardContextual"/>
        </w:rPr>
        <w:t>k</w:t>
      </w:r>
      <w:r w:rsidRPr="008F5202">
        <w:rPr>
          <w:rFonts w:ascii="Times New Roman" w:hAnsi="Times New Roman" w:cs="Times New Roman"/>
          <w:kern w:val="2"/>
          <w:vertAlign w:val="subscript"/>
          <w14:ligatures w14:val="standardContextual"/>
        </w:rPr>
        <w:t>eff</w:t>
      </w:r>
      <w:r w:rsidRPr="008F5202">
        <w:rPr>
          <w:rFonts w:ascii="Times New Roman" w:hAnsi="Times New Roman" w:cs="Times New Roman"/>
          <w:kern w:val="2"/>
          <w14:ligatures w14:val="standardContextual"/>
        </w:rPr>
        <w:t>/</w:t>
      </w:r>
      <w:r w:rsidRPr="008F5202">
        <w:rPr>
          <w:rFonts w:ascii="Times New Roman" w:hAnsi="Times New Roman" w:cs="Times New Roman"/>
          <w:i/>
          <w:iCs/>
          <w:kern w:val="2"/>
          <w14:ligatures w14:val="standardContextual"/>
        </w:rPr>
        <w:t>k</w:t>
      </w:r>
      <w:r w:rsidRPr="008F5202">
        <w:rPr>
          <w:rFonts w:ascii="Times New Roman" w:hAnsi="Times New Roman" w:cs="Times New Roman"/>
          <w:kern w:val="2"/>
          <w:vertAlign w:val="subscript"/>
          <w14:ligatures w14:val="standardContextual"/>
        </w:rPr>
        <w:t xml:space="preserve">s </w:t>
      </w:r>
      <w:r w:rsidRPr="008F5202">
        <w:rPr>
          <w:rFonts w:ascii="Times New Roman" w:hAnsi="Times New Roman" w:cs="Times New Roman"/>
          <w:kern w:val="2"/>
          <w14:ligatures w14:val="standardContextual"/>
        </w:rPr>
        <w:t xml:space="preserve">values for all the topologies at porosity of 0.886 was ~ 0.049. Figure </w:t>
      </w:r>
      <w:r w:rsidR="00C544AE"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7 shows the contours of solid, and fluid (occupying void space and modeled as stagnant) temperatures obtained from the simulations of unit cells for each topology at designed porosity (~0.886) for the case of </w:t>
      </w:r>
      <m:oMath>
        <m:sSub>
          <m:sSubPr>
            <m:ctrlPr>
              <w:rPr>
                <w:rFonts w:ascii="Cambria Math" w:hAnsi="Cambria Math" w:cs="Times New Roman"/>
                <w:i/>
                <w:kern w:val="2"/>
                <w14:ligatures w14:val="standardContextual"/>
              </w:rPr>
            </m:ctrlPr>
          </m:sSubPr>
          <m:e>
            <m:r>
              <w:rPr>
                <w:rFonts w:ascii="Cambria Math" w:hAnsi="Cambria Math" w:cs="Times New Roman"/>
                <w:kern w:val="2"/>
                <w14:ligatures w14:val="standardContextual"/>
              </w:rPr>
              <m:t>k</m:t>
            </m:r>
          </m:e>
          <m:sub>
            <m:r>
              <w:rPr>
                <w:rFonts w:ascii="Cambria Math" w:hAnsi="Cambria Math" w:cs="Times New Roman"/>
                <w:kern w:val="2"/>
                <w14:ligatures w14:val="standardContextual"/>
              </w:rPr>
              <m:t>s</m:t>
            </m:r>
          </m:sub>
        </m:sSub>
      </m:oMath>
      <w:r w:rsidRPr="008F5202">
        <w:rPr>
          <w:rFonts w:ascii="Times New Roman" w:hAnsi="Times New Roman" w:cs="Times New Roman"/>
          <w:kern w:val="2"/>
          <w14:ligatures w14:val="standardContextual"/>
        </w:rPr>
        <w:t xml:space="preserve"> = 20.8 </w:t>
      </w:r>
      <m:oMath>
        <m:f>
          <m:fPr>
            <m:type m:val="lin"/>
            <m:ctrlPr>
              <w:rPr>
                <w:rFonts w:ascii="Cambria Math" w:hAnsi="Cambria Math" w:cs="Times New Roman"/>
                <w:i/>
                <w:kern w:val="2"/>
                <w14:ligatures w14:val="standardContextual"/>
              </w:rPr>
            </m:ctrlPr>
          </m:fPr>
          <m:num>
            <m:r>
              <w:rPr>
                <w:rFonts w:ascii="Cambria Math" w:hAnsi="Cambria Math" w:cs="Times New Roman"/>
                <w:kern w:val="2"/>
                <w14:ligatures w14:val="standardContextual"/>
              </w:rPr>
              <m:t>W</m:t>
            </m:r>
          </m:num>
          <m:den>
            <m:r>
              <w:rPr>
                <w:rFonts w:ascii="Cambria Math" w:hAnsi="Cambria Math" w:cs="Times New Roman"/>
                <w:kern w:val="2"/>
                <w14:ligatures w14:val="standardContextual"/>
              </w:rPr>
              <m:t>mK</m:t>
            </m:r>
          </m:den>
        </m:f>
      </m:oMath>
      <w:r w:rsidRPr="008F5202">
        <w:rPr>
          <w:rFonts w:ascii="Times New Roman" w:hAnsi="Times New Roman" w:cs="Times New Roman"/>
          <w:kern w:val="2"/>
          <w14:ligatures w14:val="standardContextual"/>
        </w:rPr>
        <w:t xml:space="preserve"> and</w:t>
      </w:r>
      <m:oMath>
        <m:sSub>
          <m:sSubPr>
            <m:ctrlPr>
              <w:rPr>
                <w:rFonts w:ascii="Cambria Math" w:hAnsi="Cambria Math" w:cs="Times New Roman"/>
                <w:i/>
                <w:kern w:val="2"/>
                <w14:ligatures w14:val="standardContextual"/>
              </w:rPr>
            </m:ctrlPr>
          </m:sSubPr>
          <m:e>
            <m:r>
              <w:rPr>
                <w:rFonts w:ascii="Cambria Math" w:hAnsi="Cambria Math" w:cs="Times New Roman"/>
                <w:kern w:val="2"/>
                <w14:ligatures w14:val="standardContextual"/>
              </w:rPr>
              <m:t xml:space="preserve"> k</m:t>
            </m:r>
          </m:e>
          <m:sub>
            <m:r>
              <w:rPr>
                <w:rFonts w:ascii="Cambria Math" w:hAnsi="Cambria Math" w:cs="Times New Roman"/>
                <w:kern w:val="2"/>
                <w14:ligatures w14:val="standardContextual"/>
              </w:rPr>
              <m:t>f</m:t>
            </m:r>
          </m:sub>
        </m:sSub>
        <m:r>
          <w:rPr>
            <w:rFonts w:ascii="Cambria Math" w:hAnsi="Cambria Math" w:cs="Times New Roman"/>
            <w:kern w:val="2"/>
            <w14:ligatures w14:val="standardContextual"/>
          </w:rPr>
          <m:t>=</m:t>
        </m:r>
      </m:oMath>
      <w:r w:rsidRPr="008F5202">
        <w:rPr>
          <w:rFonts w:ascii="Times New Roman" w:hAnsi="Times New Roman" w:cs="Times New Roman"/>
          <w:kern w:val="2"/>
          <w14:ligatures w14:val="standardContextual"/>
        </w:rPr>
        <w:t xml:space="preserve"> 0.026 </w:t>
      </w:r>
      <m:oMath>
        <m:f>
          <m:fPr>
            <m:type m:val="lin"/>
            <m:ctrlPr>
              <w:rPr>
                <w:rFonts w:ascii="Cambria Math" w:hAnsi="Cambria Math" w:cs="Times New Roman"/>
                <w:i/>
                <w:kern w:val="2"/>
                <w14:ligatures w14:val="standardContextual"/>
              </w:rPr>
            </m:ctrlPr>
          </m:fPr>
          <m:num>
            <m:r>
              <w:rPr>
                <w:rFonts w:ascii="Cambria Math" w:hAnsi="Cambria Math" w:cs="Times New Roman"/>
                <w:kern w:val="2"/>
                <w14:ligatures w14:val="standardContextual"/>
              </w:rPr>
              <m:t>W</m:t>
            </m:r>
          </m:num>
          <m:den>
            <m:r>
              <w:rPr>
                <w:rFonts w:ascii="Cambria Math" w:hAnsi="Cambria Math" w:cs="Times New Roman"/>
                <w:kern w:val="2"/>
                <w14:ligatures w14:val="standardContextual"/>
              </w:rPr>
              <m:t>mK</m:t>
            </m:r>
          </m:den>
        </m:f>
      </m:oMath>
      <w:r w:rsidRPr="008F5202">
        <w:rPr>
          <w:rFonts w:ascii="Times New Roman" w:hAnsi="Times New Roman" w:cs="Times New Roman"/>
          <w:kern w:val="2"/>
          <w14:ligatures w14:val="standardContextual"/>
        </w:rPr>
        <w:t>. In these simulations, local thermal equilibrium (</w:t>
      </w:r>
      <w:r w:rsidRPr="008F5202">
        <w:rPr>
          <w:rFonts w:ascii="Times New Roman" w:hAnsi="Times New Roman" w:cs="Times New Roman"/>
          <w:i/>
          <w:iCs/>
          <w:kern w:val="2"/>
          <w14:ligatures w14:val="standardContextual"/>
        </w:rPr>
        <w:t>T</w:t>
      </w:r>
      <w:r w:rsidRPr="008F5202">
        <w:rPr>
          <w:rFonts w:ascii="Times New Roman" w:hAnsi="Times New Roman" w:cs="Times New Roman"/>
          <w:kern w:val="2"/>
          <w:vertAlign w:val="subscript"/>
          <w14:ligatures w14:val="standardContextual"/>
        </w:rPr>
        <w:t>s</w:t>
      </w:r>
      <w:r w:rsidRPr="008F5202">
        <w:rPr>
          <w:rFonts w:ascii="Times New Roman" w:hAnsi="Times New Roman" w:cs="Times New Roman"/>
          <w:kern w:val="2"/>
          <w14:ligatures w14:val="standardContextual"/>
        </w:rPr>
        <w:t xml:space="preserve"> = </w:t>
      </w:r>
      <w:r w:rsidRPr="008F5202">
        <w:rPr>
          <w:rFonts w:ascii="Times New Roman" w:hAnsi="Times New Roman" w:cs="Times New Roman"/>
          <w:i/>
          <w:iCs/>
          <w:kern w:val="2"/>
          <w14:ligatures w14:val="standardContextual"/>
        </w:rPr>
        <w:t>T</w:t>
      </w:r>
      <w:r w:rsidRPr="008F5202">
        <w:rPr>
          <w:rFonts w:ascii="Times New Roman" w:hAnsi="Times New Roman" w:cs="Times New Roman"/>
          <w:kern w:val="2"/>
          <w:vertAlign w:val="subscript"/>
          <w14:ligatures w14:val="standardContextual"/>
        </w:rPr>
        <w:t>f</w:t>
      </w:r>
      <w:r w:rsidRPr="008F5202">
        <w:rPr>
          <w:rFonts w:ascii="Times New Roman" w:hAnsi="Times New Roman" w:cs="Times New Roman"/>
          <w:kern w:val="2"/>
          <w14:ligatures w14:val="standardContextual"/>
        </w:rPr>
        <w:t xml:space="preserve">) has been employed due to heat flux and temperature continuity at the interface. The direction of heat flow in Fig. </w:t>
      </w:r>
      <w:r w:rsidR="00C544AE"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7 is from right to left. For all topologies, the solid-phase temperatures at the fiber junctions were similar to the fiber upstream, i.e., a smooth temperature profile was observed. This included the X-shaped fiber formation at the four side walls of Octet lattice. The temperature variation along the fibers can have a prominent role to play in high temperature applications involving thermal stresses. </w:t>
      </w:r>
    </w:p>
    <w:p w14:paraId="5B083638" w14:textId="77777777" w:rsidR="00914D9C" w:rsidRPr="008F5202" w:rsidRDefault="00836B4D" w:rsidP="00A752BA">
      <w:pPr>
        <w:keepNext/>
        <w:spacing w:after="160" w:line="360" w:lineRule="auto"/>
        <w:contextualSpacing/>
        <w:rPr>
          <w:rFonts w:ascii="Times New Roman" w:hAnsi="Times New Roman" w:cs="Times New Roman"/>
        </w:rPr>
      </w:pPr>
      <w:r w:rsidRPr="008F5202">
        <w:rPr>
          <w:rFonts w:ascii="Times New Roman" w:eastAsia="Aptos" w:hAnsi="Times New Roman" w:cs="Times New Roman"/>
          <w:noProof/>
          <w:kern w:val="2"/>
          <w:sz w:val="22"/>
          <w:szCs w:val="22"/>
          <w14:ligatures w14:val="standardContextual"/>
        </w:rPr>
        <w:lastRenderedPageBreak/>
        <w:drawing>
          <wp:inline distT="0" distB="0" distL="0" distR="0" wp14:anchorId="409510A3" wp14:editId="31AC2152">
            <wp:extent cx="5851033" cy="2771775"/>
            <wp:effectExtent l="0" t="0" r="0" b="0"/>
            <wp:docPr id="1548372371" name="Picture 1548372371" descr="A picture containing text, queen,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text, queen, vector graphics&#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l="1442" t="8546" b="8546"/>
                    <a:stretch>
                      <a:fillRect/>
                    </a:stretch>
                  </pic:blipFill>
                  <pic:spPr bwMode="auto">
                    <a:xfrm>
                      <a:off x="0" y="0"/>
                      <a:ext cx="5873472" cy="2782405"/>
                    </a:xfrm>
                    <a:prstGeom prst="rect">
                      <a:avLst/>
                    </a:prstGeom>
                    <a:noFill/>
                    <a:ln>
                      <a:noFill/>
                    </a:ln>
                  </pic:spPr>
                </pic:pic>
              </a:graphicData>
            </a:graphic>
          </wp:inline>
        </w:drawing>
      </w:r>
    </w:p>
    <w:p w14:paraId="1116E139" w14:textId="3F23C491" w:rsidR="00836B4D" w:rsidRPr="008F5202" w:rsidRDefault="00914D9C" w:rsidP="008F5202">
      <w:pPr>
        <w:pStyle w:val="Caption"/>
        <w:rPr>
          <w:rFonts w:eastAsia="Aptos"/>
          <w:kern w:val="2"/>
          <w:sz w:val="18"/>
          <w14:ligatures w14:val="standardContextual"/>
        </w:rPr>
      </w:pPr>
      <w:bookmarkStart w:id="136" w:name="_Toc177755206"/>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7</w:t>
      </w:r>
      <w:r w:rsidR="003763D2" w:rsidRPr="008F5202">
        <w:fldChar w:fldCharType="end"/>
      </w:r>
      <w:r w:rsidR="007B7D94" w:rsidRPr="008F5202">
        <w:t xml:space="preserve"> Solid and fluid temperature contours for topologies with designed porosities for (left to right)- Cube, FD-cube, TKD, and Octet</w:t>
      </w:r>
      <w:bookmarkEnd w:id="136"/>
    </w:p>
    <w:p w14:paraId="35CB02C0" w14:textId="493A7F62" w:rsidR="00836B4D" w:rsidRPr="008F5202" w:rsidRDefault="00836B4D" w:rsidP="00A752BA">
      <w:pPr>
        <w:pStyle w:val="Heading3"/>
        <w:spacing w:line="360" w:lineRule="auto"/>
        <w:rPr>
          <w:rFonts w:eastAsia="Aptos"/>
        </w:rPr>
      </w:pPr>
      <w:bookmarkStart w:id="137" w:name="_Toc177758165"/>
      <w:r w:rsidRPr="008F5202">
        <w:rPr>
          <w:rFonts w:eastAsia="Aptos"/>
        </w:rPr>
        <w:t>Heat transfer coefficient vs mean flow velocity</w:t>
      </w:r>
      <w:bookmarkEnd w:id="137"/>
      <w:r w:rsidRPr="008F5202">
        <w:rPr>
          <w:rFonts w:eastAsia="Aptos"/>
        </w:rPr>
        <w:t xml:space="preserve"> </w:t>
      </w:r>
    </w:p>
    <w:p w14:paraId="48355EAF" w14:textId="54B4A82E"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r w:rsidRPr="008F5202">
        <w:rPr>
          <w:rFonts w:ascii="Times New Roman" w:eastAsia="Aptos" w:hAnsi="Times New Roman" w:cs="Times New Roman"/>
          <w:kern w:val="2"/>
          <w14:ligatures w14:val="standardContextual"/>
        </w:rPr>
        <w:t xml:space="preserve">Figure </w:t>
      </w:r>
      <w:r w:rsidR="00297625"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8 shows the variation of heat transfer coefficient with respect to the mean flow velocity (</w:t>
      </w:r>
      <m:oMath>
        <m:f>
          <m:fPr>
            <m:type m:val="lin"/>
            <m:ctrlPr>
              <w:rPr>
                <w:rFonts w:ascii="Cambria Math" w:eastAsia="Aptos" w:hAnsi="Cambria Math" w:cs="Times New Roman"/>
                <w:i/>
                <w:kern w:val="2"/>
                <w14:ligatures w14:val="standardContextual"/>
              </w:rPr>
            </m:ctrlPr>
          </m:fPr>
          <m:num>
            <m:acc>
              <m:accPr>
                <m:chr m:val="̇"/>
                <m:ctrlPr>
                  <w:rPr>
                    <w:rFonts w:ascii="Cambria Math" w:eastAsia="Aptos" w:hAnsi="Cambria Math" w:cs="Times New Roman"/>
                    <w:i/>
                    <w:kern w:val="2"/>
                    <w14:ligatures w14:val="standardContextual"/>
                  </w:rPr>
                </m:ctrlPr>
              </m:accPr>
              <m:e>
                <m:r>
                  <w:rPr>
                    <w:rFonts w:ascii="Cambria Math" w:eastAsia="Aptos" w:hAnsi="Cambria Math" w:cs="Times New Roman"/>
                    <w:kern w:val="2"/>
                    <w14:ligatures w14:val="standardContextual"/>
                  </w:rPr>
                  <m:t>m</m:t>
                </m:r>
              </m:e>
            </m:acc>
          </m:num>
          <m:den>
            <w:bookmarkStart w:id="138" w:name="_Hlk84684353"/>
            <m:r>
              <w:rPr>
                <w:rFonts w:ascii="Cambria Math" w:eastAsia="Aptos" w:hAnsi="Cambria Math" w:cs="Times New Roman"/>
                <w:kern w:val="2"/>
                <w14:ligatures w14:val="standardContextual"/>
              </w:rPr>
              <m:t>ρ</m:t>
            </m:r>
            <w:bookmarkStart w:id="139" w:name="_Hlk84684364"/>
            <w:bookmarkEnd w:id="138"/>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A</m:t>
                </m:r>
              </m:e>
              <m:sub>
                <m:r>
                  <w:rPr>
                    <w:rFonts w:ascii="Cambria Math" w:eastAsia="Aptos" w:hAnsi="Cambria Math" w:cs="Times New Roman"/>
                    <w:kern w:val="2"/>
                    <w14:ligatures w14:val="standardContextual"/>
                  </w:rPr>
                  <m:t>c</m:t>
                </m:r>
              </m:sub>
            </m:sSub>
            <w:bookmarkEnd w:id="139"/>
          </m:den>
        </m:f>
      </m:oMath>
      <w:r w:rsidRPr="008F5202">
        <w:rPr>
          <w:rFonts w:ascii="Times New Roman" w:hAnsi="Times New Roman" w:cs="Times New Roman"/>
          <w:kern w:val="2"/>
          <w14:ligatures w14:val="standardContextual"/>
        </w:rPr>
        <w:t xml:space="preserve">) for all the investigated topologies for both-walls (Fig. </w:t>
      </w:r>
      <w:r w:rsidR="00297625"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8a) and single-wall (Fig. </w:t>
      </w:r>
      <w:r w:rsidR="00297625"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8b) heating configurations. To facilitate discussion of the samples in this section, Octet topologies will be denoted by their names followed by parenthesis containing the corresponding measured porosity value. A power law dependence was observed between </w:t>
      </w:r>
      <w:r w:rsidRPr="008F5202">
        <w:rPr>
          <w:rFonts w:ascii="Times New Roman" w:hAnsi="Times New Roman" w:cs="Times New Roman"/>
          <w:i/>
          <w:iCs/>
          <w:kern w:val="2"/>
          <w14:ligatures w14:val="standardContextual"/>
        </w:rPr>
        <w:t xml:space="preserve">h </w:t>
      </w:r>
      <w:r w:rsidRPr="008F5202">
        <w:rPr>
          <w:rFonts w:ascii="Times New Roman" w:hAnsi="Times New Roman" w:cs="Times New Roman"/>
          <w:kern w:val="2"/>
          <w14:ligatures w14:val="standardContextual"/>
        </w:rPr>
        <w:t xml:space="preserve">and </w:t>
      </w:r>
      <w:r w:rsidRPr="008F5202">
        <w:rPr>
          <w:rFonts w:ascii="Times New Roman" w:hAnsi="Times New Roman" w:cs="Times New Roman"/>
          <w:i/>
          <w:iCs/>
          <w:kern w:val="2"/>
          <w14:ligatures w14:val="standardContextual"/>
        </w:rPr>
        <w:t xml:space="preserve">u, </w:t>
      </w:r>
      <w:r w:rsidRPr="008F5202">
        <w:rPr>
          <w:rFonts w:ascii="Times New Roman" w:hAnsi="Times New Roman" w:cs="Times New Roman"/>
          <w:kern w:val="2"/>
          <w14:ligatures w14:val="standardContextual"/>
        </w:rPr>
        <w:t>which is observed in typical enhanced heat transfer studies. Octet (0.823) had the maximum heat transfer coefficient followed by FD-cube, TKD, and Cube, respectively. The relative trends of the heat transfer performance were almost consistent for both heating conditions. The topologies render unique flow characteristics on the planes parallel and normal to the mean flow direction.</w:t>
      </w:r>
      <w:bookmarkStart w:id="140" w:name="_Hlk97703055"/>
      <w:r w:rsidRPr="008F5202">
        <w:rPr>
          <w:rFonts w:ascii="Times New Roman" w:hAnsi="Times New Roman" w:cs="Times New Roman"/>
          <w:kern w:val="2"/>
          <w14:ligatures w14:val="standardContextual"/>
        </w:rPr>
        <w:t xml:space="preserve"> </w:t>
      </w:r>
      <w:bookmarkStart w:id="141" w:name="_Hlk97702531"/>
      <w:r w:rsidRPr="008F5202">
        <w:rPr>
          <w:rFonts w:ascii="Times New Roman" w:hAnsi="Times New Roman" w:cs="Times New Roman"/>
          <w:kern w:val="2"/>
          <w14:ligatures w14:val="standardContextual"/>
        </w:rPr>
        <w:t xml:space="preserve">Kaur and Singh </w:t>
      </w:r>
      <w:r w:rsidR="00EA4E2B" w:rsidRPr="008F5202">
        <w:rPr>
          <w:rFonts w:ascii="Times New Roman" w:eastAsia="Aptos" w:hAnsi="Times New Roman" w:cs="Times New Roman"/>
          <w:kern w:val="2"/>
          <w14:ligatures w14:val="standardContextual"/>
        </w:rPr>
        <w:t>[3</w:t>
      </w:r>
      <w:r w:rsidR="00430618"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kern w:val="2"/>
          <w14:ligatures w14:val="standardContextual"/>
        </w:rPr>
        <w:t>23]</w:t>
      </w:r>
      <w:r w:rsidRPr="008F5202">
        <w:rPr>
          <w:rFonts w:ascii="Times New Roman" w:hAnsi="Times New Roman" w:cs="Times New Roman"/>
          <w:kern w:val="2"/>
          <w14:ligatures w14:val="standardContextual"/>
        </w:rPr>
        <w:t xml:space="preserve"> numerically investigated the flow losses and interfacial heat transfer characteristics of the four topologies considered in the present study for a single cell thick lattice in streamwise direction and also presented the qualitative comparison of flow with the corresponding fully periodic unit cells of each topology. The simulations were conducted for laminar flow conditions. Localized flow accelerations were apparent around the Octet fibers in the </w:t>
      </w:r>
      <w:r w:rsidRPr="008F5202">
        <w:rPr>
          <w:rFonts w:ascii="Times New Roman" w:hAnsi="Times New Roman" w:cs="Times New Roman"/>
          <w:kern w:val="2"/>
          <w14:ligatures w14:val="standardContextual"/>
        </w:rPr>
        <w:lastRenderedPageBreak/>
        <w:t xml:space="preserve">normal planes whereas large recirculating fluid pockets were found downstream of the fibers in the streamwise planes. TKD in </w:t>
      </w:r>
      <w:r w:rsidR="00EA4E2B" w:rsidRPr="008F5202">
        <w:rPr>
          <w:rFonts w:ascii="Times New Roman" w:eastAsia="Aptos" w:hAnsi="Times New Roman" w:cs="Times New Roman"/>
          <w:kern w:val="2"/>
          <w14:ligatures w14:val="standardContextual"/>
        </w:rPr>
        <w:t>[3</w:t>
      </w:r>
      <w:r w:rsidR="001731F9"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kern w:val="2"/>
          <w14:ligatures w14:val="standardContextual"/>
        </w:rPr>
        <w:t>23]</w:t>
      </w:r>
      <w:r w:rsidRPr="008F5202">
        <w:rPr>
          <w:rFonts w:ascii="Times New Roman" w:hAnsi="Times New Roman" w:cs="Times New Roman"/>
          <w:kern w:val="2"/>
          <w14:ligatures w14:val="standardContextual"/>
        </w:rPr>
        <w:t xml:space="preserve"> was generated through sphere extraction method which resulted in triangular cross-section of fibers and also demonstrated large zones of fluid recirculation. The flow features involving wake formation are expected to be more prominent for turbulent flows and essentially dictating the flow losses and heat transfer characteristics of each topology. Upstream zones of the fibers facing directly the incoming flow have very high heat transfer coefficient values due to fluid stagnation whereas the recirculation zones result in lower levels of heat transfer coefficient. However, it should be noted that ranking of interfacial heat transfer coefficient cannot be directly translated to the ranking of topologies in conjugate scenarios, especially in single cell thick lattices because the endwall-lattice interactions become increasingly important in such configurations besides the flow phenomenon in the core volume of the lattices. In experimental and numerical study by Kaur and Singh </w:t>
      </w:r>
      <w:r w:rsidR="00EA4E2B" w:rsidRPr="008F5202">
        <w:rPr>
          <w:rFonts w:ascii="Times New Roman" w:eastAsia="Aptos" w:hAnsi="Times New Roman" w:cs="Times New Roman"/>
          <w:kern w:val="2"/>
          <w14:ligatures w14:val="standardContextual"/>
        </w:rPr>
        <w:t>[3</w:t>
      </w:r>
      <w:r w:rsidR="001731F9"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kern w:val="2"/>
          <w14:ligatures w14:val="standardContextual"/>
        </w:rPr>
        <w:t>26]</w:t>
      </w:r>
      <w:r w:rsidRPr="008F5202">
        <w:rPr>
          <w:rFonts w:ascii="Times New Roman" w:hAnsi="Times New Roman" w:cs="Times New Roman"/>
          <w:kern w:val="2"/>
          <w14:ligatures w14:val="standardContextual"/>
        </w:rPr>
        <w:t xml:space="preserve">, it was demonstrated that the fiber junctions with endwall for different lattices from Octahedron family have capability of inducing endwall heat-transfer coefficient signature similar to that of ribs and pin-fins. </w:t>
      </w:r>
      <w:bookmarkEnd w:id="140"/>
    </w:p>
    <w:bookmarkEnd w:id="141"/>
    <w:p w14:paraId="427E3EBC" w14:textId="77777777"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Octet (0.823) showed significant difference between the both-wall and single-wall heating configurations as compared to the other topologies. TKD and FD-cube had very similar heat transfer coefficient values whereas Cube had the potential to outperform the TKD structure at very high mass flow rates. Cube had slightly higher porosity than TKD in the present investigation and the heat transfer coefficient is expected to increase with decreasing porosity value due to increase in effective thermal conductivity and specific surface area for thermal exchange. Therefore, at same porosity, additively manufactured simple Cube topology can perform slightly better than the TKD topology for high mass flow rate values. The thermal performance of FD-cube was comparable to TKD and FD-cube at the lower mass flow rates, but significant deviation of relative performance was obtained at the higher mass flow rate range. The porosity of FD-cube was lower than Cube, therefore, relatively higher heat transfer coefficient was expected for FD-cube. On the contrary, FD-cube had ~ 1.4% higher porosity value than TKD topology but still exhibited significantly higher heat transfer coefficient values. Since the measured porosity values </w:t>
      </w:r>
      <w:r w:rsidRPr="008F5202">
        <w:rPr>
          <w:rFonts w:ascii="Times New Roman" w:hAnsi="Times New Roman" w:cs="Times New Roman"/>
          <w:kern w:val="2"/>
          <w14:ligatures w14:val="standardContextual"/>
        </w:rPr>
        <w:lastRenderedPageBreak/>
        <w:t xml:space="preserve">have minimal deviations, the relative performance of TKD, FD-cube, and Cube obtained in the present study was expected to be a function of the topology which governs the associated flow dynamics, conjugate thermal exchange and near endwall flow physics, rather than only porosity variation. The results obtained in the current investigation are for the thermally developing flow. Such a flow is expected in a typical gas turbine blade. </w:t>
      </w:r>
    </w:p>
    <w:p w14:paraId="10A38925" w14:textId="77777777" w:rsidR="00B15F8B" w:rsidRPr="008F5202" w:rsidRDefault="00836B4D" w:rsidP="00A752BA">
      <w:pPr>
        <w:keepNext/>
        <w:spacing w:after="160" w:line="360" w:lineRule="auto"/>
        <w:rPr>
          <w:rFonts w:ascii="Times New Roman" w:hAnsi="Times New Roman" w:cs="Times New Roman"/>
        </w:rPr>
      </w:pPr>
      <w:r w:rsidRPr="008F5202">
        <w:rPr>
          <w:rFonts w:ascii="Times New Roman" w:eastAsia="Aptos" w:hAnsi="Times New Roman" w:cs="Times New Roman"/>
          <w:b/>
          <w:bCs/>
          <w:noProof/>
          <w:kern w:val="2"/>
          <w:sz w:val="18"/>
          <w:szCs w:val="18"/>
          <w14:ligatures w14:val="standardContextual"/>
        </w:rPr>
        <w:drawing>
          <wp:inline distT="0" distB="0" distL="0" distR="0" wp14:anchorId="3387140B" wp14:editId="6018A7E3">
            <wp:extent cx="5871627" cy="2506718"/>
            <wp:effectExtent l="0" t="0" r="0" b="8255"/>
            <wp:docPr id="736398242" name="Picture 736398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45" cstate="print">
                      <a:extLst>
                        <a:ext uri="{28A0092B-C50C-407E-A947-70E740481C1C}">
                          <a14:useLocalDpi xmlns:a14="http://schemas.microsoft.com/office/drawing/2010/main" val="0"/>
                        </a:ext>
                      </a:extLst>
                    </a:blip>
                    <a:srcRect l="9296" t="8702" r="34065" b="48311"/>
                    <a:stretch/>
                  </pic:blipFill>
                  <pic:spPr bwMode="auto">
                    <a:xfrm>
                      <a:off x="0" y="0"/>
                      <a:ext cx="5900876" cy="2519205"/>
                    </a:xfrm>
                    <a:prstGeom prst="rect">
                      <a:avLst/>
                    </a:prstGeom>
                    <a:ln>
                      <a:noFill/>
                    </a:ln>
                    <a:extLst>
                      <a:ext uri="{53640926-AAD7-44D8-BBD7-CCE9431645EC}">
                        <a14:shadowObscured xmlns:a14="http://schemas.microsoft.com/office/drawing/2010/main"/>
                      </a:ext>
                    </a:extLst>
                  </pic:spPr>
                </pic:pic>
              </a:graphicData>
            </a:graphic>
          </wp:inline>
        </w:drawing>
      </w:r>
    </w:p>
    <w:p w14:paraId="38F04157" w14:textId="6E01C04B" w:rsidR="00836B4D" w:rsidRPr="008F5202" w:rsidRDefault="00B15F8B" w:rsidP="008F5202">
      <w:pPr>
        <w:pStyle w:val="Caption"/>
      </w:pPr>
      <w:bookmarkStart w:id="142" w:name="_Toc177755207"/>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8</w:t>
      </w:r>
      <w:r w:rsidR="003763D2" w:rsidRPr="008F5202">
        <w:fldChar w:fldCharType="end"/>
      </w:r>
      <w:r w:rsidR="00C90166" w:rsidRPr="008F5202">
        <w:t xml:space="preserve"> Heat transfer coefficient as a function of the mean flow velocity with heating on (a) both the walls, and (b) single wall</w:t>
      </w:r>
      <w:bookmarkEnd w:id="142"/>
    </w:p>
    <w:p w14:paraId="74076911" w14:textId="1CD17953"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From the discussion presented thus far, it is concluded that amongst TKD, FD-cube and Cube topologies, FD-cube would be the most viable choice if achieving high heat transfer coefficient is the constraint of design considerations. TKD would be the least preferable choice for designing such compact heat transfer augmentation channels operating for high mass flow rates of coolant. An important aspect of the results provided in the Fig. </w:t>
      </w:r>
      <w:r w:rsidR="00297625"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8 was that they included the effect of surface quality rendered by the additive manufacturing process. Quantification of surface roughness and its role in further enhancement in heat transfer was not in the scope of this study, however it is highly recommended. </w:t>
      </w:r>
    </w:p>
    <w:p w14:paraId="5B569DD2" w14:textId="3CF22267"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Figure </w:t>
      </w:r>
      <w:r w:rsidR="00297625"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8 also shows the thermal performance of Octet (0.823) and Octet (0.888), where Octet (0.823) had the best thermal performance trend because of the lowest porosity value. For both-wall heating configuration, about 30% to 59% of higher heat transfer coefficient values were obtained for Octet (0.823) as compared to Octet (0.888), whereas </w:t>
      </w:r>
      <w:r w:rsidRPr="008F5202">
        <w:rPr>
          <w:rFonts w:ascii="Times New Roman" w:hAnsi="Times New Roman" w:cs="Times New Roman"/>
          <w:kern w:val="2"/>
          <w14:ligatures w14:val="standardContextual"/>
        </w:rPr>
        <w:lastRenderedPageBreak/>
        <w:t xml:space="preserve">the increment was ~14% to 30% for single-wall heating configuration. Significant difference in heat transfer performance of Octet was observed for variation of ~ 7.9% in the porosity values. The thermal performance of Octet (0.888) was comparable to TKD (0.856), FD-cube (0.869), and Cube (0.877) which indicates that if the measured porosity was not taken into consideration, Octet could have been considered as the best thermal performance yielding configuration. Two aspects have to be considered here: (a) if one needs to rank different topologies for their thermal performance at same porosity, then iterative approach has to be followed to get similar porosities as the deviations are structure-dependent, and (b) if one prints a single batch of lattices with as-designed porosity without consideration of the manufacturing-induced deviations/defects to run experiments, then the conclusions drawn will not be an attribute of topology alone but inherent anomalies. The repeatability of such data in engineering applications is questionable as the structural anomalies will vary with different process parameters/procedure and so does the actual porosity value. Such ranking of topologies in real-world application will become inconsistent, especially when there is continuous effort to optimize currently available additive manufacturing technologies. In the current study, the former of the above two methodologies has been adopted to draw conclusions, but with an assumption that local roughness profile at investigated geometrical dimensions will induce same scale of effect on the final relative performance across different lattices. </w:t>
      </w:r>
    </w:p>
    <w:p w14:paraId="24F169D1" w14:textId="3DE91F4D" w:rsidR="00836B4D" w:rsidRPr="008F5202" w:rsidRDefault="00836B4D" w:rsidP="00A752BA">
      <w:pPr>
        <w:pStyle w:val="Heading3"/>
        <w:spacing w:line="360" w:lineRule="auto"/>
        <w:rPr>
          <w:rFonts w:eastAsia="Aptos"/>
        </w:rPr>
      </w:pPr>
      <w:bookmarkStart w:id="143" w:name="_Toc177758166"/>
      <w:r w:rsidRPr="008F5202">
        <w:rPr>
          <w:rFonts w:eastAsia="Aptos"/>
        </w:rPr>
        <w:t>Nusselt number enhancement values vs Reynolds number</w:t>
      </w:r>
      <w:bookmarkEnd w:id="143"/>
      <w:r w:rsidRPr="008F5202">
        <w:rPr>
          <w:rFonts w:eastAsia="Aptos"/>
        </w:rPr>
        <w:t xml:space="preserve"> </w:t>
      </w:r>
    </w:p>
    <w:p w14:paraId="5C753950" w14:textId="1FC94AEA"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r w:rsidRPr="008F5202">
        <w:rPr>
          <w:rFonts w:ascii="Times New Roman" w:eastAsia="Aptos" w:hAnsi="Times New Roman" w:cs="Times New Roman"/>
          <w:kern w:val="2"/>
          <w14:ligatures w14:val="standardContextual"/>
        </w:rPr>
        <w:t xml:space="preserve">Figure </w:t>
      </w:r>
      <w:r w:rsidR="00297625"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9 shows the Nusselt number enhancement trends as a function of the channel Reynolds number for all the topologies under both types of heating configurations. The enhancement in heat transfer provided by the topologies was obtained relative to the Dittus-Boelter correlation (</w:t>
      </w:r>
      <w:bookmarkStart w:id="144" w:name="_Hlk84684459"/>
      <m:oMath>
        <m:r>
          <w:rPr>
            <w:rFonts w:ascii="Cambria Math" w:eastAsia="Aptos" w:hAnsi="Cambria Math" w:cs="Times New Roman"/>
            <w:kern w:val="2"/>
            <w14:ligatures w14:val="standardContextual"/>
          </w:rPr>
          <m:t>N</m:t>
        </m:r>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u</m:t>
            </m:r>
          </m:e>
          <m:sub>
            <m:r>
              <w:rPr>
                <w:rFonts w:ascii="Cambria Math" w:eastAsia="Aptos" w:hAnsi="Cambria Math" w:cs="Times New Roman"/>
                <w:kern w:val="2"/>
                <w14:ligatures w14:val="standardContextual"/>
              </w:rPr>
              <m:t>0</m:t>
            </m:r>
          </m:sub>
        </m:sSub>
        <w:bookmarkEnd w:id="144"/>
        <m:r>
          <w:rPr>
            <w:rFonts w:ascii="Cambria Math" w:eastAsia="Aptos" w:hAnsi="Cambria Math" w:cs="Times New Roman"/>
            <w:kern w:val="2"/>
            <w14:ligatures w14:val="standardContextual"/>
          </w:rPr>
          <m:t>=0.023R</m:t>
        </m:r>
        <m:sSup>
          <m:sSupPr>
            <m:ctrlPr>
              <w:rPr>
                <w:rFonts w:ascii="Cambria Math" w:eastAsia="Aptos" w:hAnsi="Cambria Math" w:cs="Times New Roman"/>
                <w:i/>
                <w:kern w:val="2"/>
                <w14:ligatures w14:val="standardContextual"/>
              </w:rPr>
            </m:ctrlPr>
          </m:sSupPr>
          <m:e>
            <m:r>
              <w:rPr>
                <w:rFonts w:ascii="Cambria Math" w:eastAsia="Aptos" w:hAnsi="Cambria Math" w:cs="Times New Roman"/>
                <w:kern w:val="2"/>
                <w14:ligatures w14:val="standardContextual"/>
              </w:rPr>
              <m:t>e</m:t>
            </m:r>
          </m:e>
          <m:sup>
            <m:r>
              <w:rPr>
                <w:rFonts w:ascii="Cambria Math" w:eastAsia="Aptos" w:hAnsi="Cambria Math" w:cs="Times New Roman"/>
                <w:kern w:val="2"/>
                <w14:ligatures w14:val="standardContextual"/>
              </w:rPr>
              <m:t>0.8</m:t>
            </m:r>
          </m:sup>
        </m:sSup>
        <m:sSup>
          <m:sSupPr>
            <m:ctrlPr>
              <w:rPr>
                <w:rFonts w:ascii="Cambria Math" w:eastAsia="Aptos" w:hAnsi="Cambria Math" w:cs="Times New Roman"/>
                <w:i/>
                <w:kern w:val="2"/>
                <w14:ligatures w14:val="standardContextual"/>
              </w:rPr>
            </m:ctrlPr>
          </m:sSupPr>
          <m:e>
            <w:bookmarkStart w:id="145" w:name="_Hlk84684495"/>
            <m:r>
              <w:rPr>
                <w:rFonts w:ascii="Cambria Math" w:eastAsia="Aptos" w:hAnsi="Cambria Math" w:cs="Times New Roman"/>
                <w:kern w:val="2"/>
                <w14:ligatures w14:val="standardContextual"/>
              </w:rPr>
              <m:t>Pr</m:t>
            </m:r>
            <w:bookmarkEnd w:id="145"/>
          </m:e>
          <m:sup>
            <m:r>
              <w:rPr>
                <w:rFonts w:ascii="Cambria Math" w:eastAsia="Aptos" w:hAnsi="Cambria Math" w:cs="Times New Roman"/>
                <w:kern w:val="2"/>
                <w14:ligatures w14:val="standardContextual"/>
              </w:rPr>
              <m:t>0.4</m:t>
            </m:r>
          </m:sup>
        </m:sSup>
      </m:oMath>
      <w:r w:rsidRPr="008F5202">
        <w:rPr>
          <w:rFonts w:ascii="Times New Roman" w:hAnsi="Times New Roman" w:cs="Times New Roman"/>
          <w:kern w:val="2"/>
          <w14:ligatures w14:val="standardContextual"/>
        </w:rPr>
        <w:t xml:space="preserve">) for turbulent flows in smooth channels. All the samples exhibited decreasing trend of heat transfer enhancement levels with respect to the increasing Reynolds number, which is again typical of enhanced heat transfer studies, e.g., rib turbulators, dimples etc. Octet (0.823) provided the highest heat transfer enhancement with respect to the smooth channel data. Amongst the group of samples with similar porosity values, FD-cube provided the heat transfer enhancement of 9.47 to 12.36 </w:t>
      </w:r>
      <w:r w:rsidRPr="008F5202">
        <w:rPr>
          <w:rFonts w:ascii="Times New Roman" w:hAnsi="Times New Roman" w:cs="Times New Roman"/>
          <w:kern w:val="2"/>
          <w14:ligatures w14:val="standardContextual"/>
        </w:rPr>
        <w:lastRenderedPageBreak/>
        <w:t xml:space="preserve">times of the smooth channel for both-wall heating configuration. The other three topologies had enhancement levels from 9 to 11 times in reference to smooth channel. Single wall heating condition enhancement levels were slightly lower than that of the double wall heating. Note that these enhancement levels are obtained for solid thermal conductivity of 20.8 W/mK and the experiments were conducted such that the conjugate heat transfer effects could be included. If the experiments were to be carried out for Inconel 718 which has a thermal conductivity of ~11 W/mK, the heat transfer enhancement levels would undergo significant reduction. </w:t>
      </w:r>
    </w:p>
    <w:p w14:paraId="3C40BCC4" w14:textId="77777777" w:rsidR="00F866ED" w:rsidRPr="008F5202" w:rsidRDefault="00836B4D" w:rsidP="00A752BA">
      <w:pPr>
        <w:keepNext/>
        <w:spacing w:after="160" w:line="360" w:lineRule="auto"/>
        <w:rPr>
          <w:rFonts w:ascii="Times New Roman" w:hAnsi="Times New Roman" w:cs="Times New Roman"/>
        </w:rPr>
      </w:pPr>
      <w:r w:rsidRPr="008F5202">
        <w:rPr>
          <w:rFonts w:ascii="Times New Roman" w:eastAsia="Aptos" w:hAnsi="Times New Roman" w:cs="Times New Roman"/>
          <w:noProof/>
          <w:kern w:val="2"/>
          <w:sz w:val="18"/>
          <w:szCs w:val="18"/>
          <w14:ligatures w14:val="standardContextual"/>
        </w:rPr>
        <w:drawing>
          <wp:inline distT="0" distB="0" distL="0" distR="0" wp14:anchorId="2CED8AA7" wp14:editId="2FED04AE">
            <wp:extent cx="5858978" cy="2695575"/>
            <wp:effectExtent l="0" t="0" r="8890" b="0"/>
            <wp:docPr id="247318090" name="Picture 24731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46" cstate="print">
                      <a:extLst>
                        <a:ext uri="{28A0092B-C50C-407E-A947-70E740481C1C}">
                          <a14:useLocalDpi xmlns:a14="http://schemas.microsoft.com/office/drawing/2010/main" val="0"/>
                        </a:ext>
                      </a:extLst>
                    </a:blip>
                    <a:srcRect l="1298" t="22200" r="46136" b="34806"/>
                    <a:stretch/>
                  </pic:blipFill>
                  <pic:spPr bwMode="auto">
                    <a:xfrm>
                      <a:off x="0" y="0"/>
                      <a:ext cx="5893046" cy="2711249"/>
                    </a:xfrm>
                    <a:prstGeom prst="rect">
                      <a:avLst/>
                    </a:prstGeom>
                    <a:ln>
                      <a:noFill/>
                    </a:ln>
                    <a:extLst>
                      <a:ext uri="{53640926-AAD7-44D8-BBD7-CCE9431645EC}">
                        <a14:shadowObscured xmlns:a14="http://schemas.microsoft.com/office/drawing/2010/main"/>
                      </a:ext>
                    </a:extLst>
                  </pic:spPr>
                </pic:pic>
              </a:graphicData>
            </a:graphic>
          </wp:inline>
        </w:drawing>
      </w:r>
    </w:p>
    <w:p w14:paraId="4CB632FD" w14:textId="305F80EB" w:rsidR="00836B4D" w:rsidRPr="008F5202" w:rsidRDefault="00F866ED" w:rsidP="008F5202">
      <w:pPr>
        <w:pStyle w:val="Caption"/>
      </w:pPr>
      <w:bookmarkStart w:id="146" w:name="_Toc177755208"/>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9</w:t>
      </w:r>
      <w:r w:rsidR="003763D2" w:rsidRPr="008F5202">
        <w:fldChar w:fldCharType="end"/>
      </w:r>
      <w:r w:rsidRPr="008F5202">
        <w:t xml:space="preserve"> Nusselt number enhancement values for heating on (a) both the walls, and (b) single wall, with respect to thermally fully developed flow in smooth channel as predicted by Dittus-Boelter correlation</w:t>
      </w:r>
      <w:bookmarkEnd w:id="146"/>
    </w:p>
    <w:p w14:paraId="04CEDFF7" w14:textId="72114B9A"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bookmarkStart w:id="147" w:name="_Hlk97704231"/>
      <w:r w:rsidRPr="008F5202">
        <w:rPr>
          <w:rFonts w:ascii="Times New Roman" w:hAnsi="Times New Roman" w:cs="Times New Roman"/>
          <w:kern w:val="2"/>
          <w14:ligatures w14:val="standardContextual"/>
        </w:rPr>
        <w:t xml:space="preserve">Figure </w:t>
      </w:r>
      <w:r w:rsidR="00297625"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9 provides heat transfer augmentation levels with respect to Nusselt number values obtained using Dittus-Boelter correlation proposed for hydrodynamically and thermally fully developed turbulent flows in a smooth channel. Since the length of the samples investigated in the present study was ~ 3 </w:t>
      </w:r>
      <m:oMath>
        <m:sSub>
          <m:sSubPr>
            <m:ctrlPr>
              <w:rPr>
                <w:rFonts w:ascii="Cambria Math" w:hAnsi="Cambria Math" w:cs="Times New Roman"/>
                <w:i/>
                <w:kern w:val="2"/>
                <w14:ligatures w14:val="standardContextual"/>
              </w:rPr>
            </m:ctrlPr>
          </m:sSubPr>
          <m:e>
            <m:r>
              <w:rPr>
                <w:rFonts w:ascii="Cambria Math" w:hAnsi="Cambria Math" w:cs="Times New Roman"/>
                <w:kern w:val="2"/>
                <w14:ligatures w14:val="standardContextual"/>
              </w:rPr>
              <m:t>d</m:t>
            </m:r>
          </m:e>
          <m:sub>
            <m:r>
              <w:rPr>
                <w:rFonts w:ascii="Cambria Math" w:hAnsi="Cambria Math" w:cs="Times New Roman"/>
                <w:kern w:val="2"/>
                <w14:ligatures w14:val="standardContextual"/>
              </w:rPr>
              <m:t>h</m:t>
            </m:r>
          </m:sub>
        </m:sSub>
      </m:oMath>
      <w:r w:rsidRPr="008F5202">
        <w:rPr>
          <w:rFonts w:ascii="Times New Roman" w:hAnsi="Times New Roman" w:cs="Times New Roman"/>
          <w:kern w:val="2"/>
          <w14:ligatures w14:val="standardContextual"/>
        </w:rPr>
        <w:t xml:space="preserve">, the flow over this heated short streamwise length would still be in thermally developing stage. The Nusselt number values obtained from a smooth channel having length of ~ 3 </w:t>
      </w:r>
      <m:oMath>
        <m:sSub>
          <m:sSubPr>
            <m:ctrlPr>
              <w:rPr>
                <w:rFonts w:ascii="Cambria Math" w:hAnsi="Cambria Math" w:cs="Times New Roman"/>
                <w:i/>
                <w:kern w:val="2"/>
                <w14:ligatures w14:val="standardContextual"/>
              </w:rPr>
            </m:ctrlPr>
          </m:sSubPr>
          <m:e>
            <m:r>
              <w:rPr>
                <w:rFonts w:ascii="Cambria Math" w:hAnsi="Cambria Math" w:cs="Times New Roman"/>
                <w:kern w:val="2"/>
                <w14:ligatures w14:val="standardContextual"/>
              </w:rPr>
              <m:t>d</m:t>
            </m:r>
          </m:e>
          <m:sub>
            <m:r>
              <w:rPr>
                <w:rFonts w:ascii="Cambria Math" w:hAnsi="Cambria Math" w:cs="Times New Roman"/>
                <w:kern w:val="2"/>
                <w14:ligatures w14:val="standardContextual"/>
              </w:rPr>
              <m:t>h</m:t>
            </m:r>
          </m:sub>
        </m:sSub>
      </m:oMath>
      <w:r w:rsidRPr="008F5202">
        <w:rPr>
          <w:rFonts w:ascii="Times New Roman" w:hAnsi="Times New Roman" w:cs="Times New Roman"/>
          <w:kern w:val="2"/>
          <w14:ligatures w14:val="standardContextual"/>
        </w:rPr>
        <w:t xml:space="preserve"> in the flow direction (similar to additively manufactured coupons) can serve as more appropriate baseline case for </w:t>
      </w:r>
      <w:r w:rsidRPr="008F5202">
        <w:rPr>
          <w:rFonts w:ascii="Times New Roman" w:hAnsi="Times New Roman" w:cs="Times New Roman"/>
          <w:kern w:val="2"/>
          <w14:ligatures w14:val="standardContextual"/>
        </w:rPr>
        <w:lastRenderedPageBreak/>
        <w:t xml:space="preserve">evaluating the actual thermal performance enhancement capabilities of the investigated lattices. </w:t>
      </w:r>
      <w:r w:rsidRPr="008F5202">
        <w:rPr>
          <w:rFonts w:ascii="Times New Roman" w:hAnsi="Times New Roman" w:cs="Times New Roman"/>
          <w:color w:val="000000"/>
          <w:kern w:val="2"/>
          <w14:ligatures w14:val="standardContextual"/>
        </w:rPr>
        <w:t xml:space="preserve">To this end, numerical simulations were conducted on the channel configuration exactly similar to the experimental test section schematic provided in Fig. </w:t>
      </w:r>
      <w:r w:rsidR="00297625" w:rsidRPr="008F5202">
        <w:rPr>
          <w:rFonts w:ascii="Times New Roman" w:hAnsi="Times New Roman" w:cs="Times New Roman"/>
          <w:color w:val="000000"/>
          <w:kern w:val="2"/>
          <w14:ligatures w14:val="standardContextual"/>
        </w:rPr>
        <w:t>3.</w:t>
      </w:r>
      <w:r w:rsidRPr="008F5202">
        <w:rPr>
          <w:rFonts w:ascii="Times New Roman" w:hAnsi="Times New Roman" w:cs="Times New Roman"/>
          <w:color w:val="000000"/>
          <w:kern w:val="2"/>
          <w14:ligatures w14:val="standardContextual"/>
        </w:rPr>
        <w:t>5 to obtain the streamwise length-averaged Nusselt number (</w:t>
      </w:r>
      <m:oMath>
        <m:r>
          <w:rPr>
            <w:rFonts w:ascii="Cambria Math" w:hAnsi="Cambria Math" w:cs="Times New Roman"/>
            <w:color w:val="000000"/>
            <w:kern w:val="2"/>
            <w14:ligatures w14:val="standardContextual"/>
          </w:rPr>
          <m:t>N</m:t>
        </m:r>
        <m:sSub>
          <m:sSubPr>
            <m:ctrlPr>
              <w:rPr>
                <w:rFonts w:ascii="Cambria Math" w:hAnsi="Cambria Math" w:cs="Times New Roman"/>
                <w:i/>
                <w:color w:val="000000"/>
                <w:kern w:val="2"/>
                <w14:ligatures w14:val="standardContextual"/>
              </w:rPr>
            </m:ctrlPr>
          </m:sSubPr>
          <m:e>
            <m:r>
              <w:rPr>
                <w:rFonts w:ascii="Cambria Math" w:hAnsi="Cambria Math" w:cs="Times New Roman"/>
                <w:color w:val="000000"/>
                <w:kern w:val="2"/>
                <w14:ligatures w14:val="standardContextual"/>
              </w:rPr>
              <m:t>u</m:t>
            </m:r>
          </m:e>
          <m:sub>
            <m:r>
              <w:rPr>
                <w:rFonts w:ascii="Cambria Math" w:hAnsi="Cambria Math" w:cs="Times New Roman"/>
                <w:color w:val="000000"/>
                <w:kern w:val="2"/>
                <w14:ligatures w14:val="standardContextual"/>
              </w:rPr>
              <m:t>s</m:t>
            </m:r>
          </m:sub>
        </m:sSub>
      </m:oMath>
      <w:r w:rsidRPr="008F5202">
        <w:rPr>
          <w:rFonts w:ascii="Times New Roman" w:hAnsi="Times New Roman" w:cs="Times New Roman"/>
          <w:color w:val="000000"/>
          <w:kern w:val="2"/>
          <w14:ligatures w14:val="standardContextual"/>
        </w:rPr>
        <w:t>) with constant heat flux boundary condition. The Nusselt number was obtained with respect to two heating configurations, i.e. (a) both walls heated, and (b) one wall heated. The numerical simulations were performed with k-</w:t>
      </w:r>
      <m:oMath>
        <m:r>
          <w:rPr>
            <w:rFonts w:ascii="Cambria Math" w:hAnsi="Cambria Math" w:cs="Times New Roman"/>
            <w:color w:val="000000"/>
            <w:kern w:val="2"/>
            <w14:ligatures w14:val="standardContextual"/>
          </w:rPr>
          <m:t>ω</m:t>
        </m:r>
      </m:oMath>
      <w:r w:rsidRPr="008F5202">
        <w:rPr>
          <w:rFonts w:ascii="Times New Roman" w:hAnsi="Times New Roman" w:cs="Times New Roman"/>
          <w:color w:val="000000"/>
          <w:kern w:val="2"/>
          <w14:ligatures w14:val="standardContextual"/>
        </w:rPr>
        <w:t xml:space="preserve"> SST turbulence model over the investigated range of Reynolds number in Ansys Fluent 2021 R1 (academic license). Figure </w:t>
      </w:r>
      <w:r w:rsidR="00297625" w:rsidRPr="008F5202">
        <w:rPr>
          <w:rFonts w:ascii="Times New Roman" w:hAnsi="Times New Roman" w:cs="Times New Roman"/>
          <w:color w:val="000000"/>
          <w:kern w:val="2"/>
          <w14:ligatures w14:val="standardContextual"/>
        </w:rPr>
        <w:t>3.</w:t>
      </w:r>
      <w:r w:rsidRPr="008F5202">
        <w:rPr>
          <w:rFonts w:ascii="Times New Roman" w:hAnsi="Times New Roman" w:cs="Times New Roman"/>
          <w:color w:val="000000"/>
          <w:kern w:val="2"/>
          <w14:ligatures w14:val="standardContextual"/>
        </w:rPr>
        <w:t xml:space="preserve">10 provides the Nusselt number enhancement of the lattices with respect to the simulated developing flows over the smooth plate in a channel. Figures </w:t>
      </w:r>
      <w:r w:rsidR="00297625" w:rsidRPr="008F5202">
        <w:rPr>
          <w:rFonts w:ascii="Times New Roman" w:hAnsi="Times New Roman" w:cs="Times New Roman"/>
          <w:color w:val="000000"/>
          <w:kern w:val="2"/>
          <w14:ligatures w14:val="standardContextual"/>
        </w:rPr>
        <w:t>3.</w:t>
      </w:r>
      <w:r w:rsidRPr="008F5202">
        <w:rPr>
          <w:rFonts w:ascii="Times New Roman" w:hAnsi="Times New Roman" w:cs="Times New Roman"/>
          <w:color w:val="000000"/>
          <w:kern w:val="2"/>
          <w14:ligatures w14:val="standardContextual"/>
        </w:rPr>
        <w:t xml:space="preserve">9 and </w:t>
      </w:r>
      <w:r w:rsidR="00297625" w:rsidRPr="008F5202">
        <w:rPr>
          <w:rFonts w:ascii="Times New Roman" w:hAnsi="Times New Roman" w:cs="Times New Roman"/>
          <w:color w:val="000000"/>
          <w:kern w:val="2"/>
          <w14:ligatures w14:val="standardContextual"/>
        </w:rPr>
        <w:t>3.</w:t>
      </w:r>
      <w:r w:rsidRPr="008F5202">
        <w:rPr>
          <w:rFonts w:ascii="Times New Roman" w:hAnsi="Times New Roman" w:cs="Times New Roman"/>
          <w:color w:val="000000"/>
          <w:kern w:val="2"/>
          <w14:ligatures w14:val="standardContextual"/>
        </w:rPr>
        <w:t xml:space="preserve">10 show that the thermal augmentation can be overestimated if comparison is drawn with respect to the Dittus-Boelter correlation. The Nusselt number enhancement of all the investigated topologies with Dittus-Boelter as baseline case (Fig. </w:t>
      </w:r>
      <w:r w:rsidR="00297625" w:rsidRPr="008F5202">
        <w:rPr>
          <w:rFonts w:ascii="Times New Roman" w:hAnsi="Times New Roman" w:cs="Times New Roman"/>
          <w:color w:val="000000"/>
          <w:kern w:val="2"/>
          <w14:ligatures w14:val="standardContextual"/>
        </w:rPr>
        <w:t>3.</w:t>
      </w:r>
      <w:r w:rsidRPr="008F5202">
        <w:rPr>
          <w:rFonts w:ascii="Times New Roman" w:hAnsi="Times New Roman" w:cs="Times New Roman"/>
          <w:color w:val="000000"/>
          <w:kern w:val="2"/>
          <w14:ligatures w14:val="standardContextual"/>
        </w:rPr>
        <w:t>9) was nearly ~ 1.4 to 1.6 times higher with respect to values that accounted for the developing flow conditions (Fig. 10).</w:t>
      </w:r>
    </w:p>
    <w:bookmarkEnd w:id="147"/>
    <w:p w14:paraId="21C8FBCF" w14:textId="77777777" w:rsidR="00F866ED" w:rsidRPr="008F5202" w:rsidRDefault="00836B4D" w:rsidP="00A752BA">
      <w:pPr>
        <w:keepNext/>
        <w:spacing w:after="160" w:line="360" w:lineRule="auto"/>
        <w:rPr>
          <w:rFonts w:ascii="Times New Roman" w:hAnsi="Times New Roman" w:cs="Times New Roman"/>
        </w:rPr>
      </w:pPr>
      <w:r w:rsidRPr="008F5202">
        <w:rPr>
          <w:rFonts w:ascii="Times New Roman" w:hAnsi="Times New Roman" w:cs="Times New Roman"/>
          <w:b/>
          <w:bCs/>
          <w:noProof/>
          <w:kern w:val="2"/>
          <w:sz w:val="18"/>
          <w:szCs w:val="18"/>
          <w14:ligatures w14:val="standardContextual"/>
        </w:rPr>
        <w:lastRenderedPageBreak/>
        <w:drawing>
          <wp:inline distT="0" distB="0" distL="0" distR="0" wp14:anchorId="32D96326" wp14:editId="58BD7DC6">
            <wp:extent cx="5801383" cy="2714625"/>
            <wp:effectExtent l="0" t="0" r="8890" b="0"/>
            <wp:docPr id="836628766" name="Picture 836628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47" cstate="print">
                      <a:extLst>
                        <a:ext uri="{28A0092B-C50C-407E-A947-70E740481C1C}">
                          <a14:useLocalDpi xmlns:a14="http://schemas.microsoft.com/office/drawing/2010/main" val="0"/>
                        </a:ext>
                      </a:extLst>
                    </a:blip>
                    <a:srcRect l="17224" t="10001" r="29026" b="45286"/>
                    <a:stretch/>
                  </pic:blipFill>
                  <pic:spPr bwMode="auto">
                    <a:xfrm>
                      <a:off x="0" y="0"/>
                      <a:ext cx="5827533" cy="2726861"/>
                    </a:xfrm>
                    <a:prstGeom prst="rect">
                      <a:avLst/>
                    </a:prstGeom>
                    <a:ln>
                      <a:noFill/>
                    </a:ln>
                    <a:extLst>
                      <a:ext uri="{53640926-AAD7-44D8-BBD7-CCE9431645EC}">
                        <a14:shadowObscured xmlns:a14="http://schemas.microsoft.com/office/drawing/2010/main"/>
                      </a:ext>
                    </a:extLst>
                  </pic:spPr>
                </pic:pic>
              </a:graphicData>
            </a:graphic>
          </wp:inline>
        </w:drawing>
      </w:r>
    </w:p>
    <w:p w14:paraId="0F72C839" w14:textId="2940FCB2" w:rsidR="00836B4D" w:rsidRPr="008F5202" w:rsidRDefault="00F866ED" w:rsidP="008F5202">
      <w:pPr>
        <w:pStyle w:val="Caption"/>
      </w:pPr>
      <w:bookmarkStart w:id="148" w:name="_Toc177755209"/>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10</w:t>
      </w:r>
      <w:r w:rsidR="003763D2" w:rsidRPr="008F5202">
        <w:fldChar w:fldCharType="end"/>
      </w:r>
      <w:r w:rsidRPr="008F5202">
        <w:t xml:space="preserve"> </w:t>
      </w:r>
      <w:bookmarkStart w:id="149" w:name="_Hlk97704246"/>
      <w:r w:rsidRPr="008F5202">
        <w:t>Nusselt number enhancement values for heating on (a) both the walls, and (b) single wall, with respect to thermally developing flow in a smooth channel</w:t>
      </w:r>
      <w:bookmarkEnd w:id="148"/>
      <w:bookmarkEnd w:id="149"/>
    </w:p>
    <w:p w14:paraId="2E5C3B0B" w14:textId="68744BAE" w:rsidR="00836B4D" w:rsidRPr="008F5202" w:rsidRDefault="00836B4D" w:rsidP="00A752BA">
      <w:pPr>
        <w:pStyle w:val="Heading3"/>
        <w:spacing w:line="360" w:lineRule="auto"/>
        <w:rPr>
          <w:rFonts w:eastAsia="Aptos"/>
        </w:rPr>
      </w:pPr>
      <w:bookmarkStart w:id="150" w:name="_Toc177758167"/>
      <w:r w:rsidRPr="008F5202">
        <w:rPr>
          <w:rFonts w:eastAsia="Aptos"/>
        </w:rPr>
        <w:t>Pressure drop characteristics</w:t>
      </w:r>
      <w:bookmarkEnd w:id="150"/>
    </w:p>
    <w:p w14:paraId="2351DC8E" w14:textId="77777777" w:rsidR="00836B4D" w:rsidRPr="008F5202" w:rsidRDefault="00836B4D" w:rsidP="00A752BA">
      <w:pPr>
        <w:spacing w:after="160" w:line="360" w:lineRule="auto"/>
        <w:ind w:firstLine="284"/>
        <w:jc w:val="both"/>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 xml:space="preserve">Lattices are expected to impose larger pressure drop for a certain flow rate when compared to other heat transfer enhancement concepts such as rib turbulators, dimples/protrusions. The basic flow mechanism in lattices is of the flow stagnation type where the fibers provide flow blockage, which in turn also increases the heat transfer, but at an expected cost in terms of increased pressure drop. In heat exchanger concept development, it is imperative to evaluate the enhancement in heat transfer with the associated pressure drop or pumping power penalty. </w:t>
      </w:r>
    </w:p>
    <w:p w14:paraId="1686F8F9" w14:textId="4A064CB3"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r w:rsidRPr="008F5202">
        <w:rPr>
          <w:rFonts w:ascii="Times New Roman" w:eastAsia="Aptos" w:hAnsi="Times New Roman" w:cs="Times New Roman"/>
          <w:kern w:val="2"/>
          <w14:ligatures w14:val="standardContextual"/>
        </w:rPr>
        <w:t xml:space="preserve">Figure </w:t>
      </w:r>
      <w:r w:rsidR="00297625"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 xml:space="preserve">11a shows the pressure gradient variation with mean flow velocity and Fig. </w:t>
      </w:r>
      <w:r w:rsidR="00297625"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11b shows the corresponding friction factor (</w:t>
      </w:r>
      <m:oMath>
        <m:f>
          <m:fPr>
            <m:type m:val="lin"/>
            <m:ctrlPr>
              <w:rPr>
                <w:rFonts w:ascii="Cambria Math" w:eastAsia="Aptos" w:hAnsi="Cambria Math" w:cs="Times New Roman"/>
                <w:i/>
                <w:kern w:val="2"/>
                <w14:ligatures w14:val="standardContextual"/>
              </w:rPr>
            </m:ctrlPr>
          </m:fPr>
          <m:num>
            <w:bookmarkStart w:id="151" w:name="_Hlk84684508"/>
            <m:r>
              <w:rPr>
                <w:rFonts w:ascii="Cambria Math" w:eastAsia="Aptos" w:hAnsi="Cambria Math" w:cs="Times New Roman"/>
                <w:kern w:val="2"/>
                <w14:ligatures w14:val="standardContextual"/>
              </w:rPr>
              <m:t>∆P</m:t>
            </m:r>
            <w:bookmarkEnd w:id="151"/>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d</m:t>
                </m:r>
              </m:e>
              <m:sub>
                <m:r>
                  <w:rPr>
                    <w:rFonts w:ascii="Cambria Math" w:eastAsia="Aptos" w:hAnsi="Cambria Math" w:cs="Times New Roman"/>
                    <w:kern w:val="2"/>
                    <w14:ligatures w14:val="standardContextual"/>
                  </w:rPr>
                  <m:t>h</m:t>
                </m:r>
              </m:sub>
            </m:sSub>
          </m:num>
          <m:den>
            <m:r>
              <w:rPr>
                <w:rFonts w:ascii="Cambria Math" w:eastAsia="Aptos" w:hAnsi="Cambria Math" w:cs="Times New Roman"/>
                <w:kern w:val="2"/>
                <w14:ligatures w14:val="standardContextual"/>
              </w:rPr>
              <m:t>2</m:t>
            </m:r>
            <w:bookmarkStart w:id="152" w:name="_Hlk84684518"/>
            <m:r>
              <w:rPr>
                <w:rFonts w:ascii="Cambria Math" w:eastAsia="Aptos" w:hAnsi="Cambria Math" w:cs="Times New Roman"/>
                <w:kern w:val="2"/>
                <w14:ligatures w14:val="standardContextual"/>
              </w:rPr>
              <m:t>L</m:t>
            </m:r>
            <w:bookmarkEnd w:id="152"/>
            <m:r>
              <w:rPr>
                <w:rFonts w:ascii="Cambria Math" w:eastAsia="Aptos" w:hAnsi="Cambria Math" w:cs="Times New Roman"/>
                <w:kern w:val="2"/>
                <w14:ligatures w14:val="standardContextual"/>
              </w:rPr>
              <m:t>ρ</m:t>
            </m:r>
            <m:sSup>
              <m:sSupPr>
                <m:ctrlPr>
                  <w:rPr>
                    <w:rFonts w:ascii="Cambria Math" w:eastAsia="Aptos" w:hAnsi="Cambria Math" w:cs="Times New Roman"/>
                    <w:i/>
                    <w:kern w:val="2"/>
                    <w14:ligatures w14:val="standardContextual"/>
                  </w:rPr>
                </m:ctrlPr>
              </m:sSupPr>
              <m:e>
                <m:r>
                  <w:rPr>
                    <w:rFonts w:ascii="Cambria Math" w:eastAsia="Aptos" w:hAnsi="Cambria Math" w:cs="Times New Roman"/>
                    <w:kern w:val="2"/>
                    <w14:ligatures w14:val="standardContextual"/>
                  </w:rPr>
                  <m:t>u</m:t>
                </m:r>
              </m:e>
              <m:sup>
                <m:r>
                  <w:rPr>
                    <w:rFonts w:ascii="Cambria Math" w:eastAsia="Aptos" w:hAnsi="Cambria Math" w:cs="Times New Roman"/>
                    <w:kern w:val="2"/>
                    <w14:ligatures w14:val="standardContextual"/>
                  </w:rPr>
                  <m:t>2</m:t>
                </m:r>
              </m:sup>
            </m:sSup>
          </m:den>
        </m:f>
      </m:oMath>
      <w:r w:rsidRPr="008F5202">
        <w:rPr>
          <w:rFonts w:ascii="Times New Roman" w:hAnsi="Times New Roman" w:cs="Times New Roman"/>
          <w:kern w:val="2"/>
          <w14:ligatures w14:val="standardContextual"/>
        </w:rPr>
        <w:t xml:space="preserve">) variation with Reynolds number. Octet (0.823) and FD-cube had the similar pressure drop characteristics, but FD-cube had significantly higher porosity than Octet. It means that if Octet and FD-cube were to have the same measured porosity then FD-cube would incur higher flow losses.  This can be affirmed from the pressure drop values of Octet (0.888) relative to FD-cube. The pressure gradient trendline corresponding to Octet (0.869) lattice having porosity equal to that of the investigated FD-cube sample should lie within the pressure gradient bracket of </w:t>
      </w:r>
      <w:r w:rsidRPr="008F5202">
        <w:rPr>
          <w:rFonts w:ascii="Times New Roman" w:hAnsi="Times New Roman" w:cs="Times New Roman"/>
          <w:kern w:val="2"/>
          <w14:ligatures w14:val="standardContextual"/>
        </w:rPr>
        <w:lastRenderedPageBreak/>
        <w:t xml:space="preserve">Octet (0.823) and Octet (0.888) shown in Fig. </w:t>
      </w:r>
      <w:r w:rsidR="00297625"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11a, i.e. beneath the current FD-cube trendline. In a previous numerical study by the authors </w:t>
      </w:r>
      <w:r w:rsidR="00EA4E2B" w:rsidRPr="008F5202">
        <w:rPr>
          <w:rFonts w:ascii="Times New Roman" w:eastAsia="Aptos" w:hAnsi="Times New Roman" w:cs="Times New Roman"/>
          <w:kern w:val="2"/>
          <w14:ligatures w14:val="standardContextual"/>
        </w:rPr>
        <w:t>[3</w:t>
      </w:r>
      <w:r w:rsidR="001731F9"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kern w:val="2"/>
          <w14:ligatures w14:val="standardContextual"/>
        </w:rPr>
        <w:t>23]</w:t>
      </w:r>
      <w:r w:rsidRPr="008F5202">
        <w:rPr>
          <w:rFonts w:ascii="Times New Roman" w:hAnsi="Times New Roman" w:cs="Times New Roman"/>
          <w:kern w:val="2"/>
          <w14:ligatures w14:val="standardContextual"/>
        </w:rPr>
        <w:t xml:space="preserve">, Octet was reported to have higher pressure drop than FD-cube because configurations consisted of single cells in streamwise direction due to which the effects of fiber cross-section at mating planes of the cells could not be manifested for FD-cube in the mean flow direction. </w:t>
      </w:r>
    </w:p>
    <w:p w14:paraId="530A2393" w14:textId="441BC80C"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r w:rsidRPr="008F5202">
        <w:rPr>
          <w:rFonts w:ascii="Times New Roman" w:hAnsi="Times New Roman" w:cs="Times New Roman"/>
          <w:kern w:val="2"/>
          <w14:ligatures w14:val="standardContextual"/>
        </w:rPr>
        <w:t xml:space="preserve">From the above discussion, it can be concluded that for any fixed porosity value (say 0.886), the actual pressure drop trend is expected to be: the highest values for FD-cube followed by Octet, TKD, and Cube, respectively.  Each topology consists of uniquely shaped pores through which the fluid flows. Cube was the most permeable to the fluid yielding minimum resistance to the fluid flow due to which the pressure gradient incurred by Cube was the lowest. TKD topology was slightly more complex than the Cube, but the square and hexagonal pore openings of the cell provided a fairly wide area to the fluid flow. Numerical investigations in </w:t>
      </w:r>
      <w:r w:rsidRPr="008F5202">
        <w:rPr>
          <w:rFonts w:ascii="Times New Roman" w:eastAsia="Aptos" w:hAnsi="Times New Roman" w:cs="Times New Roman"/>
          <w:kern w:val="2"/>
          <w14:ligatures w14:val="standardContextual"/>
        </w:rPr>
        <w:t>[</w:t>
      </w:r>
      <w:r w:rsidR="00297625"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23]</w:t>
      </w:r>
      <w:r w:rsidRPr="008F5202">
        <w:rPr>
          <w:rFonts w:ascii="Times New Roman" w:hAnsi="Times New Roman" w:cs="Times New Roman"/>
          <w:kern w:val="2"/>
          <w14:ligatures w14:val="standardContextual"/>
        </w:rPr>
        <w:t xml:space="preserve"> also revealed the pressure gradient of Octet to be higher than TKD. Octet had architecturally the most complex fiber connections within the volume of the unit cell which posed high resistance to the fluid motion. FD-cube did not have the fiber connections within the whole unit cell volume like Octet but the formation of cross-shaped fibers at the mating plane of two adjacent unit cells resulted in very small openings for the fluid flow and increased losses due to flow stagnation. Two flow parameters required to characterize the flow losses of porous media are permeability and inertial coefficient. The inertial effects become prominent at high fluid velocities due to which the pressure drop trends of lattices cannot be justified through permeability values alone. A structure having similar permeability values can still tend to yield very different inertial losses which could become increasingly dominant in dictating the pressure drop values with increasing flow velocities. The inertial coefficient factor has to be weighed-in to discuss the pressure penalty, especially at the mass flow rates being investigated herein. Therefore, both structure dependent (including the roughness) permeability and inertial coefficient are responsible for the trends shown in Fig. </w:t>
      </w:r>
      <w:r w:rsidR="00297625"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11. </w:t>
      </w:r>
    </w:p>
    <w:p w14:paraId="5362F68E" w14:textId="77777777" w:rsidR="00DF0D8E" w:rsidRPr="008F5202" w:rsidRDefault="00836B4D" w:rsidP="00A752BA">
      <w:pPr>
        <w:keepNext/>
        <w:spacing w:after="160" w:line="360" w:lineRule="auto"/>
        <w:rPr>
          <w:rFonts w:ascii="Times New Roman" w:hAnsi="Times New Roman" w:cs="Times New Roman"/>
        </w:rPr>
      </w:pPr>
      <w:r w:rsidRPr="008F5202">
        <w:rPr>
          <w:rFonts w:ascii="Times New Roman" w:eastAsia="Aptos" w:hAnsi="Times New Roman" w:cs="Times New Roman"/>
          <w:b/>
          <w:bCs/>
          <w:noProof/>
          <w:kern w:val="2"/>
          <w:sz w:val="18"/>
          <w:szCs w:val="18"/>
          <w14:ligatures w14:val="standardContextual"/>
        </w:rPr>
        <w:lastRenderedPageBreak/>
        <w:drawing>
          <wp:inline distT="0" distB="0" distL="0" distR="0" wp14:anchorId="788EEE04" wp14:editId="1E4E0E89">
            <wp:extent cx="5437237" cy="2552700"/>
            <wp:effectExtent l="0" t="0" r="0" b="0"/>
            <wp:docPr id="2044441451" name="Picture 204444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48" cstate="print">
                      <a:extLst>
                        <a:ext uri="{28A0092B-C50C-407E-A947-70E740481C1C}">
                          <a14:useLocalDpi xmlns:a14="http://schemas.microsoft.com/office/drawing/2010/main" val="0"/>
                        </a:ext>
                      </a:extLst>
                    </a:blip>
                    <a:srcRect l="13287" t="7282" r="35856" b="50272"/>
                    <a:stretch/>
                  </pic:blipFill>
                  <pic:spPr bwMode="auto">
                    <a:xfrm>
                      <a:off x="0" y="0"/>
                      <a:ext cx="5453248" cy="2560217"/>
                    </a:xfrm>
                    <a:prstGeom prst="rect">
                      <a:avLst/>
                    </a:prstGeom>
                    <a:ln>
                      <a:noFill/>
                    </a:ln>
                    <a:extLst>
                      <a:ext uri="{53640926-AAD7-44D8-BBD7-CCE9431645EC}">
                        <a14:shadowObscured xmlns:a14="http://schemas.microsoft.com/office/drawing/2010/main"/>
                      </a:ext>
                    </a:extLst>
                  </pic:spPr>
                </pic:pic>
              </a:graphicData>
            </a:graphic>
          </wp:inline>
        </w:drawing>
      </w:r>
    </w:p>
    <w:p w14:paraId="71C31F5F" w14:textId="42D70F42" w:rsidR="00836B4D" w:rsidRPr="008F5202" w:rsidRDefault="00DF0D8E" w:rsidP="008F5202">
      <w:pPr>
        <w:pStyle w:val="Caption"/>
        <w:rPr>
          <w:rFonts w:eastAsia="Aptos"/>
          <w:kern w:val="2"/>
          <w:sz w:val="18"/>
          <w14:ligatures w14:val="standardContextual"/>
        </w:rPr>
      </w:pPr>
      <w:bookmarkStart w:id="153" w:name="_Toc177755210"/>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11</w:t>
      </w:r>
      <w:r w:rsidR="003763D2" w:rsidRPr="008F5202">
        <w:fldChar w:fldCharType="end"/>
      </w:r>
      <w:r w:rsidRPr="008F5202">
        <w:t xml:space="preserve"> (a) Pressure gradient vs mean flow velocity, and (b) friction factor vs Reynolds number</w:t>
      </w:r>
      <w:bookmarkEnd w:id="153"/>
    </w:p>
    <w:p w14:paraId="659773F3" w14:textId="501B50DB" w:rsidR="00836B4D" w:rsidRPr="008F5202" w:rsidRDefault="00836B4D" w:rsidP="00A752BA">
      <w:pPr>
        <w:spacing w:after="160" w:line="360" w:lineRule="auto"/>
        <w:ind w:firstLine="284"/>
        <w:jc w:val="both"/>
        <w:rPr>
          <w:rFonts w:ascii="Times New Roman" w:eastAsia="Aptos" w:hAnsi="Times New Roman" w:cs="Times New Roman"/>
          <w:kern w:val="2"/>
          <w14:ligatures w14:val="standardContextual"/>
        </w:rPr>
      </w:pPr>
      <w:r w:rsidRPr="008F5202">
        <w:rPr>
          <w:rFonts w:ascii="Times New Roman" w:hAnsi="Times New Roman" w:cs="Times New Roman"/>
          <w:kern w:val="2"/>
          <w14:ligatures w14:val="standardContextual"/>
        </w:rPr>
        <w:t xml:space="preserve">Figure </w:t>
      </w:r>
      <w:r w:rsidR="00297625" w:rsidRPr="008F5202">
        <w:rPr>
          <w:rFonts w:ascii="Times New Roman" w:hAnsi="Times New Roman" w:cs="Times New Roman"/>
          <w:kern w:val="2"/>
          <w14:ligatures w14:val="standardContextual"/>
        </w:rPr>
        <w:t>3.</w:t>
      </w:r>
      <w:r w:rsidRPr="008F5202">
        <w:rPr>
          <w:rFonts w:ascii="Times New Roman" w:hAnsi="Times New Roman" w:cs="Times New Roman"/>
          <w:kern w:val="2"/>
          <w14:ligatures w14:val="standardContextual"/>
        </w:rPr>
        <w:t xml:space="preserve">11b shows the friction factor as a function of the Reynolds number. The friction factor of all the topologies were almost constant over the investigated range of flow velocities showing negligible dependence on the Reynolds number. This trend is typical of lattice configurations for fully turbulent fluid flows </w:t>
      </w:r>
      <w:r w:rsidR="00EA4E2B" w:rsidRPr="008F5202">
        <w:rPr>
          <w:rFonts w:ascii="Times New Roman" w:eastAsia="Aptos" w:hAnsi="Times New Roman" w:cs="Times New Roman"/>
          <w:kern w:val="2"/>
          <w14:ligatures w14:val="standardContextual"/>
        </w:rPr>
        <w:t>[3</w:t>
      </w:r>
      <w:r w:rsidR="001731F9"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kern w:val="2"/>
          <w14:ligatures w14:val="standardContextual"/>
        </w:rPr>
        <w:t>38]</w:t>
      </w:r>
      <w:r w:rsidRPr="008F5202">
        <w:rPr>
          <w:rFonts w:ascii="Times New Roman" w:hAnsi="Times New Roman" w:cs="Times New Roman"/>
          <w:kern w:val="2"/>
          <w14:ligatures w14:val="standardContextual"/>
        </w:rPr>
        <w:t xml:space="preserve">. The mean friction factor value for Octet (0.888), TKD, FD-cube, and Cube was 0.696, 0.814, 1.402, and 0.339, respectively. </w:t>
      </w:r>
    </w:p>
    <w:p w14:paraId="7E48159A" w14:textId="00C8130B"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r w:rsidRPr="008F5202">
        <w:rPr>
          <w:rFonts w:ascii="Times New Roman" w:eastAsia="Aptos" w:hAnsi="Times New Roman" w:cs="Times New Roman"/>
          <w:kern w:val="2"/>
          <w14:ligatures w14:val="standardContextual"/>
        </w:rPr>
        <w:t xml:space="preserve">Figure </w:t>
      </w:r>
      <w:r w:rsidR="00297625"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12 shows the friction factor augmentation for each topology with respect to the smooth channel data predicted by Blasius’ equation (</w:t>
      </w:r>
      <w:bookmarkStart w:id="154" w:name="_Hlk84684615"/>
      <m:oMath>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f</m:t>
            </m:r>
          </m:e>
          <m:sub>
            <m:r>
              <w:rPr>
                <w:rFonts w:ascii="Cambria Math" w:eastAsia="Aptos" w:hAnsi="Cambria Math" w:cs="Times New Roman"/>
                <w:kern w:val="2"/>
                <w14:ligatures w14:val="standardContextual"/>
              </w:rPr>
              <m:t>0</m:t>
            </m:r>
          </m:sub>
        </m:sSub>
        <w:bookmarkEnd w:id="154"/>
        <m:r>
          <w:rPr>
            <w:rFonts w:ascii="Cambria Math" w:eastAsia="Aptos" w:hAnsi="Cambria Math" w:cs="Times New Roman"/>
            <w:kern w:val="2"/>
            <w14:ligatures w14:val="standardContextual"/>
          </w:rPr>
          <m:t>=0.079R</m:t>
        </m:r>
        <m:sSup>
          <m:sSupPr>
            <m:ctrlPr>
              <w:rPr>
                <w:rFonts w:ascii="Cambria Math" w:eastAsia="Aptos" w:hAnsi="Cambria Math" w:cs="Times New Roman"/>
                <w:i/>
                <w:kern w:val="2"/>
                <w14:ligatures w14:val="standardContextual"/>
              </w:rPr>
            </m:ctrlPr>
          </m:sSupPr>
          <m:e>
            <m:r>
              <w:rPr>
                <w:rFonts w:ascii="Cambria Math" w:eastAsia="Aptos" w:hAnsi="Cambria Math" w:cs="Times New Roman"/>
                <w:kern w:val="2"/>
                <w14:ligatures w14:val="standardContextual"/>
              </w:rPr>
              <m:t>e</m:t>
            </m:r>
          </m:e>
          <m:sup>
            <m:r>
              <w:rPr>
                <w:rFonts w:ascii="Cambria Math" w:eastAsia="Aptos" w:hAnsi="Cambria Math" w:cs="Times New Roman"/>
                <w:kern w:val="2"/>
                <w14:ligatures w14:val="standardContextual"/>
              </w:rPr>
              <m:t>-0.25</m:t>
            </m:r>
          </m:sup>
        </m:sSup>
      </m:oMath>
      <w:r w:rsidRPr="008F5202">
        <w:rPr>
          <w:rFonts w:ascii="Times New Roman" w:hAnsi="Times New Roman" w:cs="Times New Roman"/>
          <w:kern w:val="2"/>
          <w14:ligatures w14:val="standardContextual"/>
        </w:rPr>
        <w:t xml:space="preserve">) for fully developed turbulent flows. The augmentation in flow losses provided by FD-cube was 208 to 238 times of the smooth channel configuration. The hydraulic performance was followed by TKD which provided about 118 to 138 times augmentation in the flow losses. Octet (0.888) provided the friction factor enhancement of 100 to 120 times. Cube provided the least friction factor enhancement of 39 to 60 times over the smooth channel. </w:t>
      </w:r>
    </w:p>
    <w:p w14:paraId="0C689E56" w14:textId="77777777" w:rsidR="00DF0D8E" w:rsidRPr="008F5202" w:rsidRDefault="00836B4D" w:rsidP="00A752BA">
      <w:pPr>
        <w:keepNext/>
        <w:spacing w:after="160" w:line="360" w:lineRule="auto"/>
        <w:rPr>
          <w:rFonts w:ascii="Times New Roman" w:hAnsi="Times New Roman" w:cs="Times New Roman"/>
        </w:rPr>
      </w:pPr>
      <w:r w:rsidRPr="008F5202">
        <w:rPr>
          <w:rFonts w:ascii="Times New Roman" w:eastAsia="Aptos" w:hAnsi="Times New Roman" w:cs="Times New Roman"/>
          <w:noProof/>
          <w:kern w:val="2"/>
          <w:sz w:val="18"/>
          <w:szCs w:val="18"/>
          <w14:ligatures w14:val="standardContextual"/>
        </w:rPr>
        <w:lastRenderedPageBreak/>
        <w:drawing>
          <wp:inline distT="0" distB="0" distL="0" distR="0" wp14:anchorId="339053A5" wp14:editId="42E5AB6C">
            <wp:extent cx="3148359" cy="2619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9" cstate="print">
                      <a:extLst>
                        <a:ext uri="{28A0092B-C50C-407E-A947-70E740481C1C}">
                          <a14:useLocalDpi xmlns:a14="http://schemas.microsoft.com/office/drawing/2010/main" val="0"/>
                        </a:ext>
                      </a:extLst>
                    </a:blip>
                    <a:srcRect l="61457" t="20514" r="11941" b="40140"/>
                    <a:stretch/>
                  </pic:blipFill>
                  <pic:spPr bwMode="auto">
                    <a:xfrm>
                      <a:off x="0" y="0"/>
                      <a:ext cx="3169020" cy="2636565"/>
                    </a:xfrm>
                    <a:prstGeom prst="rect">
                      <a:avLst/>
                    </a:prstGeom>
                    <a:ln>
                      <a:noFill/>
                    </a:ln>
                    <a:extLst>
                      <a:ext uri="{53640926-AAD7-44D8-BBD7-CCE9431645EC}">
                        <a14:shadowObscured xmlns:a14="http://schemas.microsoft.com/office/drawing/2010/main"/>
                      </a:ext>
                    </a:extLst>
                  </pic:spPr>
                </pic:pic>
              </a:graphicData>
            </a:graphic>
          </wp:inline>
        </w:drawing>
      </w:r>
    </w:p>
    <w:p w14:paraId="5C7E5645" w14:textId="4906F58F" w:rsidR="00836B4D" w:rsidRPr="008F5202" w:rsidRDefault="00DF0D8E" w:rsidP="008F5202">
      <w:pPr>
        <w:pStyle w:val="Caption"/>
      </w:pPr>
      <w:bookmarkStart w:id="155" w:name="_Toc177755211"/>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12</w:t>
      </w:r>
      <w:r w:rsidR="003763D2" w:rsidRPr="008F5202">
        <w:fldChar w:fldCharType="end"/>
      </w:r>
      <w:r w:rsidRPr="008F5202">
        <w:t xml:space="preserve"> Friction factor augmentation vs Reynolds number</w:t>
      </w:r>
      <w:bookmarkEnd w:id="155"/>
    </w:p>
    <w:p w14:paraId="75C07F50" w14:textId="1E4B0BDD" w:rsidR="00836B4D" w:rsidRPr="008F5202" w:rsidRDefault="00836B4D" w:rsidP="00A752BA">
      <w:pPr>
        <w:pStyle w:val="Heading3"/>
        <w:spacing w:line="360" w:lineRule="auto"/>
        <w:rPr>
          <w:rFonts w:eastAsia="Aptos"/>
        </w:rPr>
      </w:pPr>
      <w:bookmarkStart w:id="156" w:name="_Toc177758168"/>
      <w:r w:rsidRPr="008F5202">
        <w:rPr>
          <w:rFonts w:eastAsia="Aptos"/>
        </w:rPr>
        <w:t>Heat transfer coefficient vs pumping power</w:t>
      </w:r>
      <w:bookmarkEnd w:id="156"/>
      <w:r w:rsidRPr="008F5202">
        <w:rPr>
          <w:rFonts w:eastAsia="Aptos"/>
        </w:rPr>
        <w:t xml:space="preserve"> </w:t>
      </w:r>
    </w:p>
    <w:p w14:paraId="74E10FA1" w14:textId="0F1105FF" w:rsidR="00836B4D" w:rsidRPr="008F5202" w:rsidRDefault="00836B4D" w:rsidP="00A752BA">
      <w:pPr>
        <w:spacing w:after="160" w:line="360" w:lineRule="auto"/>
        <w:ind w:firstLine="284"/>
        <w:jc w:val="both"/>
        <w:rPr>
          <w:rFonts w:ascii="Times New Roman" w:hAnsi="Times New Roman" w:cs="Times New Roman"/>
          <w:kern w:val="2"/>
          <w14:ligatures w14:val="standardContextual"/>
        </w:rPr>
      </w:pPr>
      <w:r w:rsidRPr="008F5202">
        <w:rPr>
          <w:rFonts w:ascii="Times New Roman" w:eastAsia="Aptos" w:hAnsi="Times New Roman" w:cs="Times New Roman"/>
          <w:kern w:val="2"/>
          <w14:ligatures w14:val="standardContextual"/>
        </w:rPr>
        <w:t xml:space="preserve">Pumping power is an important metric from a cooling designer point of view, and in enhanced heat transfer studies it is recommended to evaluate heat transfer coefficient at the cost of pumping power (Fig. </w:t>
      </w:r>
      <w:r w:rsidR="00297625"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 xml:space="preserve">13). </w:t>
      </w:r>
      <w:r w:rsidRPr="008F5202">
        <w:rPr>
          <w:rFonts w:ascii="Times New Roman" w:hAnsi="Times New Roman" w:cs="Times New Roman"/>
          <w:kern w:val="2"/>
          <w14:ligatures w14:val="standardContextual"/>
        </w:rPr>
        <w:t xml:space="preserve">For both-wall heating configuration, Octet (0.823) provided the highest heat transfer coefficient for the investigated pumping power range. Amongst the samples with similar porosity values, Cube yielded the highest heat transfer coefficient at any given pumping power. The Octet (0.888), TKD, and FD-cube provided very similar heat transfer coefficient values at a fixed pumping power condition. The trends were similar for the single wall heating configuration. The only difference was observed in the values of Octet (0.823) which were found to be closer to the Cube topology. </w:t>
      </w:r>
    </w:p>
    <w:p w14:paraId="79217F28" w14:textId="77777777" w:rsidR="00836B4D" w:rsidRPr="008F5202" w:rsidRDefault="00836B4D" w:rsidP="00A752BA">
      <w:pPr>
        <w:spacing w:after="160" w:line="360" w:lineRule="auto"/>
        <w:ind w:firstLine="284"/>
        <w:jc w:val="both"/>
        <w:rPr>
          <w:rFonts w:ascii="Times New Roman" w:hAnsi="Times New Roman" w:cs="Times New Roman"/>
          <w:kern w:val="2"/>
          <w:sz w:val="18"/>
          <w:szCs w:val="18"/>
          <w14:ligatures w14:val="standardContextual"/>
        </w:rPr>
      </w:pPr>
    </w:p>
    <w:p w14:paraId="098F6A84" w14:textId="77777777" w:rsidR="00DF0D8E" w:rsidRPr="008F5202" w:rsidRDefault="00836B4D" w:rsidP="00A752BA">
      <w:pPr>
        <w:keepNext/>
        <w:spacing w:after="160" w:line="360" w:lineRule="auto"/>
        <w:rPr>
          <w:rFonts w:ascii="Times New Roman" w:hAnsi="Times New Roman" w:cs="Times New Roman"/>
        </w:rPr>
      </w:pPr>
      <w:r w:rsidRPr="008F5202">
        <w:rPr>
          <w:rFonts w:ascii="Times New Roman" w:eastAsia="Aptos" w:hAnsi="Times New Roman" w:cs="Times New Roman"/>
          <w:noProof/>
          <w:kern w:val="2"/>
          <w:sz w:val="18"/>
          <w:szCs w:val="18"/>
          <w14:ligatures w14:val="standardContextual"/>
        </w:rPr>
        <w:lastRenderedPageBreak/>
        <w:drawing>
          <wp:inline distT="0" distB="0" distL="0" distR="0" wp14:anchorId="7FEE16D6" wp14:editId="6BEF1051">
            <wp:extent cx="5802138" cy="2806262"/>
            <wp:effectExtent l="0" t="0" r="8255" b="0"/>
            <wp:docPr id="991132792" name="Picture 99113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50" cstate="print">
                      <a:extLst>
                        <a:ext uri="{28A0092B-C50C-407E-A947-70E740481C1C}">
                          <a14:useLocalDpi xmlns:a14="http://schemas.microsoft.com/office/drawing/2010/main" val="0"/>
                        </a:ext>
                      </a:extLst>
                    </a:blip>
                    <a:srcRect l="13423" t="53391" r="36475" b="3529"/>
                    <a:stretch/>
                  </pic:blipFill>
                  <pic:spPr bwMode="auto">
                    <a:xfrm>
                      <a:off x="0" y="0"/>
                      <a:ext cx="5831473" cy="2820450"/>
                    </a:xfrm>
                    <a:prstGeom prst="rect">
                      <a:avLst/>
                    </a:prstGeom>
                    <a:ln>
                      <a:noFill/>
                    </a:ln>
                    <a:extLst>
                      <a:ext uri="{53640926-AAD7-44D8-BBD7-CCE9431645EC}">
                        <a14:shadowObscured xmlns:a14="http://schemas.microsoft.com/office/drawing/2010/main"/>
                      </a:ext>
                    </a:extLst>
                  </pic:spPr>
                </pic:pic>
              </a:graphicData>
            </a:graphic>
          </wp:inline>
        </w:drawing>
      </w:r>
    </w:p>
    <w:p w14:paraId="59EFB9C0" w14:textId="6E1EAE4F" w:rsidR="00836B4D" w:rsidRPr="008F5202" w:rsidRDefault="00DF0D8E" w:rsidP="008F5202">
      <w:pPr>
        <w:pStyle w:val="Caption"/>
        <w:rPr>
          <w:rFonts w:eastAsia="Aptos"/>
          <w:kern w:val="2"/>
          <w:sz w:val="18"/>
          <w14:ligatures w14:val="standardContextual"/>
        </w:rPr>
      </w:pPr>
      <w:bookmarkStart w:id="157" w:name="_Toc177755212"/>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13</w:t>
      </w:r>
      <w:r w:rsidR="003763D2" w:rsidRPr="008F5202">
        <w:fldChar w:fldCharType="end"/>
      </w:r>
      <w:r w:rsidR="007533F7" w:rsidRPr="008F5202">
        <w:t xml:space="preserve"> Heat transfer coefficient vas pumping power requirements with heating on (a) both the walls, and (b) single wall</w:t>
      </w:r>
      <w:bookmarkEnd w:id="157"/>
    </w:p>
    <w:p w14:paraId="5CB5D842" w14:textId="46A0292F" w:rsidR="00836B4D" w:rsidRPr="008F5202" w:rsidRDefault="00836B4D" w:rsidP="00A752BA">
      <w:pPr>
        <w:pStyle w:val="Heading3"/>
        <w:spacing w:line="360" w:lineRule="auto"/>
        <w:rPr>
          <w:rFonts w:eastAsia="Aptos"/>
        </w:rPr>
      </w:pPr>
      <w:bookmarkStart w:id="158" w:name="_Toc177758169"/>
      <w:r w:rsidRPr="008F5202">
        <w:rPr>
          <w:rFonts w:eastAsia="Aptos"/>
        </w:rPr>
        <w:t>Thermal-hydraulic performance</w:t>
      </w:r>
      <w:bookmarkEnd w:id="158"/>
    </w:p>
    <w:p w14:paraId="47365031" w14:textId="77777777" w:rsidR="00836B4D" w:rsidRPr="008F5202" w:rsidRDefault="00836B4D" w:rsidP="00A752BA">
      <w:pPr>
        <w:spacing w:after="160" w:line="360" w:lineRule="auto"/>
        <w:ind w:firstLine="284"/>
        <w:jc w:val="both"/>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The heat transfer augmentation in the trailing edge cooling channels is desirable at the minimal flow losses. The gain in thermal performance with respect to the increase in flow losses is generally quantified by the thermal-hydraulic performance (THP) parameter defined as:</w:t>
      </w:r>
    </w:p>
    <w:p w14:paraId="6FB08470" w14:textId="017FC49C" w:rsidR="007533F7" w:rsidRPr="008F5202" w:rsidRDefault="007533F7" w:rsidP="008F5202">
      <w:pPr>
        <w:pStyle w:val="Caption"/>
      </w:pPr>
      <w:bookmarkStart w:id="159" w:name="_Hlk84684672"/>
      <w:bookmarkStart w:id="160" w:name="_Hlk97304575"/>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3</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6</w:t>
      </w:r>
      <w:r w:rsidR="000978FD" w:rsidRPr="008F5202">
        <w:fldChar w:fldCharType="end"/>
      </w:r>
    </w:p>
    <w:p w14:paraId="09AF3714" w14:textId="09C9BF8A" w:rsidR="00836B4D" w:rsidRPr="008F5202" w:rsidRDefault="00836B4D" w:rsidP="00A752BA">
      <w:pPr>
        <w:spacing w:line="360" w:lineRule="auto"/>
        <w:jc w:val="both"/>
        <w:rPr>
          <w:rFonts w:ascii="Times New Roman" w:hAnsi="Times New Roman" w:cs="Times New Roman"/>
          <w:kern w:val="2"/>
          <w14:ligatures w14:val="standardContextual"/>
        </w:rPr>
      </w:pPr>
      <m:oMathPara>
        <m:oMath>
          <m:r>
            <w:rPr>
              <w:rFonts w:ascii="Cambria Math" w:eastAsia="Aptos" w:hAnsi="Cambria Math" w:cs="Times New Roman"/>
              <w:kern w:val="2"/>
              <w14:ligatures w14:val="standardContextual"/>
            </w:rPr>
            <m:t>THP</m:t>
          </m:r>
          <w:bookmarkEnd w:id="159"/>
          <m:r>
            <w:rPr>
              <w:rFonts w:ascii="Cambria Math" w:eastAsia="Aptos" w:hAnsi="Cambria Math" w:cs="Times New Roman"/>
              <w:kern w:val="2"/>
              <w14:ligatures w14:val="standardContextual"/>
            </w:rPr>
            <m:t xml:space="preserve">= </m:t>
          </m:r>
          <m:f>
            <m:fPr>
              <m:ctrlPr>
                <w:rPr>
                  <w:rFonts w:ascii="Cambria Math" w:eastAsia="Aptos" w:hAnsi="Cambria Math" w:cs="Times New Roman"/>
                  <w:i/>
                  <w:kern w:val="2"/>
                  <w14:ligatures w14:val="standardContextual"/>
                </w:rPr>
              </m:ctrlPr>
            </m:fPr>
            <m:num>
              <m:f>
                <m:fPr>
                  <m:type m:val="lin"/>
                  <m:ctrlPr>
                    <w:rPr>
                      <w:rFonts w:ascii="Cambria Math" w:eastAsia="Aptos" w:hAnsi="Cambria Math" w:cs="Times New Roman"/>
                      <w:i/>
                      <w:kern w:val="2"/>
                      <w14:ligatures w14:val="standardContextual"/>
                    </w:rPr>
                  </m:ctrlPr>
                </m:fPr>
                <m:num>
                  <m:r>
                    <w:rPr>
                      <w:rFonts w:ascii="Cambria Math" w:eastAsia="Aptos" w:hAnsi="Cambria Math" w:cs="Times New Roman"/>
                      <w:kern w:val="2"/>
                      <w14:ligatures w14:val="standardContextual"/>
                    </w:rPr>
                    <m:t>Nu</m:t>
                  </m:r>
                </m:num>
                <m:den>
                  <m:r>
                    <w:rPr>
                      <w:rFonts w:ascii="Cambria Math" w:eastAsia="Aptos" w:hAnsi="Cambria Math" w:cs="Times New Roman"/>
                      <w:kern w:val="2"/>
                      <w14:ligatures w14:val="standardContextual"/>
                    </w:rPr>
                    <m:t>N</m:t>
                  </m:r>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u</m:t>
                      </m:r>
                    </m:e>
                    <m:sub>
                      <m:r>
                        <w:rPr>
                          <w:rFonts w:ascii="Cambria Math" w:eastAsia="Aptos" w:hAnsi="Cambria Math" w:cs="Times New Roman"/>
                          <w:kern w:val="2"/>
                          <w14:ligatures w14:val="standardContextual"/>
                        </w:rPr>
                        <m:t>0</m:t>
                      </m:r>
                    </m:sub>
                  </m:sSub>
                </m:den>
              </m:f>
            </m:num>
            <m:den>
              <m:sSup>
                <m:sSupPr>
                  <m:ctrlPr>
                    <w:rPr>
                      <w:rFonts w:ascii="Cambria Math" w:eastAsia="Aptos" w:hAnsi="Cambria Math" w:cs="Times New Roman"/>
                      <w:i/>
                      <w:kern w:val="2"/>
                      <w14:ligatures w14:val="standardContextual"/>
                    </w:rPr>
                  </m:ctrlPr>
                </m:sSupPr>
                <m:e>
                  <m:d>
                    <m:dPr>
                      <m:ctrlPr>
                        <w:rPr>
                          <w:rFonts w:ascii="Cambria Math" w:eastAsia="Aptos" w:hAnsi="Cambria Math" w:cs="Times New Roman"/>
                          <w:i/>
                          <w:kern w:val="2"/>
                          <w14:ligatures w14:val="standardContextual"/>
                        </w:rPr>
                      </m:ctrlPr>
                    </m:dPr>
                    <m:e>
                      <m:f>
                        <m:fPr>
                          <m:type m:val="lin"/>
                          <m:ctrlPr>
                            <w:rPr>
                              <w:rFonts w:ascii="Cambria Math" w:eastAsia="Aptos" w:hAnsi="Cambria Math" w:cs="Times New Roman"/>
                              <w:i/>
                              <w:kern w:val="2"/>
                              <w14:ligatures w14:val="standardContextual"/>
                            </w:rPr>
                          </m:ctrlPr>
                        </m:fPr>
                        <m:num>
                          <m:r>
                            <w:rPr>
                              <w:rFonts w:ascii="Cambria Math" w:eastAsia="Aptos" w:hAnsi="Cambria Math" w:cs="Times New Roman"/>
                              <w:kern w:val="2"/>
                              <w14:ligatures w14:val="standardContextual"/>
                            </w:rPr>
                            <m:t>f</m:t>
                          </m:r>
                        </m:num>
                        <m:den>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f</m:t>
                              </m:r>
                            </m:e>
                            <m:sub>
                              <m:r>
                                <w:rPr>
                                  <w:rFonts w:ascii="Cambria Math" w:eastAsia="Aptos" w:hAnsi="Cambria Math" w:cs="Times New Roman"/>
                                  <w:kern w:val="2"/>
                                  <w14:ligatures w14:val="standardContextual"/>
                                </w:rPr>
                                <m:t>0</m:t>
                              </m:r>
                            </m:sub>
                          </m:sSub>
                        </m:den>
                      </m:f>
                    </m:e>
                  </m:d>
                </m:e>
                <m:sup>
                  <m:f>
                    <m:fPr>
                      <m:type m:val="lin"/>
                      <m:ctrlPr>
                        <w:rPr>
                          <w:rFonts w:ascii="Cambria Math" w:eastAsia="Aptos" w:hAnsi="Cambria Math" w:cs="Times New Roman"/>
                          <w:i/>
                          <w:kern w:val="2"/>
                          <w14:ligatures w14:val="standardContextual"/>
                        </w:rPr>
                      </m:ctrlPr>
                    </m:fPr>
                    <m:num>
                      <m:r>
                        <w:rPr>
                          <w:rFonts w:ascii="Cambria Math" w:eastAsia="Aptos" w:hAnsi="Cambria Math" w:cs="Times New Roman"/>
                          <w:kern w:val="2"/>
                          <w14:ligatures w14:val="standardContextual"/>
                        </w:rPr>
                        <m:t>1</m:t>
                      </m:r>
                    </m:num>
                    <m:den>
                      <m:r>
                        <w:rPr>
                          <w:rFonts w:ascii="Cambria Math" w:eastAsia="Aptos" w:hAnsi="Cambria Math" w:cs="Times New Roman"/>
                          <w:kern w:val="2"/>
                          <w14:ligatures w14:val="standardContextual"/>
                        </w:rPr>
                        <m:t>3</m:t>
                      </m:r>
                    </m:den>
                  </m:f>
                </m:sup>
              </m:sSup>
            </m:den>
          </m:f>
        </m:oMath>
      </m:oMathPara>
    </w:p>
    <w:bookmarkEnd w:id="160"/>
    <w:p w14:paraId="21E0B47D" w14:textId="77777777" w:rsidR="00836B4D" w:rsidRPr="008F5202" w:rsidRDefault="00836B4D" w:rsidP="00A752BA">
      <w:pPr>
        <w:spacing w:line="360" w:lineRule="auto"/>
        <w:jc w:val="both"/>
        <w:rPr>
          <w:rFonts w:ascii="Times New Roman" w:eastAsia="Aptos" w:hAnsi="Times New Roman" w:cs="Times New Roman"/>
          <w:kern w:val="2"/>
          <w:sz w:val="18"/>
          <w:szCs w:val="18"/>
          <w14:ligatures w14:val="standardContextual"/>
        </w:rPr>
      </w:pPr>
    </w:p>
    <w:p w14:paraId="525F2782" w14:textId="77777777" w:rsidR="00FC332D" w:rsidRPr="008F5202" w:rsidRDefault="00836B4D" w:rsidP="00A752BA">
      <w:pPr>
        <w:keepNext/>
        <w:spacing w:after="160" w:line="360" w:lineRule="auto"/>
        <w:jc w:val="center"/>
        <w:rPr>
          <w:rFonts w:ascii="Times New Roman" w:hAnsi="Times New Roman" w:cs="Times New Roman"/>
        </w:rPr>
      </w:pPr>
      <w:r w:rsidRPr="008F5202">
        <w:rPr>
          <w:rFonts w:ascii="Times New Roman" w:eastAsia="Aptos" w:hAnsi="Times New Roman" w:cs="Times New Roman"/>
          <w:noProof/>
          <w:kern w:val="2"/>
          <w:sz w:val="18"/>
          <w:szCs w:val="18"/>
          <w14:ligatures w14:val="standardContextual"/>
        </w:rPr>
        <w:lastRenderedPageBreak/>
        <w:drawing>
          <wp:inline distT="0" distB="0" distL="0" distR="0" wp14:anchorId="4D51E7F0" wp14:editId="5A3BCD69">
            <wp:extent cx="5631822" cy="2667000"/>
            <wp:effectExtent l="0" t="0" r="6985" b="0"/>
            <wp:docPr id="533032103" name="Picture 53303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51" cstate="print">
                      <a:extLst>
                        <a:ext uri="{28A0092B-C50C-407E-A947-70E740481C1C}">
                          <a14:useLocalDpi xmlns:a14="http://schemas.microsoft.com/office/drawing/2010/main" val="0"/>
                        </a:ext>
                      </a:extLst>
                    </a:blip>
                    <a:srcRect l="3357" t="54264" r="44435" b="1783"/>
                    <a:stretch/>
                  </pic:blipFill>
                  <pic:spPr bwMode="auto">
                    <a:xfrm>
                      <a:off x="0" y="0"/>
                      <a:ext cx="5670695" cy="2685409"/>
                    </a:xfrm>
                    <a:prstGeom prst="rect">
                      <a:avLst/>
                    </a:prstGeom>
                    <a:ln>
                      <a:noFill/>
                    </a:ln>
                    <a:extLst>
                      <a:ext uri="{53640926-AAD7-44D8-BBD7-CCE9431645EC}">
                        <a14:shadowObscured xmlns:a14="http://schemas.microsoft.com/office/drawing/2010/main"/>
                      </a:ext>
                    </a:extLst>
                  </pic:spPr>
                </pic:pic>
              </a:graphicData>
            </a:graphic>
          </wp:inline>
        </w:drawing>
      </w:r>
    </w:p>
    <w:p w14:paraId="6B057736" w14:textId="62FB51B1" w:rsidR="00836B4D" w:rsidRPr="008F5202" w:rsidRDefault="00FC332D" w:rsidP="008F5202">
      <w:pPr>
        <w:pStyle w:val="Caption"/>
        <w:rPr>
          <w:rFonts w:eastAsia="Aptos"/>
          <w:kern w:val="2"/>
          <w:sz w:val="18"/>
          <w14:ligatures w14:val="standardContextual"/>
        </w:rPr>
      </w:pPr>
      <w:bookmarkStart w:id="161" w:name="_Toc177755213"/>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14</w:t>
      </w:r>
      <w:r w:rsidR="003763D2" w:rsidRPr="008F5202">
        <w:fldChar w:fldCharType="end"/>
      </w:r>
      <w:r w:rsidR="008B126C" w:rsidRPr="008F5202">
        <w:t xml:space="preserve"> Thermal-hydraulic performance with respect to Reynolds number with heating on (a) both the walls, and (b) single wall considering fully developed flow conditions</w:t>
      </w:r>
      <w:bookmarkEnd w:id="161"/>
    </w:p>
    <w:p w14:paraId="4BBB428F" w14:textId="2E77C552" w:rsidR="00836B4D" w:rsidRPr="008F5202" w:rsidRDefault="00836B4D" w:rsidP="00A752BA">
      <w:pPr>
        <w:spacing w:after="160" w:line="360" w:lineRule="auto"/>
        <w:ind w:firstLine="284"/>
        <w:jc w:val="both"/>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 xml:space="preserve">The THP values of all the topologies with respect to channel Reynolds number for both types of heating configurations are presented in Fig. </w:t>
      </w:r>
      <w:r w:rsidR="00297625"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 xml:space="preserve">14. Although FD-cube was the most promising lattice when only heat transfer augmentation was considered, the overall THP of this structure was the weakest due to associated high flow losses. Octet (0.888) had slightly higher THP with respect to FD-cube at lower Reynolds number values, but the values approached that of the FD-cube for the higher investigated Reynolds number. At higher Reynolds number range, TKD also demonstrated similar performance to the Octet (0.888) and FD-cube for both types of heating conditions. Since Octet (0.888), TKD, and FD-cube exhibited similar THP levels, employment of FD-cube in practical applications is recommended over the other two structures because it would yield high heat transfer values without compromising the overall thermal-hydraulic performance. However, Cube emerged as the best solution to obtain the highest overall thermal-hydraulic performance as it outperformed every other lattice topology for the investigated range of Reynolds number. The THP values provided by Cube topology were in the range of 2.12 to 2.78 and 1.9 to 2.53 for both-wall heating and single-wall heating conditions, respectively. </w:t>
      </w:r>
    </w:p>
    <w:p w14:paraId="69F5502C" w14:textId="101A7B70" w:rsidR="00836B4D" w:rsidRPr="008F5202" w:rsidRDefault="00836B4D" w:rsidP="00A752BA">
      <w:pPr>
        <w:spacing w:after="160" w:line="360" w:lineRule="auto"/>
        <w:ind w:firstLine="284"/>
        <w:jc w:val="both"/>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lastRenderedPageBreak/>
        <w:t xml:space="preserve">Figure </w:t>
      </w:r>
      <w:r w:rsidR="00297625"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15 shows the THP</w:t>
      </w:r>
      <w:r w:rsidRPr="008F5202">
        <w:rPr>
          <w:rFonts w:ascii="Times New Roman" w:eastAsia="Aptos" w:hAnsi="Times New Roman" w:cs="Times New Roman"/>
          <w:kern w:val="2"/>
          <w:vertAlign w:val="subscript"/>
          <w14:ligatures w14:val="standardContextual"/>
        </w:rPr>
        <w:t>s</w:t>
      </w:r>
      <w:r w:rsidRPr="008F5202">
        <w:rPr>
          <w:rFonts w:ascii="Times New Roman" w:eastAsia="Aptos" w:hAnsi="Times New Roman" w:cs="Times New Roman"/>
          <w:kern w:val="2"/>
          <w14:ligatures w14:val="standardContextual"/>
        </w:rPr>
        <w:t xml:space="preserve"> of the investigated lattices where the heat transfer augmentation with respect to developing flows is considered such that:</w:t>
      </w:r>
    </w:p>
    <w:p w14:paraId="5634AE76" w14:textId="7F15D46A" w:rsidR="00A752BA" w:rsidRPr="008F5202" w:rsidRDefault="00A752BA"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3</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7</w:t>
      </w:r>
      <w:r w:rsidR="000978FD" w:rsidRPr="008F5202">
        <w:fldChar w:fldCharType="end"/>
      </w:r>
    </w:p>
    <w:p w14:paraId="03119B3A" w14:textId="607CFB6E" w:rsidR="00836B4D" w:rsidRPr="008F5202" w:rsidRDefault="00836B4D" w:rsidP="00A752BA">
      <w:pPr>
        <w:spacing w:line="360" w:lineRule="auto"/>
        <w:jc w:val="both"/>
        <w:rPr>
          <w:rFonts w:ascii="Times New Roman" w:hAnsi="Times New Roman" w:cs="Times New Roman"/>
          <w:kern w:val="2"/>
          <w14:ligatures w14:val="standardContextual"/>
        </w:rPr>
      </w:pPr>
      <m:oMathPara>
        <m:oMath>
          <m:r>
            <w:rPr>
              <w:rFonts w:ascii="Cambria Math" w:eastAsia="Aptos" w:hAnsi="Cambria Math" w:cs="Times New Roman"/>
              <w:kern w:val="2"/>
              <w14:ligatures w14:val="standardContextual"/>
            </w:rPr>
            <m:t>TH</m:t>
          </m:r>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P</m:t>
              </m:r>
            </m:e>
            <m:sub>
              <m:r>
                <w:rPr>
                  <w:rFonts w:ascii="Cambria Math" w:eastAsia="Aptos" w:hAnsi="Cambria Math" w:cs="Times New Roman"/>
                  <w:kern w:val="2"/>
                  <w14:ligatures w14:val="standardContextual"/>
                </w:rPr>
                <m:t>s</m:t>
              </m:r>
            </m:sub>
          </m:sSub>
          <m:r>
            <w:rPr>
              <w:rFonts w:ascii="Cambria Math" w:eastAsia="Aptos" w:hAnsi="Cambria Math" w:cs="Times New Roman"/>
              <w:kern w:val="2"/>
              <w14:ligatures w14:val="standardContextual"/>
            </w:rPr>
            <m:t xml:space="preserve">= </m:t>
          </m:r>
          <m:f>
            <m:fPr>
              <m:ctrlPr>
                <w:rPr>
                  <w:rFonts w:ascii="Cambria Math" w:eastAsia="Aptos" w:hAnsi="Cambria Math" w:cs="Times New Roman"/>
                  <w:i/>
                  <w:kern w:val="2"/>
                  <w14:ligatures w14:val="standardContextual"/>
                </w:rPr>
              </m:ctrlPr>
            </m:fPr>
            <m:num>
              <m:f>
                <m:fPr>
                  <m:type m:val="lin"/>
                  <m:ctrlPr>
                    <w:rPr>
                      <w:rFonts w:ascii="Cambria Math" w:eastAsia="Aptos" w:hAnsi="Cambria Math" w:cs="Times New Roman"/>
                      <w:i/>
                      <w:kern w:val="2"/>
                      <w14:ligatures w14:val="standardContextual"/>
                    </w:rPr>
                  </m:ctrlPr>
                </m:fPr>
                <m:num>
                  <m:r>
                    <w:rPr>
                      <w:rFonts w:ascii="Cambria Math" w:eastAsia="Aptos" w:hAnsi="Cambria Math" w:cs="Times New Roman"/>
                      <w:kern w:val="2"/>
                      <w14:ligatures w14:val="standardContextual"/>
                    </w:rPr>
                    <m:t>Nu</m:t>
                  </m:r>
                </m:num>
                <m:den>
                  <m:r>
                    <w:rPr>
                      <w:rFonts w:ascii="Cambria Math" w:eastAsia="Aptos" w:hAnsi="Cambria Math" w:cs="Times New Roman"/>
                      <w:kern w:val="2"/>
                      <w14:ligatures w14:val="standardContextual"/>
                    </w:rPr>
                    <m:t>N</m:t>
                  </m:r>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u</m:t>
                      </m:r>
                    </m:e>
                    <m:sub>
                      <m:r>
                        <w:rPr>
                          <w:rFonts w:ascii="Cambria Math" w:eastAsia="Aptos" w:hAnsi="Cambria Math" w:cs="Times New Roman"/>
                          <w:kern w:val="2"/>
                          <w14:ligatures w14:val="standardContextual"/>
                        </w:rPr>
                        <m:t>s</m:t>
                      </m:r>
                    </m:sub>
                  </m:sSub>
                </m:den>
              </m:f>
            </m:num>
            <m:den>
              <m:sSup>
                <m:sSupPr>
                  <m:ctrlPr>
                    <w:rPr>
                      <w:rFonts w:ascii="Cambria Math" w:eastAsia="Aptos" w:hAnsi="Cambria Math" w:cs="Times New Roman"/>
                      <w:i/>
                      <w:kern w:val="2"/>
                      <w14:ligatures w14:val="standardContextual"/>
                    </w:rPr>
                  </m:ctrlPr>
                </m:sSupPr>
                <m:e>
                  <m:d>
                    <m:dPr>
                      <m:ctrlPr>
                        <w:rPr>
                          <w:rFonts w:ascii="Cambria Math" w:eastAsia="Aptos" w:hAnsi="Cambria Math" w:cs="Times New Roman"/>
                          <w:i/>
                          <w:kern w:val="2"/>
                          <w14:ligatures w14:val="standardContextual"/>
                        </w:rPr>
                      </m:ctrlPr>
                    </m:dPr>
                    <m:e>
                      <m:f>
                        <m:fPr>
                          <m:type m:val="lin"/>
                          <m:ctrlPr>
                            <w:rPr>
                              <w:rFonts w:ascii="Cambria Math" w:eastAsia="Aptos" w:hAnsi="Cambria Math" w:cs="Times New Roman"/>
                              <w:i/>
                              <w:kern w:val="2"/>
                              <w14:ligatures w14:val="standardContextual"/>
                            </w:rPr>
                          </m:ctrlPr>
                        </m:fPr>
                        <m:num>
                          <m:r>
                            <w:rPr>
                              <w:rFonts w:ascii="Cambria Math" w:eastAsia="Aptos" w:hAnsi="Cambria Math" w:cs="Times New Roman"/>
                              <w:kern w:val="2"/>
                              <w14:ligatures w14:val="standardContextual"/>
                            </w:rPr>
                            <m:t>f</m:t>
                          </m:r>
                        </m:num>
                        <m:den>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f</m:t>
                              </m:r>
                            </m:e>
                            <m:sub>
                              <m:r>
                                <w:rPr>
                                  <w:rFonts w:ascii="Cambria Math" w:eastAsia="Aptos" w:hAnsi="Cambria Math" w:cs="Times New Roman"/>
                                  <w:kern w:val="2"/>
                                  <w14:ligatures w14:val="standardContextual"/>
                                </w:rPr>
                                <m:t>s</m:t>
                              </m:r>
                            </m:sub>
                          </m:sSub>
                        </m:den>
                      </m:f>
                    </m:e>
                  </m:d>
                </m:e>
                <m:sup>
                  <m:f>
                    <m:fPr>
                      <m:type m:val="lin"/>
                      <m:ctrlPr>
                        <w:rPr>
                          <w:rFonts w:ascii="Cambria Math" w:eastAsia="Aptos" w:hAnsi="Cambria Math" w:cs="Times New Roman"/>
                          <w:i/>
                          <w:kern w:val="2"/>
                          <w14:ligatures w14:val="standardContextual"/>
                        </w:rPr>
                      </m:ctrlPr>
                    </m:fPr>
                    <m:num>
                      <m:r>
                        <w:rPr>
                          <w:rFonts w:ascii="Cambria Math" w:eastAsia="Aptos" w:hAnsi="Cambria Math" w:cs="Times New Roman"/>
                          <w:kern w:val="2"/>
                          <w14:ligatures w14:val="standardContextual"/>
                        </w:rPr>
                        <m:t>1</m:t>
                      </m:r>
                    </m:num>
                    <m:den>
                      <m:r>
                        <w:rPr>
                          <w:rFonts w:ascii="Cambria Math" w:eastAsia="Aptos" w:hAnsi="Cambria Math" w:cs="Times New Roman"/>
                          <w:kern w:val="2"/>
                          <w14:ligatures w14:val="standardContextual"/>
                        </w:rPr>
                        <m:t>3</m:t>
                      </m:r>
                    </m:den>
                  </m:f>
                </m:sup>
              </m:sSup>
            </m:den>
          </m:f>
        </m:oMath>
      </m:oMathPara>
    </w:p>
    <w:p w14:paraId="557CC17B" w14:textId="1343EE50" w:rsidR="00836B4D" w:rsidRPr="008F5202" w:rsidRDefault="00836B4D" w:rsidP="00A752BA">
      <w:pPr>
        <w:spacing w:after="160" w:line="360" w:lineRule="auto"/>
        <w:jc w:val="both"/>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 xml:space="preserve">The simulations conducted over domain similar to experiments to obtain </w:t>
      </w:r>
      <m:oMath>
        <m:r>
          <w:rPr>
            <w:rFonts w:ascii="Cambria Math" w:eastAsia="Aptos" w:hAnsi="Cambria Math" w:cs="Times New Roman"/>
            <w:kern w:val="2"/>
            <w14:ligatures w14:val="standardContextual"/>
          </w:rPr>
          <m:t>N</m:t>
        </m:r>
        <m:sSub>
          <m:sSubPr>
            <m:ctrlPr>
              <w:rPr>
                <w:rFonts w:ascii="Cambria Math" w:eastAsia="Aptos" w:hAnsi="Cambria Math" w:cs="Times New Roman"/>
                <w:i/>
                <w:kern w:val="2"/>
                <w14:ligatures w14:val="standardContextual"/>
              </w:rPr>
            </m:ctrlPr>
          </m:sSubPr>
          <m:e>
            <m:r>
              <w:rPr>
                <w:rFonts w:ascii="Cambria Math" w:eastAsia="Aptos" w:hAnsi="Cambria Math" w:cs="Times New Roman"/>
                <w:kern w:val="2"/>
                <w14:ligatures w14:val="standardContextual"/>
              </w:rPr>
              <m:t>u</m:t>
            </m:r>
          </m:e>
          <m:sub>
            <m:r>
              <w:rPr>
                <w:rFonts w:ascii="Cambria Math" w:eastAsia="Aptos" w:hAnsi="Cambria Math" w:cs="Times New Roman"/>
                <w:kern w:val="2"/>
                <w14:ligatures w14:val="standardContextual"/>
              </w:rPr>
              <m:t>s</m:t>
            </m:r>
          </m:sub>
        </m:sSub>
      </m:oMath>
      <w:r w:rsidRPr="008F5202">
        <w:rPr>
          <w:rFonts w:ascii="Times New Roman" w:eastAsia="Aptos" w:hAnsi="Times New Roman" w:cs="Times New Roman"/>
          <w:kern w:val="2"/>
          <w14:ligatures w14:val="standardContextual"/>
        </w:rPr>
        <w:t xml:space="preserve"> demonstrated no significant deviation in the friction factor from the values of standard Blasius’ equation. The flow losses used in Eq. 7 were similar to those considered in Eq. 6. The THP</w:t>
      </w:r>
      <w:r w:rsidRPr="008F5202">
        <w:rPr>
          <w:rFonts w:ascii="Times New Roman" w:eastAsia="Aptos" w:hAnsi="Times New Roman" w:cs="Times New Roman"/>
          <w:kern w:val="2"/>
          <w:vertAlign w:val="subscript"/>
          <w14:ligatures w14:val="standardContextual"/>
        </w:rPr>
        <w:t xml:space="preserve">s </w:t>
      </w:r>
      <w:r w:rsidRPr="008F5202">
        <w:rPr>
          <w:rFonts w:ascii="Times New Roman" w:eastAsia="Aptos" w:hAnsi="Times New Roman" w:cs="Times New Roman"/>
          <w:kern w:val="2"/>
          <w14:ligatures w14:val="standardContextual"/>
        </w:rPr>
        <w:t xml:space="preserve">values in Fig. </w:t>
      </w:r>
      <w:r w:rsidR="00297625"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 xml:space="preserve">15 were lower than THP provided in Fig. </w:t>
      </w:r>
      <w:r w:rsidR="00297625"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 xml:space="preserve">14, which is expected due to reduced augmentation levels while the friction factor enhancement over smooth channel due to nearly hydrodynamically developed flow conditions was similar. Note that the Cube topology-based lattice configuration is similar to that of inline cylindrical pins arranged at uniform spacing in both streamwise and spanwise directions. Half fiber was added on the top and bottom wall in this study’s Cube configuration. It is worth pointing out that although Octet or FD-Cube topologies can yield in high cooling rates, the simplest Cube configuration will still have the highest thermal hydraulic performance. Further, the added cost of AM to realize complex structures is another metric by which Cube topology is more attractive as one is not limited to AM technologies to realize orthogonal pins, and that conventional manufacturing techniques can still be a viable choice for advanced heat exchanger development. However, if pumping power is constraint (Fig. </w:t>
      </w:r>
      <w:r w:rsidR="00297625" w:rsidRPr="008F5202">
        <w:rPr>
          <w:rFonts w:ascii="Times New Roman" w:eastAsia="Aptos" w:hAnsi="Times New Roman" w:cs="Times New Roman"/>
          <w:kern w:val="2"/>
          <w14:ligatures w14:val="standardContextual"/>
        </w:rPr>
        <w:t>3.</w:t>
      </w:r>
      <w:r w:rsidRPr="008F5202">
        <w:rPr>
          <w:rFonts w:ascii="Times New Roman" w:eastAsia="Aptos" w:hAnsi="Times New Roman" w:cs="Times New Roman"/>
          <w:kern w:val="2"/>
          <w14:ligatures w14:val="standardContextual"/>
        </w:rPr>
        <w:t>13), then lattices other than Cube such as Octet can be more attractive choice for enhanced mechanical load bearing capability as the thermal performance of all the investigated topologies was of similar level.</w:t>
      </w:r>
    </w:p>
    <w:p w14:paraId="2E177B7B" w14:textId="77777777" w:rsidR="00836B4D" w:rsidRPr="008F5202" w:rsidRDefault="00836B4D" w:rsidP="00A752BA">
      <w:pPr>
        <w:spacing w:line="360" w:lineRule="auto"/>
        <w:jc w:val="both"/>
        <w:rPr>
          <w:rFonts w:ascii="Times New Roman" w:hAnsi="Times New Roman" w:cs="Times New Roman"/>
          <w:kern w:val="2"/>
          <w:sz w:val="18"/>
          <w:szCs w:val="18"/>
          <w14:ligatures w14:val="standardContextual"/>
        </w:rPr>
      </w:pPr>
    </w:p>
    <w:p w14:paraId="77E902C9" w14:textId="77777777" w:rsidR="008B126C" w:rsidRPr="008F5202" w:rsidRDefault="00836B4D" w:rsidP="00A752BA">
      <w:pPr>
        <w:keepNext/>
        <w:spacing w:after="160" w:line="360" w:lineRule="auto"/>
        <w:rPr>
          <w:rFonts w:ascii="Times New Roman" w:hAnsi="Times New Roman" w:cs="Times New Roman"/>
        </w:rPr>
      </w:pPr>
      <w:bookmarkStart w:id="162" w:name="_Hlk97284581"/>
      <w:r w:rsidRPr="008F5202">
        <w:rPr>
          <w:rFonts w:ascii="Times New Roman" w:eastAsia="Aptos" w:hAnsi="Times New Roman" w:cs="Times New Roman"/>
          <w:noProof/>
          <w:kern w:val="2"/>
          <w:sz w:val="18"/>
          <w:szCs w:val="18"/>
          <w14:ligatures w14:val="standardContextual"/>
        </w:rPr>
        <w:lastRenderedPageBreak/>
        <w:drawing>
          <wp:inline distT="0" distB="0" distL="0" distR="0" wp14:anchorId="43440C36" wp14:editId="24955001">
            <wp:extent cx="5914355" cy="2632841"/>
            <wp:effectExtent l="0" t="0" r="0" b="0"/>
            <wp:docPr id="151321525" name="Picture 15132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52" cstate="print">
                      <a:extLst>
                        <a:ext uri="{28A0092B-C50C-407E-A947-70E740481C1C}">
                          <a14:useLocalDpi xmlns:a14="http://schemas.microsoft.com/office/drawing/2010/main" val="0"/>
                        </a:ext>
                      </a:extLst>
                    </a:blip>
                    <a:srcRect l="17797" t="56348" r="28294" b="989"/>
                    <a:stretch/>
                  </pic:blipFill>
                  <pic:spPr bwMode="auto">
                    <a:xfrm>
                      <a:off x="0" y="0"/>
                      <a:ext cx="5947569" cy="2647627"/>
                    </a:xfrm>
                    <a:prstGeom prst="rect">
                      <a:avLst/>
                    </a:prstGeom>
                    <a:ln>
                      <a:noFill/>
                    </a:ln>
                    <a:extLst>
                      <a:ext uri="{53640926-AAD7-44D8-BBD7-CCE9431645EC}">
                        <a14:shadowObscured xmlns:a14="http://schemas.microsoft.com/office/drawing/2010/main"/>
                      </a:ext>
                    </a:extLst>
                  </pic:spPr>
                </pic:pic>
              </a:graphicData>
            </a:graphic>
          </wp:inline>
        </w:drawing>
      </w:r>
    </w:p>
    <w:p w14:paraId="632ADB58" w14:textId="09FA6DFF" w:rsidR="00836B4D" w:rsidRPr="008F5202" w:rsidRDefault="008B126C" w:rsidP="008F5202">
      <w:pPr>
        <w:pStyle w:val="Caption"/>
        <w:rPr>
          <w:rFonts w:eastAsia="Aptos"/>
          <w:kern w:val="2"/>
          <w:sz w:val="18"/>
          <w14:ligatures w14:val="standardContextual"/>
        </w:rPr>
      </w:pPr>
      <w:bookmarkStart w:id="163" w:name="_Toc177755214"/>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3</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15</w:t>
      </w:r>
      <w:r w:rsidR="003763D2" w:rsidRPr="008F5202">
        <w:fldChar w:fldCharType="end"/>
      </w:r>
      <w:r w:rsidR="00241927" w:rsidRPr="008F5202">
        <w:t xml:space="preserve"> Thermal-hydraulic performance with respect to Reynolds number with heating on (a) both the walls, and (b) single wall considering developing flow conditions</w:t>
      </w:r>
      <w:bookmarkEnd w:id="163"/>
    </w:p>
    <w:p w14:paraId="5A017981" w14:textId="77777777" w:rsidR="00241927" w:rsidRPr="008F5202" w:rsidRDefault="00836B4D" w:rsidP="00A752BA">
      <w:pPr>
        <w:keepNext/>
        <w:spacing w:after="160" w:line="360" w:lineRule="auto"/>
        <w:ind w:firstLine="284"/>
        <w:rPr>
          <w:rFonts w:ascii="Times New Roman" w:hAnsi="Times New Roman" w:cs="Times New Roman"/>
        </w:rPr>
      </w:pPr>
      <w:r w:rsidRPr="008F5202">
        <w:rPr>
          <w:rFonts w:ascii="Times New Roman" w:eastAsia="Aptos" w:hAnsi="Times New Roman" w:cs="Times New Roman"/>
          <w:noProof/>
          <w:kern w:val="2"/>
          <w:sz w:val="18"/>
          <w:szCs w:val="18"/>
          <w14:ligatures w14:val="standardContextual"/>
        </w:rPr>
        <w:drawing>
          <wp:inline distT="0" distB="0" distL="0" distR="0" wp14:anchorId="0F2B0EC8" wp14:editId="01E2CF06">
            <wp:extent cx="2941154" cy="2695575"/>
            <wp:effectExtent l="0" t="0" r="0" b="0"/>
            <wp:docPr id="1674863979" name="Picture 167486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53" cstate="print">
                      <a:extLst>
                        <a:ext uri="{28A0092B-C50C-407E-A947-70E740481C1C}">
                          <a14:useLocalDpi xmlns:a14="http://schemas.microsoft.com/office/drawing/2010/main" val="0"/>
                        </a:ext>
                      </a:extLst>
                    </a:blip>
                    <a:srcRect l="12007" t="24031" r="57225" b="25840"/>
                    <a:stretch/>
                  </pic:blipFill>
                  <pic:spPr bwMode="auto">
                    <a:xfrm>
                      <a:off x="0" y="0"/>
                      <a:ext cx="2960275" cy="2713099"/>
                    </a:xfrm>
                    <a:prstGeom prst="rect">
                      <a:avLst/>
                    </a:prstGeom>
                    <a:ln>
                      <a:noFill/>
                    </a:ln>
                    <a:extLst>
                      <a:ext uri="{53640926-AAD7-44D8-BBD7-CCE9431645EC}">
                        <a14:shadowObscured xmlns:a14="http://schemas.microsoft.com/office/drawing/2010/main"/>
                      </a:ext>
                    </a:extLst>
                  </pic:spPr>
                </pic:pic>
              </a:graphicData>
            </a:graphic>
          </wp:inline>
        </w:drawing>
      </w:r>
    </w:p>
    <w:p w14:paraId="39A1C876" w14:textId="2F2C2EAC" w:rsidR="00836B4D" w:rsidRPr="008F5202" w:rsidRDefault="00241927" w:rsidP="00A752BA">
      <w:pPr>
        <w:spacing w:after="160" w:line="360" w:lineRule="auto"/>
        <w:ind w:firstLine="284"/>
        <w:rPr>
          <w:rFonts w:ascii="Times New Roman" w:hAnsi="Times New Roman" w:cs="Times New Roman"/>
          <w:iCs/>
          <w:color w:val="000000" w:themeColor="text1"/>
          <w:sz w:val="20"/>
          <w:szCs w:val="18"/>
        </w:rPr>
      </w:pPr>
      <w:bookmarkStart w:id="164" w:name="_Toc177755215"/>
      <w:r w:rsidRPr="008F5202">
        <w:rPr>
          <w:rFonts w:ascii="Times New Roman" w:hAnsi="Times New Roman" w:cs="Times New Roman"/>
          <w:iCs/>
          <w:color w:val="000000" w:themeColor="text1"/>
          <w:sz w:val="20"/>
          <w:szCs w:val="18"/>
        </w:rPr>
        <w:t xml:space="preserve">Figure </w:t>
      </w:r>
      <w:r w:rsidR="003763D2" w:rsidRPr="008F5202">
        <w:rPr>
          <w:rFonts w:ascii="Times New Roman" w:hAnsi="Times New Roman" w:cs="Times New Roman"/>
          <w:iCs/>
          <w:color w:val="000000" w:themeColor="text1"/>
          <w:sz w:val="20"/>
          <w:szCs w:val="18"/>
        </w:rPr>
        <w:fldChar w:fldCharType="begin"/>
      </w:r>
      <w:r w:rsidR="003763D2" w:rsidRPr="008F5202">
        <w:rPr>
          <w:rFonts w:ascii="Times New Roman" w:hAnsi="Times New Roman" w:cs="Times New Roman"/>
          <w:iCs/>
          <w:color w:val="000000" w:themeColor="text1"/>
          <w:sz w:val="20"/>
          <w:szCs w:val="18"/>
        </w:rPr>
        <w:instrText xml:space="preserve"> STYLEREF 1 \s </w:instrText>
      </w:r>
      <w:r w:rsidR="003763D2" w:rsidRPr="008F5202">
        <w:rPr>
          <w:rFonts w:ascii="Times New Roman" w:hAnsi="Times New Roman" w:cs="Times New Roman"/>
          <w:iCs/>
          <w:color w:val="000000" w:themeColor="text1"/>
          <w:sz w:val="20"/>
          <w:szCs w:val="18"/>
        </w:rPr>
        <w:fldChar w:fldCharType="separate"/>
      </w:r>
      <w:r w:rsidR="00AF1AFB">
        <w:rPr>
          <w:rFonts w:ascii="Times New Roman" w:hAnsi="Times New Roman" w:cs="Times New Roman"/>
          <w:iCs/>
          <w:noProof/>
          <w:color w:val="000000" w:themeColor="text1"/>
          <w:sz w:val="20"/>
          <w:szCs w:val="18"/>
        </w:rPr>
        <w:t>3</w:t>
      </w:r>
      <w:r w:rsidR="003763D2" w:rsidRPr="008F5202">
        <w:rPr>
          <w:rFonts w:ascii="Times New Roman" w:hAnsi="Times New Roman" w:cs="Times New Roman"/>
          <w:iCs/>
          <w:color w:val="000000" w:themeColor="text1"/>
          <w:sz w:val="20"/>
          <w:szCs w:val="18"/>
        </w:rPr>
        <w:fldChar w:fldCharType="end"/>
      </w:r>
      <w:r w:rsidR="003763D2" w:rsidRPr="008F5202">
        <w:rPr>
          <w:rFonts w:ascii="Times New Roman" w:hAnsi="Times New Roman" w:cs="Times New Roman"/>
          <w:iCs/>
          <w:color w:val="000000" w:themeColor="text1"/>
          <w:sz w:val="20"/>
          <w:szCs w:val="18"/>
        </w:rPr>
        <w:t>.</w:t>
      </w:r>
      <w:r w:rsidR="003763D2" w:rsidRPr="008F5202">
        <w:rPr>
          <w:rFonts w:ascii="Times New Roman" w:hAnsi="Times New Roman" w:cs="Times New Roman"/>
          <w:iCs/>
          <w:color w:val="000000" w:themeColor="text1"/>
          <w:sz w:val="20"/>
          <w:szCs w:val="18"/>
        </w:rPr>
        <w:fldChar w:fldCharType="begin"/>
      </w:r>
      <w:r w:rsidR="003763D2" w:rsidRPr="008F5202">
        <w:rPr>
          <w:rFonts w:ascii="Times New Roman" w:hAnsi="Times New Roman" w:cs="Times New Roman"/>
          <w:iCs/>
          <w:color w:val="000000" w:themeColor="text1"/>
          <w:sz w:val="20"/>
          <w:szCs w:val="18"/>
        </w:rPr>
        <w:instrText xml:space="preserve"> SEQ Figure \* ARABIC \s 1 </w:instrText>
      </w:r>
      <w:r w:rsidR="003763D2" w:rsidRPr="008F5202">
        <w:rPr>
          <w:rFonts w:ascii="Times New Roman" w:hAnsi="Times New Roman" w:cs="Times New Roman"/>
          <w:iCs/>
          <w:color w:val="000000" w:themeColor="text1"/>
          <w:sz w:val="20"/>
          <w:szCs w:val="18"/>
        </w:rPr>
        <w:fldChar w:fldCharType="separate"/>
      </w:r>
      <w:r w:rsidR="00AF1AFB">
        <w:rPr>
          <w:rFonts w:ascii="Times New Roman" w:hAnsi="Times New Roman" w:cs="Times New Roman"/>
          <w:iCs/>
          <w:noProof/>
          <w:color w:val="000000" w:themeColor="text1"/>
          <w:sz w:val="20"/>
          <w:szCs w:val="18"/>
        </w:rPr>
        <w:t>16</w:t>
      </w:r>
      <w:r w:rsidR="003763D2" w:rsidRPr="008F5202">
        <w:rPr>
          <w:rFonts w:ascii="Times New Roman" w:hAnsi="Times New Roman" w:cs="Times New Roman"/>
          <w:iCs/>
          <w:color w:val="000000" w:themeColor="text1"/>
          <w:sz w:val="20"/>
          <w:szCs w:val="18"/>
        </w:rPr>
        <w:fldChar w:fldCharType="end"/>
      </w:r>
      <w:r w:rsidR="00A752BA" w:rsidRPr="008F5202">
        <w:rPr>
          <w:rFonts w:ascii="Times New Roman" w:hAnsi="Times New Roman" w:cs="Times New Roman"/>
          <w:iCs/>
          <w:color w:val="000000" w:themeColor="text1"/>
          <w:sz w:val="20"/>
          <w:szCs w:val="18"/>
        </w:rPr>
        <w:t xml:space="preserve"> Comparison of THPs of the investigated samples with prior publications. Nuntakulamarat et al. </w:t>
      </w:r>
      <w:r w:rsidR="00EA4E2B" w:rsidRPr="008F5202">
        <w:rPr>
          <w:rFonts w:ascii="Times New Roman" w:hAnsi="Times New Roman" w:cs="Times New Roman"/>
          <w:iCs/>
          <w:color w:val="000000" w:themeColor="text1"/>
          <w:sz w:val="20"/>
          <w:szCs w:val="18"/>
        </w:rPr>
        <w:t>[3</w:t>
      </w:r>
      <w:r w:rsidR="007134E8" w:rsidRPr="008F5202">
        <w:rPr>
          <w:rFonts w:ascii="Times New Roman" w:hAnsi="Times New Roman" w:cs="Times New Roman"/>
          <w:iCs/>
          <w:color w:val="000000" w:themeColor="text1"/>
          <w:sz w:val="20"/>
          <w:szCs w:val="18"/>
        </w:rPr>
        <w:t>.</w:t>
      </w:r>
      <w:r w:rsidR="00A752BA" w:rsidRPr="008F5202">
        <w:rPr>
          <w:rFonts w:ascii="Times New Roman" w:hAnsi="Times New Roman" w:cs="Times New Roman"/>
          <w:iCs/>
          <w:color w:val="000000" w:themeColor="text1"/>
          <w:sz w:val="20"/>
          <w:szCs w:val="18"/>
        </w:rPr>
        <w:t xml:space="preserve">39], Rao et al. </w:t>
      </w:r>
      <w:r w:rsidR="00EA4E2B" w:rsidRPr="008F5202">
        <w:rPr>
          <w:rFonts w:ascii="Times New Roman" w:hAnsi="Times New Roman" w:cs="Times New Roman"/>
          <w:iCs/>
          <w:color w:val="000000" w:themeColor="text1"/>
          <w:sz w:val="20"/>
          <w:szCs w:val="18"/>
        </w:rPr>
        <w:t>[3</w:t>
      </w:r>
      <w:r w:rsidR="007134E8" w:rsidRPr="008F5202">
        <w:rPr>
          <w:rFonts w:ascii="Times New Roman" w:hAnsi="Times New Roman" w:cs="Times New Roman"/>
          <w:iCs/>
          <w:color w:val="000000" w:themeColor="text1"/>
          <w:sz w:val="20"/>
          <w:szCs w:val="18"/>
        </w:rPr>
        <w:t>.</w:t>
      </w:r>
      <w:r w:rsidR="00A752BA" w:rsidRPr="008F5202">
        <w:rPr>
          <w:rFonts w:ascii="Times New Roman" w:hAnsi="Times New Roman" w:cs="Times New Roman"/>
          <w:iCs/>
          <w:color w:val="000000" w:themeColor="text1"/>
          <w:sz w:val="20"/>
          <w:szCs w:val="18"/>
        </w:rPr>
        <w:t xml:space="preserve">40], Parbat et al. </w:t>
      </w:r>
      <w:r w:rsidR="00EA4E2B" w:rsidRPr="008F5202">
        <w:rPr>
          <w:rFonts w:ascii="Times New Roman" w:hAnsi="Times New Roman" w:cs="Times New Roman"/>
          <w:iCs/>
          <w:color w:val="000000" w:themeColor="text1"/>
          <w:sz w:val="20"/>
          <w:szCs w:val="18"/>
        </w:rPr>
        <w:t>[3</w:t>
      </w:r>
      <w:r w:rsidR="007134E8" w:rsidRPr="008F5202">
        <w:rPr>
          <w:rFonts w:ascii="Times New Roman" w:hAnsi="Times New Roman" w:cs="Times New Roman"/>
          <w:iCs/>
          <w:color w:val="000000" w:themeColor="text1"/>
          <w:sz w:val="20"/>
          <w:szCs w:val="18"/>
        </w:rPr>
        <w:t>.</w:t>
      </w:r>
      <w:r w:rsidR="00A752BA" w:rsidRPr="008F5202">
        <w:rPr>
          <w:rFonts w:ascii="Times New Roman" w:hAnsi="Times New Roman" w:cs="Times New Roman"/>
          <w:iCs/>
          <w:color w:val="000000" w:themeColor="text1"/>
          <w:sz w:val="20"/>
          <w:szCs w:val="18"/>
        </w:rPr>
        <w:t>13]</w:t>
      </w:r>
      <w:bookmarkEnd w:id="164"/>
    </w:p>
    <w:p w14:paraId="0E943402" w14:textId="7711649F" w:rsidR="00836B4D" w:rsidRPr="008F5202" w:rsidRDefault="00836B4D" w:rsidP="00A752BA">
      <w:pPr>
        <w:spacing w:after="160" w:line="360" w:lineRule="auto"/>
        <w:ind w:firstLine="284"/>
        <w:jc w:val="both"/>
        <w:rPr>
          <w:rFonts w:ascii="Times New Roman" w:eastAsia="Aptos" w:hAnsi="Times New Roman" w:cs="Times New Roman"/>
          <w:kern w:val="2"/>
          <w14:ligatures w14:val="standardContextual"/>
        </w:rPr>
      </w:pPr>
      <w:r w:rsidRPr="008F5202">
        <w:rPr>
          <w:rFonts w:ascii="Times New Roman" w:eastAsia="Aptos" w:hAnsi="Times New Roman" w:cs="Times New Roman"/>
          <w:kern w:val="2"/>
          <w:lang w:val="fr-FR"/>
          <w14:ligatures w14:val="standardContextual"/>
        </w:rPr>
        <w:t xml:space="preserve">Figure </w:t>
      </w:r>
      <w:r w:rsidR="00297625" w:rsidRPr="008F5202">
        <w:rPr>
          <w:rFonts w:ascii="Times New Roman" w:eastAsia="Aptos" w:hAnsi="Times New Roman" w:cs="Times New Roman"/>
          <w:kern w:val="2"/>
          <w:lang w:val="fr-FR"/>
          <w14:ligatures w14:val="standardContextual"/>
        </w:rPr>
        <w:t>3.</w:t>
      </w:r>
      <w:r w:rsidRPr="008F5202">
        <w:rPr>
          <w:rFonts w:ascii="Times New Roman" w:eastAsia="Aptos" w:hAnsi="Times New Roman" w:cs="Times New Roman"/>
          <w:kern w:val="2"/>
          <w:lang w:val="fr-FR"/>
          <w14:ligatures w14:val="standardContextual"/>
        </w:rPr>
        <w:t>16 shows the comparison of THP</w:t>
      </w:r>
      <w:r w:rsidRPr="008F5202">
        <w:rPr>
          <w:rFonts w:ascii="Times New Roman" w:eastAsia="Aptos" w:hAnsi="Times New Roman" w:cs="Times New Roman"/>
          <w:kern w:val="2"/>
          <w:vertAlign w:val="subscript"/>
          <w:lang w:val="fr-FR"/>
          <w14:ligatures w14:val="standardContextual"/>
        </w:rPr>
        <w:t>s</w:t>
      </w:r>
      <w:r w:rsidRPr="008F5202">
        <w:rPr>
          <w:rFonts w:ascii="Times New Roman" w:eastAsia="Aptos" w:hAnsi="Times New Roman" w:cs="Times New Roman"/>
          <w:kern w:val="2"/>
          <w:lang w:val="fr-FR"/>
          <w14:ligatures w14:val="standardContextual"/>
        </w:rPr>
        <w:t xml:space="preserve"> obtained in the present study with that of the pin-fin and lattice configurations from prior publications. </w:t>
      </w:r>
      <w:r w:rsidRPr="008F5202">
        <w:rPr>
          <w:rFonts w:ascii="Times New Roman" w:eastAsia="Aptos" w:hAnsi="Times New Roman" w:cs="Times New Roman"/>
          <w:kern w:val="2"/>
          <w14:ligatures w14:val="standardContextual"/>
        </w:rPr>
        <w:t xml:space="preserve">The values of the current study are presented in black markers. Nuntakulamarat et al. </w:t>
      </w:r>
      <w:r w:rsidR="00EA4E2B" w:rsidRPr="008F5202">
        <w:rPr>
          <w:rFonts w:ascii="Times New Roman" w:eastAsia="Aptos" w:hAnsi="Times New Roman" w:cs="Times New Roman"/>
          <w:kern w:val="2"/>
          <w14:ligatures w14:val="standardContextual"/>
        </w:rPr>
        <w:t>[3</w:t>
      </w:r>
      <w:r w:rsidR="007134E8"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kern w:val="2"/>
          <w14:ligatures w14:val="standardContextual"/>
        </w:rPr>
        <w:t xml:space="preserve">39] investigated circular copper </w:t>
      </w:r>
      <w:r w:rsidRPr="008F5202">
        <w:rPr>
          <w:rFonts w:ascii="Times New Roman" w:eastAsia="Aptos" w:hAnsi="Times New Roman" w:cs="Times New Roman"/>
          <w:kern w:val="2"/>
          <w14:ligatures w14:val="standardContextual"/>
        </w:rPr>
        <w:lastRenderedPageBreak/>
        <w:t xml:space="preserve">pin fins with height-to-diameter (H/D) ratio of 2.4, streamwise spacing (X/D) of 2, and spanwise spacing (S/D) of 4. Rao et al. </w:t>
      </w:r>
      <w:r w:rsidR="00EA4E2B"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kern w:val="2"/>
          <w14:ligatures w14:val="standardContextual"/>
        </w:rPr>
        <w:t>40] investigated stainless steel pin-fins having H/D = 1.0, X/D = S/D = 2.5. The lattices in the current investigation provide competing THP</w:t>
      </w:r>
      <w:r w:rsidRPr="008F5202">
        <w:rPr>
          <w:rFonts w:ascii="Times New Roman" w:eastAsia="Aptos" w:hAnsi="Times New Roman" w:cs="Times New Roman"/>
          <w:kern w:val="2"/>
          <w:vertAlign w:val="subscript"/>
          <w14:ligatures w14:val="standardContextual"/>
        </w:rPr>
        <w:t xml:space="preserve">s </w:t>
      </w:r>
      <w:r w:rsidRPr="008F5202">
        <w:rPr>
          <w:rFonts w:ascii="Times New Roman" w:eastAsia="Aptos" w:hAnsi="Times New Roman" w:cs="Times New Roman"/>
          <w:kern w:val="2"/>
          <w14:ligatures w14:val="standardContextual"/>
        </w:rPr>
        <w:t xml:space="preserve">with respect to popular pin-fin configurations while yielding 5-10 times higher heat transfer augmentation with respect to smooth channel. The plot also shows data from Parbat et al. </w:t>
      </w:r>
      <w:r w:rsidR="00EA4E2B"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Pr="008F5202">
        <w:rPr>
          <w:rFonts w:ascii="Times New Roman" w:eastAsia="Aptos" w:hAnsi="Times New Roman" w:cs="Times New Roman"/>
          <w:kern w:val="2"/>
          <w14:ligatures w14:val="standardContextual"/>
        </w:rPr>
        <w:t>13] who investigated additively manufactured Kagome lattice having unit cell height of 2.54 mm and streamwise length of 38.1 mm for turbine blade cooling applications. The THP</w:t>
      </w:r>
      <w:r w:rsidRPr="008F5202">
        <w:rPr>
          <w:rFonts w:ascii="Times New Roman" w:eastAsia="Aptos" w:hAnsi="Times New Roman" w:cs="Times New Roman"/>
          <w:kern w:val="2"/>
          <w:vertAlign w:val="subscript"/>
          <w14:ligatures w14:val="standardContextual"/>
        </w:rPr>
        <w:t xml:space="preserve">s </w:t>
      </w:r>
      <w:r w:rsidRPr="008F5202">
        <w:rPr>
          <w:rFonts w:ascii="Times New Roman" w:eastAsia="Aptos" w:hAnsi="Times New Roman" w:cs="Times New Roman"/>
          <w:kern w:val="2"/>
          <w14:ligatures w14:val="standardContextual"/>
        </w:rPr>
        <w:t xml:space="preserve">of the current lattices provided better overall performance than Kagome lattice. Octet with porosities between 0.80 – 0.85 can prove to be very beneficial from thermo-mechanical point of view for turbine-blade cooling configurations. Octet with porosity 0.823 can be considered the most promising choice for obtaining the required thermo-mechanical properties amongst all the investigated topologies. </w:t>
      </w:r>
    </w:p>
    <w:p w14:paraId="669BDBBC" w14:textId="10C1F691" w:rsidR="00836B4D" w:rsidRPr="008F5202" w:rsidRDefault="00836B4D" w:rsidP="00A752BA">
      <w:pPr>
        <w:pStyle w:val="Heading2"/>
        <w:rPr>
          <w:rFonts w:eastAsia="Aptos"/>
        </w:rPr>
      </w:pPr>
      <w:bookmarkStart w:id="165" w:name="_Toc177758170"/>
      <w:bookmarkEnd w:id="162"/>
      <w:r w:rsidRPr="008F5202">
        <w:rPr>
          <w:rFonts w:eastAsia="Aptos"/>
        </w:rPr>
        <w:t>Conclusions</w:t>
      </w:r>
      <w:bookmarkEnd w:id="165"/>
    </w:p>
    <w:p w14:paraId="04499F2E" w14:textId="77777777" w:rsidR="00836B4D" w:rsidRPr="008F5202" w:rsidRDefault="00836B4D" w:rsidP="00A752BA">
      <w:pPr>
        <w:spacing w:after="160" w:line="360" w:lineRule="auto"/>
        <w:ind w:firstLine="284"/>
        <w:jc w:val="both"/>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 xml:space="preserve">Experimental investigation was performed on sandwich-type single-cell thick lattices of four different unit cell topologies, viz. (a) Octet, (b) TKD, (c) FD-cube, and (d) Cube having intended design porosity of 0.886 and unit cell size of 10 mm built through Binder Jetting technology in 420 Stainless Steel infiltrated with Bronze. The thermal-hydraulic performances of these lattices were reported for a wide range of engine-representative Reynolds numbers. The thermal performance of these lattices was tested under two different heating conditions: (a) when both the upper and bottom walls were heated, and (b) only bottom wall was heated, over a wide range of mass flow rates. The in-house porosity measurements showed significant deviations from the intended design, especially for Octet topology, which had to be considered to interpret the relative performance characteristics of these topologies. A trial-and-error process was followed to obtain the porosity of Octet sample closer to the remaining three topologies to allow direct comparison of their heat transfer and flow performances. The CT-scan images of the fabricated samples revealed significant roughness on the surfaces of endwalls and fibers along with zones of missing solid material on the fibers. The computations validated with </w:t>
      </w:r>
      <w:r w:rsidRPr="008F5202">
        <w:rPr>
          <w:rFonts w:ascii="Times New Roman" w:eastAsia="Aptos" w:hAnsi="Times New Roman" w:cs="Times New Roman"/>
          <w:kern w:val="2"/>
          <w14:ligatures w14:val="standardContextual"/>
        </w:rPr>
        <w:lastRenderedPageBreak/>
        <w:t xml:space="preserve">in-house experiments showed that the effective thermal conductivity of the investigated samples was independent of considered topologies.  </w:t>
      </w:r>
    </w:p>
    <w:p w14:paraId="176C600F" w14:textId="77777777" w:rsidR="00836B4D" w:rsidRPr="008F5202" w:rsidRDefault="00836B4D" w:rsidP="00A752BA">
      <w:pPr>
        <w:spacing w:after="160" w:line="360" w:lineRule="auto"/>
        <w:ind w:firstLine="284"/>
        <w:jc w:val="both"/>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 xml:space="preserve">The relative trends of heat transfer coefficient, pressure gradient, Nusselt number and friction factor enhancement over the smooth channel, pumping power requirements and overall thermal-hydraulic performance were compared for the manufactured lattices having fair agreement of the porosity values. For thermal exchange, FD-cube yielded the highest heat transfer performance, however at a larger pressure drop. Heat transfer performance of revised Octet, TKD, and Cube were comparable, especially at the higher Reynolds numbers. However, pressure gradient yielded by Octet was the second highest after FD-cube, followed by TKD and Cube, respectively. Due to significantly lower pressure drop values, the simplest topology of Cube had the highest heat transfer performance at any given pumping power condition. It also exhibited the highest overall thermal-hydraulic performance value of 2.78 at the lowest representative Reynolds number for both-wall heating configuration. </w:t>
      </w:r>
    </w:p>
    <w:p w14:paraId="33ADE9B4" w14:textId="77777777" w:rsidR="00836B4D" w:rsidRPr="008F5202" w:rsidRDefault="00836B4D" w:rsidP="00A752BA">
      <w:pPr>
        <w:spacing w:line="360" w:lineRule="auto"/>
        <w:rPr>
          <w:rFonts w:ascii="Times New Roman" w:hAnsi="Times New Roman" w:cs="Times New Roman"/>
          <w:kern w:val="2"/>
          <w:sz w:val="18"/>
          <w:szCs w:val="18"/>
          <w14:ligatures w14:val="standardContextual"/>
        </w:rPr>
      </w:pPr>
    </w:p>
    <w:p w14:paraId="31EB7875" w14:textId="77777777" w:rsidR="00836B4D" w:rsidRPr="008F5202" w:rsidRDefault="00836B4D" w:rsidP="00A752BA">
      <w:pPr>
        <w:pStyle w:val="Heading2"/>
        <w:rPr>
          <w:rFonts w:eastAsia="Aptos"/>
        </w:rPr>
      </w:pPr>
      <w:bookmarkStart w:id="166" w:name="_Toc177758171"/>
      <w:r w:rsidRPr="008F5202">
        <w:rPr>
          <w:rFonts w:eastAsia="Aptos"/>
        </w:rPr>
        <w:t>References</w:t>
      </w:r>
      <w:bookmarkEnd w:id="166"/>
    </w:p>
    <w:p w14:paraId="3178E0B8" w14:textId="21FDEAE7"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1]</w:t>
      </w:r>
      <w:r w:rsidR="00836B4D" w:rsidRPr="008F5202">
        <w:rPr>
          <w:rFonts w:ascii="Times New Roman" w:eastAsia="Aptos" w:hAnsi="Times New Roman" w:cs="Times New Roman"/>
          <w:kern w:val="2"/>
          <w14:ligatures w14:val="standardContextual"/>
        </w:rPr>
        <w:tab/>
        <w:t>J.C. Han, A.P. Rallabandi, Turbine Blade Film Cooling Using PSP Technique, Frontiers in Heat and Mass Transfer. 1 (2010). https://doi.org/10.5098/hmt.v1.1.3001.</w:t>
      </w:r>
    </w:p>
    <w:p w14:paraId="0551BFE0" w14:textId="3D517CC9"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2]</w:t>
      </w:r>
      <w:r w:rsidR="00836B4D" w:rsidRPr="008F5202">
        <w:rPr>
          <w:rFonts w:ascii="Times New Roman" w:eastAsia="Aptos" w:hAnsi="Times New Roman" w:cs="Times New Roman"/>
          <w:kern w:val="2"/>
          <w14:ligatures w14:val="standardContextual"/>
        </w:rPr>
        <w:tab/>
        <w:t>P.M. Ligrani, M.M. Oliveira, T. Blaskovich, Comparison of heat transfer augmentation techniques, AIAA Journal. (2003). https://doi.org/10.2514/2.1964.</w:t>
      </w:r>
    </w:p>
    <w:p w14:paraId="2C3A9D5D" w14:textId="2D1A5258"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3]</w:t>
      </w:r>
      <w:r w:rsidR="00836B4D" w:rsidRPr="008F5202">
        <w:rPr>
          <w:rFonts w:ascii="Times New Roman" w:eastAsia="Aptos" w:hAnsi="Times New Roman" w:cs="Times New Roman"/>
          <w:kern w:val="2"/>
          <w14:ligatures w14:val="standardContextual"/>
        </w:rPr>
        <w:tab/>
        <w:t>R.S. Bunker, Innovative gas turbine cooling techniques, in: 2008: pp. 199–229. https://doi.org/10.2495/978-1-84564-062-0/07.</w:t>
      </w:r>
    </w:p>
    <w:p w14:paraId="5FB3B9F9" w14:textId="55205568"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4]</w:t>
      </w:r>
      <w:r w:rsidR="00836B4D" w:rsidRPr="008F5202">
        <w:rPr>
          <w:rFonts w:ascii="Times New Roman" w:eastAsia="Aptos" w:hAnsi="Times New Roman" w:cs="Times New Roman"/>
          <w:kern w:val="2"/>
          <w14:ligatures w14:val="standardContextual"/>
        </w:rPr>
        <w:tab/>
        <w:t>K. Saha, S. Acharya, C. Nakamata, Heat Transfer Enhancement and Thermal Performance of Lattice Structures for Internal Cooling of Airfoil Trailing Edges, Journal of Thermal Science and Engineering Applications. (2013). https://doi.org/10.1115/1.4007277.</w:t>
      </w:r>
    </w:p>
    <w:p w14:paraId="0CF26059" w14:textId="503011BD"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lastRenderedPageBreak/>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5]</w:t>
      </w:r>
      <w:r w:rsidR="00836B4D" w:rsidRPr="008F5202">
        <w:rPr>
          <w:rFonts w:ascii="Times New Roman" w:eastAsia="Aptos" w:hAnsi="Times New Roman" w:cs="Times New Roman"/>
          <w:kern w:val="2"/>
          <w14:ligatures w14:val="standardContextual"/>
        </w:rPr>
        <w:tab/>
        <w:t>S. Acharya, F. Zhou, J. Lagrone, G. Mahmood, R.S. Bunker, Latticework (Vortex) cooling effectiveness: Rotating channel experiments, Journal of Turbomachinery. 127 (2005) 471–478. https://doi.org/10.1115/1.1860381.</w:t>
      </w:r>
    </w:p>
    <w:p w14:paraId="4966F678" w14:textId="38DB7EAB"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6]</w:t>
      </w:r>
      <w:r w:rsidR="00836B4D" w:rsidRPr="008F5202">
        <w:rPr>
          <w:rFonts w:ascii="Times New Roman" w:eastAsia="Aptos" w:hAnsi="Times New Roman" w:cs="Times New Roman"/>
          <w:kern w:val="2"/>
          <w14:ligatures w14:val="standardContextual"/>
        </w:rPr>
        <w:tab/>
        <w:t>I.T. Oh, K.M. Kim, D.H. Lee, J.S. Park, H.H. Cho, Local heat/mass transfer and friction loss measurement in a rotating matrix cooling channel, in: Proceedings of the ASME Turbo Expo, 2009: pp. 773–782. https://doi.org/10.1115/GT2009-59873.</w:t>
      </w:r>
    </w:p>
    <w:p w14:paraId="0E0A4605" w14:textId="62327E61"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7]</w:t>
      </w:r>
      <w:r w:rsidR="00836B4D" w:rsidRPr="008F5202">
        <w:rPr>
          <w:rFonts w:ascii="Times New Roman" w:eastAsia="Aptos" w:hAnsi="Times New Roman" w:cs="Times New Roman"/>
          <w:kern w:val="2"/>
          <w14:ligatures w14:val="standardContextual"/>
        </w:rPr>
        <w:tab/>
        <w:t>T. Tsuru, K. Ishida, J. Fujita, K. Takeishi, Three-dimensional visualization of flow characteristics using a magnetic resonance imaging in a lattice cooling channel, Journal of Turbomachinery. 141 (2019). https://doi.org/10.1115/1.4041908.</w:t>
      </w:r>
    </w:p>
    <w:p w14:paraId="3B2CDAED" w14:textId="6B2B4A39"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8]</w:t>
      </w:r>
      <w:r w:rsidR="00836B4D" w:rsidRPr="008F5202">
        <w:rPr>
          <w:rFonts w:ascii="Times New Roman" w:eastAsia="Aptos" w:hAnsi="Times New Roman" w:cs="Times New Roman"/>
          <w:kern w:val="2"/>
          <w14:ligatures w14:val="standardContextual"/>
        </w:rPr>
        <w:tab/>
        <w:t>S. Bu, L. Yang, H. Qiu, Y. Luan, H. Sun, Effect of sidewall slots and pin fins on the performance of latticework cooling channel for turbine blades, Applied Thermal Engineering. 117 (2017) 275–288. https://doi.org/10.1016/j.applthermaleng.2017.01.110.</w:t>
      </w:r>
    </w:p>
    <w:p w14:paraId="42D776E9" w14:textId="73468D99"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9]</w:t>
      </w:r>
      <w:r w:rsidR="00836B4D" w:rsidRPr="008F5202">
        <w:rPr>
          <w:rFonts w:ascii="Times New Roman" w:eastAsia="Aptos" w:hAnsi="Times New Roman" w:cs="Times New Roman"/>
          <w:kern w:val="2"/>
          <w14:ligatures w14:val="standardContextual"/>
        </w:rPr>
        <w:tab/>
        <w:t>W. Du, L. Luo, S. Wang, J. Liu, B. Sunden, Heat transfer and flow structure in a detached latticework duct, Applied Thermal Engineering. 155 (2019) 24–39. https://doi.org/10.1016/j.applthermaleng.2019.03.148.</w:t>
      </w:r>
    </w:p>
    <w:p w14:paraId="5EF9A70D" w14:textId="16AD4CBD"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10]</w:t>
      </w:r>
      <w:r w:rsidR="00836B4D" w:rsidRPr="008F5202">
        <w:rPr>
          <w:rFonts w:ascii="Times New Roman" w:eastAsia="Aptos" w:hAnsi="Times New Roman" w:cs="Times New Roman"/>
          <w:kern w:val="2"/>
          <w14:ligatures w14:val="standardContextual"/>
        </w:rPr>
        <w:tab/>
        <w:t>J. Luo, Y. Rao, L. Yang, M. Yang, H. Su, Computational analysis of turbulent flow and heat transfer in latticework cooling structures under various flow configurations, International Journal of Thermal Sciences. 164 (2021). https://doi.org/10.1016/j.ijthermalsci.2021.106912.</w:t>
      </w:r>
    </w:p>
    <w:p w14:paraId="2A8A98D5" w14:textId="01BC7965"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11]</w:t>
      </w:r>
      <w:r w:rsidR="00836B4D" w:rsidRPr="008F5202">
        <w:rPr>
          <w:rFonts w:ascii="Times New Roman" w:eastAsia="Aptos" w:hAnsi="Times New Roman" w:cs="Times New Roman"/>
          <w:kern w:val="2"/>
          <w14:ligatures w14:val="standardContextual"/>
        </w:rPr>
        <w:tab/>
        <w:t>C. Carcasci, B. Facchini, M. Pievaroli, L. Tarchi, A. Ceccherini, L. Innocenti, Heat transfer and pressure loss measurements of matrix cooling geometries for gas turbine airfoils, in: Proceedings of the ASME Turbo Expo, 2014. https://doi.org/10.1115/GT2014-25384.</w:t>
      </w:r>
    </w:p>
    <w:p w14:paraId="2215E791" w14:textId="5C1966C4"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12]</w:t>
      </w:r>
      <w:r w:rsidR="00836B4D" w:rsidRPr="008F5202">
        <w:rPr>
          <w:rFonts w:ascii="Times New Roman" w:eastAsia="Aptos" w:hAnsi="Times New Roman" w:cs="Times New Roman"/>
          <w:kern w:val="2"/>
          <w14:ligatures w14:val="standardContextual"/>
        </w:rPr>
        <w:tab/>
        <w:t>B. Shen, Y. Li, H. Yan, S.K.S. Boetcher, G. Xie, Heat transfer enhancement of wedge-shaped channels by replacing pin fins with Kagome lattice structures, International Journal of Heat and Mass Transfer. 141 (2019) 88–101. https://doi.org/10.1016/j.ijheatmasstransfer.2019.06.059.</w:t>
      </w:r>
    </w:p>
    <w:p w14:paraId="3D616464" w14:textId="676AEA8E"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lastRenderedPageBreak/>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13]</w:t>
      </w:r>
      <w:r w:rsidR="00836B4D" w:rsidRPr="008F5202">
        <w:rPr>
          <w:rFonts w:ascii="Times New Roman" w:eastAsia="Aptos" w:hAnsi="Times New Roman" w:cs="Times New Roman"/>
          <w:kern w:val="2"/>
          <w14:ligatures w14:val="standardContextual"/>
        </w:rPr>
        <w:tab/>
        <w:t>S. Parbat, Z. Min, L. Yang, M. Chyu, Experimental and numerical analysis of additively manufactured inconel 718 coupons with lattice structure, Journal of Turbomachinery. (2020). https://doi.org/10.1115/1.4046527.</w:t>
      </w:r>
    </w:p>
    <w:p w14:paraId="5C552B71" w14:textId="42391A72"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14]</w:t>
      </w:r>
      <w:r w:rsidR="00836B4D" w:rsidRPr="008F5202">
        <w:rPr>
          <w:rFonts w:ascii="Times New Roman" w:eastAsia="Aptos" w:hAnsi="Times New Roman" w:cs="Times New Roman"/>
          <w:kern w:val="2"/>
          <w14:ligatures w14:val="standardContextual"/>
        </w:rPr>
        <w:tab/>
        <w:t>A. Chaudhari, P. Ekade, S. Krishnan, Experimental investigation of heat transfer and fluid flow in octet-truss lattice geometry, International Journal of Thermal Sciences. (2019). https://doi.org/10.1016/j.ijthermalsci.2019.05.003.</w:t>
      </w:r>
    </w:p>
    <w:p w14:paraId="4A706318" w14:textId="74CDDCE4"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15]</w:t>
      </w:r>
      <w:r w:rsidR="00836B4D" w:rsidRPr="008F5202">
        <w:rPr>
          <w:rFonts w:ascii="Times New Roman" w:eastAsia="Aptos" w:hAnsi="Times New Roman" w:cs="Times New Roman"/>
          <w:kern w:val="2"/>
          <w14:ligatures w14:val="standardContextual"/>
        </w:rPr>
        <w:tab/>
        <w:t>D. Liang, W. Bai, W. Chen, M.K. Chyu, Investigating the effect of element shape of the face-centered cubic lattice structure on the flow and endwall heat transfer characteristics in a rectangular channel, International Journal of Heat and Mass Transfer. (2020). https://doi.org/10.1016/j.ijheatmasstransfer.2020.119579.</w:t>
      </w:r>
    </w:p>
    <w:p w14:paraId="54966FC7" w14:textId="51CE3200"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16]</w:t>
      </w:r>
      <w:r w:rsidR="00836B4D" w:rsidRPr="008F5202">
        <w:rPr>
          <w:rFonts w:ascii="Times New Roman" w:eastAsia="Aptos" w:hAnsi="Times New Roman" w:cs="Times New Roman"/>
          <w:kern w:val="2"/>
          <w14:ligatures w14:val="standardContextual"/>
        </w:rPr>
        <w:tab/>
        <w:t>J. Broughton, Y.K. Joshi, Comparison of single-phase convection in additive manufactured versus traditional metal foams, Journal of Heat Transfer. (2020). https://doi.org/10.1115/1.4046972Y.</w:t>
      </w:r>
    </w:p>
    <w:p w14:paraId="2A4AF9E3" w14:textId="1930D40D"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17]</w:t>
      </w:r>
      <w:r w:rsidR="00836B4D" w:rsidRPr="008F5202">
        <w:rPr>
          <w:rFonts w:ascii="Times New Roman" w:eastAsia="Aptos" w:hAnsi="Times New Roman" w:cs="Times New Roman"/>
          <w:kern w:val="2"/>
          <w14:ligatures w14:val="standardContextual"/>
        </w:rPr>
        <w:tab/>
        <w:t>J.Y. Ho, K.C. Leong, T.N. Wong, Additively-manufactured metallic porous lattice heat exchangers for air-side heat transfer enhancement, International Journal of Heat and Mass Transfer. (2020). https://doi.org/10.1016/j.ijheatmasstransfer.2019.119262.</w:t>
      </w:r>
    </w:p>
    <w:p w14:paraId="19615614" w14:textId="1BDF7876"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18]</w:t>
      </w:r>
      <w:r w:rsidR="00836B4D" w:rsidRPr="008F5202">
        <w:rPr>
          <w:rFonts w:ascii="Times New Roman" w:eastAsia="Aptos" w:hAnsi="Times New Roman" w:cs="Times New Roman"/>
          <w:kern w:val="2"/>
          <w14:ligatures w14:val="standardContextual"/>
        </w:rPr>
        <w:tab/>
        <w:t>K.K. Wong, K.C. Leong, Saturated pool boiling enhancement using porous lattice structures produced by Selective Laser Melting, International Journal of Heat and Mass Transfer. (2018). https://doi.org/10.1016/j.ijheatmasstransfer.2017.12.148.</w:t>
      </w:r>
    </w:p>
    <w:p w14:paraId="46300439" w14:textId="5EE7D1B1"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19]</w:t>
      </w:r>
      <w:r w:rsidR="00836B4D" w:rsidRPr="008F5202">
        <w:rPr>
          <w:rFonts w:ascii="Times New Roman" w:eastAsia="Aptos" w:hAnsi="Times New Roman" w:cs="Times New Roman"/>
          <w:kern w:val="2"/>
          <w14:ligatures w14:val="standardContextual"/>
        </w:rPr>
        <w:tab/>
        <w:t>H. Montazerian, M. Zhianmanesh, E. Davoodi, A.S. Milani, M. Hoorfar, Longitudinal and radial permeability analysis of additively manufactured porous scaffolds: Effect of pore shape and porosity, Materials and Design. (2017). https://doi.org/10.1016/j.matdes.2017.03.006.</w:t>
      </w:r>
    </w:p>
    <w:p w14:paraId="3B1ED912" w14:textId="6A1282B0"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20]</w:t>
      </w:r>
      <w:r w:rsidR="00836B4D" w:rsidRPr="008F5202">
        <w:rPr>
          <w:rFonts w:ascii="Times New Roman" w:eastAsia="Aptos" w:hAnsi="Times New Roman" w:cs="Times New Roman"/>
          <w:kern w:val="2"/>
          <w14:ligatures w14:val="standardContextual"/>
        </w:rPr>
        <w:tab/>
        <w:t>Y. Du, H. Liang, D. Xie, N. Mao, J. Zhao, Z. Tian, C. Wang, L. Shen, Finite element analysis of mechanical behavior, permeability of irregular porous scaffolds and lattice-based porous scaffolds, Materials Research Express. 6 (2019). https://doi.org/10.1088/2053-1591/ab3ac1.</w:t>
      </w:r>
    </w:p>
    <w:p w14:paraId="297A63A1" w14:textId="3C3161A7"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21]</w:t>
      </w:r>
      <w:r w:rsidR="00836B4D" w:rsidRPr="008F5202">
        <w:rPr>
          <w:rFonts w:ascii="Times New Roman" w:eastAsia="Aptos" w:hAnsi="Times New Roman" w:cs="Times New Roman"/>
          <w:kern w:val="2"/>
          <w14:ligatures w14:val="standardContextual"/>
        </w:rPr>
        <w:tab/>
        <w:t xml:space="preserve">A. Timercan, V. Sheremetyev, V. Brailovski, Mechanical properties and fluid permeability of gyroid and diamond lattice structures for intervertebral devices: functional requirements and comparative analysis, Science and Technology of </w:t>
      </w:r>
      <w:r w:rsidR="00836B4D" w:rsidRPr="008F5202">
        <w:rPr>
          <w:rFonts w:ascii="Times New Roman" w:eastAsia="Aptos" w:hAnsi="Times New Roman" w:cs="Times New Roman"/>
          <w:kern w:val="2"/>
          <w14:ligatures w14:val="standardContextual"/>
        </w:rPr>
        <w:lastRenderedPageBreak/>
        <w:t>Advanced Materials. 22 (2021) 285–300. https://doi.org/10.1080/14686996.2021.1907222.</w:t>
      </w:r>
    </w:p>
    <w:p w14:paraId="574CD407" w14:textId="2EFA8516"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22]</w:t>
      </w:r>
      <w:r w:rsidR="00836B4D" w:rsidRPr="008F5202">
        <w:rPr>
          <w:rFonts w:ascii="Times New Roman" w:eastAsia="Aptos" w:hAnsi="Times New Roman" w:cs="Times New Roman"/>
          <w:kern w:val="2"/>
          <w14:ligatures w14:val="standardContextual"/>
        </w:rPr>
        <w:tab/>
        <w:t>D. Ali, S. Sen, Finite element analysis of mechanical behavior, permeability and fluid induced wall shear stress of high porosity scaffolds with gyroid and lattice-based architectures, Journal of the Mechanical Behavior of Biomedical Materials. (2017). https://doi.org/10.1016/j.jmbbm.2017.07.035.</w:t>
      </w:r>
    </w:p>
    <w:p w14:paraId="396F07C1" w14:textId="678E197F"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23]</w:t>
      </w:r>
      <w:r w:rsidR="00836B4D" w:rsidRPr="008F5202">
        <w:rPr>
          <w:rFonts w:ascii="Times New Roman" w:eastAsia="Aptos" w:hAnsi="Times New Roman" w:cs="Times New Roman"/>
          <w:kern w:val="2"/>
          <w14:ligatures w14:val="standardContextual"/>
        </w:rPr>
        <w:tab/>
        <w:t>I. Kaur, P. Singh, Flow and Thermal Transport Through Unit Cell Topologies of Cubic and Octahedron Families, International Journal of Heat and Mass Transfer. 158 (2020). https://doi.org/10.1016/j.ijheatmasstransfer.2020.119784.</w:t>
      </w:r>
    </w:p>
    <w:p w14:paraId="73895093" w14:textId="1338B832"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24]</w:t>
      </w:r>
      <w:r w:rsidR="00836B4D" w:rsidRPr="008F5202">
        <w:rPr>
          <w:rFonts w:ascii="Times New Roman" w:eastAsia="Aptos" w:hAnsi="Times New Roman" w:cs="Times New Roman"/>
          <w:kern w:val="2"/>
          <w14:ligatures w14:val="standardContextual"/>
        </w:rPr>
        <w:tab/>
        <w:t>M. Iasiello, S. Cunsolo, M. Oliviero, W.M. Harris, N. Bianco, W.K.S. Chiu, V. Naso, Numerical analysis of heat transfer and pressure drop in metal foams for different morphological models, Journal of Heat Transfer. (2014). https://doi.org/10.1115/1.4028113.</w:t>
      </w:r>
    </w:p>
    <w:p w14:paraId="75E512F5" w14:textId="332F8713"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25]</w:t>
      </w:r>
      <w:r w:rsidR="00836B4D" w:rsidRPr="008F5202">
        <w:rPr>
          <w:rFonts w:ascii="Times New Roman" w:eastAsia="Aptos" w:hAnsi="Times New Roman" w:cs="Times New Roman"/>
          <w:kern w:val="2"/>
          <w14:ligatures w14:val="standardContextual"/>
        </w:rPr>
        <w:tab/>
        <w:t>I. Kaur, P. Singh, Numerical investigation on conjugate heat transfer in octet-shape-based single unit cell thick metal foam, International Communications in Heat and Mass Transfer. 121 (2021) 105090. https://doi.org/10.1016/j.icheatmasstransfer.2020.105090.</w:t>
      </w:r>
    </w:p>
    <w:p w14:paraId="70152F12" w14:textId="42F1D9F5"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26]</w:t>
      </w:r>
      <w:r w:rsidR="00836B4D" w:rsidRPr="008F5202">
        <w:rPr>
          <w:rFonts w:ascii="Times New Roman" w:eastAsia="Aptos" w:hAnsi="Times New Roman" w:cs="Times New Roman"/>
          <w:kern w:val="2"/>
          <w14:ligatures w14:val="standardContextual"/>
        </w:rPr>
        <w:tab/>
        <w:t>I. Kaur, P. Singh, Endwall heat transfer characteristics of octahedron family lattice-frame materials, International Communications in Heat and Mass Transfer. 127 (2021) 105522. https://doi.org/10.1016/j.icheatmasstransfer.2021.105522.</w:t>
      </w:r>
    </w:p>
    <w:p w14:paraId="77BBBF4B" w14:textId="5E1C64D1"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27]</w:t>
      </w:r>
      <w:r w:rsidR="00836B4D" w:rsidRPr="008F5202">
        <w:rPr>
          <w:rFonts w:ascii="Times New Roman" w:eastAsia="Aptos" w:hAnsi="Times New Roman" w:cs="Times New Roman"/>
          <w:kern w:val="2"/>
          <w14:ligatures w14:val="standardContextual"/>
        </w:rPr>
        <w:tab/>
        <w:t>Y. Aider, I. Kaur, H. Cho, P. Singh, Periodic heat transfer characteristics of additively manufactured lattices, International Journal of Heat and Mass Transfer. 189 (2022) 122692. https://doi.org/10.1016/j.ijheatmasstransfer.2022.122692.</w:t>
      </w:r>
    </w:p>
    <w:p w14:paraId="78A6A6E4" w14:textId="015F953B"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28]</w:t>
      </w:r>
      <w:r w:rsidR="00836B4D" w:rsidRPr="008F5202">
        <w:rPr>
          <w:rFonts w:ascii="Times New Roman" w:eastAsia="Aptos" w:hAnsi="Times New Roman" w:cs="Times New Roman"/>
          <w:kern w:val="2"/>
          <w14:ligatures w14:val="standardContextual"/>
        </w:rPr>
        <w:tab/>
        <w:t>I. Kaur, P. Singh, Direct Pore-Scale Simulations of Fully Periodic Unit Cells of Different Regular Lattices, Journal of Heat Transfer. 144 (2022) 022702. https://doi.org/10.1115/1.4053204.</w:t>
      </w:r>
    </w:p>
    <w:p w14:paraId="2C5D6267" w14:textId="71D7317A"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29]</w:t>
      </w:r>
      <w:r w:rsidR="00836B4D" w:rsidRPr="008F5202">
        <w:rPr>
          <w:rFonts w:ascii="Times New Roman" w:eastAsia="Aptos" w:hAnsi="Times New Roman" w:cs="Times New Roman"/>
          <w:kern w:val="2"/>
          <w14:ligatures w14:val="standardContextual"/>
        </w:rPr>
        <w:tab/>
        <w:t>I. Kaur, P. Singh, State-of-the-art in heat exchanger additive manufacturing, International Journal of Heat and Mass Transfer. 178 (2021) 121600. https://doi.org/10.1016/j.ijheatmasstransfer.2021.121600.</w:t>
      </w:r>
    </w:p>
    <w:p w14:paraId="1594E0B6" w14:textId="6B225DE9"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lastRenderedPageBreak/>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30]</w:t>
      </w:r>
      <w:r w:rsidR="00836B4D" w:rsidRPr="008F5202">
        <w:rPr>
          <w:rFonts w:ascii="Times New Roman" w:eastAsia="Aptos" w:hAnsi="Times New Roman" w:cs="Times New Roman"/>
          <w:kern w:val="2"/>
          <w14:ligatures w14:val="standardContextual"/>
        </w:rPr>
        <w:tab/>
        <w:t>C.K. Stimpson, J.C. Snyder, K.A. Thole, D. Mongillo, Effectiveness measurements of additively manufactured film cooling holes, Journal of Turbomachinery. (2018). https://doi.org/10.1115/1.4038182.</w:t>
      </w:r>
    </w:p>
    <w:p w14:paraId="0B7D710D" w14:textId="730D362B"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31]</w:t>
      </w:r>
      <w:r w:rsidR="00836B4D" w:rsidRPr="008F5202">
        <w:rPr>
          <w:rFonts w:ascii="Times New Roman" w:eastAsia="Aptos" w:hAnsi="Times New Roman" w:cs="Times New Roman"/>
          <w:kern w:val="2"/>
          <w14:ligatures w14:val="standardContextual"/>
        </w:rPr>
        <w:tab/>
        <w:t>C.K. Stimpson, J.C. Snyder, K.A. Thole, D. Mongillo, Effects of coolant feed direction on additively manufactured film cooling holes, Journal of Turbomachinery. (2018). https://doi.org/10.1115/1.4041374.</w:t>
      </w:r>
    </w:p>
    <w:p w14:paraId="6666A569" w14:textId="30323229"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32]</w:t>
      </w:r>
      <w:r w:rsidR="00836B4D" w:rsidRPr="008F5202">
        <w:rPr>
          <w:rFonts w:ascii="Times New Roman" w:eastAsia="Aptos" w:hAnsi="Times New Roman" w:cs="Times New Roman"/>
          <w:kern w:val="2"/>
          <w14:ligatures w14:val="standardContextual"/>
        </w:rPr>
        <w:tab/>
        <w:t>J.C. Snyder, C.K. Stimpson, K.A. Thole, D. Mongillo, Build direction effects on additively manufactured channels, Journal of Turbomachinery. 138 (2016) 1–8. https://doi.org/10.1115/1.4032168.</w:t>
      </w:r>
    </w:p>
    <w:p w14:paraId="0AE49500" w14:textId="77D71D4D"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33]</w:t>
      </w:r>
      <w:r w:rsidR="00836B4D" w:rsidRPr="008F5202">
        <w:rPr>
          <w:rFonts w:ascii="Times New Roman" w:eastAsia="Aptos" w:hAnsi="Times New Roman" w:cs="Times New Roman"/>
          <w:kern w:val="2"/>
          <w14:ligatures w14:val="standardContextual"/>
        </w:rPr>
        <w:tab/>
        <w:t>K.L. Kirsch, K.A. Thole, Pressure loss and heat transfer performance for additively and conventionally manufactured pin fin arrays, International Journal of Heat and Mass Transfer. 108 (2017) 2502–2513. https://doi.org/10.1016/j.ijheatmasstransfer.2017.01.095.</w:t>
      </w:r>
    </w:p>
    <w:p w14:paraId="7E34CB08" w14:textId="2194E4DC"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34]</w:t>
      </w:r>
      <w:r w:rsidR="00836B4D" w:rsidRPr="008F5202">
        <w:rPr>
          <w:rFonts w:ascii="Times New Roman" w:eastAsia="Aptos" w:hAnsi="Times New Roman" w:cs="Times New Roman"/>
          <w:kern w:val="2"/>
          <w14:ligatures w14:val="standardContextual"/>
        </w:rPr>
        <w:tab/>
        <w:t>N. Wang, I. Kaur, P. Singh, L. Li, Prediction of effective thermal conductivity of porous lattice structures and validation with additively manufactured metal foams, Applied Thermal Engineering. 187 (2021) 116558. https://doi.org/10.1016/j.applthermaleng.2021.116558.</w:t>
      </w:r>
    </w:p>
    <w:p w14:paraId="4A5DEE49" w14:textId="2B163DC9"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35]</w:t>
      </w:r>
      <w:r w:rsidR="00836B4D" w:rsidRPr="008F5202">
        <w:rPr>
          <w:rFonts w:ascii="Times New Roman" w:eastAsia="Aptos" w:hAnsi="Times New Roman" w:cs="Times New Roman"/>
          <w:kern w:val="2"/>
          <w14:ligatures w14:val="standardContextual"/>
        </w:rPr>
        <w:tab/>
        <w:t>R.J. Moffat, Describing the uncertainties in experimental results, Experimental Thermal and Fluid Science. 1 (1988) 3–17. https://doi.org/10.1016/0894-1777(88)90043-X.</w:t>
      </w:r>
    </w:p>
    <w:p w14:paraId="108B5471" w14:textId="19F6CAAE"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36]</w:t>
      </w:r>
      <w:r w:rsidR="00836B4D" w:rsidRPr="008F5202">
        <w:rPr>
          <w:rFonts w:ascii="Times New Roman" w:eastAsia="Aptos" w:hAnsi="Times New Roman" w:cs="Times New Roman"/>
          <w:kern w:val="2"/>
          <w14:ligatures w14:val="standardContextual"/>
        </w:rPr>
        <w:tab/>
        <w:t>J.W. Paek, B.H. Kang, S.Y. Kim, J.M. Hyun, Effective Thermal Conductivity and Permeability of Aluminum Foam Materials1, International Journal of Thermophysics. 21 (2000) 453–464. https://doi.org/10.1023/A:1006643815323.</w:t>
      </w:r>
    </w:p>
    <w:p w14:paraId="4C33386F" w14:textId="054B5C54" w:rsidR="00836B4D" w:rsidRPr="008F5202" w:rsidRDefault="00EA4E2B" w:rsidP="000978FD">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37]</w:t>
      </w:r>
      <w:r w:rsidR="00836B4D" w:rsidRPr="008F5202">
        <w:rPr>
          <w:rFonts w:ascii="Times New Roman" w:eastAsia="Aptos" w:hAnsi="Times New Roman" w:cs="Times New Roman"/>
          <w:kern w:val="2"/>
          <w14:ligatures w14:val="standardContextual"/>
        </w:rPr>
        <w:tab/>
        <w:t>P. Ekade, S. Krishnan, Fluid flow and heat transfer characteristics of octet truss lattice geometry, International Journal of Thermal Sciences. 137 (2019) 253–261. https://doi.org/10.1016/j.ijthermalsci.2018.11.031.</w:t>
      </w:r>
    </w:p>
    <w:p w14:paraId="6408DBCE" w14:textId="24B6F2C8" w:rsidR="00836B4D" w:rsidRPr="008F5202" w:rsidRDefault="00EA4E2B" w:rsidP="00A752BA">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38]</w:t>
      </w:r>
      <w:r w:rsidR="00836B4D" w:rsidRPr="008F5202">
        <w:rPr>
          <w:rFonts w:ascii="Times New Roman" w:eastAsia="Aptos" w:hAnsi="Times New Roman" w:cs="Times New Roman"/>
          <w:kern w:val="2"/>
          <w14:ligatures w14:val="standardContextual"/>
        </w:rPr>
        <w:tab/>
        <w:t>H. Yan, X. Yang, T. Lu, G. Xie, Convective heat transfer in a lightweight multifunctional sandwich panel with X-type metallic lattice core, Applied Thermal Engineering. (2017). https://doi.org/10.1016/j.applthermaleng.2017.08.081.</w:t>
      </w:r>
    </w:p>
    <w:p w14:paraId="42E553BD" w14:textId="44A162E8" w:rsidR="00836B4D" w:rsidRPr="008F5202" w:rsidRDefault="00EA4E2B" w:rsidP="00A752BA">
      <w:pPr>
        <w:tabs>
          <w:tab w:val="left" w:pos="504"/>
        </w:tabs>
        <w:spacing w:line="360" w:lineRule="auto"/>
        <w:ind w:left="504" w:hanging="504"/>
        <w:rPr>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lastRenderedPageBreak/>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39]</w:t>
      </w:r>
      <w:r w:rsidR="00836B4D" w:rsidRPr="008F5202">
        <w:rPr>
          <w:rFonts w:ascii="Times New Roman" w:eastAsia="Aptos" w:hAnsi="Times New Roman" w:cs="Times New Roman"/>
          <w:kern w:val="2"/>
          <w14:ligatures w14:val="standardContextual"/>
        </w:rPr>
        <w:tab/>
        <w:t>M. Nuntakulamarat, C.-C. Shiau, J.-C. Han, Heat Transfer and Pressure Drop Measurements in a High Aspect Ratio Channel With Circular Pins and Strip Fins, Journal of Thermal Science and Engineering Applications. 12 (2020) 031019. https://doi.org/10.1115/1.4045221.</w:t>
      </w:r>
    </w:p>
    <w:p w14:paraId="7F3F4766" w14:textId="27926B1D" w:rsidR="00297625" w:rsidRPr="008F5202" w:rsidRDefault="00EA4E2B" w:rsidP="00BE4976">
      <w:pPr>
        <w:tabs>
          <w:tab w:val="left" w:pos="504"/>
        </w:tabs>
        <w:spacing w:line="360" w:lineRule="auto"/>
        <w:ind w:left="504" w:hanging="504"/>
        <w:rPr>
          <w:rStyle w:val="Hyperlink"/>
          <w:rFonts w:ascii="Times New Roman" w:eastAsia="Aptos" w:hAnsi="Times New Roman" w:cs="Times New Roman"/>
          <w:kern w:val="2"/>
          <w14:ligatures w14:val="standardContextual"/>
        </w:rPr>
      </w:pPr>
      <w:r w:rsidRPr="008F5202">
        <w:rPr>
          <w:rFonts w:ascii="Times New Roman" w:eastAsia="Aptos" w:hAnsi="Times New Roman" w:cs="Times New Roman"/>
          <w:kern w:val="2"/>
          <w14:ligatures w14:val="standardContextual"/>
        </w:rPr>
        <w:t>[3</w:t>
      </w:r>
      <w:r w:rsidR="00224712" w:rsidRPr="008F5202">
        <w:rPr>
          <w:rFonts w:ascii="Times New Roman" w:eastAsia="Aptos" w:hAnsi="Times New Roman" w:cs="Times New Roman"/>
          <w:kern w:val="2"/>
          <w14:ligatures w14:val="standardContextual"/>
        </w:rPr>
        <w:t>.</w:t>
      </w:r>
      <w:r w:rsidR="00836B4D" w:rsidRPr="008F5202">
        <w:rPr>
          <w:rFonts w:ascii="Times New Roman" w:eastAsia="Aptos" w:hAnsi="Times New Roman" w:cs="Times New Roman"/>
          <w:kern w:val="2"/>
          <w14:ligatures w14:val="standardContextual"/>
        </w:rPr>
        <w:t>40]</w:t>
      </w:r>
      <w:r w:rsidR="00836B4D" w:rsidRPr="008F5202">
        <w:rPr>
          <w:rFonts w:ascii="Times New Roman" w:eastAsia="Aptos" w:hAnsi="Times New Roman" w:cs="Times New Roman"/>
          <w:kern w:val="2"/>
          <w14:ligatures w14:val="standardContextual"/>
        </w:rPr>
        <w:tab/>
        <w:t xml:space="preserve">Y. Rao, C. Wan, S. Zang, An Experimental and Numerical Study of Flow and Heat Transfer in Channels With Pin Fin-Dimple Combined Arrays of Different Configurations, Journal of Heat Transfer. 134 (2012) 121901. </w:t>
      </w:r>
      <w:hyperlink r:id="rId54" w:history="1">
        <w:r w:rsidR="00BE4976" w:rsidRPr="008F5202">
          <w:rPr>
            <w:rStyle w:val="Hyperlink"/>
            <w:rFonts w:ascii="Times New Roman" w:eastAsia="Aptos" w:hAnsi="Times New Roman" w:cs="Times New Roman"/>
            <w:kern w:val="2"/>
            <w14:ligatures w14:val="standardContextual"/>
          </w:rPr>
          <w:t>https://doi.org/10.1115/1.4006943</w:t>
        </w:r>
      </w:hyperlink>
      <w:r w:rsidR="00297625" w:rsidRPr="008F5202">
        <w:rPr>
          <w:rStyle w:val="Hyperlink"/>
          <w:rFonts w:ascii="Times New Roman" w:eastAsia="Aptos" w:hAnsi="Times New Roman" w:cs="Times New Roman"/>
          <w:kern w:val="2"/>
          <w14:ligatures w14:val="standardContextual"/>
        </w:rPr>
        <w:br w:type="page"/>
      </w:r>
    </w:p>
    <w:p w14:paraId="480B06A3" w14:textId="77777777" w:rsidR="00BE4976" w:rsidRPr="008F5202" w:rsidRDefault="00BE4976" w:rsidP="00BE4976">
      <w:pPr>
        <w:tabs>
          <w:tab w:val="left" w:pos="504"/>
        </w:tabs>
        <w:spacing w:line="360" w:lineRule="auto"/>
        <w:ind w:left="504" w:hanging="504"/>
        <w:rPr>
          <w:rFonts w:ascii="Times New Roman" w:eastAsia="Aptos" w:hAnsi="Times New Roman" w:cs="Times New Roman"/>
          <w:kern w:val="2"/>
          <w14:ligatures w14:val="standardContextual"/>
        </w:rPr>
      </w:pPr>
    </w:p>
    <w:p w14:paraId="060510A4" w14:textId="69903EBF" w:rsidR="00393D90" w:rsidRPr="008F5202" w:rsidRDefault="00FE12BA" w:rsidP="00AF1AFB">
      <w:pPr>
        <w:pStyle w:val="Heading1"/>
      </w:pPr>
      <w:bookmarkStart w:id="167" w:name="_Toc177758172"/>
      <w:r>
        <w:t>:</w:t>
      </w:r>
      <w:r>
        <w:br/>
      </w:r>
      <w:r w:rsidR="00393D90" w:rsidRPr="008F5202">
        <w:t>Granular flow in novel Octet shape-based lattice frame material</w:t>
      </w:r>
      <w:bookmarkEnd w:id="167"/>
    </w:p>
    <w:p w14:paraId="6F430890" w14:textId="49C0D701" w:rsidR="00281763" w:rsidRPr="008F5202" w:rsidRDefault="00281763" w:rsidP="006B5D5B">
      <w:pPr>
        <w:pStyle w:val="Heading2"/>
      </w:pPr>
      <w:bookmarkStart w:id="168" w:name="_Toc177758173"/>
      <w:r w:rsidRPr="008F5202">
        <w:t>Abstract</w:t>
      </w:r>
      <w:bookmarkEnd w:id="168"/>
    </w:p>
    <w:p w14:paraId="727D0571" w14:textId="707804DD" w:rsidR="00236E6D" w:rsidRPr="008F5202" w:rsidRDefault="000877B0" w:rsidP="006B5D5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8F5202">
        <w:rPr>
          <w:rFonts w:ascii="Times New Roman" w:hAnsi="Times New Roman" w:cs="Times New Roman"/>
        </w:rPr>
        <w:t>Moving packed-bed heat exchanger in concentrated solar power (CSP) plants involves heat transfer between heated falling particles and supercritical carbon dioxide. The overall effective thermal conductivity of the moving packed bed and particle-side channel contact resistances are still the bottlenecks in achieving the desirable thermal transport levels. To this end, a novel moving packed bed heat exchanger consisting of Octet lattice packed between the walls of the particle-side channel is proposed in this study. Granular flow analysis in Octet lattice moving-packed bed heat exchanger (OLHX) was conducted through experiments and DEM-based numerical simulations. The experimental images clearly demonstrated stagnation regions upstream of lattice fibers, void regions downstream of the fiber junctions and wavy type unobstructed flow on lateral sides of the fibers. DEM simulations were successful in capturing all these critical flow phenomena. Larger flow velocities were observed on the lateral sides of the fibers in the simulations. Also, when the particles in the silo were emptied, the final images showed accumulation of particles on the inter-fiber as well as fiber-channel wall junctions. Moreover, the fiber connections resulted in some regions devoid of the particle contact on the channel endwall which means that these regions would suffer from poor thermal exchange. The overall mass flow rate increased with increasing porosity for a fixed particle diameter.</w:t>
      </w:r>
    </w:p>
    <w:p w14:paraId="571DEF7E" w14:textId="77777777" w:rsidR="00075787" w:rsidRPr="008F5202" w:rsidRDefault="00075787" w:rsidP="00087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7DCDEA9" w14:textId="795007F6" w:rsidR="000877B0" w:rsidRPr="008F5202" w:rsidRDefault="000877B0" w:rsidP="000877B0">
      <w:pPr>
        <w:pStyle w:val="Heading2"/>
      </w:pPr>
      <w:bookmarkStart w:id="169" w:name="_Toc177758174"/>
      <w:r w:rsidRPr="008F5202">
        <w:t>Introduction</w:t>
      </w:r>
      <w:bookmarkEnd w:id="169"/>
    </w:p>
    <w:p w14:paraId="07A20608" w14:textId="119F3279" w:rsidR="00C9707E" w:rsidRPr="008F5202" w:rsidRDefault="00C9707E" w:rsidP="00C9707E">
      <w:pPr>
        <w:spacing w:line="360" w:lineRule="auto"/>
        <w:ind w:firstLine="284"/>
        <w:contextualSpacing/>
        <w:jc w:val="both"/>
        <w:rPr>
          <w:rFonts w:ascii="Times New Roman" w:hAnsi="Times New Roman" w:cs="Times New Roman"/>
        </w:rPr>
      </w:pPr>
      <w:r w:rsidRPr="008F5202">
        <w:rPr>
          <w:rFonts w:ascii="Times New Roman" w:eastAsia="Calibri" w:hAnsi="Times New Roman" w:cs="Times New Roman"/>
        </w:rPr>
        <w:t>Supercritical carbon-dioxide (</w:t>
      </w:r>
      <m:oMath>
        <m:r>
          <w:rPr>
            <w:rFonts w:ascii="Cambria Math" w:hAnsi="Cambria Math" w:cs="Times New Roman"/>
          </w:rPr>
          <m:t>sC</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oMath>
      <w:r w:rsidRPr="008F5202">
        <w:rPr>
          <w:rFonts w:ascii="Times New Roman" w:eastAsia="Calibri" w:hAnsi="Times New Roman" w:cs="Times New Roman"/>
        </w:rPr>
        <w:t xml:space="preserve">) based Brayton cycle is a promising alternative to the traditional steam-powered Rankine cycle because of its potential for achieving high thermal-to-electric conversion efficiency of ~50% </w:t>
      </w:r>
      <w:r w:rsidR="00EA4E2B" w:rsidRPr="008F5202">
        <w:rPr>
          <w:rFonts w:ascii="Times New Roman" w:eastAsia="Calibri" w:hAnsi="Times New Roman" w:cs="Times New Roman"/>
        </w:rPr>
        <w:t>[4</w:t>
      </w:r>
      <w:r w:rsidR="00A12098" w:rsidRPr="008F5202">
        <w:rPr>
          <w:rFonts w:ascii="Times New Roman" w:eastAsia="Calibri" w:hAnsi="Times New Roman" w:cs="Times New Roman"/>
        </w:rPr>
        <w:t>.</w:t>
      </w:r>
      <w:r w:rsidRPr="008F5202">
        <w:rPr>
          <w:rFonts w:ascii="Times New Roman" w:eastAsia="Calibri" w:hAnsi="Times New Roman" w:cs="Times New Roman"/>
        </w:rPr>
        <w:t xml:space="preserve">1]. The overall conversion efficiency </w:t>
      </w:r>
      <w:r w:rsidRPr="008F5202">
        <w:rPr>
          <w:rFonts w:ascii="Times New Roman" w:eastAsia="Calibri" w:hAnsi="Times New Roman" w:cs="Times New Roman"/>
        </w:rPr>
        <w:lastRenderedPageBreak/>
        <w:t xml:space="preserve">of power cycle can be improved by increasing the working fluid temperature at the turbine inlet (typically </w:t>
      </w:r>
      <m:oMath>
        <m:r>
          <w:rPr>
            <w:rFonts w:ascii="Cambria Math" w:eastAsia="Calibri" w:hAnsi="Cambria Math" w:cs="Times New Roman"/>
          </w:rPr>
          <m:t xml:space="preserve">≥ </m:t>
        </m:r>
      </m:oMath>
      <w:r w:rsidRPr="008F5202">
        <w:rPr>
          <w:rFonts w:ascii="Times New Roman" w:eastAsia="Calibri" w:hAnsi="Times New Roman" w:cs="Times New Roman"/>
        </w:rPr>
        <w:t>700</w:t>
      </w:r>
      <m:oMath>
        <m:r>
          <w:rPr>
            <w:rFonts w:ascii="Cambria Math" w:eastAsia="Calibri" w:hAnsi="Cambria Math" w:cs="Times New Roman"/>
          </w:rPr>
          <m:t>℃</m:t>
        </m:r>
      </m:oMath>
      <w:r w:rsidRPr="008F5202">
        <w:rPr>
          <w:rFonts w:ascii="Times New Roman" w:hAnsi="Times New Roman" w:cs="Times New Roman"/>
        </w:rPr>
        <w:t xml:space="preserve">). To this end, the power cycles are coupled with the solar energy field in concentrating solar power plants (CSPs) as shown in Fig. </w:t>
      </w:r>
      <w:r w:rsidR="00297625" w:rsidRPr="008F5202">
        <w:rPr>
          <w:rFonts w:ascii="Times New Roman" w:hAnsi="Times New Roman" w:cs="Times New Roman"/>
        </w:rPr>
        <w:t>4.</w:t>
      </w:r>
      <w:r w:rsidRPr="008F5202">
        <w:rPr>
          <w:rFonts w:ascii="Times New Roman" w:hAnsi="Times New Roman" w:cs="Times New Roman"/>
        </w:rPr>
        <w:t xml:space="preserve">1 </w:t>
      </w:r>
      <w:r w:rsidR="00EA4E2B" w:rsidRPr="008F5202">
        <w:rPr>
          <w:rFonts w:ascii="Times New Roman" w:eastAsia="Calibri" w:hAnsi="Times New Roman" w:cs="Times New Roman"/>
        </w:rPr>
        <w:t>[4</w:t>
      </w:r>
      <w:r w:rsidR="00A12098" w:rsidRPr="008F5202">
        <w:rPr>
          <w:rFonts w:ascii="Times New Roman" w:eastAsia="Calibri" w:hAnsi="Times New Roman" w:cs="Times New Roman"/>
        </w:rPr>
        <w:t>.</w:t>
      </w:r>
      <w:r w:rsidRPr="008F5202">
        <w:rPr>
          <w:rFonts w:ascii="Times New Roman" w:eastAsia="Calibri" w:hAnsi="Times New Roman" w:cs="Times New Roman"/>
        </w:rPr>
        <w:t>2]</w:t>
      </w:r>
      <w:r w:rsidRPr="008F5202">
        <w:rPr>
          <w:rFonts w:ascii="Times New Roman" w:hAnsi="Times New Roman" w:cs="Times New Roman"/>
        </w:rPr>
        <w:t>. The CSPs are an attractive technology as they feed on solar energy, a renewable source, and there has been continuous effort to ensure their commercial scalability. In CSPs, the heat transfer fluid (HTF) flowing in a closed loop gets heated by the concentrated solar energy in the receiver section, and this thermal energy is eventually transferred to the working fluid (</w:t>
      </w:r>
      <m:oMath>
        <m:r>
          <w:rPr>
            <w:rFonts w:ascii="Cambria Math" w:hAnsi="Cambria Math" w:cs="Times New Roman"/>
          </w:rPr>
          <m:t>sC</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oMath>
      <w:r w:rsidRPr="008F5202">
        <w:rPr>
          <w:rFonts w:ascii="Times New Roman" w:hAnsi="Times New Roman" w:cs="Times New Roman"/>
        </w:rPr>
        <w:t>) of power cycle via particle-to-sCO</w:t>
      </w:r>
      <w:r w:rsidRPr="008F5202">
        <w:rPr>
          <w:rFonts w:ascii="Times New Roman" w:hAnsi="Times New Roman" w:cs="Times New Roman"/>
          <w:vertAlign w:val="subscript"/>
        </w:rPr>
        <w:t>2</w:t>
      </w:r>
      <w:r w:rsidRPr="008F5202">
        <w:rPr>
          <w:rFonts w:ascii="Times New Roman" w:hAnsi="Times New Roman" w:cs="Times New Roman"/>
        </w:rPr>
        <w:t xml:space="preserve"> heat exchanger. These HTFs also act as thermal energy storage (TES) systems which store the heat energy so that it can be dispatched as and when required, such as, at instances when solar energy is not readily available. </w:t>
      </w:r>
    </w:p>
    <w:p w14:paraId="6DCE1295" w14:textId="2EB19F1F" w:rsidR="00C9707E" w:rsidRPr="008F5202" w:rsidRDefault="00C9707E" w:rsidP="00C9707E">
      <w:pPr>
        <w:spacing w:line="360" w:lineRule="auto"/>
        <w:ind w:firstLine="284"/>
        <w:contextualSpacing/>
        <w:jc w:val="both"/>
        <w:rPr>
          <w:rFonts w:ascii="Times New Roman" w:eastAsia="Calibri" w:hAnsi="Times New Roman" w:cs="Times New Roman"/>
        </w:rPr>
      </w:pPr>
      <w:r w:rsidRPr="008F5202">
        <w:rPr>
          <w:rFonts w:ascii="Times New Roman" w:eastAsia="Calibri" w:hAnsi="Times New Roman" w:cs="Times New Roman"/>
        </w:rPr>
        <w:t xml:space="preserve">Molten salt and granular media are the most widely known HTFs for CSP application and several heat exchanger (HX) designs such as shell-and-tube, shell-and-plate, and printed circuits have been investigated in the past based on these HTFs. Du et al. </w:t>
      </w:r>
      <w:r w:rsidR="00EA4E2B" w:rsidRPr="008F5202">
        <w:rPr>
          <w:rFonts w:ascii="Times New Roman" w:eastAsia="Calibri" w:hAnsi="Times New Roman" w:cs="Times New Roman"/>
        </w:rPr>
        <w:t>[4</w:t>
      </w:r>
      <w:r w:rsidR="00A12098" w:rsidRPr="008F5202">
        <w:rPr>
          <w:rFonts w:ascii="Times New Roman" w:eastAsia="Calibri" w:hAnsi="Times New Roman" w:cs="Times New Roman"/>
        </w:rPr>
        <w:t>.</w:t>
      </w:r>
      <w:r w:rsidRPr="008F5202">
        <w:rPr>
          <w:rFonts w:ascii="Times New Roman" w:eastAsia="Calibri" w:hAnsi="Times New Roman" w:cs="Times New Roman"/>
        </w:rPr>
        <w:t>3] investigated heat transfer characteristics of HITEC (NaNO</w:t>
      </w:r>
      <w:r w:rsidRPr="008F5202">
        <w:rPr>
          <w:rFonts w:ascii="Times New Roman" w:eastAsia="Calibri" w:hAnsi="Times New Roman" w:cs="Times New Roman"/>
          <w:vertAlign w:val="subscript"/>
        </w:rPr>
        <w:t>3</w:t>
      </w:r>
      <w:r w:rsidRPr="008F5202">
        <w:rPr>
          <w:rFonts w:ascii="Times New Roman" w:eastAsia="Calibri" w:hAnsi="Times New Roman" w:cs="Times New Roman"/>
        </w:rPr>
        <w:t xml:space="preserve"> – KNO</w:t>
      </w:r>
      <w:r w:rsidRPr="008F5202">
        <w:rPr>
          <w:rFonts w:ascii="Times New Roman" w:eastAsia="Calibri" w:hAnsi="Times New Roman" w:cs="Times New Roman"/>
          <w:vertAlign w:val="subscript"/>
        </w:rPr>
        <w:t>3</w:t>
      </w:r>
      <w:r w:rsidRPr="008F5202">
        <w:rPr>
          <w:rFonts w:ascii="Times New Roman" w:eastAsia="Calibri" w:hAnsi="Times New Roman" w:cs="Times New Roman"/>
        </w:rPr>
        <w:t xml:space="preserve"> – NaNO</w:t>
      </w:r>
      <w:r w:rsidRPr="008F5202">
        <w:rPr>
          <w:rFonts w:ascii="Times New Roman" w:eastAsia="Calibri" w:hAnsi="Times New Roman" w:cs="Times New Roman"/>
          <w:vertAlign w:val="subscript"/>
        </w:rPr>
        <w:t>2</w:t>
      </w:r>
      <w:r w:rsidRPr="008F5202">
        <w:rPr>
          <w:rFonts w:ascii="Times New Roman" w:eastAsia="Calibri" w:hAnsi="Times New Roman" w:cs="Times New Roman"/>
        </w:rPr>
        <w:t xml:space="preserve"> eutectic) salt-oil pair in a shell-and-tube HX and provided empirical correlations to predict the thermal performance. He et al. </w:t>
      </w:r>
      <w:r w:rsidR="00EA4E2B" w:rsidRPr="008F5202">
        <w:rPr>
          <w:rFonts w:ascii="Times New Roman" w:eastAsia="Calibri" w:hAnsi="Times New Roman" w:cs="Times New Roman"/>
        </w:rPr>
        <w:t>[4</w:t>
      </w:r>
      <w:r w:rsidR="00A12098" w:rsidRPr="008F5202">
        <w:rPr>
          <w:rFonts w:ascii="Times New Roman" w:eastAsia="Calibri" w:hAnsi="Times New Roman" w:cs="Times New Roman"/>
        </w:rPr>
        <w:t>.</w:t>
      </w:r>
      <w:r w:rsidRPr="008F5202">
        <w:rPr>
          <w:rFonts w:ascii="Times New Roman" w:eastAsia="Calibri" w:hAnsi="Times New Roman" w:cs="Times New Roman"/>
        </w:rPr>
        <w:t xml:space="preserve">4] analyzed the turbulent heat transfer characteristics of molten HITEC salt and YD-350 synthetic oil pair in a shell-and-tube HX and reported that no significant heat transfer augmentation occurred when salt was replaced by water as HTF. Qian et al. </w:t>
      </w:r>
      <w:r w:rsidR="00EA4E2B" w:rsidRPr="008F5202">
        <w:rPr>
          <w:rFonts w:ascii="Times New Roman" w:eastAsia="Calibri" w:hAnsi="Times New Roman" w:cs="Times New Roman"/>
        </w:rPr>
        <w:t>[4</w:t>
      </w:r>
      <w:r w:rsidR="00A12098" w:rsidRPr="008F5202">
        <w:rPr>
          <w:rFonts w:ascii="Times New Roman" w:eastAsia="Calibri" w:hAnsi="Times New Roman" w:cs="Times New Roman"/>
        </w:rPr>
        <w:t>.</w:t>
      </w:r>
      <w:r w:rsidRPr="008F5202">
        <w:rPr>
          <w:rFonts w:ascii="Times New Roman" w:eastAsia="Calibri" w:hAnsi="Times New Roman" w:cs="Times New Roman"/>
        </w:rPr>
        <w:t xml:space="preserve">5] compared the thermal performance of molten salt and conductive 320- oil in baffled shell-and-tube HX, where molten salt provided higher heat transfer performance. Shell-and-tube HX design is one of the most primitive designs which suffers from fluid leakage, large volume, and inability to sustain high pressures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6]. Printed circuit HXs have considerable advantage over these traditional HXs in terms of specific area for heat transfer, sustainability of high pressure drops (up to 60 MPa), and relatively compact sizes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6]. </w:t>
      </w:r>
    </w:p>
    <w:p w14:paraId="73F76975" w14:textId="77777777" w:rsidR="00AE55C5" w:rsidRPr="008F5202" w:rsidRDefault="00AE55C5" w:rsidP="00AE55C5">
      <w:pPr>
        <w:keepNext/>
        <w:spacing w:line="360" w:lineRule="auto"/>
        <w:ind w:firstLine="284"/>
        <w:contextualSpacing/>
        <w:jc w:val="both"/>
        <w:rPr>
          <w:rFonts w:ascii="Times New Roman" w:hAnsi="Times New Roman" w:cs="Times New Roman"/>
        </w:rPr>
      </w:pPr>
      <w:r w:rsidRPr="008F5202">
        <w:rPr>
          <w:rFonts w:ascii="Times New Roman" w:hAnsi="Times New Roman" w:cs="Times New Roman"/>
          <w:noProof/>
        </w:rPr>
        <w:lastRenderedPageBreak/>
        <w:drawing>
          <wp:inline distT="0" distB="0" distL="0" distR="0" wp14:anchorId="7994F6CD" wp14:editId="62CD1746">
            <wp:extent cx="3610099" cy="2387062"/>
            <wp:effectExtent l="0" t="0" r="0" b="0"/>
            <wp:docPr id="51178362" name="Picture 51178362" descr="Diagram of a solar panel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of a solar panel system&#10;&#10;Description automatically generated"/>
                    <pic:cNvPicPr/>
                  </pic:nvPicPr>
                  <pic:blipFill>
                    <a:blip r:embed="rId55"/>
                    <a:stretch>
                      <a:fillRect/>
                    </a:stretch>
                  </pic:blipFill>
                  <pic:spPr>
                    <a:xfrm>
                      <a:off x="0" y="0"/>
                      <a:ext cx="3624797" cy="2396780"/>
                    </a:xfrm>
                    <a:prstGeom prst="rect">
                      <a:avLst/>
                    </a:prstGeom>
                  </pic:spPr>
                </pic:pic>
              </a:graphicData>
            </a:graphic>
          </wp:inline>
        </w:drawing>
      </w:r>
    </w:p>
    <w:p w14:paraId="13288BC7" w14:textId="221179DF" w:rsidR="00AE55C5" w:rsidRPr="008F5202" w:rsidRDefault="00AE55C5" w:rsidP="008F5202">
      <w:pPr>
        <w:pStyle w:val="Caption"/>
        <w:rPr>
          <w:rFonts w:eastAsia="Calibri"/>
        </w:rPr>
      </w:pPr>
      <w:bookmarkStart w:id="170" w:name="_Toc177755216"/>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4</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w:t>
      </w:r>
      <w:r w:rsidR="003763D2" w:rsidRPr="008F5202">
        <w:fldChar w:fldCharType="end"/>
      </w:r>
      <w:r w:rsidRPr="008F5202">
        <w:t xml:space="preserve"> </w:t>
      </w:r>
      <w:r w:rsidRPr="008F5202">
        <w:t xml:space="preserve">Schematic of the falling-particle receiver system coupled with power cycle </w:t>
      </w:r>
      <w:r w:rsidR="00EA4E2B" w:rsidRPr="008F5202">
        <w:t>[4</w:t>
      </w:r>
      <w:r w:rsidRPr="008F5202">
        <w:t>.</w:t>
      </w:r>
      <w:r w:rsidRPr="008F5202">
        <w:t>2]</w:t>
      </w:r>
      <w:bookmarkEnd w:id="170"/>
    </w:p>
    <w:p w14:paraId="15ABC861" w14:textId="37905E8E" w:rsidR="00C9707E" w:rsidRPr="008F5202" w:rsidRDefault="00C9707E" w:rsidP="00C9707E">
      <w:pPr>
        <w:spacing w:line="360" w:lineRule="auto"/>
        <w:ind w:firstLine="284"/>
        <w:contextualSpacing/>
        <w:jc w:val="both"/>
        <w:rPr>
          <w:rFonts w:ascii="Times New Roman" w:hAnsi="Times New Roman" w:cs="Times New Roman"/>
        </w:rPr>
      </w:pPr>
      <w:r w:rsidRPr="008F5202">
        <w:rPr>
          <w:rFonts w:ascii="Times New Roman" w:eastAsia="Calibri" w:hAnsi="Times New Roman" w:cs="Times New Roman"/>
        </w:rPr>
        <w:t xml:space="preserve">Printed circuit HXs consist of a stack of plates etched with minichannels, where the contact between the plates is ensured through diffusion bonding process. These minichannels are fabricated in various shapes such as straight, trapezoidal, serpentine, zig-zag, etc. </w:t>
      </w:r>
      <w:r w:rsidR="00EA4E2B" w:rsidRPr="008F5202">
        <w:rPr>
          <w:rFonts w:ascii="Times New Roman" w:eastAsia="Calibri" w:hAnsi="Times New Roman" w:cs="Times New Roman"/>
          <w:lang w:val="fr-FR"/>
        </w:rPr>
        <w:t>[4</w:t>
      </w:r>
      <w:r w:rsidR="002055FA" w:rsidRPr="008F5202">
        <w:rPr>
          <w:rFonts w:ascii="Times New Roman" w:eastAsia="Calibri" w:hAnsi="Times New Roman" w:cs="Times New Roman"/>
          <w:lang w:val="fr-FR"/>
        </w:rPr>
        <w:t>.</w:t>
      </w:r>
      <w:r w:rsidRPr="008F5202">
        <w:rPr>
          <w:rFonts w:ascii="Times New Roman" w:eastAsia="Calibri" w:hAnsi="Times New Roman" w:cs="Times New Roman"/>
          <w:lang w:val="fr-FR"/>
        </w:rPr>
        <w:t xml:space="preserve">6]. Wang et al. </w:t>
      </w:r>
      <w:r w:rsidR="00EA4E2B" w:rsidRPr="008F5202">
        <w:rPr>
          <w:rFonts w:ascii="Times New Roman" w:eastAsia="Calibri" w:hAnsi="Times New Roman" w:cs="Times New Roman"/>
          <w:lang w:val="fr-FR"/>
        </w:rPr>
        <w:t>[4</w:t>
      </w:r>
      <w:r w:rsidR="002055FA" w:rsidRPr="008F5202">
        <w:rPr>
          <w:rFonts w:ascii="Times New Roman" w:eastAsia="Calibri" w:hAnsi="Times New Roman" w:cs="Times New Roman"/>
          <w:lang w:val="fr-FR"/>
        </w:rPr>
        <w:t>.</w:t>
      </w:r>
      <w:r w:rsidRPr="008F5202">
        <w:rPr>
          <w:rFonts w:ascii="Times New Roman" w:eastAsia="Calibri" w:hAnsi="Times New Roman" w:cs="Times New Roman"/>
          <w:lang w:val="fr-FR"/>
        </w:rPr>
        <w:t xml:space="preserve">7] experimentally studied the heat transfer performance of airfoil finned printed circuit HX with HITEC molten salt on the hot side and YD-325 synthetic oil on the cold side. </w:t>
      </w:r>
      <w:r w:rsidRPr="008F5202">
        <w:rPr>
          <w:rFonts w:ascii="Times New Roman" w:eastAsia="Calibri" w:hAnsi="Times New Roman" w:cs="Times New Roman"/>
        </w:rPr>
        <w:t xml:space="preserve">The heat transfer of airfoil channel was ~ 7 times higher than straight channel due to disruptions of fluid flow by the fins. Nikitin et al.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8] experimentally determined the heat transfer and pressure drop characteristics of sCO</w:t>
      </w:r>
      <w:r w:rsidRPr="008F5202">
        <w:rPr>
          <w:rFonts w:ascii="Times New Roman" w:eastAsia="Calibri" w:hAnsi="Times New Roman" w:cs="Times New Roman"/>
          <w:vertAlign w:val="subscript"/>
        </w:rPr>
        <w:t xml:space="preserve">2 </w:t>
      </w:r>
      <w:r w:rsidRPr="008F5202">
        <w:rPr>
          <w:rFonts w:ascii="Times New Roman" w:eastAsia="Calibri" w:hAnsi="Times New Roman" w:cs="Times New Roman"/>
        </w:rPr>
        <w:t xml:space="preserve">in a printed circuit HX having zig-zag channels with semi-circular cross-section profile. The overall heat transfer coefficient for zig-zag channel was obtained in the range of 300 to 650 </w:t>
      </w:r>
      <m:oMath>
        <m:f>
          <m:fPr>
            <m:type m:val="lin"/>
            <m:ctrlPr>
              <w:rPr>
                <w:rFonts w:ascii="Cambria Math" w:eastAsia="Calibri" w:hAnsi="Cambria Math" w:cs="Times New Roman"/>
                <w:i/>
              </w:rPr>
            </m:ctrlPr>
          </m:fPr>
          <m:num>
            <m:r>
              <w:rPr>
                <w:rFonts w:ascii="Cambria Math" w:eastAsia="Calibri" w:hAnsi="Cambria Math" w:cs="Times New Roman"/>
              </w:rPr>
              <m:t>W</m:t>
            </m:r>
          </m:num>
          <m:den>
            <m:sSup>
              <m:sSupPr>
                <m:ctrlPr>
                  <w:rPr>
                    <w:rFonts w:ascii="Cambria Math" w:eastAsia="Calibri" w:hAnsi="Cambria Math" w:cs="Times New Roman"/>
                    <w:i/>
                  </w:rPr>
                </m:ctrlPr>
              </m:sSupPr>
              <m:e>
                <m:r>
                  <w:rPr>
                    <w:rFonts w:ascii="Cambria Math" w:eastAsia="Calibri" w:hAnsi="Cambria Math" w:cs="Times New Roman"/>
                  </w:rPr>
                  <m:t>m</m:t>
                </m:r>
              </m:e>
              <m:sup>
                <m:r>
                  <w:rPr>
                    <w:rFonts w:ascii="Cambria Math" w:eastAsia="Calibri" w:hAnsi="Cambria Math" w:cs="Times New Roman"/>
                  </w:rPr>
                  <m:t>2</m:t>
                </m:r>
              </m:sup>
            </m:sSup>
            <m:r>
              <w:rPr>
                <w:rFonts w:ascii="Cambria Math" w:eastAsia="Calibri" w:hAnsi="Cambria Math" w:cs="Times New Roman"/>
              </w:rPr>
              <m:t>K</m:t>
            </m:r>
          </m:den>
        </m:f>
      </m:oMath>
      <w:r w:rsidRPr="008F5202">
        <w:rPr>
          <w:rFonts w:ascii="Times New Roman" w:hAnsi="Times New Roman" w:cs="Times New Roman"/>
        </w:rPr>
        <w:t xml:space="preserve">. Despite hosting several advantages over traditional shell-and-tube HXs, minichannels of printed circuit HXs have drawback of potential plugging by the salt. Montes et al.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1]</w:t>
      </w:r>
      <w:r w:rsidRPr="008F5202">
        <w:rPr>
          <w:rFonts w:ascii="Times New Roman" w:hAnsi="Times New Roman" w:cs="Times New Roman"/>
        </w:rPr>
        <w:t xml:space="preserve"> suggested  a compact honeycomb HX where the molten salt flowed through central tube and the </w:t>
      </w:r>
      <w:r w:rsidRPr="008F5202">
        <w:rPr>
          <w:rFonts w:ascii="Times New Roman" w:eastAsia="Calibri" w:hAnsi="Times New Roman" w:cs="Times New Roman"/>
        </w:rPr>
        <w:t>sCO</w:t>
      </w:r>
      <w:r w:rsidRPr="008F5202">
        <w:rPr>
          <w:rFonts w:ascii="Times New Roman" w:eastAsia="Calibri" w:hAnsi="Times New Roman" w:cs="Times New Roman"/>
          <w:vertAlign w:val="subscript"/>
        </w:rPr>
        <w:t>2</w:t>
      </w:r>
      <w:r w:rsidRPr="008F5202">
        <w:rPr>
          <w:rFonts w:ascii="Times New Roman" w:eastAsia="Calibri" w:hAnsi="Times New Roman" w:cs="Times New Roman"/>
        </w:rPr>
        <w:t xml:space="preserve"> was present on the outer trapezoidal ducts surrounding the tube. The proposed design prohibited the clogging of channels and avoided large mechanical stresses due to high pressures of </w:t>
      </w:r>
      <m:oMath>
        <m:r>
          <w:rPr>
            <w:rFonts w:ascii="Cambria Math" w:eastAsia="Calibri" w:hAnsi="Cambria Math" w:cs="Times New Roman"/>
          </w:rPr>
          <m:t>sC</m:t>
        </m:r>
        <m:sSub>
          <m:sSubPr>
            <m:ctrlPr>
              <w:rPr>
                <w:rFonts w:ascii="Cambria Math" w:eastAsia="Calibri" w:hAnsi="Cambria Math" w:cs="Times New Roman"/>
                <w:i/>
              </w:rPr>
            </m:ctrlPr>
          </m:sSubPr>
          <m:e>
            <m:r>
              <w:rPr>
                <w:rFonts w:ascii="Cambria Math" w:eastAsia="Calibri" w:hAnsi="Cambria Math" w:cs="Times New Roman"/>
              </w:rPr>
              <m:t>O</m:t>
            </m:r>
          </m:e>
          <m:sub>
            <m:r>
              <w:rPr>
                <w:rFonts w:ascii="Cambria Math" w:eastAsia="Calibri" w:hAnsi="Cambria Math" w:cs="Times New Roman"/>
              </w:rPr>
              <m:t>2</m:t>
            </m:r>
          </m:sub>
        </m:sSub>
      </m:oMath>
      <w:r w:rsidRPr="008F5202">
        <w:rPr>
          <w:rFonts w:ascii="Times New Roman" w:hAnsi="Times New Roman" w:cs="Times New Roman"/>
        </w:rPr>
        <w:t xml:space="preserve">. Molten salts inherit some other limitations such as thermal instability, high melting points and corrosive behavior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9]</w:t>
      </w:r>
      <w:r w:rsidRPr="008F5202">
        <w:rPr>
          <w:rFonts w:ascii="Times New Roman" w:hAnsi="Times New Roman" w:cs="Times New Roman"/>
        </w:rPr>
        <w:t xml:space="preserve">. Popular molten metals such as Nitrates have maximum operating temperature limit of </w:t>
      </w:r>
      <w:r w:rsidRPr="008F5202">
        <w:rPr>
          <w:rFonts w:ascii="Times New Roman" w:hAnsi="Times New Roman" w:cs="Times New Roman"/>
        </w:rPr>
        <w:lastRenderedPageBreak/>
        <w:t>560</w:t>
      </w:r>
      <m:oMath>
        <m:r>
          <w:rPr>
            <w:rFonts w:ascii="Cambria Math" w:eastAsia="Calibri" w:hAnsi="Cambria Math" w:cs="Times New Roman"/>
          </w:rPr>
          <m:t>℃</m:t>
        </m:r>
      </m:oMath>
      <w:r w:rsidRPr="008F5202">
        <w:rPr>
          <w:rFonts w:ascii="Times New Roman" w:hAnsi="Times New Roman" w:cs="Times New Roman"/>
        </w:rPr>
        <w:t xml:space="preserve">, which prohibits the realization of turbine inlet temperatures </w:t>
      </w:r>
      <m:oMath>
        <m:r>
          <w:rPr>
            <w:rFonts w:ascii="Cambria Math" w:eastAsia="Calibri" w:hAnsi="Cambria Math" w:cs="Times New Roman"/>
          </w:rPr>
          <m:t xml:space="preserve">≥ </m:t>
        </m:r>
      </m:oMath>
      <w:r w:rsidRPr="008F5202">
        <w:rPr>
          <w:rFonts w:ascii="Times New Roman" w:eastAsia="Calibri" w:hAnsi="Times New Roman" w:cs="Times New Roman"/>
        </w:rPr>
        <w:t>700</w:t>
      </w:r>
      <m:oMath>
        <m:r>
          <w:rPr>
            <w:rFonts w:ascii="Cambria Math" w:eastAsia="Calibri" w:hAnsi="Cambria Math" w:cs="Times New Roman"/>
          </w:rPr>
          <m:t>℃</m:t>
        </m:r>
      </m:oMath>
      <w:r w:rsidRPr="008F5202">
        <w:rPr>
          <w:rFonts w:ascii="Times New Roman" w:hAnsi="Times New Roman" w:cs="Times New Roman"/>
        </w:rPr>
        <w:t xml:space="preserve">. On the other hand, solid particles as heat transfer media can have very high working temperatures (&gt; 1000 °C), high heat capacity, low-cost, and non-corrosive behavior </w:t>
      </w:r>
      <w:r w:rsidRPr="008F5202">
        <w:rPr>
          <w:rFonts w:ascii="Times New Roman" w:eastAsia="Calibri" w:hAnsi="Times New Roman" w:cs="Times New Roman"/>
        </w:rPr>
        <w:t>[10]</w:t>
      </w:r>
      <w:r w:rsidRPr="008F5202">
        <w:rPr>
          <w:rFonts w:ascii="Times New Roman" w:hAnsi="Times New Roman" w:cs="Times New Roman"/>
        </w:rPr>
        <w:t>. Particle-to-</w:t>
      </w:r>
      <w:r w:rsidRPr="008F5202">
        <w:rPr>
          <w:rFonts w:ascii="Times New Roman" w:eastAsia="Calibri" w:hAnsi="Times New Roman" w:cs="Times New Roman"/>
        </w:rPr>
        <w:t>sCO</w:t>
      </w:r>
      <w:r w:rsidRPr="008F5202">
        <w:rPr>
          <w:rFonts w:ascii="Times New Roman" w:eastAsia="Calibri" w:hAnsi="Times New Roman" w:cs="Times New Roman"/>
          <w:vertAlign w:val="subscript"/>
        </w:rPr>
        <w:t>2</w:t>
      </w:r>
      <w:r w:rsidRPr="008F5202">
        <w:rPr>
          <w:rFonts w:ascii="Times New Roman" w:hAnsi="Times New Roman" w:cs="Times New Roman"/>
        </w:rPr>
        <w:t xml:space="preserve"> heat exchangers have been actively investigated recently due to these advantages and two of the most widely researched concepts are – (a) fluidized bed, and (b) gravity-driven moving packed-bed. </w:t>
      </w:r>
    </w:p>
    <w:p w14:paraId="7A32FA97" w14:textId="444980C3" w:rsidR="00C9707E" w:rsidRPr="008F5202" w:rsidRDefault="00C9707E" w:rsidP="00C9707E">
      <w:pPr>
        <w:spacing w:line="360" w:lineRule="auto"/>
        <w:ind w:firstLine="284"/>
        <w:contextualSpacing/>
        <w:jc w:val="both"/>
        <w:rPr>
          <w:rFonts w:ascii="Times New Roman" w:eastAsia="Calibri" w:hAnsi="Times New Roman" w:cs="Times New Roman"/>
        </w:rPr>
      </w:pPr>
      <w:r w:rsidRPr="008F5202">
        <w:rPr>
          <w:rFonts w:ascii="Times New Roman" w:hAnsi="Times New Roman" w:cs="Times New Roman"/>
        </w:rPr>
        <w:t xml:space="preserve">Fluidized bed technology provides higher overall particle-to-wall heat transfer coefficient values, but the cost associated with the machinery required to supply fluidized gas and with the recuperative heat exchange devices to minimize convective heat transfer losses from the gas poses challenges in their commercial applications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11]</w:t>
      </w:r>
      <w:r w:rsidRPr="008F5202">
        <w:rPr>
          <w:rFonts w:ascii="Times New Roman" w:hAnsi="Times New Roman" w:cs="Times New Roman"/>
        </w:rPr>
        <w:t xml:space="preserve">. Gravity-driven moving packed-bed heat exchangers have become a viable alternative due to their simpler set-up and lower operational costs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12]</w:t>
      </w:r>
      <w:r w:rsidRPr="008F5202">
        <w:rPr>
          <w:rFonts w:ascii="Times New Roman" w:hAnsi="Times New Roman" w:cs="Times New Roman"/>
        </w:rPr>
        <w:t xml:space="preserve">. However, the heat transfer coefficient values of the moving packed-bed HXs are lower than the fluidized-beds, which is being countered by developing innovative HX designs by several researchers. Albrecht and Ho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12]</w:t>
      </w:r>
      <w:r w:rsidRPr="008F5202">
        <w:rPr>
          <w:rFonts w:ascii="Times New Roman" w:hAnsi="Times New Roman" w:cs="Times New Roman"/>
        </w:rPr>
        <w:t xml:space="preserve"> investigated a counter-flow multi-bank shell-and-plate HX where </w:t>
      </w:r>
      <w:r w:rsidRPr="008F5202">
        <w:rPr>
          <w:rFonts w:ascii="Times New Roman" w:eastAsia="Calibri" w:hAnsi="Times New Roman" w:cs="Times New Roman"/>
        </w:rPr>
        <w:t>sCO</w:t>
      </w:r>
      <w:r w:rsidRPr="008F5202">
        <w:rPr>
          <w:rFonts w:ascii="Times New Roman" w:eastAsia="Calibri" w:hAnsi="Times New Roman" w:cs="Times New Roman"/>
          <w:vertAlign w:val="subscript"/>
        </w:rPr>
        <w:t xml:space="preserve">2 </w:t>
      </w:r>
      <w:r w:rsidRPr="008F5202">
        <w:rPr>
          <w:rFonts w:ascii="Times New Roman" w:eastAsia="Calibri" w:hAnsi="Times New Roman" w:cs="Times New Roman"/>
        </w:rPr>
        <w:t xml:space="preserve">flowed in serpentine fashion via parallel plates and the particles moved in between the stacked plates under the influence of gravitational force. It was found that the thermal exchange in such configurations is limited by the low thermal conductivity of the particle bed. The authors in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12] proposed reduced order modeling methodology to predict the heat transfer in HX and reported that an overall heat transfer coefficient of 400 W/m</w:t>
      </w:r>
      <w:r w:rsidRPr="008F5202">
        <w:rPr>
          <w:rFonts w:ascii="Times New Roman" w:eastAsia="Calibri" w:hAnsi="Times New Roman" w:cs="Times New Roman"/>
          <w:vertAlign w:val="superscript"/>
        </w:rPr>
        <w:t>2</w:t>
      </w:r>
      <w:r w:rsidRPr="008F5202">
        <w:rPr>
          <w:rFonts w:ascii="Times New Roman" w:eastAsia="Calibri" w:hAnsi="Times New Roman" w:cs="Times New Roman"/>
        </w:rPr>
        <w:t xml:space="preserve">K could be achieved for particle channel width of 4 mm and particle diameter of 200 µm at CSP plant operating temperatures (500°C - 800°C).  Baumann and Zunft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13] investigated crossflow shell-and-tube HX where the dense granular medium moved downwards in a shell enclosing the tubes through which the working fluid of power cycle passed. In such configurations, the heat transfer performance can be deteriorated due to stagnation zone on the upper vertex and the void zone in the wake of the tubes. The narrowing down of the horizontal tube pitch in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13] provided increment in the overall heat transfer due to shorter particle-wall-contact time. </w:t>
      </w:r>
    </w:p>
    <w:p w14:paraId="10C46C64" w14:textId="1BB1C206" w:rsidR="00C9707E" w:rsidRPr="008F5202" w:rsidRDefault="00C9707E" w:rsidP="00C9707E">
      <w:pPr>
        <w:spacing w:line="360" w:lineRule="auto"/>
        <w:ind w:firstLine="284"/>
        <w:contextualSpacing/>
        <w:jc w:val="both"/>
        <w:rPr>
          <w:rFonts w:ascii="Times New Roman" w:eastAsia="Calibri" w:hAnsi="Times New Roman" w:cs="Times New Roman"/>
        </w:rPr>
      </w:pPr>
      <w:r w:rsidRPr="008F5202">
        <w:rPr>
          <w:rFonts w:ascii="Times New Roman" w:eastAsia="Calibri" w:hAnsi="Times New Roman" w:cs="Times New Roman"/>
        </w:rPr>
        <w:t xml:space="preserve">The formation of the stagnation and void zones around the tubes in a shell-and-tube HX can be reduced by adopting more sophisticated tube designs as compared to the traditional </w:t>
      </w:r>
      <w:r w:rsidRPr="008F5202">
        <w:rPr>
          <w:rFonts w:ascii="Times New Roman" w:eastAsia="Calibri" w:hAnsi="Times New Roman" w:cs="Times New Roman"/>
        </w:rPr>
        <w:lastRenderedPageBreak/>
        <w:t xml:space="preserve">circular ones. Tian et al.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14] proposed elliptical-like combined tube shape constructed from the arrangement of three circular tubes. The stagnation and cavity zones in the novel elliptical-like tube was significantly lower than that in the conventional circular tubes resulting in the outside tube heat transfer performance due to particles similar to pure-elliptical configuration. The inside tube heat transfer of the elliptical-like configuration was compared with the corresponding elliptical- and circular-only configurations using the standard Gnielinski equation. For the same mass flow rate, the heat transfer coefficient was the highest for the elliptical-like configuration. In  a recent study, Tian et al.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15] proposed a trapezoidal corrugated modification to the standard plates in a shell-to-plate HX where the trapezoidal bulge was reported to significantly improve the heat transfer between the particles and plate. The trapezoidal bulge enhanced particle-particle mixing and destroyed the thermal boundary layer development resulting in improved heat transfer in the downstream regions. The base angle of the trapezoidal bulge was reported to have significant influence on the particle-to-wall heat transfer. Guo et al.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16] investigated the influence of the tube inclination on the particle-to-tube heat transfer. The contact resistance first increased and then decreased with the increment in the inclination angle. An optimum inclination angle of 15° to 37.5° was suggested by the authors to slow down the development of penetration resistance. </w:t>
      </w:r>
    </w:p>
    <w:p w14:paraId="5A7F03C8" w14:textId="2BDA2E3D" w:rsidR="00C9707E" w:rsidRPr="008F5202" w:rsidRDefault="00C9707E" w:rsidP="00C9707E">
      <w:pPr>
        <w:spacing w:line="360" w:lineRule="auto"/>
        <w:ind w:firstLine="284"/>
        <w:contextualSpacing/>
        <w:jc w:val="both"/>
        <w:rPr>
          <w:rFonts w:ascii="Times New Roman" w:eastAsia="Calibri" w:hAnsi="Times New Roman" w:cs="Times New Roman"/>
        </w:rPr>
      </w:pPr>
      <w:r w:rsidRPr="008F5202">
        <w:rPr>
          <w:rFonts w:ascii="Times New Roman" w:eastAsia="Calibri" w:hAnsi="Times New Roman" w:cs="Times New Roman"/>
        </w:rPr>
        <w:t xml:space="preserve">As discussed above, several novel HX designs have been explored in the past to improve the efficiency of the CSP plants. The granular flow and thermal exchange characteristics are being actively investigated through experimental and numerical means. Owing to the large capital investment required to conduct experiments, computational procedures have become a relatively more economical tool for testing and optimizing the new HX configurations and understating the intrinsic fundamental granular flow behavior. The discrete element method has become a very reliable and robust model in the recent years to predict the macroscopic behavior of any granular system by resolving the particle-scale interactions. The concept of DEM was first proposed by Cundall and Strack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17]. This method uses Lagrangian framework to explicitly solve the trajectories of particles by evaluating the inter-particle forces resulting from contact. The DEM theory is being </w:t>
      </w:r>
      <w:r w:rsidRPr="008F5202">
        <w:rPr>
          <w:rFonts w:ascii="Times New Roman" w:eastAsia="Calibri" w:hAnsi="Times New Roman" w:cs="Times New Roman"/>
        </w:rPr>
        <w:lastRenderedPageBreak/>
        <w:t xml:space="preserve">currently employed by several researchers to model the granular interactions and discussion on some relevant studies is presented below. </w:t>
      </w:r>
    </w:p>
    <w:p w14:paraId="55C0E61F" w14:textId="3BCA940C" w:rsidR="00C9707E" w:rsidRPr="008F5202" w:rsidRDefault="00C9707E" w:rsidP="00C9707E">
      <w:pPr>
        <w:spacing w:line="360" w:lineRule="auto"/>
        <w:ind w:firstLine="284"/>
        <w:contextualSpacing/>
        <w:jc w:val="both"/>
        <w:rPr>
          <w:rFonts w:ascii="Times New Roman" w:eastAsia="Calibri" w:hAnsi="Times New Roman" w:cs="Times New Roman"/>
        </w:rPr>
      </w:pPr>
      <w:r w:rsidRPr="008F5202">
        <w:rPr>
          <w:rFonts w:ascii="Times New Roman" w:eastAsia="Calibri" w:hAnsi="Times New Roman" w:cs="Times New Roman"/>
        </w:rPr>
        <w:t xml:space="preserve"> Bartsch and Zunft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18] used DEM to model the dense granular flow-field around the circular tubes in a moving packed-bed HX. The simulated results were in good agreement with the velocity profiles obtained from the PIV experiments. Yarrington et al.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19] measured the granular properties required as input in DEM simulations at elevated temperatures and consequently investigated its impact on the particles flowing down on an inclined plane. The free surface velocity magnitudes, flow volume fraction, average velocity magnitude, and mass flux contours were analyzed. Besides the simulation of moving packed-bed HXs in regards to the CSP plant applications, DEM is being extensively used to model the mixing and blending of particles in a rotating drum for chemical, pharmaceutical, ceramic, and fertilizer industries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20–</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22]. DEM in used in combination with computational fluid dynamics (CFD) to model the particle flow behavior in fluidized beds as well </w:t>
      </w:r>
      <w:r w:rsidR="00EA4E2B" w:rsidRPr="008F5202">
        <w:rPr>
          <w:rFonts w:ascii="Times New Roman" w:eastAsia="Calibri" w:hAnsi="Times New Roman" w:cs="Times New Roman"/>
          <w:lang w:val="fr-FR"/>
        </w:rPr>
        <w:t>[4</w:t>
      </w:r>
      <w:r w:rsidR="002055FA" w:rsidRPr="008F5202">
        <w:rPr>
          <w:rFonts w:ascii="Times New Roman" w:eastAsia="Calibri" w:hAnsi="Times New Roman" w:cs="Times New Roman"/>
          <w:lang w:val="fr-FR"/>
        </w:rPr>
        <w:t>.</w:t>
      </w:r>
      <w:r w:rsidRPr="008F5202">
        <w:rPr>
          <w:rFonts w:ascii="Times New Roman" w:eastAsia="Calibri" w:hAnsi="Times New Roman" w:cs="Times New Roman"/>
          <w:lang w:val="fr-FR"/>
        </w:rPr>
        <w:t>23–</w:t>
      </w:r>
      <w:r w:rsidR="00EA4E2B" w:rsidRPr="008F5202">
        <w:rPr>
          <w:rFonts w:ascii="Times New Roman" w:eastAsia="Calibri" w:hAnsi="Times New Roman" w:cs="Times New Roman"/>
          <w:lang w:val="fr-FR"/>
        </w:rPr>
        <w:t>4</w:t>
      </w:r>
      <w:r w:rsidR="002055FA" w:rsidRPr="008F5202">
        <w:rPr>
          <w:rFonts w:ascii="Times New Roman" w:eastAsia="Calibri" w:hAnsi="Times New Roman" w:cs="Times New Roman"/>
          <w:lang w:val="fr-FR"/>
        </w:rPr>
        <w:t>.</w:t>
      </w:r>
      <w:r w:rsidRPr="008F5202">
        <w:rPr>
          <w:rFonts w:ascii="Times New Roman" w:eastAsia="Calibri" w:hAnsi="Times New Roman" w:cs="Times New Roman"/>
          <w:lang w:val="fr-FR"/>
        </w:rPr>
        <w:t xml:space="preserve">25]. Guo et al. </w:t>
      </w:r>
      <w:r w:rsidR="00EA4E2B" w:rsidRPr="008F5202">
        <w:rPr>
          <w:rFonts w:ascii="Times New Roman" w:eastAsia="Calibri" w:hAnsi="Times New Roman" w:cs="Times New Roman"/>
          <w:lang w:val="fr-FR"/>
        </w:rPr>
        <w:t>[4</w:t>
      </w:r>
      <w:r w:rsidR="002055FA" w:rsidRPr="008F5202">
        <w:rPr>
          <w:rFonts w:ascii="Times New Roman" w:eastAsia="Calibri" w:hAnsi="Times New Roman" w:cs="Times New Roman"/>
          <w:lang w:val="fr-FR"/>
        </w:rPr>
        <w:t>.</w:t>
      </w:r>
      <w:r w:rsidRPr="008F5202">
        <w:rPr>
          <w:rFonts w:ascii="Times New Roman" w:eastAsia="Calibri" w:hAnsi="Times New Roman" w:cs="Times New Roman"/>
          <w:lang w:val="fr-FR"/>
        </w:rPr>
        <w:t xml:space="preserve">26] employed DEM to investigate heat transfer in moving packed-bed tube HX, where the tubes were subjected to oscillations to improve the heat transfer. </w:t>
      </w:r>
      <w:r w:rsidRPr="008F5202">
        <w:rPr>
          <w:rFonts w:ascii="Times New Roman" w:eastAsia="Calibri" w:hAnsi="Times New Roman" w:cs="Times New Roman"/>
        </w:rPr>
        <w:t xml:space="preserve">Tube oscillations improved thermal exchange by accelerating the particle update and improving the solid fraction in local zones. However, stronger oscillations led to separation of particles from the tube, thereby deteriorating the heat transfer. Tian et al.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27] also investigated the effect of pin-fin and its oscillation on the gravity-driven granular flow. Several other researchers in the past have developed DEM codes to model the complex particle-particle heat transfer phenomenon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28–</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30]. </w:t>
      </w:r>
    </w:p>
    <w:p w14:paraId="644924A0" w14:textId="08BBFF72" w:rsidR="00C9707E" w:rsidRPr="008F5202" w:rsidRDefault="00C9707E" w:rsidP="00C9707E">
      <w:pPr>
        <w:spacing w:line="360" w:lineRule="auto"/>
        <w:ind w:firstLine="284"/>
        <w:contextualSpacing/>
        <w:jc w:val="both"/>
        <w:rPr>
          <w:rFonts w:ascii="Times New Roman" w:eastAsia="Calibri" w:hAnsi="Times New Roman" w:cs="Times New Roman"/>
        </w:rPr>
      </w:pPr>
      <w:r w:rsidRPr="008F5202">
        <w:rPr>
          <w:rFonts w:ascii="Times New Roman" w:eastAsia="Calibri" w:hAnsi="Times New Roman" w:cs="Times New Roman"/>
        </w:rPr>
        <w:t>The particle-to-sCO</w:t>
      </w:r>
      <w:r w:rsidRPr="008F5202">
        <w:rPr>
          <w:rFonts w:ascii="Times New Roman" w:eastAsia="Calibri" w:hAnsi="Times New Roman" w:cs="Times New Roman"/>
          <w:vertAlign w:val="subscript"/>
        </w:rPr>
        <w:t>2</w:t>
      </w:r>
      <w:r w:rsidRPr="008F5202">
        <w:rPr>
          <w:rFonts w:ascii="Times New Roman" w:eastAsia="Calibri" w:hAnsi="Times New Roman" w:cs="Times New Roman"/>
        </w:rPr>
        <w:t xml:space="preserve"> heat transfer is influenced by several factors such as particle side bulk thermal conductivity, particle-wall contact resistance, particle size, channel width, interstitial gas, particle velocity, and particle residence time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31–</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33]. As discussed above, several types of HX concepts have been reported which can potentially augment the thermal exchange from the particle-side channel. In this study, the authors propose a novel gravity-driven moving packed-bed HX with Octet lattice framework packed between the plates of the channel on the falling-particle side. Octet has been investigated extensively in the past for its superior mechanical properties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34</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 xml:space="preserve">35]. The past work by our group focused on experimentally and numerically analyzing the convective heat transfer </w:t>
      </w:r>
      <w:r w:rsidRPr="008F5202">
        <w:rPr>
          <w:rFonts w:ascii="Times New Roman" w:eastAsia="Calibri" w:hAnsi="Times New Roman" w:cs="Times New Roman"/>
        </w:rPr>
        <w:lastRenderedPageBreak/>
        <w:t xml:space="preserve">augmentation capabilities of fiber-based lattices from both Cubic and Octahedron family in forced convection channel configurations with both air and water as the working fluid </w:t>
      </w:r>
      <w:r w:rsidR="00EA4E2B" w:rsidRPr="008F5202">
        <w:rPr>
          <w:rFonts w:ascii="Times New Roman" w:eastAsia="Calibri" w:hAnsi="Times New Roman" w:cs="Times New Roman"/>
        </w:rPr>
        <w:t>[4</w:t>
      </w:r>
      <w:r w:rsidR="006B5D5B" w:rsidRPr="008F5202">
        <w:rPr>
          <w:rFonts w:ascii="Times New Roman" w:eastAsia="Calibri" w:hAnsi="Times New Roman" w:cs="Times New Roman"/>
        </w:rPr>
        <w:t>.</w:t>
      </w:r>
      <w:r w:rsidRPr="008F5202">
        <w:rPr>
          <w:rFonts w:ascii="Times New Roman" w:eastAsia="Calibri" w:hAnsi="Times New Roman" w:cs="Times New Roman"/>
        </w:rPr>
        <w:t>36–</w:t>
      </w:r>
      <w:r w:rsidR="00EA4E2B" w:rsidRPr="008F5202">
        <w:rPr>
          <w:rFonts w:ascii="Times New Roman" w:eastAsia="Calibri" w:hAnsi="Times New Roman" w:cs="Times New Roman"/>
        </w:rPr>
        <w:t>4</w:t>
      </w:r>
      <w:r w:rsidR="006B5D5B" w:rsidRPr="008F5202">
        <w:rPr>
          <w:rFonts w:ascii="Times New Roman" w:eastAsia="Calibri" w:hAnsi="Times New Roman" w:cs="Times New Roman"/>
        </w:rPr>
        <w:t>.</w:t>
      </w:r>
      <w:r w:rsidRPr="008F5202">
        <w:rPr>
          <w:rFonts w:ascii="Times New Roman" w:eastAsia="Calibri" w:hAnsi="Times New Roman" w:cs="Times New Roman"/>
        </w:rPr>
        <w:t xml:space="preserve">40]. A thorough flow and heat transfer investigation has been conducted to characterize the flow patterns and thermal exchange dynamics rendered by four different topologies, viz Octet, Tetrakaidecahedron, Cube, and FD-Cube, subjected to both laminar and turbulent flow conditions. Extensive experimental and numerical investigation was conducted recently to establish the stagnant thermal conductivities of the aforementioned lattices with water and air filled in their void volume </w:t>
      </w:r>
      <w:r w:rsidR="00EA4E2B" w:rsidRPr="008F5202">
        <w:rPr>
          <w:rFonts w:ascii="Times New Roman" w:eastAsia="Calibri" w:hAnsi="Times New Roman" w:cs="Times New Roman"/>
        </w:rPr>
        <w:t>[4</w:t>
      </w:r>
      <w:r w:rsidR="002055FA" w:rsidRPr="008F5202">
        <w:rPr>
          <w:rFonts w:ascii="Times New Roman" w:eastAsia="Calibri" w:hAnsi="Times New Roman" w:cs="Times New Roman"/>
        </w:rPr>
        <w:t>.</w:t>
      </w:r>
      <w:r w:rsidRPr="008F5202">
        <w:rPr>
          <w:rFonts w:ascii="Times New Roman" w:eastAsia="Calibri" w:hAnsi="Times New Roman" w:cs="Times New Roman"/>
        </w:rPr>
        <w:t>41,</w:t>
      </w:r>
      <w:r w:rsidR="00EA4E2B" w:rsidRPr="008F5202">
        <w:rPr>
          <w:rFonts w:ascii="Times New Roman" w:eastAsia="Calibri" w:hAnsi="Times New Roman" w:cs="Times New Roman"/>
        </w:rPr>
        <w:t>4</w:t>
      </w:r>
      <w:r w:rsidR="006B5D5B" w:rsidRPr="008F5202">
        <w:rPr>
          <w:rFonts w:ascii="Times New Roman" w:eastAsia="Calibri" w:hAnsi="Times New Roman" w:cs="Times New Roman"/>
        </w:rPr>
        <w:t>.</w:t>
      </w:r>
      <w:r w:rsidRPr="008F5202">
        <w:rPr>
          <w:rFonts w:ascii="Times New Roman" w:eastAsia="Calibri" w:hAnsi="Times New Roman" w:cs="Times New Roman"/>
        </w:rPr>
        <w:t xml:space="preserve">42]. Amongst these four investigated topologies, Octet provided the highest interfacial heat transfer coefficient values on the fibers whereas effective thermal conductivity was found to be independent of lattice topology for porosity </w:t>
      </w:r>
      <m:oMath>
        <m:r>
          <w:rPr>
            <w:rFonts w:ascii="Cambria Math" w:eastAsia="Calibri" w:hAnsi="Cambria Math" w:cs="Times New Roman"/>
          </w:rPr>
          <m:t>≥</m:t>
        </m:r>
      </m:oMath>
      <w:r w:rsidRPr="008F5202">
        <w:rPr>
          <w:rFonts w:ascii="Times New Roman" w:eastAsia="Calibri" w:hAnsi="Times New Roman" w:cs="Times New Roman"/>
        </w:rPr>
        <w:t xml:space="preserve"> 0.8. From prior investigations, it has been well established that Octet exhibits superior interfacial heat transfer and mechanical properties </w:t>
      </w:r>
      <w:r w:rsidR="00EA4E2B" w:rsidRPr="008F5202">
        <w:rPr>
          <w:rFonts w:ascii="Times New Roman" w:eastAsia="Calibri" w:hAnsi="Times New Roman" w:cs="Times New Roman"/>
        </w:rPr>
        <w:t>[4</w:t>
      </w:r>
      <w:r w:rsidR="006B5D5B" w:rsidRPr="008F5202">
        <w:rPr>
          <w:rFonts w:ascii="Times New Roman" w:eastAsia="Calibri" w:hAnsi="Times New Roman" w:cs="Times New Roman"/>
        </w:rPr>
        <w:t>.</w:t>
      </w:r>
      <w:r w:rsidRPr="008F5202">
        <w:rPr>
          <w:rFonts w:ascii="Times New Roman" w:eastAsia="Calibri" w:hAnsi="Times New Roman" w:cs="Times New Roman"/>
        </w:rPr>
        <w:t xml:space="preserve">43]. These previous findings are a motivation to extend the utilization of unique fiber-based Octet topology to granular flow systems employed in CSP plants. Recently, Aider et al. </w:t>
      </w:r>
      <w:r w:rsidR="00EA4E2B" w:rsidRPr="008F5202">
        <w:rPr>
          <w:rFonts w:ascii="Times New Roman" w:eastAsia="Calibri" w:hAnsi="Times New Roman" w:cs="Times New Roman"/>
        </w:rPr>
        <w:t>[4</w:t>
      </w:r>
      <w:r w:rsidR="006B5D5B" w:rsidRPr="008F5202">
        <w:rPr>
          <w:rFonts w:ascii="Times New Roman" w:eastAsia="Calibri" w:hAnsi="Times New Roman" w:cs="Times New Roman"/>
        </w:rPr>
        <w:t>.</w:t>
      </w:r>
      <w:r w:rsidRPr="008F5202">
        <w:rPr>
          <w:rFonts w:ascii="Times New Roman" w:eastAsia="Calibri" w:hAnsi="Times New Roman" w:cs="Times New Roman"/>
        </w:rPr>
        <w:t>44] experimentally evaluated the convective heat transfer coefficient of  Octet lattice moving packed-bed heat exchanger (OLHX) additively manufactured in 420 stainless steel and found that the particle flow through OLHX channel provided heat transfer coefficient of 400 W/m</w:t>
      </w:r>
      <w:r w:rsidRPr="008F5202">
        <w:rPr>
          <w:rFonts w:ascii="Times New Roman" w:eastAsia="Calibri" w:hAnsi="Times New Roman" w:cs="Times New Roman"/>
          <w:vertAlign w:val="superscript"/>
        </w:rPr>
        <w:t>2</w:t>
      </w:r>
      <w:r w:rsidRPr="008F5202">
        <w:rPr>
          <w:rFonts w:ascii="Times New Roman" w:eastAsia="Calibri" w:hAnsi="Times New Roman" w:cs="Times New Roman"/>
        </w:rPr>
        <w:t>K at lattice porosity of 0.88. Moreover, the effective thermal conductivity of Octet-particles combination configurations was about 4-8 times higher than the corresponding particles-</w:t>
      </w:r>
      <w:r w:rsidRPr="008F5202">
        <w:rPr>
          <w:rFonts w:ascii="Times New Roman" w:eastAsia="Calibri" w:hAnsi="Times New Roman" w:cs="Times New Roman"/>
          <w:i/>
          <w:iCs/>
        </w:rPr>
        <w:t>only</w:t>
      </w:r>
      <w:r w:rsidRPr="008F5202">
        <w:rPr>
          <w:rFonts w:ascii="Times New Roman" w:eastAsia="Calibri" w:hAnsi="Times New Roman" w:cs="Times New Roman"/>
        </w:rPr>
        <w:t xml:space="preserve"> configurations. OLHX therefore has the potential to reduce the particle-side thermal resistance and provide enhanced heat transfer owing to large wetted specific-area. The current study aims at experimentally visualizing the flow of particles and eventually develop DEM framework to simulate the granular flow through OLHX. The mass flow rates of the particles under free-fall through OLHX were measured through experiments. The results from DEM simulations were compared to the experimental data in terms of the mass flow rate as well as local flow features. The particle-side heat transfer coefficient is critical in determining the viability of granular-based heat exchange technology in CSP plants as dictated by the $/kWh metrics and the proposed OLHX can be optimized to meet these cost and power requirements of power plants.</w:t>
      </w:r>
    </w:p>
    <w:p w14:paraId="46830332" w14:textId="395F5FBA" w:rsidR="00793180" w:rsidRPr="008F5202" w:rsidRDefault="007B7C54" w:rsidP="00793180">
      <w:pPr>
        <w:pStyle w:val="Heading2"/>
      </w:pPr>
      <w:bookmarkStart w:id="171" w:name="_Toc177758175"/>
      <w:r w:rsidRPr="008F5202">
        <w:lastRenderedPageBreak/>
        <w:t>Experimental setup and computational domain</w:t>
      </w:r>
      <w:bookmarkEnd w:id="171"/>
      <w:r w:rsidRPr="008F5202">
        <w:t xml:space="preserve"> </w:t>
      </w:r>
    </w:p>
    <w:p w14:paraId="7D4F7834" w14:textId="140A671B" w:rsidR="00BB6E23" w:rsidRPr="008F5202" w:rsidRDefault="00BB6E23" w:rsidP="00BB6E23">
      <w:pPr>
        <w:tabs>
          <w:tab w:val="left" w:pos="360"/>
        </w:tabs>
        <w:spacing w:line="360" w:lineRule="auto"/>
        <w:contextualSpacing/>
        <w:jc w:val="both"/>
        <w:rPr>
          <w:rFonts w:ascii="Times New Roman" w:hAnsi="Times New Roman" w:cs="Times New Roman"/>
        </w:rPr>
      </w:pPr>
      <w:r w:rsidRPr="008F5202">
        <w:rPr>
          <w:rFonts w:ascii="Times New Roman" w:eastAsia="Calibri" w:hAnsi="Times New Roman" w:cs="Times New Roman"/>
        </w:rPr>
        <w:t xml:space="preserve">Figure </w:t>
      </w:r>
      <w:r w:rsidR="00297625" w:rsidRPr="008F5202">
        <w:rPr>
          <w:rFonts w:ascii="Times New Roman" w:eastAsia="Calibri" w:hAnsi="Times New Roman" w:cs="Times New Roman"/>
        </w:rPr>
        <w:t>4</w:t>
      </w:r>
      <w:r w:rsidR="00AE55C5" w:rsidRPr="008F5202">
        <w:rPr>
          <w:rFonts w:ascii="Times New Roman" w:eastAsia="Calibri" w:hAnsi="Times New Roman" w:cs="Times New Roman"/>
        </w:rPr>
        <w:t>.</w:t>
      </w:r>
      <w:r w:rsidRPr="008F5202">
        <w:rPr>
          <w:rFonts w:ascii="Times New Roman" w:eastAsia="Calibri" w:hAnsi="Times New Roman" w:cs="Times New Roman"/>
        </w:rPr>
        <w:t xml:space="preserve">2 shows the schematic of experimental setup used for granular flow visualization in OLHX and Fig. </w:t>
      </w:r>
      <w:r w:rsidR="00297625" w:rsidRPr="008F5202">
        <w:rPr>
          <w:rFonts w:ascii="Times New Roman" w:eastAsia="Calibri" w:hAnsi="Times New Roman" w:cs="Times New Roman"/>
        </w:rPr>
        <w:t>4</w:t>
      </w:r>
      <w:r w:rsidR="00AE55C5" w:rsidRPr="008F5202">
        <w:rPr>
          <w:rFonts w:ascii="Times New Roman" w:eastAsia="Calibri" w:hAnsi="Times New Roman" w:cs="Times New Roman"/>
        </w:rPr>
        <w:t>.</w:t>
      </w:r>
      <w:r w:rsidRPr="008F5202">
        <w:rPr>
          <w:rFonts w:ascii="Times New Roman" w:eastAsia="Calibri" w:hAnsi="Times New Roman" w:cs="Times New Roman"/>
        </w:rPr>
        <w:t xml:space="preserve">3 provides the details of the corresponding computational domain used in </w:t>
      </w:r>
    </w:p>
    <w:p w14:paraId="44B2EF95" w14:textId="77777777" w:rsidR="00AE55C5" w:rsidRPr="008F5202" w:rsidRDefault="00AE55C5" w:rsidP="00AE55C5">
      <w:pPr>
        <w:keepNext/>
        <w:tabs>
          <w:tab w:val="left" w:pos="360"/>
        </w:tabs>
        <w:spacing w:line="360" w:lineRule="auto"/>
        <w:contextualSpacing/>
        <w:jc w:val="both"/>
        <w:rPr>
          <w:rFonts w:ascii="Times New Roman" w:hAnsi="Times New Roman" w:cs="Times New Roman"/>
        </w:rPr>
      </w:pPr>
      <w:r w:rsidRPr="008F5202">
        <w:rPr>
          <w:rFonts w:ascii="Times New Roman" w:hAnsi="Times New Roman" w:cs="Times New Roman"/>
          <w:b/>
          <w:bCs/>
          <w:noProof/>
          <w:sz w:val="18"/>
          <w:szCs w:val="18"/>
        </w:rPr>
        <w:lastRenderedPageBreak/>
        <w:drawing>
          <wp:inline distT="0" distB="0" distL="0" distR="0" wp14:anchorId="3315947E" wp14:editId="662EAF20">
            <wp:extent cx="5486400" cy="2772973"/>
            <wp:effectExtent l="0" t="0" r="0" b="8890"/>
            <wp:docPr id="1812698721" name="Picture 1812698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56" cstate="print">
                      <a:extLst>
                        <a:ext uri="{28A0092B-C50C-407E-A947-70E740481C1C}">
                          <a14:useLocalDpi xmlns:a14="http://schemas.microsoft.com/office/drawing/2010/main" val="0"/>
                        </a:ext>
                      </a:extLst>
                    </a:blip>
                    <a:srcRect l="11022" t="7552" r="16275" b="27124"/>
                    <a:stretch/>
                  </pic:blipFill>
                  <pic:spPr bwMode="auto">
                    <a:xfrm>
                      <a:off x="0" y="0"/>
                      <a:ext cx="5486400" cy="2772973"/>
                    </a:xfrm>
                    <a:prstGeom prst="rect">
                      <a:avLst/>
                    </a:prstGeom>
                    <a:ln>
                      <a:noFill/>
                    </a:ln>
                    <a:extLst>
                      <a:ext uri="{53640926-AAD7-44D8-BBD7-CCE9431645EC}">
                        <a14:shadowObscured xmlns:a14="http://schemas.microsoft.com/office/drawing/2010/main"/>
                      </a:ext>
                    </a:extLst>
                  </pic:spPr>
                </pic:pic>
              </a:graphicData>
            </a:graphic>
          </wp:inline>
        </w:drawing>
      </w:r>
    </w:p>
    <w:p w14:paraId="57783EFB" w14:textId="66C51DA2" w:rsidR="00AE55C5" w:rsidRPr="008F5202" w:rsidRDefault="00AE55C5" w:rsidP="008F5202">
      <w:pPr>
        <w:pStyle w:val="Caption"/>
      </w:pPr>
      <w:bookmarkStart w:id="172" w:name="_Toc177755217"/>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4</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2</w:t>
      </w:r>
      <w:r w:rsidR="003763D2" w:rsidRPr="008F5202">
        <w:fldChar w:fldCharType="end"/>
      </w:r>
      <w:r w:rsidRPr="008F5202">
        <w:t xml:space="preserve"> </w:t>
      </w:r>
      <w:r w:rsidRPr="008F5202">
        <w:t>(a) Schematic of experimental set-up used for granular flow visualization (not drawn to scale), (b) additively manufactured Octet lattice packed between enclosure of acrylic glass</w:t>
      </w:r>
      <w:bookmarkEnd w:id="172"/>
    </w:p>
    <w:p w14:paraId="121A4615" w14:textId="77777777" w:rsidR="00AE55C5" w:rsidRPr="008F5202" w:rsidRDefault="00AE55C5" w:rsidP="00AE55C5">
      <w:pPr>
        <w:keepNext/>
        <w:rPr>
          <w:rFonts w:ascii="Times New Roman" w:hAnsi="Times New Roman" w:cs="Times New Roman"/>
        </w:rPr>
      </w:pPr>
      <w:r w:rsidRPr="008F5202">
        <w:rPr>
          <w:rFonts w:ascii="Times New Roman" w:hAnsi="Times New Roman" w:cs="Times New Roman"/>
          <w:b/>
          <w:bCs/>
          <w:noProof/>
        </w:rPr>
        <w:drawing>
          <wp:inline distT="0" distB="0" distL="0" distR="0" wp14:anchorId="6E09BBF3" wp14:editId="451CED41">
            <wp:extent cx="5485626" cy="3561907"/>
            <wp:effectExtent l="0" t="0" r="1270" b="635"/>
            <wp:docPr id="1452176336" name="Picture 1452176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57" cstate="print">
                      <a:extLst>
                        <a:ext uri="{28A0092B-C50C-407E-A947-70E740481C1C}">
                          <a14:useLocalDpi xmlns:a14="http://schemas.microsoft.com/office/drawing/2010/main" val="0"/>
                        </a:ext>
                      </a:extLst>
                    </a:blip>
                    <a:srcRect l="11289" r="6493" b="4271"/>
                    <a:stretch/>
                  </pic:blipFill>
                  <pic:spPr bwMode="auto">
                    <a:xfrm>
                      <a:off x="0" y="0"/>
                      <a:ext cx="5492836" cy="3566588"/>
                    </a:xfrm>
                    <a:prstGeom prst="rect">
                      <a:avLst/>
                    </a:prstGeom>
                    <a:ln>
                      <a:noFill/>
                    </a:ln>
                    <a:extLst>
                      <a:ext uri="{53640926-AAD7-44D8-BBD7-CCE9431645EC}">
                        <a14:shadowObscured xmlns:a14="http://schemas.microsoft.com/office/drawing/2010/main"/>
                      </a:ext>
                    </a:extLst>
                  </pic:spPr>
                </pic:pic>
              </a:graphicData>
            </a:graphic>
          </wp:inline>
        </w:drawing>
      </w:r>
    </w:p>
    <w:p w14:paraId="12AED100" w14:textId="0113E329" w:rsidR="00AE55C5" w:rsidRPr="008F5202" w:rsidRDefault="00AE55C5" w:rsidP="008F5202">
      <w:pPr>
        <w:pStyle w:val="Caption"/>
      </w:pPr>
      <w:bookmarkStart w:id="173" w:name="_Toc177755218"/>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4</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3</w:t>
      </w:r>
      <w:r w:rsidR="003763D2" w:rsidRPr="008F5202">
        <w:fldChar w:fldCharType="end"/>
      </w:r>
      <w:r w:rsidRPr="008F5202">
        <w:t xml:space="preserve"> </w:t>
      </w:r>
      <w:r w:rsidRPr="008F5202">
        <w:t>Geometrical dimensions of the hopper and lattice section in the computational domain</w:t>
      </w:r>
      <w:bookmarkEnd w:id="173"/>
    </w:p>
    <w:p w14:paraId="3BBA42DA" w14:textId="2EB76FF6" w:rsidR="00AE55C5" w:rsidRPr="008F5202" w:rsidRDefault="00AE55C5" w:rsidP="00AE55C5">
      <w:pPr>
        <w:spacing w:line="360" w:lineRule="auto"/>
        <w:jc w:val="both"/>
        <w:rPr>
          <w:rFonts w:ascii="Times New Roman" w:hAnsi="Times New Roman" w:cs="Times New Roman"/>
        </w:rPr>
      </w:pPr>
      <w:r w:rsidRPr="008F5202">
        <w:rPr>
          <w:rFonts w:ascii="Times New Roman" w:hAnsi="Times New Roman" w:cs="Times New Roman"/>
        </w:rPr>
        <w:lastRenderedPageBreak/>
        <w:t>the DEM simulations. The OLHX consisted of single-cell thick Octet lattice packed in an enclosure made of 12.7 mm thick acrylic sheets. The acrylic panels provided the required transparent access to record the granular flow motion using a GoPro camera at 30 Hz. The set-up consisted of a large hopper formed by bending mild steel sheets riveted at junctions to act as buffer storage for desired number of particles before they were released to flow through the lattice under the influence of gravity. At the beginning of every test-run (</w:t>
      </w:r>
      <m:oMath>
        <m:r>
          <w:rPr>
            <w:rFonts w:ascii="Cambria Math" w:hAnsi="Cambria Math" w:cs="Times New Roman"/>
          </w:rPr>
          <m:t>t</m:t>
        </m:r>
      </m:oMath>
      <w:r w:rsidRPr="008F5202">
        <w:rPr>
          <w:rFonts w:ascii="Times New Roman" w:hAnsi="Times New Roman" w:cs="Times New Roman"/>
        </w:rPr>
        <w:t xml:space="preserve"> = 0) the lattice exit (shown in Fig. </w:t>
      </w:r>
      <w:r w:rsidR="00297625" w:rsidRPr="008F5202">
        <w:rPr>
          <w:rFonts w:ascii="Times New Roman" w:hAnsi="Times New Roman" w:cs="Times New Roman"/>
        </w:rPr>
        <w:t>4</w:t>
      </w:r>
      <w:r w:rsidRPr="008F5202">
        <w:rPr>
          <w:rFonts w:ascii="Times New Roman" w:hAnsi="Times New Roman" w:cs="Times New Roman"/>
        </w:rPr>
        <w:t>.</w:t>
      </w:r>
      <w:r w:rsidRPr="008F5202">
        <w:rPr>
          <w:rFonts w:ascii="Times New Roman" w:hAnsi="Times New Roman" w:cs="Times New Roman"/>
        </w:rPr>
        <w:t>2) was sealed with cardboard sheet and the particles were poured from the top into the hopper such that the whole Octet lattice section and a certain known height of the hopper were charged with stagnant particles. The cardboard sheet at the lattice exit was then instantly removed to allow the particles to fall into a container underneath the exit. A stopwatch was used to monitor the time during the free-fall and the time when all the particles had drained out of the OLHX was recorded. The particles collected underneath the OLHX exit were then measured on a high-precision weighing scale to evaluate the mass of the particles. The measured mass of the particles and the recorded time were finally used to evaluate the time-averaged mass flow rate of particles. Each run was repeated several times to ensure the repeatability of results and accuracy of the procedure adopted.</w:t>
      </w:r>
    </w:p>
    <w:p w14:paraId="6CC34C50" w14:textId="5D1DF75F" w:rsidR="00BB6E23" w:rsidRPr="008F5202" w:rsidRDefault="00BB6E23" w:rsidP="00BB6E23">
      <w:pPr>
        <w:tabs>
          <w:tab w:val="left" w:pos="360"/>
        </w:tabs>
        <w:spacing w:line="360" w:lineRule="auto"/>
        <w:contextualSpacing/>
        <w:jc w:val="both"/>
        <w:rPr>
          <w:rFonts w:ascii="Times New Roman" w:eastAsia="Calibri" w:hAnsi="Times New Roman" w:cs="Times New Roman"/>
          <w:b/>
          <w:bCs/>
        </w:rPr>
      </w:pPr>
      <w:r w:rsidRPr="008F5202">
        <w:rPr>
          <w:rFonts w:ascii="Times New Roman" w:hAnsi="Times New Roman" w:cs="Times New Roman"/>
        </w:rPr>
        <w:tab/>
        <w:t xml:space="preserve">The Octet lattices used in the experiments were additively manufactured in resin using an in-house Form 3 SLA printer (from Formlabs). The total length of each lattice in the mean-flow direction was 100 mm and the width of the lattice was 50 mm (shown in Fig. </w:t>
      </w:r>
      <w:r w:rsidR="00297625" w:rsidRPr="008F5202">
        <w:rPr>
          <w:rFonts w:ascii="Times New Roman" w:hAnsi="Times New Roman" w:cs="Times New Roman"/>
        </w:rPr>
        <w:t>4</w:t>
      </w:r>
      <w:r w:rsidR="00AE55C5" w:rsidRPr="008F5202">
        <w:rPr>
          <w:rFonts w:ascii="Times New Roman" w:hAnsi="Times New Roman" w:cs="Times New Roman"/>
        </w:rPr>
        <w:t>.</w:t>
      </w:r>
      <w:r w:rsidRPr="008F5202">
        <w:rPr>
          <w:rFonts w:ascii="Times New Roman" w:hAnsi="Times New Roman" w:cs="Times New Roman"/>
        </w:rPr>
        <w:t xml:space="preserve">3). The lattice was single-cell thick where each repeating unit cell had dimensions of 10 mm x 10 mm x 10 mm resulting in total ten cells along the streamwise direction and five along the channel span. Different views of the Octet topology are also shown in Fig. </w:t>
      </w:r>
      <w:r w:rsidR="00297625" w:rsidRPr="008F5202">
        <w:rPr>
          <w:rFonts w:ascii="Times New Roman" w:hAnsi="Times New Roman" w:cs="Times New Roman"/>
        </w:rPr>
        <w:t>4</w:t>
      </w:r>
      <w:r w:rsidR="00AE55C5" w:rsidRPr="008F5202">
        <w:rPr>
          <w:rFonts w:ascii="Times New Roman" w:hAnsi="Times New Roman" w:cs="Times New Roman"/>
        </w:rPr>
        <w:t>.</w:t>
      </w:r>
      <w:r w:rsidRPr="008F5202">
        <w:rPr>
          <w:rFonts w:ascii="Times New Roman" w:hAnsi="Times New Roman" w:cs="Times New Roman"/>
        </w:rPr>
        <w:t xml:space="preserve">3. Three porosities of the Octet lattice were investigated experimentally and numerically, viz 0.75, 0.80, and 0.88. The corresponding fiber diameters were 1.55 mm, 1.36 mm, and 1 mm, respectively. The dimensional scales of the lattice section in the computational domain were exactly the same as that of the experiments. However, the large computational time and memory requirements prohibited the simulation of exact same mass of particles as filled during experiments. A relatively lower mass of particles was simulated (due to computational cost of DEM) due to which a scaled down version of hopper was modeled </w:t>
      </w:r>
      <w:r w:rsidRPr="008F5202">
        <w:rPr>
          <w:rFonts w:ascii="Times New Roman" w:hAnsi="Times New Roman" w:cs="Times New Roman"/>
        </w:rPr>
        <w:lastRenderedPageBreak/>
        <w:t xml:space="preserve">as shown in Fig. </w:t>
      </w:r>
      <w:r w:rsidR="00297625" w:rsidRPr="008F5202">
        <w:rPr>
          <w:rFonts w:ascii="Times New Roman" w:hAnsi="Times New Roman" w:cs="Times New Roman"/>
        </w:rPr>
        <w:t>4</w:t>
      </w:r>
      <w:r w:rsidR="00AE55C5" w:rsidRPr="008F5202">
        <w:rPr>
          <w:rFonts w:ascii="Times New Roman" w:hAnsi="Times New Roman" w:cs="Times New Roman"/>
        </w:rPr>
        <w:t>.</w:t>
      </w:r>
      <w:r w:rsidRPr="008F5202">
        <w:rPr>
          <w:rFonts w:ascii="Times New Roman" w:hAnsi="Times New Roman" w:cs="Times New Roman"/>
        </w:rPr>
        <w:t xml:space="preserve">3. The hopper in the computational domain resembled a frustrum with a rectangular base. The width and depth of the base where it connected with the lattice section was 50 mm and 10 mm, respectively, in order to completely conform to the lattice entrance. The total height of the hopper was 120 mm which opened to a rectangular cross-section of 80 mm x 40 mm on the top.  </w:t>
      </w:r>
    </w:p>
    <w:p w14:paraId="1B5388C8" w14:textId="7565C6DF" w:rsidR="00BB6E23" w:rsidRPr="008F5202" w:rsidRDefault="00BB6E23" w:rsidP="00BB6E23">
      <w:pPr>
        <w:spacing w:line="360" w:lineRule="auto"/>
        <w:ind w:firstLine="360"/>
        <w:contextualSpacing/>
        <w:jc w:val="both"/>
        <w:rPr>
          <w:rFonts w:ascii="Times New Roman" w:eastAsia="Calibri" w:hAnsi="Times New Roman" w:cs="Times New Roman"/>
          <w:b/>
          <w:bCs/>
          <w:sz w:val="18"/>
          <w:szCs w:val="18"/>
        </w:rPr>
      </w:pPr>
      <w:r w:rsidRPr="008F5202">
        <w:rPr>
          <w:rFonts w:ascii="Times New Roman" w:hAnsi="Times New Roman" w:cs="Times New Roman"/>
        </w:rPr>
        <w:t>Unlike experiments, the covering lid was placed at the junction of the frustrum base and the lattice entrance (shown in red color in Fig.</w:t>
      </w:r>
      <w:r w:rsidR="00297625" w:rsidRPr="008F5202">
        <w:rPr>
          <w:rFonts w:ascii="Times New Roman" w:hAnsi="Times New Roman" w:cs="Times New Roman"/>
        </w:rPr>
        <w:t>4</w:t>
      </w:r>
      <w:r w:rsidR="00AE55C5" w:rsidRPr="008F5202">
        <w:rPr>
          <w:rFonts w:ascii="Times New Roman" w:hAnsi="Times New Roman" w:cs="Times New Roman"/>
        </w:rPr>
        <w:t>.</w:t>
      </w:r>
      <w:r w:rsidRPr="008F5202">
        <w:rPr>
          <w:rFonts w:ascii="Times New Roman" w:hAnsi="Times New Roman" w:cs="Times New Roman"/>
        </w:rPr>
        <w:t xml:space="preserve">3) in computations. The lattice was bounded by walls of zero-thickness on the four sides in simulations. In the first step, the particles were injected from the top of the hopper and allowed to accumulate down on the lid under the influence of gravity. When the required amount of particle mass was injected into the hopper, the particles were allowed to settle down for some time to ensure that the mass flow rate during free-fall was calculated from the initial resting state of the particle just like experiments. Figure </w:t>
      </w:r>
      <w:r w:rsidR="00297625" w:rsidRPr="008F5202">
        <w:rPr>
          <w:rFonts w:ascii="Times New Roman" w:hAnsi="Times New Roman" w:cs="Times New Roman"/>
        </w:rPr>
        <w:t>4</w:t>
      </w:r>
      <w:r w:rsidR="00AE55C5" w:rsidRPr="008F5202">
        <w:rPr>
          <w:rFonts w:ascii="Times New Roman" w:hAnsi="Times New Roman" w:cs="Times New Roman"/>
        </w:rPr>
        <w:t>.</w:t>
      </w:r>
      <w:r w:rsidRPr="008F5202">
        <w:rPr>
          <w:rFonts w:ascii="Times New Roman" w:hAnsi="Times New Roman" w:cs="Times New Roman"/>
        </w:rPr>
        <w:t>4 shows the resting particles filled in hopper before the free-fall. Once the particles were settled, the lid below them was removed and they were allowed to fall through the Octet lattice under the gravitational force.</w:t>
      </w:r>
      <w:r w:rsidRPr="008F5202">
        <w:rPr>
          <w:rFonts w:ascii="Times New Roman" w:hAnsi="Times New Roman" w:cs="Times New Roman"/>
          <w:sz w:val="18"/>
          <w:szCs w:val="18"/>
        </w:rPr>
        <w:t xml:space="preserve"> </w:t>
      </w:r>
    </w:p>
    <w:p w14:paraId="1A398FB1" w14:textId="7CF26CA7" w:rsidR="00487AD3" w:rsidRPr="008F5202" w:rsidRDefault="00487AD3" w:rsidP="0009736F">
      <w:pPr>
        <w:pStyle w:val="Heading2"/>
        <w:rPr>
          <w:rFonts w:eastAsia="Calibri"/>
        </w:rPr>
      </w:pPr>
      <w:bookmarkStart w:id="174" w:name="_Toc177758176"/>
      <w:r w:rsidRPr="008F5202">
        <w:rPr>
          <w:rFonts w:eastAsia="Calibri"/>
        </w:rPr>
        <w:t>P</w:t>
      </w:r>
      <w:r w:rsidR="007B7C54" w:rsidRPr="008F5202">
        <w:rPr>
          <w:rFonts w:eastAsia="Calibri"/>
        </w:rPr>
        <w:t>article characteristics</w:t>
      </w:r>
      <w:bookmarkEnd w:id="174"/>
      <w:r w:rsidR="007B7C54" w:rsidRPr="008F5202">
        <w:rPr>
          <w:rFonts w:eastAsia="Calibri"/>
        </w:rPr>
        <w:t xml:space="preserve"> </w:t>
      </w:r>
    </w:p>
    <w:p w14:paraId="2D4A3B77" w14:textId="296C56D5" w:rsidR="00487AD3" w:rsidRPr="008F5202" w:rsidRDefault="00487AD3" w:rsidP="00487AD3">
      <w:pPr>
        <w:tabs>
          <w:tab w:val="left" w:pos="270"/>
        </w:tabs>
        <w:spacing w:line="360" w:lineRule="auto"/>
        <w:contextualSpacing/>
        <w:jc w:val="both"/>
        <w:rPr>
          <w:rFonts w:ascii="Times New Roman" w:hAnsi="Times New Roman" w:cs="Times New Roman"/>
        </w:rPr>
      </w:pPr>
      <w:r w:rsidRPr="008F5202">
        <w:rPr>
          <w:rFonts w:ascii="Times New Roman" w:eastAsia="Calibri" w:hAnsi="Times New Roman" w:cs="Times New Roman"/>
          <w:b/>
          <w:bCs/>
        </w:rPr>
        <w:tab/>
      </w:r>
      <w:r w:rsidRPr="008F5202">
        <w:rPr>
          <w:rFonts w:ascii="Times New Roman" w:eastAsia="Calibri" w:hAnsi="Times New Roman" w:cs="Times New Roman"/>
        </w:rPr>
        <w:t>Three</w:t>
      </w:r>
      <w:r w:rsidRPr="008F5202">
        <w:rPr>
          <w:rFonts w:ascii="Times New Roman" w:hAnsi="Times New Roman" w:cs="Times New Roman"/>
        </w:rPr>
        <w:t xml:space="preserve"> different batches of sintered bauxite CARBOBEAD particles were experimentally investigated. Figure </w:t>
      </w:r>
      <w:r w:rsidR="00297625" w:rsidRPr="008F5202">
        <w:rPr>
          <w:rFonts w:ascii="Times New Roman" w:hAnsi="Times New Roman" w:cs="Times New Roman"/>
        </w:rPr>
        <w:t>4</w:t>
      </w:r>
      <w:r w:rsidR="00AE55C5" w:rsidRPr="008F5202">
        <w:rPr>
          <w:rFonts w:ascii="Times New Roman" w:hAnsi="Times New Roman" w:cs="Times New Roman"/>
        </w:rPr>
        <w:t>.</w:t>
      </w:r>
      <w:r w:rsidRPr="008F5202">
        <w:rPr>
          <w:rFonts w:ascii="Times New Roman" w:hAnsi="Times New Roman" w:cs="Times New Roman"/>
        </w:rPr>
        <w:t xml:space="preserve">5 shows the distribution profiles from the particle size analysis performed using Anton Paar PSA 1190 LD. The investigated particles and the corresponding mean diameters are provided in Table </w:t>
      </w:r>
      <w:r w:rsidR="008700FD" w:rsidRPr="008F5202">
        <w:rPr>
          <w:rFonts w:ascii="Times New Roman" w:hAnsi="Times New Roman" w:cs="Times New Roman"/>
        </w:rPr>
        <w:t>4</w:t>
      </w:r>
      <w:r w:rsidR="00561B55" w:rsidRPr="008F5202">
        <w:rPr>
          <w:rFonts w:ascii="Times New Roman" w:hAnsi="Times New Roman" w:cs="Times New Roman"/>
        </w:rPr>
        <w:t>.</w:t>
      </w:r>
      <w:r w:rsidRPr="008F5202">
        <w:rPr>
          <w:rFonts w:ascii="Times New Roman" w:hAnsi="Times New Roman" w:cs="Times New Roman"/>
        </w:rPr>
        <w:t>1. The flow of particles (3 different diameters) was experimentally investigated for three different Octet lattice porosities; however, the simulations were performed using only CARBOBEAD-CP 30/60 particles for all three porosities of the lattice.</w:t>
      </w:r>
      <w:r w:rsidR="00352528" w:rsidRPr="008F5202">
        <w:rPr>
          <w:rFonts w:ascii="Times New Roman" w:hAnsi="Times New Roman" w:cs="Times New Roman"/>
        </w:rPr>
        <w:t xml:space="preserve"> </w:t>
      </w:r>
    </w:p>
    <w:p w14:paraId="2B99FBAE" w14:textId="2E06C3A8" w:rsidR="00561B55" w:rsidRPr="008F5202" w:rsidRDefault="00561B55" w:rsidP="008F5202">
      <w:pPr>
        <w:pStyle w:val="Caption"/>
      </w:pPr>
      <w:bookmarkStart w:id="175" w:name="_Ref177746174"/>
      <w:bookmarkStart w:id="176" w:name="_Toc177755182"/>
      <w:r w:rsidRPr="008F5202">
        <w:t xml:space="preserve">Table </w:t>
      </w:r>
      <w:r w:rsidRPr="008F5202">
        <w:fldChar w:fldCharType="begin"/>
      </w:r>
      <w:r w:rsidRPr="008F5202">
        <w:instrText xml:space="preserve"> STYLEREF 1 \s </w:instrText>
      </w:r>
      <w:r w:rsidRPr="008F5202">
        <w:fldChar w:fldCharType="separate"/>
      </w:r>
      <w:r w:rsidR="00AF1AFB">
        <w:rPr>
          <w:noProof/>
        </w:rPr>
        <w:t>4</w:t>
      </w:r>
      <w:r w:rsidRPr="008F5202">
        <w:fldChar w:fldCharType="end"/>
      </w:r>
      <w:r w:rsidRPr="008F5202">
        <w:t>.</w:t>
      </w:r>
      <w:r w:rsidRPr="008F5202">
        <w:fldChar w:fldCharType="begin"/>
      </w:r>
      <w:r w:rsidRPr="008F5202">
        <w:instrText xml:space="preserve"> SEQ Table \* ARABIC \s 1 </w:instrText>
      </w:r>
      <w:r w:rsidRPr="008F5202">
        <w:fldChar w:fldCharType="separate"/>
      </w:r>
      <w:r w:rsidR="00AF1AFB">
        <w:rPr>
          <w:noProof/>
        </w:rPr>
        <w:t>1</w:t>
      </w:r>
      <w:r w:rsidRPr="008F5202">
        <w:fldChar w:fldCharType="end"/>
      </w:r>
      <w:r w:rsidRPr="008F5202">
        <w:t xml:space="preserve"> </w:t>
      </w:r>
      <w:r w:rsidRPr="008F5202">
        <w:t>Mean diameter values of three different particle types experimentally investigated</w:t>
      </w:r>
      <w:bookmarkEnd w:id="175"/>
      <w:bookmarkEnd w:id="17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0"/>
        <w:gridCol w:w="1940"/>
      </w:tblGrid>
      <w:tr w:rsidR="00561B55" w:rsidRPr="008F5202" w14:paraId="017E860E" w14:textId="77777777" w:rsidTr="00561B55">
        <w:trPr>
          <w:trHeight w:hRule="exact" w:val="288"/>
          <w:jc w:val="center"/>
        </w:trPr>
        <w:tc>
          <w:tcPr>
            <w:tcW w:w="2370" w:type="dxa"/>
          </w:tcPr>
          <w:p w14:paraId="67491A8E" w14:textId="77777777" w:rsidR="00561B55" w:rsidRPr="008F5202" w:rsidRDefault="00561B55" w:rsidP="00561B55">
            <w:pPr>
              <w:tabs>
                <w:tab w:val="left" w:pos="270"/>
              </w:tabs>
              <w:spacing w:line="360" w:lineRule="auto"/>
              <w:contextualSpacing/>
              <w:jc w:val="center"/>
              <w:rPr>
                <w:rFonts w:ascii="Times New Roman" w:eastAsiaTheme="minorEastAsia" w:hAnsi="Times New Roman" w:cs="Times New Roman"/>
                <w:b/>
                <w:bCs/>
                <w:sz w:val="18"/>
                <w:szCs w:val="18"/>
              </w:rPr>
            </w:pPr>
            <w:r w:rsidRPr="008F5202">
              <w:rPr>
                <w:rFonts w:ascii="Times New Roman" w:eastAsiaTheme="minorEastAsia" w:hAnsi="Times New Roman" w:cs="Times New Roman"/>
                <w:b/>
                <w:bCs/>
                <w:sz w:val="18"/>
                <w:szCs w:val="18"/>
              </w:rPr>
              <w:t>Particle type</w:t>
            </w:r>
          </w:p>
        </w:tc>
        <w:tc>
          <w:tcPr>
            <w:tcW w:w="1940" w:type="dxa"/>
          </w:tcPr>
          <w:p w14:paraId="7A8CAAB9" w14:textId="77777777" w:rsidR="00561B55" w:rsidRPr="008F5202" w:rsidRDefault="00561B55" w:rsidP="00561B55">
            <w:pPr>
              <w:tabs>
                <w:tab w:val="left" w:pos="270"/>
              </w:tabs>
              <w:spacing w:line="360" w:lineRule="auto"/>
              <w:contextualSpacing/>
              <w:jc w:val="center"/>
              <w:rPr>
                <w:rFonts w:ascii="Times New Roman" w:eastAsiaTheme="minorEastAsia" w:hAnsi="Times New Roman" w:cs="Times New Roman"/>
                <w:b/>
                <w:bCs/>
                <w:sz w:val="18"/>
                <w:szCs w:val="18"/>
              </w:rPr>
            </w:pPr>
            <w:r w:rsidRPr="008F5202">
              <w:rPr>
                <w:rFonts w:ascii="Times New Roman" w:eastAsiaTheme="minorEastAsia" w:hAnsi="Times New Roman" w:cs="Times New Roman"/>
                <w:b/>
                <w:bCs/>
                <w:sz w:val="18"/>
                <w:szCs w:val="18"/>
              </w:rPr>
              <w:t>Mean diameter</w:t>
            </w:r>
          </w:p>
        </w:tc>
      </w:tr>
      <w:tr w:rsidR="00561B55" w:rsidRPr="008F5202" w14:paraId="14359EE0" w14:textId="77777777" w:rsidTr="00561B55">
        <w:trPr>
          <w:trHeight w:hRule="exact" w:val="288"/>
          <w:jc w:val="center"/>
        </w:trPr>
        <w:tc>
          <w:tcPr>
            <w:tcW w:w="2370" w:type="dxa"/>
          </w:tcPr>
          <w:p w14:paraId="6DE96A86" w14:textId="77777777" w:rsidR="00561B55" w:rsidRPr="008F5202" w:rsidRDefault="00561B55" w:rsidP="00561B55">
            <w:pPr>
              <w:tabs>
                <w:tab w:val="left" w:pos="270"/>
              </w:tabs>
              <w:spacing w:line="360" w:lineRule="auto"/>
              <w:contextualSpacing/>
              <w:jc w:val="center"/>
              <w:rPr>
                <w:rFonts w:ascii="Times New Roman" w:eastAsiaTheme="minorEastAsia" w:hAnsi="Times New Roman" w:cs="Times New Roman"/>
                <w:sz w:val="18"/>
                <w:szCs w:val="18"/>
              </w:rPr>
            </w:pPr>
            <w:r w:rsidRPr="008F5202">
              <w:rPr>
                <w:rFonts w:ascii="Times New Roman" w:eastAsiaTheme="minorEastAsia" w:hAnsi="Times New Roman" w:cs="Times New Roman"/>
                <w:sz w:val="18"/>
                <w:szCs w:val="18"/>
              </w:rPr>
              <w:t>CARBOBEAD-CP 40/100</w:t>
            </w:r>
          </w:p>
        </w:tc>
        <w:tc>
          <w:tcPr>
            <w:tcW w:w="1940" w:type="dxa"/>
          </w:tcPr>
          <w:p w14:paraId="2EA893AA" w14:textId="77777777" w:rsidR="00561B55" w:rsidRPr="008F5202" w:rsidRDefault="00561B55" w:rsidP="00561B55">
            <w:pPr>
              <w:tabs>
                <w:tab w:val="left" w:pos="270"/>
              </w:tabs>
              <w:spacing w:line="360" w:lineRule="auto"/>
              <w:contextualSpacing/>
              <w:jc w:val="center"/>
              <w:rPr>
                <w:rFonts w:ascii="Times New Roman" w:eastAsiaTheme="minorEastAsia" w:hAnsi="Times New Roman" w:cs="Times New Roman"/>
                <w:sz w:val="18"/>
                <w:szCs w:val="18"/>
              </w:rPr>
            </w:pPr>
            <w:r w:rsidRPr="008F5202">
              <w:rPr>
                <w:rFonts w:ascii="Times New Roman" w:eastAsiaTheme="minorEastAsia" w:hAnsi="Times New Roman" w:cs="Times New Roman"/>
                <w:sz w:val="18"/>
                <w:szCs w:val="18"/>
              </w:rPr>
              <w:t>~ 266 µm</w:t>
            </w:r>
          </w:p>
        </w:tc>
      </w:tr>
      <w:tr w:rsidR="00561B55" w:rsidRPr="008F5202" w14:paraId="68D07D90" w14:textId="77777777" w:rsidTr="00561B55">
        <w:trPr>
          <w:trHeight w:hRule="exact" w:val="288"/>
          <w:jc w:val="center"/>
        </w:trPr>
        <w:tc>
          <w:tcPr>
            <w:tcW w:w="2370" w:type="dxa"/>
          </w:tcPr>
          <w:p w14:paraId="681CC11A" w14:textId="77777777" w:rsidR="00561B55" w:rsidRPr="008F5202" w:rsidRDefault="00561B55" w:rsidP="00561B55">
            <w:pPr>
              <w:tabs>
                <w:tab w:val="left" w:pos="270"/>
              </w:tabs>
              <w:spacing w:line="360" w:lineRule="auto"/>
              <w:contextualSpacing/>
              <w:jc w:val="center"/>
              <w:rPr>
                <w:rFonts w:ascii="Times New Roman" w:eastAsiaTheme="minorEastAsia" w:hAnsi="Times New Roman" w:cs="Times New Roman"/>
                <w:sz w:val="18"/>
                <w:szCs w:val="18"/>
              </w:rPr>
            </w:pPr>
            <w:r w:rsidRPr="008F5202">
              <w:rPr>
                <w:rFonts w:ascii="Times New Roman" w:eastAsiaTheme="minorEastAsia" w:hAnsi="Times New Roman" w:cs="Times New Roman"/>
                <w:sz w:val="18"/>
                <w:szCs w:val="18"/>
              </w:rPr>
              <w:t>CARBOBEAD-CP 30/60</w:t>
            </w:r>
          </w:p>
        </w:tc>
        <w:tc>
          <w:tcPr>
            <w:tcW w:w="1940" w:type="dxa"/>
          </w:tcPr>
          <w:p w14:paraId="3228F875" w14:textId="77777777" w:rsidR="00561B55" w:rsidRPr="008F5202" w:rsidRDefault="00561B55" w:rsidP="00561B55">
            <w:pPr>
              <w:tabs>
                <w:tab w:val="left" w:pos="270"/>
              </w:tabs>
              <w:spacing w:line="360" w:lineRule="auto"/>
              <w:contextualSpacing/>
              <w:jc w:val="center"/>
              <w:rPr>
                <w:rFonts w:ascii="Times New Roman" w:eastAsiaTheme="minorEastAsia" w:hAnsi="Times New Roman" w:cs="Times New Roman"/>
                <w:sz w:val="18"/>
                <w:szCs w:val="18"/>
              </w:rPr>
            </w:pPr>
            <w:r w:rsidRPr="008F5202">
              <w:rPr>
                <w:rFonts w:ascii="Times New Roman" w:eastAsiaTheme="minorEastAsia" w:hAnsi="Times New Roman" w:cs="Times New Roman"/>
                <w:sz w:val="18"/>
                <w:szCs w:val="18"/>
              </w:rPr>
              <w:t>~ 397 µm</w:t>
            </w:r>
          </w:p>
        </w:tc>
      </w:tr>
      <w:tr w:rsidR="00561B55" w:rsidRPr="008F5202" w14:paraId="462DD80A" w14:textId="77777777" w:rsidTr="00561B55">
        <w:trPr>
          <w:trHeight w:hRule="exact" w:val="288"/>
          <w:jc w:val="center"/>
        </w:trPr>
        <w:tc>
          <w:tcPr>
            <w:tcW w:w="2370" w:type="dxa"/>
          </w:tcPr>
          <w:p w14:paraId="216DEE15" w14:textId="77777777" w:rsidR="00561B55" w:rsidRPr="008F5202" w:rsidRDefault="00561B55" w:rsidP="00561B55">
            <w:pPr>
              <w:tabs>
                <w:tab w:val="left" w:pos="270"/>
              </w:tabs>
              <w:spacing w:line="360" w:lineRule="auto"/>
              <w:contextualSpacing/>
              <w:jc w:val="center"/>
              <w:rPr>
                <w:rFonts w:ascii="Times New Roman" w:eastAsiaTheme="minorEastAsia" w:hAnsi="Times New Roman" w:cs="Times New Roman"/>
                <w:sz w:val="18"/>
                <w:szCs w:val="18"/>
              </w:rPr>
            </w:pPr>
            <w:r w:rsidRPr="008F5202">
              <w:rPr>
                <w:rFonts w:ascii="Times New Roman" w:eastAsiaTheme="minorEastAsia" w:hAnsi="Times New Roman" w:cs="Times New Roman"/>
                <w:sz w:val="18"/>
                <w:szCs w:val="18"/>
              </w:rPr>
              <w:t>CARBOBEAD-HSP 20/40</w:t>
            </w:r>
          </w:p>
        </w:tc>
        <w:tc>
          <w:tcPr>
            <w:tcW w:w="1940" w:type="dxa"/>
          </w:tcPr>
          <w:p w14:paraId="11535D45" w14:textId="77777777" w:rsidR="00561B55" w:rsidRPr="008F5202" w:rsidRDefault="00561B55" w:rsidP="00561B55">
            <w:pPr>
              <w:tabs>
                <w:tab w:val="left" w:pos="270"/>
              </w:tabs>
              <w:spacing w:line="360" w:lineRule="auto"/>
              <w:contextualSpacing/>
              <w:jc w:val="center"/>
              <w:rPr>
                <w:rFonts w:ascii="Times New Roman" w:eastAsiaTheme="minorEastAsia" w:hAnsi="Times New Roman" w:cs="Times New Roman"/>
                <w:sz w:val="18"/>
                <w:szCs w:val="18"/>
              </w:rPr>
            </w:pPr>
            <w:r w:rsidRPr="008F5202">
              <w:rPr>
                <w:rFonts w:ascii="Times New Roman" w:eastAsiaTheme="minorEastAsia" w:hAnsi="Times New Roman" w:cs="Times New Roman"/>
                <w:sz w:val="18"/>
                <w:szCs w:val="18"/>
              </w:rPr>
              <w:t>~ 966 µm</w:t>
            </w:r>
          </w:p>
        </w:tc>
      </w:tr>
    </w:tbl>
    <w:p w14:paraId="602E3236" w14:textId="77777777" w:rsidR="00561B55" w:rsidRPr="008F5202" w:rsidRDefault="00561B55" w:rsidP="00487AD3">
      <w:pPr>
        <w:tabs>
          <w:tab w:val="left" w:pos="270"/>
        </w:tabs>
        <w:spacing w:line="360" w:lineRule="auto"/>
        <w:contextualSpacing/>
        <w:jc w:val="both"/>
        <w:rPr>
          <w:rFonts w:ascii="Times New Roman" w:hAnsi="Times New Roman" w:cs="Times New Roman"/>
          <w:noProof/>
        </w:rPr>
      </w:pPr>
    </w:p>
    <w:p w14:paraId="13D8069F" w14:textId="77777777" w:rsidR="00487AD3" w:rsidRPr="008F5202" w:rsidRDefault="00487AD3" w:rsidP="00487AD3">
      <w:pPr>
        <w:tabs>
          <w:tab w:val="left" w:pos="270"/>
        </w:tabs>
        <w:spacing w:line="360" w:lineRule="auto"/>
        <w:contextualSpacing/>
        <w:jc w:val="both"/>
        <w:rPr>
          <w:rFonts w:ascii="Times New Roman" w:hAnsi="Times New Roman" w:cs="Times New Roman"/>
          <w:sz w:val="18"/>
          <w:szCs w:val="18"/>
        </w:rPr>
      </w:pPr>
    </w:p>
    <w:p w14:paraId="6182B2B0" w14:textId="3ABAC5BA" w:rsidR="00487AD3" w:rsidRPr="008F5202" w:rsidRDefault="00487AD3" w:rsidP="0009736F">
      <w:pPr>
        <w:pStyle w:val="Heading2"/>
        <w:rPr>
          <w:rFonts w:eastAsia="Calibri"/>
        </w:rPr>
      </w:pPr>
      <w:bookmarkStart w:id="177" w:name="_Toc177758177"/>
      <w:r w:rsidRPr="008F5202">
        <w:rPr>
          <w:rFonts w:eastAsia="Calibri"/>
        </w:rPr>
        <w:lastRenderedPageBreak/>
        <w:t>D</w:t>
      </w:r>
      <w:r w:rsidR="007B7C54" w:rsidRPr="008F5202">
        <w:rPr>
          <w:rFonts w:eastAsia="Calibri"/>
        </w:rPr>
        <w:t>iscrete element method (dem) procedure</w:t>
      </w:r>
      <w:bookmarkEnd w:id="177"/>
    </w:p>
    <w:p w14:paraId="6E0DFB3A" w14:textId="0EA634DD" w:rsidR="00487AD3" w:rsidRPr="008F5202" w:rsidRDefault="00487AD3" w:rsidP="00487AD3">
      <w:pPr>
        <w:spacing w:line="360" w:lineRule="auto"/>
        <w:ind w:firstLine="270"/>
        <w:contextualSpacing/>
        <w:jc w:val="both"/>
        <w:rPr>
          <w:rFonts w:ascii="Times New Roman" w:eastAsia="Calibri" w:hAnsi="Times New Roman" w:cs="Times New Roman"/>
        </w:rPr>
      </w:pPr>
      <w:r w:rsidRPr="008F5202">
        <w:rPr>
          <w:rFonts w:ascii="Times New Roman" w:eastAsia="Calibri" w:hAnsi="Times New Roman" w:cs="Times New Roman"/>
        </w:rPr>
        <w:t xml:space="preserve">In the present study, the DEM simulations were performed using the open-source code LIGGGHTS (LAMMPS Improved for General Granular and Granular Heat Transfer Simulations) </w:t>
      </w:r>
      <w:r w:rsidR="00EA4E2B" w:rsidRPr="008F5202">
        <w:rPr>
          <w:rFonts w:ascii="Times New Roman" w:eastAsia="Calibri" w:hAnsi="Times New Roman" w:cs="Times New Roman"/>
        </w:rPr>
        <w:t>[4</w:t>
      </w:r>
      <w:r w:rsidR="00393D90" w:rsidRPr="008F5202">
        <w:rPr>
          <w:rFonts w:ascii="Times New Roman" w:eastAsia="Calibri" w:hAnsi="Times New Roman" w:cs="Times New Roman"/>
        </w:rPr>
        <w:t>.</w:t>
      </w:r>
      <w:r w:rsidRPr="008F5202">
        <w:rPr>
          <w:rFonts w:ascii="Times New Roman" w:eastAsia="Calibri" w:hAnsi="Times New Roman" w:cs="Times New Roman"/>
        </w:rPr>
        <w:t xml:space="preserve">45] which predicts the motion of a particle using the Newtons’ law of motion as given below </w:t>
      </w:r>
      <w:r w:rsidR="00EA4E2B" w:rsidRPr="008F5202">
        <w:rPr>
          <w:rFonts w:ascii="Times New Roman" w:eastAsia="Calibri" w:hAnsi="Times New Roman" w:cs="Times New Roman"/>
        </w:rPr>
        <w:t>[4</w:t>
      </w:r>
      <w:r w:rsidR="00393D90" w:rsidRPr="008F5202">
        <w:rPr>
          <w:rFonts w:ascii="Times New Roman" w:eastAsia="Calibri" w:hAnsi="Times New Roman" w:cs="Times New Roman"/>
        </w:rPr>
        <w:t>.</w:t>
      </w:r>
      <w:r w:rsidRPr="008F5202">
        <w:rPr>
          <w:rFonts w:ascii="Times New Roman" w:eastAsia="Calibri" w:hAnsi="Times New Roman" w:cs="Times New Roman"/>
        </w:rPr>
        <w:t>46].</w:t>
      </w:r>
    </w:p>
    <w:p w14:paraId="296BD27D" w14:textId="77777777" w:rsidR="00487AD3" w:rsidRPr="008F5202" w:rsidRDefault="00487AD3" w:rsidP="00487AD3">
      <w:pPr>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For translational motion:</w:t>
      </w:r>
    </w:p>
    <w:p w14:paraId="59353DE9" w14:textId="58408E24" w:rsidR="0009736F" w:rsidRPr="008F5202" w:rsidRDefault="0009736F"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1</w:t>
      </w:r>
      <w:r w:rsidR="000978FD" w:rsidRPr="008F5202">
        <w:fldChar w:fldCharType="end"/>
      </w:r>
    </w:p>
    <w:p w14:paraId="2876C6F9" w14:textId="15CA4514" w:rsidR="00487AD3" w:rsidRPr="008F5202" w:rsidRDefault="00000000" w:rsidP="00487AD3">
      <w:pPr>
        <w:spacing w:line="360" w:lineRule="auto"/>
        <w:contextualSpacing/>
        <w:jc w:val="both"/>
        <w:rPr>
          <w:rFonts w:ascii="Times New Roman" w:hAnsi="Times New Roman" w:cs="Times New Roman"/>
        </w:rPr>
      </w:pPr>
      <m:oMathPara>
        <m:oMath>
          <m:acc>
            <m:accPr>
              <m:chr m:val="̇"/>
              <m:ctrlPr>
                <w:rPr>
                  <w:rFonts w:ascii="Cambria Math" w:eastAsia="Calibri" w:hAnsi="Cambria Math" w:cs="Times New Roman"/>
                  <w:i/>
                </w:rPr>
              </m:ctrlPr>
            </m:accPr>
            <m:e>
              <m:r>
                <m:rPr>
                  <m:sty m:val="bi"/>
                </m:rPr>
                <w:rPr>
                  <w:rFonts w:ascii="Cambria Math" w:eastAsia="Calibri" w:hAnsi="Cambria Math" w:cs="Times New Roman"/>
                </w:rPr>
                <m:t>v</m:t>
              </m:r>
            </m:e>
          </m:acc>
          <m:r>
            <w:rPr>
              <w:rFonts w:ascii="Cambria Math" w:eastAsia="Calibri" w:hAnsi="Cambria Math" w:cs="Times New Roman"/>
            </w:rPr>
            <m:t>=</m:t>
          </m:r>
          <m:f>
            <m:fPr>
              <m:ctrlPr>
                <w:rPr>
                  <w:rFonts w:ascii="Cambria Math" w:eastAsia="Calibri" w:hAnsi="Cambria Math" w:cs="Times New Roman"/>
                  <w:i/>
                </w:rPr>
              </m:ctrlPr>
            </m:fPr>
            <m:num>
              <m:nary>
                <m:naryPr>
                  <m:chr m:val="∑"/>
                  <m:limLoc m:val="undOvr"/>
                  <m:subHide m:val="1"/>
                  <m:supHide m:val="1"/>
                  <m:ctrlPr>
                    <w:rPr>
                      <w:rFonts w:ascii="Cambria Math" w:eastAsia="Calibri" w:hAnsi="Cambria Math" w:cs="Times New Roman"/>
                      <w:i/>
                    </w:rPr>
                  </m:ctrlPr>
                </m:naryPr>
                <m:sub/>
                <m:sup/>
                <m:e>
                  <m:r>
                    <m:rPr>
                      <m:sty m:val="bi"/>
                    </m:rPr>
                    <w:rPr>
                      <w:rFonts w:ascii="Cambria Math" w:eastAsia="Calibri" w:hAnsi="Cambria Math" w:cs="Times New Roman"/>
                    </w:rPr>
                    <m:t>F</m:t>
                  </m:r>
                </m:e>
              </m:nary>
            </m:num>
            <m:den>
              <m:r>
                <w:rPr>
                  <w:rFonts w:ascii="Cambria Math" w:eastAsia="Calibri" w:hAnsi="Cambria Math" w:cs="Times New Roman"/>
                </w:rPr>
                <m:t>m</m:t>
              </m:r>
            </m:den>
          </m:f>
          <m:r>
            <w:rPr>
              <w:rFonts w:ascii="Cambria Math" w:eastAsia="Calibri" w:hAnsi="Cambria Math" w:cs="Times New Roman"/>
            </w:rPr>
            <m:t>+</m:t>
          </m:r>
          <m:r>
            <m:rPr>
              <m:sty m:val="bi"/>
            </m:rPr>
            <w:rPr>
              <w:rFonts w:ascii="Cambria Math" w:eastAsia="Calibri" w:hAnsi="Cambria Math" w:cs="Times New Roman"/>
            </w:rPr>
            <m:t>g</m:t>
          </m:r>
        </m:oMath>
      </m:oMathPara>
    </w:p>
    <w:p w14:paraId="6FBC15D2" w14:textId="77777777" w:rsidR="00487AD3" w:rsidRPr="008F5202" w:rsidRDefault="00487AD3" w:rsidP="00487AD3">
      <w:pPr>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For angular motion:</w:t>
      </w:r>
    </w:p>
    <w:p w14:paraId="22F0FB81" w14:textId="3C795719" w:rsidR="001B6B5F" w:rsidRPr="008F5202" w:rsidRDefault="001B6B5F"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2</w:t>
      </w:r>
      <w:r w:rsidR="000978FD" w:rsidRPr="008F5202">
        <w:fldChar w:fldCharType="end"/>
      </w:r>
    </w:p>
    <w:p w14:paraId="1D9E118D" w14:textId="57CAF64C" w:rsidR="00487AD3" w:rsidRPr="008F5202" w:rsidRDefault="00000000" w:rsidP="00487AD3">
      <w:pPr>
        <w:spacing w:line="360" w:lineRule="auto"/>
        <w:contextualSpacing/>
        <w:jc w:val="both"/>
        <w:rPr>
          <w:rFonts w:ascii="Times New Roman" w:hAnsi="Times New Roman" w:cs="Times New Roman"/>
        </w:rPr>
      </w:pPr>
      <m:oMathPara>
        <m:oMath>
          <m:acc>
            <m:accPr>
              <m:chr m:val="̇"/>
              <m:ctrlPr>
                <w:rPr>
                  <w:rFonts w:ascii="Cambria Math" w:eastAsia="Calibri" w:hAnsi="Cambria Math" w:cs="Times New Roman"/>
                  <w:i/>
                </w:rPr>
              </m:ctrlPr>
            </m:accPr>
            <m:e>
              <m:r>
                <m:rPr>
                  <m:sty m:val="bi"/>
                </m:rPr>
                <w:rPr>
                  <w:rFonts w:ascii="Cambria Math" w:eastAsia="Calibri" w:hAnsi="Cambria Math" w:cs="Times New Roman"/>
                </w:rPr>
                <m:t>ω</m:t>
              </m:r>
            </m:e>
          </m:acc>
          <m:r>
            <w:rPr>
              <w:rFonts w:ascii="Cambria Math" w:eastAsia="Calibri" w:hAnsi="Cambria Math" w:cs="Times New Roman"/>
            </w:rPr>
            <m:t>=</m:t>
          </m:r>
          <m:f>
            <m:fPr>
              <m:ctrlPr>
                <w:rPr>
                  <w:rFonts w:ascii="Cambria Math" w:eastAsia="Calibri" w:hAnsi="Cambria Math" w:cs="Times New Roman"/>
                  <w:i/>
                </w:rPr>
              </m:ctrlPr>
            </m:fPr>
            <m:num>
              <m:nary>
                <m:naryPr>
                  <m:chr m:val="∑"/>
                  <m:limLoc m:val="undOvr"/>
                  <m:subHide m:val="1"/>
                  <m:supHide m:val="1"/>
                  <m:ctrlPr>
                    <w:rPr>
                      <w:rFonts w:ascii="Cambria Math" w:eastAsia="Calibri" w:hAnsi="Cambria Math" w:cs="Times New Roman"/>
                      <w:i/>
                    </w:rPr>
                  </m:ctrlPr>
                </m:naryPr>
                <m:sub/>
                <m:sup/>
                <m:e>
                  <m:r>
                    <m:rPr>
                      <m:sty m:val="bi"/>
                    </m:rPr>
                    <w:rPr>
                      <w:rFonts w:ascii="Cambria Math" w:eastAsia="Calibri" w:hAnsi="Cambria Math" w:cs="Times New Roman"/>
                    </w:rPr>
                    <m:t>T</m:t>
                  </m:r>
                </m:e>
              </m:nary>
            </m:num>
            <m:den>
              <m:r>
                <m:rPr>
                  <m:sty m:val="bi"/>
                </m:rPr>
                <w:rPr>
                  <w:rFonts w:ascii="Cambria Math" w:eastAsia="Calibri" w:hAnsi="Cambria Math" w:cs="Times New Roman"/>
                </w:rPr>
                <m:t>I</m:t>
              </m:r>
            </m:den>
          </m:f>
        </m:oMath>
      </m:oMathPara>
    </w:p>
    <w:p w14:paraId="5414163A" w14:textId="47EE62A1" w:rsidR="00487AD3" w:rsidRPr="008F5202" w:rsidRDefault="00487AD3" w:rsidP="00487AD3">
      <w:pPr>
        <w:spacing w:line="360" w:lineRule="auto"/>
        <w:contextualSpacing/>
        <w:jc w:val="both"/>
        <w:rPr>
          <w:rFonts w:ascii="Times New Roman" w:hAnsi="Times New Roman" w:cs="Times New Roman"/>
        </w:rPr>
      </w:pPr>
      <w:r w:rsidRPr="008F5202">
        <w:rPr>
          <w:rFonts w:ascii="Times New Roman" w:eastAsia="Calibri" w:hAnsi="Times New Roman" w:cs="Times New Roman"/>
        </w:rPr>
        <w:t xml:space="preserve">where </w:t>
      </w:r>
      <m:oMath>
        <m:r>
          <m:rPr>
            <m:sty m:val="bi"/>
          </m:rPr>
          <w:rPr>
            <w:rFonts w:ascii="Cambria Math" w:eastAsia="Calibri" w:hAnsi="Cambria Math" w:cs="Times New Roman"/>
          </w:rPr>
          <m:t>v</m:t>
        </m:r>
      </m:oMath>
      <w:r w:rsidRPr="008F5202">
        <w:rPr>
          <w:rFonts w:ascii="Times New Roman" w:eastAsia="Calibri" w:hAnsi="Times New Roman" w:cs="Times New Roman"/>
        </w:rPr>
        <w:t xml:space="preserve"> is the velocity vector, </w:t>
      </w:r>
      <m:oMath>
        <m:r>
          <m:rPr>
            <m:sty m:val="bi"/>
          </m:rPr>
          <w:rPr>
            <w:rFonts w:ascii="Cambria Math" w:eastAsia="Calibri" w:hAnsi="Cambria Math" w:cs="Times New Roman"/>
          </w:rPr>
          <m:t>F</m:t>
        </m:r>
      </m:oMath>
      <w:r w:rsidRPr="008F5202">
        <w:rPr>
          <w:rFonts w:ascii="Times New Roman" w:hAnsi="Times New Roman" w:cs="Times New Roman"/>
          <w:b/>
          <w:bCs/>
        </w:rPr>
        <w:t xml:space="preserve"> </w:t>
      </w:r>
      <w:r w:rsidRPr="008F5202">
        <w:rPr>
          <w:rFonts w:ascii="Times New Roman" w:hAnsi="Times New Roman" w:cs="Times New Roman"/>
        </w:rPr>
        <w:t xml:space="preserve">is the net contact force acting on the particle, </w:t>
      </w:r>
      <m:oMath>
        <m:r>
          <m:rPr>
            <m:sty m:val="bi"/>
          </m:rPr>
          <w:rPr>
            <w:rFonts w:ascii="Cambria Math" w:hAnsi="Cambria Math" w:cs="Times New Roman"/>
          </w:rPr>
          <m:t>ω</m:t>
        </m:r>
      </m:oMath>
      <w:r w:rsidRPr="008F5202">
        <w:rPr>
          <w:rFonts w:ascii="Times New Roman" w:hAnsi="Times New Roman" w:cs="Times New Roman"/>
          <w:b/>
          <w:bCs/>
        </w:rPr>
        <w:t xml:space="preserve"> </w:t>
      </w:r>
      <w:r w:rsidRPr="008F5202">
        <w:rPr>
          <w:rFonts w:ascii="Times New Roman" w:hAnsi="Times New Roman" w:cs="Times New Roman"/>
        </w:rPr>
        <w:t xml:space="preserve">is the angular velocity vector, </w:t>
      </w:r>
      <m:oMath>
        <m:r>
          <m:rPr>
            <m:sty m:val="bi"/>
          </m:rPr>
          <w:rPr>
            <w:rFonts w:ascii="Cambria Math" w:hAnsi="Cambria Math" w:cs="Times New Roman"/>
          </w:rPr>
          <m:t>T</m:t>
        </m:r>
      </m:oMath>
      <w:r w:rsidRPr="008F5202">
        <w:rPr>
          <w:rFonts w:ascii="Times New Roman" w:hAnsi="Times New Roman" w:cs="Times New Roman"/>
        </w:rPr>
        <w:t xml:space="preserve"> is the net torque and </w:t>
      </w:r>
      <m:oMath>
        <m:r>
          <m:rPr>
            <m:sty m:val="bi"/>
          </m:rPr>
          <w:rPr>
            <w:rFonts w:ascii="Cambria Math" w:eastAsia="Calibri" w:hAnsi="Cambria Math" w:cs="Times New Roman"/>
          </w:rPr>
          <m:t>I</m:t>
        </m:r>
      </m:oMath>
      <w:r w:rsidRPr="008F5202">
        <w:rPr>
          <w:rFonts w:ascii="Times New Roman" w:hAnsi="Times New Roman" w:cs="Times New Roman"/>
          <w:b/>
          <w:bCs/>
        </w:rPr>
        <w:t xml:space="preserve"> </w:t>
      </w:r>
      <w:r w:rsidRPr="008F5202">
        <w:rPr>
          <w:rFonts w:ascii="Times New Roman" w:hAnsi="Times New Roman" w:cs="Times New Roman"/>
        </w:rPr>
        <w:t xml:space="preserve">is the moment of inertia. </w:t>
      </w:r>
    </w:p>
    <w:p w14:paraId="3FA5BE11" w14:textId="77777777" w:rsidR="00AE55C5" w:rsidRPr="008F5202" w:rsidRDefault="00AE55C5" w:rsidP="00AE55C5">
      <w:pPr>
        <w:keepNext/>
        <w:spacing w:line="360" w:lineRule="auto"/>
        <w:contextualSpacing/>
        <w:jc w:val="both"/>
        <w:rPr>
          <w:rFonts w:ascii="Times New Roman" w:hAnsi="Times New Roman" w:cs="Times New Roman"/>
        </w:rPr>
      </w:pPr>
      <w:r w:rsidRPr="008F5202">
        <w:rPr>
          <w:rFonts w:ascii="Times New Roman" w:eastAsiaTheme="minorEastAsia" w:hAnsi="Times New Roman" w:cs="Times New Roman"/>
          <w:noProof/>
          <w:sz w:val="18"/>
          <w:szCs w:val="18"/>
        </w:rPr>
        <w:lastRenderedPageBreak/>
        <w:drawing>
          <wp:inline distT="0" distB="0" distL="0" distR="0" wp14:anchorId="5718EB59" wp14:editId="113B903F">
            <wp:extent cx="2243470" cy="1602663"/>
            <wp:effectExtent l="0" t="0" r="4445" b="0"/>
            <wp:docPr id="376750753" name="Picture 376750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58" cstate="print">
                      <a:extLst>
                        <a:ext uri="{28A0092B-C50C-407E-A947-70E740481C1C}">
                          <a14:useLocalDpi xmlns:a14="http://schemas.microsoft.com/office/drawing/2010/main" val="0"/>
                        </a:ext>
                      </a:extLst>
                    </a:blip>
                    <a:srcRect l="20934" t="17073" r="35268" b="28104"/>
                    <a:stretch/>
                  </pic:blipFill>
                  <pic:spPr bwMode="auto">
                    <a:xfrm>
                      <a:off x="0" y="0"/>
                      <a:ext cx="2277107" cy="1626692"/>
                    </a:xfrm>
                    <a:prstGeom prst="rect">
                      <a:avLst/>
                    </a:prstGeom>
                    <a:ln>
                      <a:noFill/>
                    </a:ln>
                    <a:extLst>
                      <a:ext uri="{53640926-AAD7-44D8-BBD7-CCE9431645EC}">
                        <a14:shadowObscured xmlns:a14="http://schemas.microsoft.com/office/drawing/2010/main"/>
                      </a:ext>
                    </a:extLst>
                  </pic:spPr>
                </pic:pic>
              </a:graphicData>
            </a:graphic>
          </wp:inline>
        </w:drawing>
      </w:r>
    </w:p>
    <w:p w14:paraId="4223C699" w14:textId="0BEF5369" w:rsidR="00AE55C5" w:rsidRPr="008F5202" w:rsidRDefault="00AE55C5" w:rsidP="008F5202">
      <w:pPr>
        <w:pStyle w:val="Caption"/>
      </w:pPr>
      <w:bookmarkStart w:id="178" w:name="_Toc177755219"/>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4</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4</w:t>
      </w:r>
      <w:r w:rsidR="003763D2" w:rsidRPr="008F5202">
        <w:fldChar w:fldCharType="end"/>
      </w:r>
      <w:r w:rsidRPr="008F5202">
        <w:t xml:space="preserve"> </w:t>
      </w:r>
      <w:r w:rsidRPr="008F5202">
        <w:t>Particles settled in the hopper before being discharged through the Octet lattice</w:t>
      </w:r>
      <w:bookmarkEnd w:id="178"/>
    </w:p>
    <w:p w14:paraId="6D4CED08" w14:textId="77777777" w:rsidR="00AE55C5" w:rsidRPr="008F5202" w:rsidRDefault="00AE55C5" w:rsidP="00AE55C5">
      <w:pPr>
        <w:keepNext/>
        <w:rPr>
          <w:rFonts w:ascii="Times New Roman" w:hAnsi="Times New Roman" w:cs="Times New Roman"/>
        </w:rPr>
      </w:pPr>
      <w:r w:rsidRPr="008F5202">
        <w:rPr>
          <w:rFonts w:ascii="Times New Roman" w:eastAsiaTheme="minorEastAsia" w:hAnsi="Times New Roman" w:cs="Times New Roman"/>
          <w:noProof/>
          <w:sz w:val="18"/>
          <w:szCs w:val="18"/>
        </w:rPr>
        <w:drawing>
          <wp:inline distT="0" distB="0" distL="0" distR="0" wp14:anchorId="4FB67881" wp14:editId="2639DF81">
            <wp:extent cx="2879255" cy="2489437"/>
            <wp:effectExtent l="0" t="0" r="0" b="6350"/>
            <wp:docPr id="406334656" name="Picture 40633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9" cstate="print">
                      <a:extLst>
                        <a:ext uri="{28A0092B-C50C-407E-A947-70E740481C1C}">
                          <a14:useLocalDpi xmlns:a14="http://schemas.microsoft.com/office/drawing/2010/main" val="0"/>
                        </a:ext>
                      </a:extLst>
                    </a:blip>
                    <a:srcRect l="36004" t="53164" r="34616" b="1676"/>
                    <a:stretch/>
                  </pic:blipFill>
                  <pic:spPr bwMode="auto">
                    <a:xfrm>
                      <a:off x="0" y="0"/>
                      <a:ext cx="2918459" cy="2523333"/>
                    </a:xfrm>
                    <a:prstGeom prst="rect">
                      <a:avLst/>
                    </a:prstGeom>
                    <a:ln>
                      <a:noFill/>
                    </a:ln>
                    <a:extLst>
                      <a:ext uri="{53640926-AAD7-44D8-BBD7-CCE9431645EC}">
                        <a14:shadowObscured xmlns:a14="http://schemas.microsoft.com/office/drawing/2010/main"/>
                      </a:ext>
                    </a:extLst>
                  </pic:spPr>
                </pic:pic>
              </a:graphicData>
            </a:graphic>
          </wp:inline>
        </w:drawing>
      </w:r>
    </w:p>
    <w:p w14:paraId="43595990" w14:textId="190794BB" w:rsidR="00AE55C5" w:rsidRPr="008F5202" w:rsidRDefault="00AE55C5" w:rsidP="008F5202">
      <w:pPr>
        <w:pStyle w:val="Caption"/>
      </w:pPr>
      <w:bookmarkStart w:id="179" w:name="_Toc177755220"/>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4</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5</w:t>
      </w:r>
      <w:r w:rsidR="003763D2" w:rsidRPr="008F5202">
        <w:fldChar w:fldCharType="end"/>
      </w:r>
      <w:r w:rsidRPr="008F5202">
        <w:t xml:space="preserve"> </w:t>
      </w:r>
      <w:r w:rsidRPr="008F5202">
        <w:t>Particle-size distribution profiles</w:t>
      </w:r>
      <w:bookmarkEnd w:id="179"/>
    </w:p>
    <w:p w14:paraId="7EF3E33B" w14:textId="6D615394" w:rsidR="00561B55" w:rsidRPr="008F5202" w:rsidRDefault="00561B55" w:rsidP="00561B55">
      <w:pPr>
        <w:spacing w:line="360" w:lineRule="auto"/>
        <w:rPr>
          <w:rFonts w:ascii="Times New Roman" w:hAnsi="Times New Roman" w:cs="Times New Roman"/>
        </w:rPr>
      </w:pPr>
      <w:r w:rsidRPr="008F5202">
        <w:rPr>
          <w:rFonts w:ascii="Times New Roman" w:hAnsi="Times New Roman" w:cs="Times New Roman"/>
        </w:rPr>
        <w:t>The particle-particle collision was modelled using ‘soft sphere’ scheme where the deformation was approximated through normal and tangential inter-particle overlaps. These overlaps were then used to evaluate the normal and tangential forces acting on the particle.</w:t>
      </w:r>
    </w:p>
    <w:p w14:paraId="423F1FA2" w14:textId="1BA60C32" w:rsidR="00AE55C5" w:rsidRPr="008F5202" w:rsidRDefault="00AE55C5" w:rsidP="00AE55C5">
      <w:pPr>
        <w:spacing w:line="360" w:lineRule="auto"/>
        <w:jc w:val="both"/>
        <w:rPr>
          <w:rFonts w:ascii="Times New Roman" w:hAnsi="Times New Roman" w:cs="Times New Roman"/>
        </w:rPr>
      </w:pPr>
      <w:r w:rsidRPr="008F5202">
        <w:rPr>
          <w:rFonts w:ascii="Times New Roman" w:hAnsi="Times New Roman" w:cs="Times New Roman"/>
        </w:rPr>
        <w:t xml:space="preserve">Figure </w:t>
      </w:r>
      <w:r w:rsidR="00297625" w:rsidRPr="008F5202">
        <w:rPr>
          <w:rFonts w:ascii="Times New Roman" w:hAnsi="Times New Roman" w:cs="Times New Roman"/>
        </w:rPr>
        <w:t>4</w:t>
      </w:r>
      <w:r w:rsidR="00561B55" w:rsidRPr="008F5202">
        <w:rPr>
          <w:rFonts w:ascii="Times New Roman" w:hAnsi="Times New Roman" w:cs="Times New Roman"/>
        </w:rPr>
        <w:t>.</w:t>
      </w:r>
      <w:r w:rsidRPr="008F5202">
        <w:rPr>
          <w:rFonts w:ascii="Times New Roman" w:hAnsi="Times New Roman" w:cs="Times New Roman"/>
        </w:rPr>
        <w:t xml:space="preserve">6 represents the interactive-forces schematic between contacting particles through a spring-dashpot model </w:t>
      </w:r>
      <w:r w:rsidR="00EA4E2B" w:rsidRPr="008F5202">
        <w:rPr>
          <w:rFonts w:ascii="Times New Roman" w:hAnsi="Times New Roman" w:cs="Times New Roman"/>
        </w:rPr>
        <w:t>[4</w:t>
      </w:r>
      <w:r w:rsidRPr="008F5202">
        <w:rPr>
          <w:rFonts w:ascii="Times New Roman" w:hAnsi="Times New Roman" w:cs="Times New Roman"/>
        </w:rPr>
        <w:t>.19</w:t>
      </w:r>
      <w:r w:rsidR="00EA4E2B" w:rsidRPr="008F5202">
        <w:rPr>
          <w:rFonts w:ascii="Times New Roman" w:hAnsi="Times New Roman" w:cs="Times New Roman"/>
        </w:rPr>
        <w:t>,4</w:t>
      </w:r>
      <w:r w:rsidRPr="008F5202">
        <w:rPr>
          <w:rFonts w:ascii="Times New Roman" w:hAnsi="Times New Roman" w:cs="Times New Roman"/>
        </w:rPr>
        <w:t>.47]. Energy dissipation in the system is represented through the dashpot connected in parallel to the elastic springs. The sliding element placed in series with the spring in the tangential direction allows to account for the sliding of particles with each other while limiting the magnitude of tangential force.</w:t>
      </w:r>
    </w:p>
    <w:p w14:paraId="7C2327D9" w14:textId="77777777" w:rsidR="00561B55" w:rsidRPr="008F5202" w:rsidRDefault="00561B55" w:rsidP="00561B55">
      <w:pPr>
        <w:keepNext/>
        <w:spacing w:line="360" w:lineRule="auto"/>
        <w:jc w:val="both"/>
        <w:rPr>
          <w:rFonts w:ascii="Times New Roman" w:hAnsi="Times New Roman" w:cs="Times New Roman"/>
        </w:rPr>
      </w:pPr>
      <w:r w:rsidRPr="008F5202">
        <w:rPr>
          <w:rFonts w:ascii="Times New Roman" w:eastAsiaTheme="minorEastAsia" w:hAnsi="Times New Roman" w:cs="Times New Roman"/>
          <w:noProof/>
          <w:sz w:val="18"/>
          <w:szCs w:val="18"/>
        </w:rPr>
        <w:lastRenderedPageBreak/>
        <w:drawing>
          <wp:inline distT="0" distB="0" distL="0" distR="0" wp14:anchorId="63C15005" wp14:editId="0A27B187">
            <wp:extent cx="2463800" cy="2546245"/>
            <wp:effectExtent l="0" t="0" r="0" b="6985"/>
            <wp:docPr id="126106998" name="Picture 12610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60" cstate="print">
                      <a:extLst>
                        <a:ext uri="{28A0092B-C50C-407E-A947-70E740481C1C}">
                          <a14:useLocalDpi xmlns:a14="http://schemas.microsoft.com/office/drawing/2010/main" val="0"/>
                        </a:ext>
                      </a:extLst>
                    </a:blip>
                    <a:srcRect l="12555" t="14879" r="47063" b="10931"/>
                    <a:stretch/>
                  </pic:blipFill>
                  <pic:spPr bwMode="auto">
                    <a:xfrm>
                      <a:off x="0" y="0"/>
                      <a:ext cx="2474942" cy="2557759"/>
                    </a:xfrm>
                    <a:prstGeom prst="rect">
                      <a:avLst/>
                    </a:prstGeom>
                    <a:ln>
                      <a:noFill/>
                    </a:ln>
                    <a:extLst>
                      <a:ext uri="{53640926-AAD7-44D8-BBD7-CCE9431645EC}">
                        <a14:shadowObscured xmlns:a14="http://schemas.microsoft.com/office/drawing/2010/main"/>
                      </a:ext>
                    </a:extLst>
                  </pic:spPr>
                </pic:pic>
              </a:graphicData>
            </a:graphic>
          </wp:inline>
        </w:drawing>
      </w:r>
    </w:p>
    <w:p w14:paraId="32AC0493" w14:textId="0725A770" w:rsidR="00561B55" w:rsidRPr="008F5202" w:rsidRDefault="00561B55" w:rsidP="008F5202">
      <w:pPr>
        <w:pStyle w:val="Caption"/>
      </w:pPr>
      <w:bookmarkStart w:id="180" w:name="_Toc177755221"/>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4</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6</w:t>
      </w:r>
      <w:r w:rsidR="003763D2" w:rsidRPr="008F5202">
        <w:fldChar w:fldCharType="end"/>
      </w:r>
      <w:r w:rsidRPr="008F5202">
        <w:t xml:space="preserve"> </w:t>
      </w:r>
      <w:r w:rsidRPr="008F5202">
        <w:t>Spring-dashpot model for interaction in the normal and tangential directions</w:t>
      </w:r>
      <w:bookmarkEnd w:id="180"/>
    </w:p>
    <w:p w14:paraId="21A59E44" w14:textId="77777777" w:rsidR="00487AD3" w:rsidRPr="008F5202" w:rsidRDefault="00487AD3" w:rsidP="00AE55C5">
      <w:pPr>
        <w:spacing w:line="360" w:lineRule="auto"/>
        <w:ind w:firstLine="270"/>
        <w:contextualSpacing/>
        <w:jc w:val="both"/>
        <w:rPr>
          <w:rFonts w:ascii="Times New Roman" w:hAnsi="Times New Roman" w:cs="Times New Roman"/>
        </w:rPr>
      </w:pPr>
      <w:r w:rsidRPr="008F5202">
        <w:rPr>
          <w:rFonts w:ascii="Times New Roman" w:hAnsi="Times New Roman" w:cs="Times New Roman"/>
        </w:rPr>
        <w:t>The Hertz-Mindlin contact model was specified during the simulations which calculates</w:t>
      </w:r>
      <w:r w:rsidRPr="008F5202">
        <w:rPr>
          <w:rFonts w:ascii="Times New Roman" w:eastAsia="Calibri" w:hAnsi="Times New Roman" w:cs="Times New Roman"/>
        </w:rPr>
        <w:t xml:space="preserve"> the inter-particle forces as following, provided the distance (D) between the two interacting particles of radii (</w:t>
      </w:r>
      <m:oMath>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i</m:t>
            </m:r>
          </m:sub>
        </m:sSub>
      </m:oMath>
      <w:r w:rsidRPr="008F5202">
        <w:rPr>
          <w:rFonts w:ascii="Times New Roman" w:hAnsi="Times New Roman" w:cs="Times New Roman"/>
        </w:rPr>
        <w:t xml:space="preserve"> and </w:t>
      </w:r>
      <m:oMath>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j</m:t>
            </m:r>
          </m:sub>
        </m:sSub>
      </m:oMath>
      <w:r w:rsidRPr="008F5202">
        <w:rPr>
          <w:rFonts w:ascii="Times New Roman" w:hAnsi="Times New Roman" w:cs="Times New Roman"/>
        </w:rPr>
        <w:t>) is less than the contact distance d = (</w:t>
      </w:r>
      <m:oMath>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i</m:t>
            </m:r>
          </m:sub>
        </m:sSub>
      </m:oMath>
      <w:r w:rsidRPr="008F5202">
        <w:rPr>
          <w:rFonts w:ascii="Times New Roman" w:hAnsi="Times New Roman" w:cs="Times New Roman"/>
        </w:rPr>
        <w:t xml:space="preserve"> + </w:t>
      </w:r>
      <m:oMath>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j</m:t>
            </m:r>
          </m:sub>
        </m:sSub>
      </m:oMath>
      <w:r w:rsidRPr="008F5202">
        <w:rPr>
          <w:rFonts w:ascii="Times New Roman" w:hAnsi="Times New Roman" w:cs="Times New Roman"/>
        </w:rPr>
        <w:t>):</w:t>
      </w:r>
    </w:p>
    <w:p w14:paraId="375A05FE" w14:textId="55771589" w:rsidR="00802125" w:rsidRPr="008F5202" w:rsidRDefault="00802125"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3</w:t>
      </w:r>
      <w:r w:rsidR="000978FD" w:rsidRPr="008F5202">
        <w:fldChar w:fldCharType="end"/>
      </w:r>
    </w:p>
    <w:p w14:paraId="21D81764" w14:textId="77777777" w:rsidR="00802125" w:rsidRPr="008F5202" w:rsidRDefault="00487AD3" w:rsidP="00487AD3">
      <w:pPr>
        <w:spacing w:line="360" w:lineRule="auto"/>
        <w:contextualSpacing/>
        <w:jc w:val="both"/>
        <w:rPr>
          <w:rFonts w:ascii="Times New Roman" w:hAnsi="Times New Roman" w:cs="Times New Roman"/>
        </w:rPr>
      </w:pPr>
      <m:oMathPara>
        <m:oMath>
          <m:r>
            <w:rPr>
              <w:rFonts w:ascii="Cambria Math" w:eastAsia="Calibri" w:hAnsi="Cambria Math" w:cs="Times New Roman"/>
            </w:rPr>
            <m:t>F</m:t>
          </m:r>
          <m:r>
            <w:rPr>
              <w:rFonts w:ascii="Cambria Math" w:hAnsi="Cambria Math" w:cs="Times New Roman"/>
            </w:rPr>
            <m:t>=</m:t>
          </m:r>
          <m:limLow>
            <m:limLowPr>
              <m:ctrlPr>
                <w:rPr>
                  <w:rFonts w:ascii="Cambria Math" w:hAnsi="Cambria Math" w:cs="Times New Roman"/>
                  <w:i/>
                </w:rPr>
              </m:ctrlPr>
            </m:limLowPr>
            <m:e>
              <m:groupChr>
                <m:groupChrPr>
                  <m:ctrlPr>
                    <w:rPr>
                      <w:rFonts w:ascii="Cambria Math" w:hAnsi="Cambria Math" w:cs="Times New Roman"/>
                      <w:i/>
                    </w:rPr>
                  </m:ctrlPr>
                </m:groupChr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m:t>
                          </m:r>
                        </m:sub>
                      </m:sSub>
                      <m:sSub>
                        <m:sSubPr>
                          <m:ctrlPr>
                            <w:rPr>
                              <w:rFonts w:ascii="Cambria Math" w:hAnsi="Cambria Math" w:cs="Times New Roman"/>
                              <w:i/>
                            </w:rPr>
                          </m:ctrlPr>
                        </m:sSubPr>
                        <m:e>
                          <m:r>
                            <w:rPr>
                              <w:rFonts w:ascii="Cambria Math" w:hAnsi="Cambria Math" w:cs="Times New Roman"/>
                            </w:rPr>
                            <m:t>δ</m:t>
                          </m:r>
                        </m:e>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n</m:t>
                          </m:r>
                        </m:sub>
                      </m:sSub>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sub>
                      </m:sSub>
                    </m:e>
                  </m:d>
                </m:e>
              </m:groupChr>
            </m:e>
            <m:lim>
              <m:r>
                <m:rPr>
                  <m:sty m:val="bi"/>
                </m:rPr>
                <w:rPr>
                  <w:rFonts w:ascii="Cambria Math" w:hAnsi="Cambria Math" w:cs="Times New Roman"/>
                  <w:color w:val="FF0000"/>
                </w:rPr>
                <m:t>normal force</m:t>
              </m:r>
            </m:lim>
          </m:limLow>
          <m:r>
            <w:rPr>
              <w:rFonts w:ascii="Cambria Math" w:hAnsi="Cambria Math" w:cs="Times New Roman"/>
            </w:rPr>
            <m:t>+</m:t>
          </m:r>
          <m:limLow>
            <m:limLowPr>
              <m:ctrlPr>
                <w:rPr>
                  <w:rFonts w:ascii="Cambria Math" w:hAnsi="Cambria Math" w:cs="Times New Roman"/>
                  <w:i/>
                </w:rPr>
              </m:ctrlPr>
            </m:limLowPr>
            <m:e>
              <m:groupChr>
                <m:groupChrPr>
                  <m:ctrlPr>
                    <w:rPr>
                      <w:rFonts w:ascii="Cambria Math" w:hAnsi="Cambria Math" w:cs="Times New Roman"/>
                      <w:i/>
                    </w:rPr>
                  </m:ctrlPr>
                </m:groupChr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m:t>
                          </m:r>
                        </m:sub>
                      </m:sSub>
                      <m:sSub>
                        <m:sSubPr>
                          <m:ctrlPr>
                            <w:rPr>
                              <w:rFonts w:ascii="Cambria Math" w:hAnsi="Cambria Math" w:cs="Times New Roman"/>
                              <w:i/>
                            </w:rPr>
                          </m:ctrlPr>
                        </m:sSubPr>
                        <m:e>
                          <m:r>
                            <w:rPr>
                              <w:rFonts w:ascii="Cambria Math" w:hAnsi="Cambria Math" w:cs="Times New Roman"/>
                            </w:rPr>
                            <m:t>δ</m:t>
                          </m:r>
                        </m:e>
                        <m: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ij</m:t>
                              </m:r>
                            </m:sub>
                          </m:sSub>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t</m:t>
                          </m:r>
                        </m:sub>
                      </m:sSub>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t</m:t>
                              </m:r>
                            </m:sub>
                          </m:sSub>
                        </m:e>
                        <m:sub>
                          <m:r>
                            <w:rPr>
                              <w:rFonts w:ascii="Cambria Math" w:hAnsi="Cambria Math" w:cs="Times New Roman"/>
                            </w:rPr>
                            <m:t>ij</m:t>
                          </m:r>
                        </m:sub>
                      </m:sSub>
                    </m:e>
                  </m:d>
                </m:e>
              </m:groupChr>
            </m:e>
            <m:lim>
              <m:r>
                <m:rPr>
                  <m:sty m:val="bi"/>
                </m:rPr>
                <w:rPr>
                  <w:rFonts w:ascii="Cambria Math" w:hAnsi="Cambria Math" w:cs="Times New Roman"/>
                  <w:color w:val="FF0000"/>
                </w:rPr>
                <m:t>tangential force</m:t>
              </m:r>
            </m:lim>
          </m:limLow>
        </m:oMath>
      </m:oMathPara>
    </w:p>
    <w:p w14:paraId="6E1BF3A7" w14:textId="36EC49CD" w:rsidR="00487AD3" w:rsidRPr="008F5202" w:rsidRDefault="00487AD3" w:rsidP="00487AD3">
      <w:pPr>
        <w:spacing w:line="360" w:lineRule="auto"/>
        <w:contextualSpacing/>
        <w:jc w:val="both"/>
        <w:rPr>
          <w:rFonts w:ascii="Times New Roman" w:hAnsi="Times New Roman" w:cs="Times New Roman"/>
        </w:rPr>
      </w:pPr>
      <w:r w:rsidRPr="008F5202">
        <w:rPr>
          <w:rFonts w:ascii="Times New Roman" w:hAnsi="Times New Roman" w:cs="Times New Roman"/>
        </w:rPr>
        <w:t>The normal force had the contribution from spring and damping forces whereas the tangential forces were formulated using shear and damping forces. The values of elastic constants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m:t>
            </m:r>
          </m:sub>
        </m:sSub>
      </m:oMath>
      <w:r w:rsidRPr="008F5202">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m:t>
            </m:r>
          </m:sub>
        </m:sSub>
      </m:oMath>
      <w:r w:rsidRPr="008F5202">
        <w:rPr>
          <w:rFonts w:ascii="Times New Roman" w:hAnsi="Times New Roman" w:cs="Times New Roman"/>
        </w:rPr>
        <w:t>) and viscoelastic damping constants (</w:t>
      </w:r>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n</m:t>
            </m:r>
          </m:sub>
        </m:sSub>
      </m:oMath>
      <w:r w:rsidRPr="008F5202">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t</m:t>
            </m:r>
          </m:sub>
        </m:sSub>
      </m:oMath>
      <w:r w:rsidRPr="008F5202">
        <w:rPr>
          <w:rFonts w:ascii="Times New Roman" w:hAnsi="Times New Roman" w:cs="Times New Roman"/>
        </w:rPr>
        <w:t>) were evaluated using the material properties and particle overlaps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n</m:t>
            </m:r>
          </m:sub>
        </m:sSub>
      </m:oMath>
      <w:r w:rsidRPr="008F5202">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t</m:t>
            </m:r>
          </m:sub>
        </m:sSub>
      </m:oMath>
      <w:r w:rsidRPr="008F5202">
        <w:rPr>
          <w:rFonts w:ascii="Times New Roman" w:hAnsi="Times New Roman" w:cs="Times New Roman"/>
        </w:rPr>
        <w:t>) as following:</w:t>
      </w:r>
    </w:p>
    <w:p w14:paraId="415F39F1" w14:textId="77777777" w:rsidR="00487AD3" w:rsidRPr="008F5202" w:rsidRDefault="00487AD3" w:rsidP="00487AD3">
      <w:pPr>
        <w:spacing w:line="360" w:lineRule="auto"/>
        <w:contextualSpacing/>
        <w:jc w:val="both"/>
        <w:rPr>
          <w:rFonts w:ascii="Times New Roman" w:hAnsi="Times New Roman" w:cs="Times New Roman"/>
        </w:rPr>
      </w:pPr>
    </w:p>
    <w:p w14:paraId="7FC53E1E" w14:textId="6F1A630F" w:rsidR="00181D41" w:rsidRPr="008F5202" w:rsidRDefault="00181D41"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4</w:t>
      </w:r>
      <w:r w:rsidR="000978FD" w:rsidRPr="008F5202">
        <w:fldChar w:fldCharType="end"/>
      </w:r>
    </w:p>
    <w:p w14:paraId="65602CEA" w14:textId="41703910" w:rsidR="00487AD3" w:rsidRPr="008F5202" w:rsidRDefault="00000000" w:rsidP="00487AD3">
      <w:pPr>
        <w:spacing w:line="360" w:lineRule="auto"/>
        <w:contextualSpacing/>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4</m:t>
              </m:r>
            </m:num>
            <m:den>
              <m:r>
                <w:rPr>
                  <w:rFonts w:ascii="Cambria Math" w:hAnsi="Cambria Math" w:cs="Times New Roman"/>
                </w:rPr>
                <m:t>3</m:t>
              </m:r>
            </m:den>
          </m:f>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m:t>
                  </m:r>
                </m:sup>
              </m:sSup>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n</m:t>
                  </m:r>
                </m:sub>
              </m:sSub>
            </m:e>
          </m:rad>
          <m:r>
            <w:rPr>
              <w:rFonts w:ascii="Cambria Math" w:hAnsi="Cambria Math" w:cs="Times New Roman"/>
            </w:rPr>
            <m:t xml:space="preserve"> </m:t>
          </m:r>
        </m:oMath>
      </m:oMathPara>
    </w:p>
    <w:p w14:paraId="5A79DBDA" w14:textId="0438073E" w:rsidR="00393D90" w:rsidRPr="008F5202" w:rsidRDefault="00393D90" w:rsidP="008F5202">
      <w:pPr>
        <w:pStyle w:val="Caption"/>
      </w:pPr>
      <w:r w:rsidRPr="008F5202">
        <w:lastRenderedPageBreak/>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5</w:t>
      </w:r>
      <w:r w:rsidR="000978FD" w:rsidRPr="008F5202">
        <w:fldChar w:fldCharType="end"/>
      </w:r>
    </w:p>
    <w:p w14:paraId="0B0422CF" w14:textId="72C5DEDE" w:rsidR="00487AD3" w:rsidRPr="008F5202" w:rsidRDefault="00000000" w:rsidP="00487AD3">
      <w:pPr>
        <w:spacing w:line="360" w:lineRule="auto"/>
        <w:contextualSpacing/>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n</m:t>
              </m:r>
            </m:sub>
          </m:sSub>
          <m:r>
            <w:rPr>
              <w:rFonts w:ascii="Cambria Math" w:hAnsi="Cambria Math" w:cs="Times New Roman"/>
            </w:rPr>
            <m:t>=-2</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5</m:t>
                  </m:r>
                </m:num>
                <m:den>
                  <m:r>
                    <w:rPr>
                      <w:rFonts w:ascii="Cambria Math" w:hAnsi="Cambria Math" w:cs="Times New Roman"/>
                    </w:rPr>
                    <m:t>6</m:t>
                  </m:r>
                </m:den>
              </m:f>
            </m:e>
          </m:rad>
          <m:r>
            <w:rPr>
              <w:rFonts w:ascii="Cambria Math" w:hAnsi="Cambria Math" w:cs="Times New Roman"/>
            </w:rPr>
            <m:t>β</m:t>
          </m:r>
          <m:rad>
            <m:radPr>
              <m:degHide m:val="1"/>
              <m:ctrlPr>
                <w:rPr>
                  <w:rFonts w:ascii="Cambria Math" w:hAnsi="Cambria Math" w:cs="Times New Roman"/>
                  <w:i/>
                </w:rPr>
              </m:ctrlPr>
            </m:radPr>
            <m:deg/>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m:t>
                  </m:r>
                </m:sub>
              </m:sSub>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m:t>
                  </m:r>
                </m:sup>
              </m:sSup>
            </m:e>
          </m:rad>
          <m:r>
            <w:rPr>
              <w:rFonts w:ascii="Cambria Math" w:hAnsi="Cambria Math" w:cs="Times New Roman"/>
            </w:rPr>
            <m:t>≥0</m:t>
          </m:r>
        </m:oMath>
      </m:oMathPara>
    </w:p>
    <w:p w14:paraId="3A3BB729" w14:textId="2D03CB49" w:rsidR="00393D90" w:rsidRPr="008F5202" w:rsidRDefault="00393D90"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6</w:t>
      </w:r>
      <w:r w:rsidR="000978FD" w:rsidRPr="008F5202">
        <w:fldChar w:fldCharType="end"/>
      </w:r>
    </w:p>
    <w:p w14:paraId="71474738" w14:textId="77777777" w:rsidR="00802125" w:rsidRPr="008F5202" w:rsidRDefault="00000000" w:rsidP="00487AD3">
      <w:pPr>
        <w:spacing w:line="360" w:lineRule="auto"/>
        <w:contextualSpacing/>
        <w:jc w:val="both"/>
        <w:rPr>
          <w:rFonts w:ascii="Times New Roman" w:hAnsi="Times New Roman" w:cs="Times New Roman"/>
        </w:rPr>
      </w:pPr>
      <m:oMathPara>
        <m:oMathParaPr>
          <m:jc m:val="center"/>
        </m:oMathParaP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t</m:t>
              </m:r>
            </m:sub>
          </m:sSub>
          <m:r>
            <w:rPr>
              <w:rFonts w:ascii="Cambria Math" w:hAnsi="Cambria Math" w:cs="Times New Roman"/>
            </w:rPr>
            <m:t>=8</m:t>
          </m:r>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m:t>
                  </m:r>
                </m:sup>
              </m:sSup>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n</m:t>
                  </m:r>
                </m:sub>
              </m:sSub>
            </m:e>
          </m:rad>
        </m:oMath>
      </m:oMathPara>
    </w:p>
    <w:p w14:paraId="72D65954" w14:textId="2731B12F" w:rsidR="00393D90" w:rsidRPr="008F5202" w:rsidRDefault="00393D90"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7</w:t>
      </w:r>
      <w:r w:rsidR="000978FD" w:rsidRPr="008F5202">
        <w:fldChar w:fldCharType="end"/>
      </w:r>
    </w:p>
    <w:p w14:paraId="12A64254" w14:textId="77777777" w:rsidR="00802125" w:rsidRPr="008F5202" w:rsidRDefault="00000000" w:rsidP="00487AD3">
      <w:pPr>
        <w:spacing w:line="360" w:lineRule="auto"/>
        <w:contextualSpacing/>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t</m:t>
              </m:r>
            </m:sub>
          </m:sSub>
          <m:r>
            <w:rPr>
              <w:rFonts w:ascii="Cambria Math" w:hAnsi="Cambria Math" w:cs="Times New Roman"/>
            </w:rPr>
            <m:t>=-2</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5</m:t>
                  </m:r>
                </m:num>
                <m:den>
                  <m:r>
                    <w:rPr>
                      <w:rFonts w:ascii="Cambria Math" w:hAnsi="Cambria Math" w:cs="Times New Roman"/>
                    </w:rPr>
                    <m:t>6</m:t>
                  </m:r>
                </m:den>
              </m:f>
            </m:e>
          </m:rad>
          <m:r>
            <w:rPr>
              <w:rFonts w:ascii="Cambria Math" w:hAnsi="Cambria Math" w:cs="Times New Roman"/>
            </w:rPr>
            <m:t>β</m:t>
          </m:r>
          <m:rad>
            <m:radPr>
              <m:degHide m:val="1"/>
              <m:ctrlPr>
                <w:rPr>
                  <w:rFonts w:ascii="Cambria Math" w:hAnsi="Cambria Math" w:cs="Times New Roman"/>
                  <w:i/>
                </w:rPr>
              </m:ctrlPr>
            </m:radPr>
            <m:deg/>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m:t>
                  </m:r>
                </m:sub>
              </m:sSub>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m:t>
                  </m:r>
                </m:sup>
              </m:sSup>
            </m:e>
          </m:rad>
          <m:r>
            <w:rPr>
              <w:rFonts w:ascii="Cambria Math" w:hAnsi="Cambria Math" w:cs="Times New Roman"/>
            </w:rPr>
            <m:t xml:space="preserve">≥0   </m:t>
          </m:r>
        </m:oMath>
      </m:oMathPara>
    </w:p>
    <w:p w14:paraId="02BECC60" w14:textId="0B6090F8" w:rsidR="00487AD3" w:rsidRPr="008F5202" w:rsidRDefault="00487AD3" w:rsidP="00487AD3">
      <w:pPr>
        <w:spacing w:line="360" w:lineRule="auto"/>
        <w:contextualSpacing/>
        <w:jc w:val="both"/>
        <w:rPr>
          <w:rFonts w:ascii="Times New Roman" w:hAnsi="Times New Roman" w:cs="Times New Roman"/>
        </w:rPr>
      </w:pPr>
      <w:r w:rsidRPr="008F5202">
        <w:rPr>
          <w:rFonts w:ascii="Times New Roman" w:hAnsi="Times New Roman" w:cs="Times New Roman"/>
        </w:rPr>
        <w:t>where</w:t>
      </w:r>
    </w:p>
    <w:p w14:paraId="6CB331E6" w14:textId="77777777" w:rsidR="00487AD3" w:rsidRPr="008F5202" w:rsidRDefault="00487AD3" w:rsidP="00487AD3">
      <w:pPr>
        <w:spacing w:line="360" w:lineRule="auto"/>
        <w:contextualSpacing/>
        <w:jc w:val="both"/>
        <w:rPr>
          <w:rFonts w:ascii="Times New Roman" w:hAnsi="Times New Roman" w:cs="Times New Roman"/>
        </w:rPr>
      </w:pPr>
    </w:p>
    <w:p w14:paraId="58CB6BD8" w14:textId="773B953D" w:rsidR="00393D90" w:rsidRPr="008F5202" w:rsidRDefault="00393D90"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8</w:t>
      </w:r>
      <w:r w:rsidR="000978FD" w:rsidRPr="008F5202">
        <w:fldChar w:fldCharType="end"/>
      </w:r>
    </w:p>
    <w:p w14:paraId="318E3926" w14:textId="0F4B47E4" w:rsidR="00487AD3" w:rsidRPr="008F5202" w:rsidRDefault="00000000" w:rsidP="00487AD3">
      <w:pPr>
        <w:spacing w:line="360" w:lineRule="auto"/>
        <w:contextualSpacing/>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m:t>
              </m:r>
            </m:sub>
          </m:sSub>
          <m:r>
            <w:rPr>
              <w:rFonts w:ascii="Cambria Math" w:hAnsi="Cambria Math" w:cs="Times New Roman"/>
            </w:rPr>
            <m:t>=2</m:t>
          </m:r>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m:t>
                  </m:r>
                </m:sup>
              </m:sSup>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n</m:t>
                  </m:r>
                </m:sub>
              </m:sSub>
            </m:e>
          </m:rad>
          <m:r>
            <w:rPr>
              <w:rFonts w:ascii="Cambria Math" w:hAnsi="Cambria Math" w:cs="Times New Roman"/>
            </w:rPr>
            <m:t xml:space="preserve">  </m:t>
          </m:r>
        </m:oMath>
      </m:oMathPara>
    </w:p>
    <w:p w14:paraId="38332346" w14:textId="77777777" w:rsidR="00487AD3" w:rsidRPr="008F5202" w:rsidRDefault="00487AD3" w:rsidP="00487AD3">
      <w:pPr>
        <w:spacing w:line="360" w:lineRule="auto"/>
        <w:contextualSpacing/>
        <w:jc w:val="center"/>
        <w:rPr>
          <w:rFonts w:ascii="Times New Roman" w:hAnsi="Times New Roman" w:cs="Times New Roman"/>
        </w:rPr>
      </w:pPr>
    </w:p>
    <w:p w14:paraId="7BA22879" w14:textId="6567100F" w:rsidR="00393D90" w:rsidRPr="008F5202" w:rsidRDefault="00393D90"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9</w:t>
      </w:r>
      <w:r w:rsidR="000978FD" w:rsidRPr="008F5202">
        <w:fldChar w:fldCharType="end"/>
      </w:r>
    </w:p>
    <w:p w14:paraId="1CDCFE50" w14:textId="5611B238" w:rsidR="00487AD3" w:rsidRPr="008F5202" w:rsidRDefault="00000000" w:rsidP="00487AD3">
      <w:pPr>
        <w:spacing w:line="360" w:lineRule="auto"/>
        <w:contextualSpacing/>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m:t>
              </m:r>
            </m:sub>
          </m:sSub>
          <m:r>
            <w:rPr>
              <w:rFonts w:ascii="Cambria Math" w:hAnsi="Cambria Math" w:cs="Times New Roman"/>
            </w:rPr>
            <m:t>=8</m:t>
          </m:r>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m:t>
                  </m:r>
                </m:sup>
              </m:sSup>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n</m:t>
                  </m:r>
                </m:sub>
              </m:sSub>
            </m:e>
          </m:rad>
        </m:oMath>
      </m:oMathPara>
    </w:p>
    <w:p w14:paraId="6514FA48" w14:textId="77777777" w:rsidR="00487AD3" w:rsidRPr="008F5202" w:rsidRDefault="00487AD3" w:rsidP="00487AD3">
      <w:pPr>
        <w:spacing w:line="360" w:lineRule="auto"/>
        <w:contextualSpacing/>
        <w:jc w:val="center"/>
        <w:rPr>
          <w:rFonts w:ascii="Times New Roman" w:hAnsi="Times New Roman" w:cs="Times New Roman"/>
        </w:rPr>
      </w:pPr>
    </w:p>
    <w:p w14:paraId="266053B6" w14:textId="32775DC4" w:rsidR="00393D90" w:rsidRPr="008F5202" w:rsidRDefault="00393D90"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10</w:t>
      </w:r>
      <w:r w:rsidR="000978FD" w:rsidRPr="008F5202">
        <w:fldChar w:fldCharType="end"/>
      </w:r>
    </w:p>
    <w:p w14:paraId="70D29756" w14:textId="7FEEF79D" w:rsidR="00487AD3" w:rsidRPr="008F5202" w:rsidRDefault="00487AD3" w:rsidP="00487AD3">
      <w:pPr>
        <w:spacing w:line="360" w:lineRule="auto"/>
        <w:contextualSpacing/>
        <w:jc w:val="center"/>
        <w:rPr>
          <w:rFonts w:ascii="Times New Roman" w:hAnsi="Times New Roman" w:cs="Times New Roman"/>
        </w:rPr>
      </w:pPr>
      <m:oMathPara>
        <m:oMathParaPr>
          <m:jc m:val="center"/>
        </m:oMathParaPr>
        <m:oMath>
          <m:r>
            <w:rPr>
              <w:rFonts w:ascii="Cambria Math" w:hAnsi="Cambria Math" w:cs="Times New Roman"/>
            </w:rPr>
            <m:t xml:space="preserve">β= </m:t>
          </m:r>
          <m:f>
            <m:fPr>
              <m:ctrlPr>
                <w:rPr>
                  <w:rFonts w:ascii="Cambria Math" w:hAnsi="Cambria Math" w:cs="Times New Roman"/>
                  <w:i/>
                </w:rPr>
              </m:ctrlPr>
            </m:fPr>
            <m:num>
              <m:r>
                <m:rPr>
                  <m:sty m:val="p"/>
                </m:rPr>
                <w:rPr>
                  <w:rFonts w:ascii="Cambria Math" w:hAnsi="Cambria Math" w:cs="Times New Roman"/>
                </w:rPr>
                <m:t>ln⁡</m:t>
              </m:r>
              <m:r>
                <w:rPr>
                  <w:rFonts w:ascii="Cambria Math" w:hAnsi="Cambria Math" w:cs="Times New Roman"/>
                </w:rPr>
                <m:t>(e)</m:t>
              </m:r>
            </m:num>
            <m:den>
              <m:rad>
                <m:radPr>
                  <m:degHide m:val="1"/>
                  <m:ctrlPr>
                    <w:rPr>
                      <w:rFonts w:ascii="Cambria Math" w:hAnsi="Cambria Math" w:cs="Times New Roman"/>
                      <w:i/>
                    </w:rPr>
                  </m:ctrlPr>
                </m:radPr>
                <m:deg/>
                <m:e>
                  <m:func>
                    <m:funcPr>
                      <m:ctrlPr>
                        <w:rPr>
                          <w:rFonts w:ascii="Cambria Math" w:hAnsi="Cambria Math" w:cs="Times New Roman"/>
                          <w:i/>
                        </w:rPr>
                      </m:ctrlPr>
                    </m:funcPr>
                    <m:fName>
                      <m:sSup>
                        <m:sSupPr>
                          <m:ctrlPr>
                            <w:rPr>
                              <w:rFonts w:ascii="Cambria Math" w:hAnsi="Cambria Math" w:cs="Times New Roman"/>
                              <w:i/>
                            </w:rPr>
                          </m:ctrlPr>
                        </m:sSupPr>
                        <m:e>
                          <m:r>
                            <m:rPr>
                              <m:sty m:val="p"/>
                            </m:rPr>
                            <w:rPr>
                              <w:rFonts w:ascii="Cambria Math" w:hAnsi="Cambria Math" w:cs="Times New Roman"/>
                            </w:rPr>
                            <m:t>ln</m:t>
                          </m:r>
                          <m:ctrlPr>
                            <w:rPr>
                              <w:rFonts w:ascii="Cambria Math" w:hAnsi="Cambria Math" w:cs="Times New Roman"/>
                            </w:rPr>
                          </m:ctrlPr>
                        </m:e>
                        <m:sup>
                          <m:r>
                            <w:rPr>
                              <w:rFonts w:ascii="Cambria Math" w:hAnsi="Cambria Math" w:cs="Times New Roman"/>
                            </w:rPr>
                            <m:t>2</m:t>
                          </m:r>
                          <m:ctrlPr>
                            <w:rPr>
                              <w:rFonts w:ascii="Cambria Math" w:hAnsi="Cambria Math" w:cs="Times New Roman"/>
                            </w:rPr>
                          </m:ctrlPr>
                        </m:sup>
                      </m:sSup>
                    </m:fName>
                    <m:e>
                      <m:d>
                        <m:dPr>
                          <m:ctrlPr>
                            <w:rPr>
                              <w:rFonts w:ascii="Cambria Math" w:hAnsi="Cambria Math" w:cs="Times New Roman"/>
                              <w:i/>
                            </w:rPr>
                          </m:ctrlPr>
                        </m:dPr>
                        <m:e>
                          <m:r>
                            <w:rPr>
                              <w:rFonts w:ascii="Cambria Math" w:hAnsi="Cambria Math" w:cs="Times New Roman"/>
                            </w:rPr>
                            <m:t>e</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2</m:t>
                          </m:r>
                        </m:sup>
                      </m:sSup>
                    </m:e>
                  </m:func>
                </m:e>
              </m:rad>
            </m:den>
          </m:f>
        </m:oMath>
      </m:oMathPara>
    </w:p>
    <w:p w14:paraId="5A04AFC2" w14:textId="77777777" w:rsidR="00487AD3" w:rsidRPr="008F5202" w:rsidRDefault="00487AD3" w:rsidP="00487AD3">
      <w:pPr>
        <w:spacing w:line="360" w:lineRule="auto"/>
        <w:contextualSpacing/>
        <w:jc w:val="center"/>
        <w:rPr>
          <w:rFonts w:ascii="Times New Roman" w:hAnsi="Times New Roman" w:cs="Times New Roman"/>
        </w:rPr>
      </w:pPr>
    </w:p>
    <w:p w14:paraId="0000AA09" w14:textId="28F3F3A9" w:rsidR="00393D90" w:rsidRPr="008F5202" w:rsidRDefault="00393D90"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11</w:t>
      </w:r>
      <w:r w:rsidR="000978FD" w:rsidRPr="008F5202">
        <w:fldChar w:fldCharType="end"/>
      </w:r>
    </w:p>
    <w:p w14:paraId="67500BAE" w14:textId="3562064A" w:rsidR="00487AD3" w:rsidRPr="008F5202" w:rsidRDefault="00000000" w:rsidP="00487AD3">
      <w:pPr>
        <w:spacing w:line="360" w:lineRule="auto"/>
        <w:contextualSpacing/>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ν</m:t>
                  </m:r>
                </m:e>
                <m:sub>
                  <m:r>
                    <w:rPr>
                      <w:rFonts w:ascii="Cambria Math" w:hAnsi="Cambria Math" w:cs="Times New Roman"/>
                    </w:rPr>
                    <m:t>i</m:t>
                  </m:r>
                </m:sub>
                <m:sup>
                  <m:r>
                    <w:rPr>
                      <w:rFonts w:ascii="Cambria Math" w:hAnsi="Cambria Math" w:cs="Times New Roman"/>
                    </w:rPr>
                    <m:t>2</m:t>
                  </m:r>
                </m:sup>
              </m:sSubSup>
              <m:r>
                <w:rPr>
                  <w:rFonts w:ascii="Cambria Math" w:hAnsi="Cambria Math" w:cs="Times New Roman"/>
                </w:rPr>
                <m:t>)</m:t>
              </m:r>
            </m:num>
            <m:den>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ν</m:t>
                  </m:r>
                </m:e>
                <m:sub>
                  <m:r>
                    <w:rPr>
                      <w:rFonts w:ascii="Cambria Math" w:hAnsi="Cambria Math" w:cs="Times New Roman"/>
                    </w:rPr>
                    <m:t>j</m:t>
                  </m:r>
                </m:sub>
                <m:sup>
                  <m:r>
                    <w:rPr>
                      <w:rFonts w:ascii="Cambria Math" w:hAnsi="Cambria Math" w:cs="Times New Roman"/>
                    </w:rPr>
                    <m:t>2</m:t>
                  </m:r>
                </m:sup>
              </m:sSubSup>
              <m:r>
                <w:rPr>
                  <w:rFonts w:ascii="Cambria Math" w:hAnsi="Cambria Math" w:cs="Times New Roman"/>
                </w:rPr>
                <m:t>)</m:t>
              </m:r>
            </m:num>
            <m:den>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j</m:t>
                  </m:r>
                </m:sub>
              </m:sSub>
            </m:den>
          </m:f>
        </m:oMath>
      </m:oMathPara>
    </w:p>
    <w:p w14:paraId="6450C564" w14:textId="4F3D83E9" w:rsidR="00393D90" w:rsidRPr="008F5202" w:rsidRDefault="00393D90" w:rsidP="008F5202">
      <w:pPr>
        <w:pStyle w:val="Caption"/>
      </w:pPr>
      <w:r w:rsidRPr="008F5202">
        <w:lastRenderedPageBreak/>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12</w:t>
      </w:r>
      <w:r w:rsidR="000978FD" w:rsidRPr="008F5202">
        <w:fldChar w:fldCharType="end"/>
      </w:r>
    </w:p>
    <w:p w14:paraId="2E3B1F1D" w14:textId="65EB84A7" w:rsidR="00487AD3" w:rsidRPr="008F5202" w:rsidRDefault="00000000" w:rsidP="00487AD3">
      <w:pPr>
        <w:spacing w:line="360" w:lineRule="auto"/>
        <w:contextualSpacing/>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G</m:t>
                  </m:r>
                </m:e>
                <m:sup>
                  <m:r>
                    <w:rPr>
                      <w:rFonts w:ascii="Cambria Math" w:hAnsi="Cambria Math" w:cs="Times New Roman"/>
                    </w:rPr>
                    <m:t>*</m:t>
                  </m:r>
                </m:sup>
              </m:s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2(2-</m:t>
              </m:r>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i</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i</m:t>
                  </m:r>
                </m:sub>
              </m:sSub>
              <m:r>
                <w:rPr>
                  <w:rFonts w:ascii="Cambria Math" w:hAnsi="Cambria Math" w:cs="Times New Roman"/>
                </w:rPr>
                <m:t>)</m:t>
              </m:r>
            </m:num>
            <m:den>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2(2-</m:t>
              </m:r>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j</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j</m:t>
                  </m:r>
                </m:sub>
              </m:sSub>
              <m:r>
                <w:rPr>
                  <w:rFonts w:ascii="Cambria Math" w:hAnsi="Cambria Math" w:cs="Times New Roman"/>
                </w:rPr>
                <m:t>)</m:t>
              </m:r>
            </m:num>
            <m:den>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j</m:t>
                  </m:r>
                </m:sub>
              </m:sSub>
            </m:den>
          </m:f>
        </m:oMath>
      </m:oMathPara>
    </w:p>
    <w:p w14:paraId="637AFB71" w14:textId="486E4CE8" w:rsidR="00393D90" w:rsidRPr="008F5202" w:rsidRDefault="00393D90"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13</w:t>
      </w:r>
      <w:r w:rsidR="000978FD" w:rsidRPr="008F5202">
        <w:fldChar w:fldCharType="end"/>
      </w:r>
    </w:p>
    <w:p w14:paraId="0ED8AF49" w14:textId="6EC5258F" w:rsidR="00487AD3" w:rsidRPr="008F5202" w:rsidRDefault="00000000" w:rsidP="00487AD3">
      <w:pPr>
        <w:spacing w:line="360" w:lineRule="auto"/>
        <w:contextualSpacing/>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m:t>
                  </m:r>
                </m:sup>
              </m:s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j</m:t>
                  </m:r>
                </m:sub>
              </m:sSub>
            </m:den>
          </m:f>
        </m:oMath>
      </m:oMathPara>
    </w:p>
    <w:p w14:paraId="1F54E099" w14:textId="2BF4BEFC" w:rsidR="00393D90" w:rsidRPr="008F5202" w:rsidRDefault="00393D90"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14</w:t>
      </w:r>
      <w:r w:rsidR="000978FD" w:rsidRPr="008F5202">
        <w:fldChar w:fldCharType="end"/>
      </w:r>
    </w:p>
    <w:p w14:paraId="29692E20" w14:textId="456E975A" w:rsidR="00487AD3" w:rsidRPr="008F5202" w:rsidRDefault="00000000" w:rsidP="00487AD3">
      <w:pPr>
        <w:spacing w:line="360" w:lineRule="auto"/>
        <w:contextualSpacing/>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m:t>
                  </m:r>
                </m:sup>
              </m:s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i</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j</m:t>
                  </m:r>
                </m:sub>
              </m:sSub>
            </m:den>
          </m:f>
        </m:oMath>
      </m:oMathPara>
    </w:p>
    <w:p w14:paraId="431B57A5" w14:textId="77777777" w:rsidR="00487AD3" w:rsidRPr="008F5202" w:rsidRDefault="00487AD3" w:rsidP="00487AD3">
      <w:pPr>
        <w:spacing w:line="360" w:lineRule="auto"/>
        <w:ind w:firstLine="270"/>
        <w:contextualSpacing/>
        <w:jc w:val="both"/>
        <w:rPr>
          <w:rFonts w:ascii="Times New Roman" w:hAnsi="Times New Roman" w:cs="Times New Roman"/>
        </w:rPr>
      </w:pPr>
      <w:r w:rsidRPr="008F5202">
        <w:rPr>
          <w:rFonts w:ascii="Times New Roman" w:hAnsi="Times New Roman" w:cs="Times New Roman"/>
        </w:rPr>
        <w:t xml:space="preserve">In the above formulae, </w:t>
      </w:r>
      <m:oMath>
        <m:r>
          <w:rPr>
            <w:rFonts w:ascii="Cambria Math" w:hAnsi="Cambria Math" w:cs="Times New Roman"/>
          </w:rPr>
          <m:t>Y</m:t>
        </m:r>
      </m:oMath>
      <w:r w:rsidRPr="008F5202">
        <w:rPr>
          <w:rFonts w:ascii="Times New Roman" w:hAnsi="Times New Roman" w:cs="Times New Roman"/>
        </w:rPr>
        <w:t xml:space="preserve"> is the Young’s modulus, G is the shear modulus, </w:t>
      </w:r>
      <m:oMath>
        <m:r>
          <w:rPr>
            <w:rFonts w:ascii="Cambria Math" w:hAnsi="Cambria Math" w:cs="Times New Roman"/>
          </w:rPr>
          <m:t>ν</m:t>
        </m:r>
      </m:oMath>
      <w:r w:rsidRPr="008F5202">
        <w:rPr>
          <w:rFonts w:ascii="Times New Roman" w:hAnsi="Times New Roman" w:cs="Times New Roman"/>
        </w:rPr>
        <w:t xml:space="preserve"> is the Poisson’s ratio, and </w:t>
      </w:r>
      <m:oMath>
        <m:r>
          <w:rPr>
            <w:rFonts w:ascii="Cambria Math" w:hAnsi="Cambria Math" w:cs="Times New Roman"/>
          </w:rPr>
          <m:t>e</m:t>
        </m:r>
      </m:oMath>
      <w:r w:rsidRPr="008F5202">
        <w:rPr>
          <w:rFonts w:ascii="Times New Roman" w:hAnsi="Times New Roman" w:cs="Times New Roman"/>
        </w:rPr>
        <w:t xml:space="preserve"> represents the coefficient of restitution. The superscript asterisk (*) refers to the effective properties. The shear force accounting for the tangential displacement between two interacting particles for the duration of contact time is a “history effect”. The tangential overlap was truncated to fulfil the criteria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s</m:t>
            </m:r>
          </m:sub>
        </m:sSub>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m:t>
            </m:r>
          </m:sub>
        </m:sSub>
      </m:oMath>
      <w:r w:rsidRPr="008F5202">
        <w:rPr>
          <w:rFonts w:ascii="Times New Roman" w:hAnsi="Times New Roman" w:cs="Times New Roman"/>
        </w:rPr>
        <w:t xml:space="preserve">, where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s</m:t>
            </m:r>
          </m:sub>
        </m:sSub>
      </m:oMath>
      <w:r w:rsidRPr="008F5202">
        <w:rPr>
          <w:rFonts w:ascii="Times New Roman" w:hAnsi="Times New Roman" w:cs="Times New Roman"/>
        </w:rPr>
        <w:t xml:space="preserve"> is the coefficient of static sliding friction and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m:t>
            </m:r>
          </m:sub>
        </m:sSub>
      </m:oMath>
      <w:r w:rsidRPr="008F5202">
        <w:rPr>
          <w:rFonts w:ascii="Times New Roman" w:hAnsi="Times New Roman" w:cs="Times New Roman"/>
        </w:rPr>
        <w:t xml:space="preserve"> is the normal force.</w:t>
      </w:r>
    </w:p>
    <w:p w14:paraId="0AFE1C80" w14:textId="77777777" w:rsidR="00487AD3" w:rsidRPr="008F5202" w:rsidRDefault="00487AD3" w:rsidP="00487AD3">
      <w:pPr>
        <w:spacing w:line="360" w:lineRule="auto"/>
        <w:ind w:firstLine="270"/>
        <w:contextualSpacing/>
        <w:jc w:val="both"/>
        <w:rPr>
          <w:rFonts w:ascii="Times New Roman" w:hAnsi="Times New Roman" w:cs="Times New Roman"/>
        </w:rPr>
      </w:pPr>
      <w:r w:rsidRPr="008F5202">
        <w:rPr>
          <w:rFonts w:ascii="Times New Roman" w:hAnsi="Times New Roman" w:cs="Times New Roman"/>
        </w:rPr>
        <w:t>For the angular motion, the net torque is contributed by the torque from the tangential force and the rolling friction. Two rolling friction models from the current code library, namely, constant directional torque (CDT), and elastic-plastic spring-dashpot (EPSD2) were used in the current study.</w:t>
      </w:r>
    </w:p>
    <w:p w14:paraId="51981FE2" w14:textId="77777777" w:rsidR="00487AD3" w:rsidRPr="008F5202" w:rsidRDefault="00487AD3" w:rsidP="00487AD3">
      <w:pPr>
        <w:spacing w:line="360" w:lineRule="auto"/>
        <w:contextualSpacing/>
        <w:jc w:val="both"/>
        <w:rPr>
          <w:rFonts w:ascii="Times New Roman" w:hAnsi="Times New Roman" w:cs="Times New Roman"/>
        </w:rPr>
      </w:pPr>
    </w:p>
    <w:p w14:paraId="6BCBF407" w14:textId="5A7B7552" w:rsidR="00487AD3" w:rsidRPr="008F5202" w:rsidRDefault="00487AD3" w:rsidP="00487AD3">
      <w:pPr>
        <w:spacing w:line="360" w:lineRule="auto"/>
        <w:contextualSpacing/>
        <w:jc w:val="both"/>
        <w:rPr>
          <w:rFonts w:ascii="Times New Roman" w:hAnsi="Times New Roman" w:cs="Times New Roman"/>
        </w:rPr>
      </w:pPr>
      <w:r w:rsidRPr="008F5202">
        <w:rPr>
          <w:rFonts w:ascii="Times New Roman" w:hAnsi="Times New Roman" w:cs="Times New Roman"/>
        </w:rPr>
        <w:t>The CDT model adds rolling friction torque as following:</w:t>
      </w:r>
    </w:p>
    <w:p w14:paraId="77FBDC5D" w14:textId="0DF3E2E2" w:rsidR="00393D90" w:rsidRPr="008F5202" w:rsidRDefault="00393D90"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15</w:t>
      </w:r>
      <w:r w:rsidR="000978FD" w:rsidRPr="008F5202">
        <w:fldChar w:fldCharType="end"/>
      </w:r>
    </w:p>
    <w:p w14:paraId="47805F10" w14:textId="4D50A9CC" w:rsidR="00487AD3" w:rsidRPr="008F5202" w:rsidRDefault="00000000" w:rsidP="00393D90">
      <w:pPr>
        <w:spacing w:line="360" w:lineRule="auto"/>
        <w:contextualSpacing/>
        <w:jc w:val="center"/>
        <w:rPr>
          <w:rFonts w:ascii="Times New Roman" w:hAnsi="Times New Roman" w:cs="Times New Roman"/>
        </w:rPr>
      </w:pPr>
      <m:oMathPara>
        <m:oMath>
          <m:sSub>
            <m:sSubPr>
              <m:ctrlPr>
                <w:rPr>
                  <w:rFonts w:ascii="Cambria Math" w:hAnsi="Cambria Math" w:cs="Times New Roman"/>
                  <w:i/>
                  <w:vertAlign w:val="superscript"/>
                </w:rPr>
              </m:ctrlPr>
            </m:sSubPr>
            <m:e>
              <m:r>
                <w:rPr>
                  <w:rFonts w:ascii="Cambria Math" w:hAnsi="Cambria Math" w:cs="Times New Roman"/>
                  <w:vertAlign w:val="superscript"/>
                </w:rPr>
                <m:t>T</m:t>
              </m:r>
            </m:e>
            <m:sub>
              <m:r>
                <w:rPr>
                  <w:rFonts w:ascii="Cambria Math" w:hAnsi="Cambria Math" w:cs="Times New Roman"/>
                  <w:vertAlign w:val="superscript"/>
                </w:rPr>
                <m:t xml:space="preserve"> CDT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r</m:t>
              </m:r>
            </m:sub>
          </m:sSub>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n</m:t>
              </m:r>
            </m:sub>
          </m:sSub>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n</m:t>
              </m:r>
            </m:sub>
          </m:sSub>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m:t>
              </m:r>
            </m:sup>
          </m:sSup>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s,ij</m:t>
                  </m:r>
                </m:sub>
              </m:sSub>
            </m:num>
            <m:den>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s,ij</m:t>
                      </m:r>
                    </m:sub>
                  </m:sSub>
                </m:e>
              </m:d>
            </m:den>
          </m:f>
          <m:r>
            <w:rPr>
              <w:rFonts w:ascii="Cambria Math" w:hAnsi="Cambria Math" w:cs="Times New Roman"/>
            </w:rPr>
            <m:t xml:space="preserve"> </m:t>
          </m:r>
        </m:oMath>
      </m:oMathPara>
    </w:p>
    <w:p w14:paraId="008F5478" w14:textId="2A8EDD3D" w:rsidR="00487AD3" w:rsidRPr="008F5202" w:rsidRDefault="00487AD3" w:rsidP="00487AD3">
      <w:pPr>
        <w:spacing w:line="360" w:lineRule="auto"/>
        <w:contextualSpacing/>
        <w:jc w:val="both"/>
        <w:rPr>
          <w:rFonts w:ascii="Times New Roman" w:hAnsi="Times New Roman" w:cs="Times New Roman"/>
        </w:rPr>
      </w:pPr>
      <w:r w:rsidRPr="008F5202">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s,ij</m:t>
            </m:r>
          </m:sub>
        </m:sSub>
      </m:oMath>
      <w:r w:rsidRPr="008F5202">
        <w:rPr>
          <w:rFonts w:ascii="Times New Roman" w:hAnsi="Times New Roman" w:cs="Times New Roman"/>
        </w:rPr>
        <w:t xml:space="preserve"> is the projection of relative angular velocity (</w:t>
      </w: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i</m:t>
            </m:r>
          </m:sub>
        </m:sSub>
        <m:r>
          <w:rPr>
            <w:rFonts w:ascii="Cambria Math" w:hAnsi="Cambria Math" w:cs="Times New Roman"/>
          </w:rPr>
          <m:t xml:space="preserve"> </m:t>
        </m:r>
      </m:oMath>
      <w:r w:rsidRPr="008F5202">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j</m:t>
            </m:r>
          </m:sub>
        </m:sSub>
      </m:oMath>
      <w:r w:rsidRPr="008F5202">
        <w:rPr>
          <w:rFonts w:ascii="Times New Roman" w:hAnsi="Times New Roman" w:cs="Times New Roman"/>
        </w:rPr>
        <w:t>) into the shear plane. For CDT model, the coefficient of rolling friction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r</m:t>
            </m:r>
          </m:sub>
        </m:sSub>
      </m:oMath>
      <w:r w:rsidRPr="008F5202">
        <w:rPr>
          <w:rFonts w:ascii="Times New Roman" w:hAnsi="Times New Roman" w:cs="Times New Roman"/>
        </w:rPr>
        <w:t>) must be specified. The EPSD2 model is determined as following over multiple time steps without using the viscous damping contribution:</w:t>
      </w:r>
    </w:p>
    <w:p w14:paraId="0903C476" w14:textId="4E2F62B0" w:rsidR="00393D90" w:rsidRPr="008F5202" w:rsidRDefault="00393D90" w:rsidP="008F5202">
      <w:pPr>
        <w:pStyle w:val="Caption"/>
      </w:pPr>
      <w:r w:rsidRPr="008F5202">
        <w:lastRenderedPageBreak/>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16</w:t>
      </w:r>
      <w:r w:rsidR="000978FD" w:rsidRPr="008F5202">
        <w:fldChar w:fldCharType="end"/>
      </w:r>
    </w:p>
    <w:p w14:paraId="71BBDFB3" w14:textId="45CA36BD" w:rsidR="00487AD3" w:rsidRPr="008F5202" w:rsidRDefault="00000000" w:rsidP="00487AD3">
      <w:pPr>
        <w:spacing w:line="360" w:lineRule="auto"/>
        <w:contextualSpacing/>
        <w:jc w:val="both"/>
        <w:rPr>
          <w:rFonts w:ascii="Times New Roman" w:hAnsi="Times New Roman" w:cs="Times New Roman"/>
          <w:vertAlign w:val="superscript"/>
        </w:rPr>
      </w:pPr>
      <m:oMathPara>
        <m:oMath>
          <m:sSub>
            <m:sSubPr>
              <m:ctrlPr>
                <w:rPr>
                  <w:rFonts w:ascii="Cambria Math" w:hAnsi="Cambria Math" w:cs="Times New Roman"/>
                  <w:i/>
                  <w:vertAlign w:val="superscript"/>
                </w:rPr>
              </m:ctrlPr>
            </m:sSubPr>
            <m:e>
              <m:r>
                <w:rPr>
                  <w:rFonts w:ascii="Cambria Math" w:hAnsi="Cambria Math" w:cs="Times New Roman"/>
                  <w:vertAlign w:val="superscript"/>
                </w:rPr>
                <m:t>T</m:t>
              </m:r>
            </m:e>
            <m:sub>
              <m:r>
                <w:rPr>
                  <w:rFonts w:ascii="Cambria Math" w:hAnsi="Cambria Math" w:cs="Times New Roman"/>
                  <w:vertAlign w:val="superscript"/>
                </w:rPr>
                <m:t xml:space="preserve"> EPSD2,  t+ ∆t</m:t>
              </m:r>
            </m:sub>
          </m:sSub>
          <m:r>
            <w:rPr>
              <w:rFonts w:ascii="Cambria Math" w:hAnsi="Cambria Math" w:cs="Times New Roman"/>
              <w:vertAlign w:val="superscript"/>
            </w:rPr>
            <m:t xml:space="preserve">= </m:t>
          </m:r>
          <m:sSub>
            <m:sSubPr>
              <m:ctrlPr>
                <w:rPr>
                  <w:rFonts w:ascii="Cambria Math" w:hAnsi="Cambria Math" w:cs="Times New Roman"/>
                  <w:i/>
                  <w:vertAlign w:val="superscript"/>
                </w:rPr>
              </m:ctrlPr>
            </m:sSubPr>
            <m:e>
              <m:r>
                <w:rPr>
                  <w:rFonts w:ascii="Cambria Math" w:hAnsi="Cambria Math" w:cs="Times New Roman"/>
                  <w:vertAlign w:val="superscript"/>
                </w:rPr>
                <m:t>T</m:t>
              </m:r>
            </m:e>
            <m:sub>
              <m:r>
                <w:rPr>
                  <w:rFonts w:ascii="Cambria Math" w:hAnsi="Cambria Math" w:cs="Times New Roman"/>
                  <w:vertAlign w:val="superscript"/>
                </w:rPr>
                <m:t xml:space="preserve"> EPSD2,  t</m:t>
              </m:r>
            </m:sub>
          </m:sSub>
          <m:r>
            <w:rPr>
              <w:rFonts w:ascii="Cambria Math" w:hAnsi="Cambria Math" w:cs="Times New Roman"/>
              <w:vertAlign w:val="superscript"/>
            </w:rPr>
            <m:t>-</m:t>
          </m:r>
          <m:sSub>
            <m:sSubPr>
              <m:ctrlPr>
                <w:rPr>
                  <w:rFonts w:ascii="Cambria Math" w:hAnsi="Cambria Math" w:cs="Times New Roman"/>
                  <w:i/>
                  <w:vertAlign w:val="superscript"/>
                </w:rPr>
              </m:ctrlPr>
            </m:sSubPr>
            <m:e>
              <m:r>
                <w:rPr>
                  <w:rFonts w:ascii="Cambria Math" w:hAnsi="Cambria Math" w:cs="Times New Roman"/>
                  <w:vertAlign w:val="superscript"/>
                </w:rPr>
                <m:t>k</m:t>
              </m:r>
            </m:e>
            <m:sub>
              <m:r>
                <w:rPr>
                  <w:rFonts w:ascii="Cambria Math" w:hAnsi="Cambria Math" w:cs="Times New Roman"/>
                  <w:vertAlign w:val="superscript"/>
                </w:rPr>
                <m:t>t</m:t>
              </m:r>
            </m:sub>
          </m:sSub>
          <m:sSup>
            <m:sSupPr>
              <m:ctrlPr>
                <w:rPr>
                  <w:rFonts w:ascii="Cambria Math" w:hAnsi="Cambria Math" w:cs="Times New Roman"/>
                  <w:i/>
                  <w:vertAlign w:val="superscript"/>
                </w:rPr>
              </m:ctrlPr>
            </m:sSupPr>
            <m:e>
              <m:sSup>
                <m:sSupPr>
                  <m:ctrlPr>
                    <w:rPr>
                      <w:rFonts w:ascii="Cambria Math" w:hAnsi="Cambria Math" w:cs="Times New Roman"/>
                      <w:i/>
                      <w:vertAlign w:val="superscript"/>
                    </w:rPr>
                  </m:ctrlPr>
                </m:sSupPr>
                <m:e>
                  <m:r>
                    <w:rPr>
                      <w:rFonts w:ascii="Cambria Math" w:hAnsi="Cambria Math" w:cs="Times New Roman"/>
                      <w:vertAlign w:val="superscript"/>
                    </w:rPr>
                    <m:t>R</m:t>
                  </m:r>
                </m:e>
                <m:sup>
                  <m:r>
                    <w:rPr>
                      <w:rFonts w:ascii="Cambria Math" w:hAnsi="Cambria Math" w:cs="Times New Roman"/>
                      <w:vertAlign w:val="superscript"/>
                    </w:rPr>
                    <m:t>*</m:t>
                  </m:r>
                </m:sup>
              </m:sSup>
            </m:e>
            <m:sup>
              <m:r>
                <w:rPr>
                  <w:rFonts w:ascii="Cambria Math" w:hAnsi="Cambria Math" w:cs="Times New Roman"/>
                  <w:vertAlign w:val="superscript"/>
                </w:rPr>
                <m:t>2</m:t>
              </m:r>
            </m:sup>
          </m:sSup>
          <m:r>
            <w:rPr>
              <w:rFonts w:ascii="Cambria Math" w:hAnsi="Cambria Math" w:cs="Times New Roman"/>
              <w:vertAlign w:val="superscript"/>
            </w:rPr>
            <m:t>∆</m:t>
          </m:r>
          <m:sSub>
            <m:sSubPr>
              <m:ctrlPr>
                <w:rPr>
                  <w:rFonts w:ascii="Cambria Math" w:hAnsi="Cambria Math" w:cs="Times New Roman"/>
                  <w:i/>
                  <w:vertAlign w:val="superscript"/>
                </w:rPr>
              </m:ctrlPr>
            </m:sSubPr>
            <m:e>
              <m:r>
                <w:rPr>
                  <w:rFonts w:ascii="Cambria Math" w:hAnsi="Cambria Math" w:cs="Times New Roman"/>
                  <w:vertAlign w:val="superscript"/>
                </w:rPr>
                <m:t>θ</m:t>
              </m:r>
            </m:e>
            <m:sub>
              <m:r>
                <w:rPr>
                  <w:rFonts w:ascii="Cambria Math" w:hAnsi="Cambria Math" w:cs="Times New Roman"/>
                  <w:vertAlign w:val="superscript"/>
                </w:rPr>
                <m:t>r</m:t>
              </m:r>
            </m:sub>
          </m:sSub>
        </m:oMath>
      </m:oMathPara>
    </w:p>
    <w:p w14:paraId="4F81CBC7" w14:textId="77777777" w:rsidR="00487AD3" w:rsidRPr="008F5202" w:rsidRDefault="00487AD3" w:rsidP="00487AD3">
      <w:pPr>
        <w:spacing w:line="360" w:lineRule="auto"/>
        <w:contextualSpacing/>
        <w:jc w:val="both"/>
        <w:rPr>
          <w:rFonts w:ascii="Times New Roman" w:hAnsi="Times New Roman" w:cs="Times New Roman"/>
        </w:rPr>
      </w:pPr>
      <w:r w:rsidRPr="008F5202">
        <w:rPr>
          <w:rFonts w:ascii="Times New Roman" w:hAnsi="Times New Roman" w:cs="Times New Roman"/>
        </w:rPr>
        <w:t xml:space="preserve">where, </w:t>
      </w:r>
      <m:oMath>
        <m:r>
          <w:rPr>
            <w:rFonts w:ascii="Cambria Math" w:hAnsi="Cambria Math" w:cs="Times New Roman"/>
            <w:vertAlign w:val="superscript"/>
          </w:rPr>
          <m:t>∆</m:t>
        </m:r>
        <m:sSub>
          <m:sSubPr>
            <m:ctrlPr>
              <w:rPr>
                <w:rFonts w:ascii="Cambria Math" w:hAnsi="Cambria Math" w:cs="Times New Roman"/>
                <w:i/>
                <w:vertAlign w:val="superscript"/>
              </w:rPr>
            </m:ctrlPr>
          </m:sSubPr>
          <m:e>
            <m:r>
              <w:rPr>
                <w:rFonts w:ascii="Cambria Math" w:hAnsi="Cambria Math" w:cs="Times New Roman"/>
                <w:vertAlign w:val="superscript"/>
              </w:rPr>
              <m:t>θ</m:t>
            </m:r>
          </m:e>
          <m:sub>
            <m:r>
              <w:rPr>
                <w:rFonts w:ascii="Cambria Math" w:hAnsi="Cambria Math" w:cs="Times New Roman"/>
                <w:vertAlign w:val="superscript"/>
              </w:rPr>
              <m:t>r</m:t>
            </m:r>
          </m:sub>
        </m:sSub>
        <m:r>
          <w:rPr>
            <w:rFonts w:ascii="Cambria Math" w:hAnsi="Cambria Math" w:cs="Times New Roman"/>
            <w:vertAlign w:val="superscript"/>
          </w:rPr>
          <m:t xml:space="preserve"> </m:t>
        </m:r>
      </m:oMath>
      <w:r w:rsidRPr="008F5202">
        <w:rPr>
          <w:rFonts w:ascii="Times New Roman" w:hAnsi="Times New Roman" w:cs="Times New Roman"/>
        </w:rPr>
        <w:t>is the incremental relative rotation between the interacting particles. The maximum magnitude of spring torque is limited by the full mobilization torque determined using normal force and coefficient of rolling friction:</w:t>
      </w:r>
    </w:p>
    <w:p w14:paraId="4173692F" w14:textId="77777777" w:rsidR="00487AD3" w:rsidRPr="008F5202" w:rsidRDefault="00487AD3" w:rsidP="00487AD3">
      <w:pPr>
        <w:spacing w:line="360" w:lineRule="auto"/>
        <w:contextualSpacing/>
        <w:jc w:val="both"/>
        <w:rPr>
          <w:rFonts w:ascii="Times New Roman" w:hAnsi="Times New Roman" w:cs="Times New Roman"/>
        </w:rPr>
      </w:pPr>
      <w:r w:rsidRPr="008F5202">
        <w:rPr>
          <w:rFonts w:ascii="Times New Roman" w:hAnsi="Times New Roman" w:cs="Times New Roman"/>
        </w:rPr>
        <w:t xml:space="preserve"> </w:t>
      </w:r>
    </w:p>
    <w:p w14:paraId="48CCA443" w14:textId="58D2B6D3" w:rsidR="00393D90" w:rsidRPr="008F5202" w:rsidRDefault="00393D90"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17</w:t>
      </w:r>
      <w:r w:rsidR="000978FD" w:rsidRPr="008F5202">
        <w:fldChar w:fldCharType="end"/>
      </w:r>
    </w:p>
    <w:p w14:paraId="54C30369" w14:textId="427B6B3C" w:rsidR="00487AD3" w:rsidRPr="008F5202" w:rsidRDefault="00000000" w:rsidP="00487AD3">
      <w:pPr>
        <w:spacing w:line="360" w:lineRule="auto"/>
        <w:contextualSpacing/>
        <w:rPr>
          <w:rFonts w:ascii="Times New Roman" w:hAnsi="Times New Roman" w:cs="Times New Roman"/>
          <w:sz w:val="18"/>
          <w:szCs w:val="18"/>
        </w:rPr>
      </w:pPr>
      <m:oMathPara>
        <m:oMath>
          <m:d>
            <m:dPr>
              <m:begChr m:val="|"/>
              <m:endChr m:val="|"/>
              <m:ctrlPr>
                <w:rPr>
                  <w:rFonts w:ascii="Cambria Math" w:hAnsi="Cambria Math" w:cs="Times New Roman"/>
                  <w:i/>
                  <w:vertAlign w:val="superscript"/>
                </w:rPr>
              </m:ctrlPr>
            </m:dPr>
            <m:e>
              <m:sSub>
                <m:sSubPr>
                  <m:ctrlPr>
                    <w:rPr>
                      <w:rFonts w:ascii="Cambria Math" w:hAnsi="Cambria Math" w:cs="Times New Roman"/>
                      <w:i/>
                      <w:vertAlign w:val="superscript"/>
                    </w:rPr>
                  </m:ctrlPr>
                </m:sSubPr>
                <m:e>
                  <m:r>
                    <w:rPr>
                      <w:rFonts w:ascii="Cambria Math" w:hAnsi="Cambria Math" w:cs="Times New Roman"/>
                      <w:vertAlign w:val="superscript"/>
                    </w:rPr>
                    <m:t>T</m:t>
                  </m:r>
                </m:e>
                <m:sub>
                  <m:r>
                    <w:rPr>
                      <w:rFonts w:ascii="Cambria Math" w:hAnsi="Cambria Math" w:cs="Times New Roman"/>
                      <w:vertAlign w:val="superscript"/>
                    </w:rPr>
                    <m:t xml:space="preserve"> EPSD2,  t+ ∆t</m:t>
                  </m:r>
                </m:sub>
              </m:sSub>
            </m:e>
          </m:d>
          <m:r>
            <w:rPr>
              <w:rFonts w:ascii="Cambria Math" w:hAnsi="Cambria Math" w:cs="Times New Roman"/>
              <w:vertAlign w:val="superscript"/>
            </w:rPr>
            <m:t>≤</m:t>
          </m:r>
          <m:sSub>
            <m:sSubPr>
              <m:ctrlPr>
                <w:rPr>
                  <w:rFonts w:ascii="Cambria Math" w:hAnsi="Cambria Math" w:cs="Times New Roman"/>
                  <w:i/>
                  <w:vertAlign w:val="superscript"/>
                </w:rPr>
              </m:ctrlPr>
            </m:sSubPr>
            <m:e>
              <m:r>
                <w:rPr>
                  <w:rFonts w:ascii="Cambria Math" w:hAnsi="Cambria Math" w:cs="Times New Roman"/>
                  <w:vertAlign w:val="superscript"/>
                </w:rPr>
                <m:t>μ</m:t>
              </m:r>
            </m:e>
            <m:sub>
              <m:r>
                <w:rPr>
                  <w:rFonts w:ascii="Cambria Math" w:hAnsi="Cambria Math" w:cs="Times New Roman"/>
                  <w:vertAlign w:val="superscript"/>
                </w:rPr>
                <m:t>r</m:t>
              </m:r>
            </m:sub>
          </m:sSub>
          <m:sSup>
            <m:sSupPr>
              <m:ctrlPr>
                <w:rPr>
                  <w:rFonts w:ascii="Cambria Math" w:hAnsi="Cambria Math" w:cs="Times New Roman"/>
                  <w:i/>
                  <w:vertAlign w:val="superscript"/>
                </w:rPr>
              </m:ctrlPr>
            </m:sSupPr>
            <m:e>
              <m:r>
                <w:rPr>
                  <w:rFonts w:ascii="Cambria Math" w:hAnsi="Cambria Math" w:cs="Times New Roman"/>
                  <w:vertAlign w:val="superscript"/>
                </w:rPr>
                <m:t>R</m:t>
              </m:r>
            </m:e>
            <m:sup>
              <m:r>
                <w:rPr>
                  <w:rFonts w:ascii="Cambria Math" w:hAnsi="Cambria Math" w:cs="Times New Roman"/>
                  <w:vertAlign w:val="superscript"/>
                </w:rPr>
                <m:t>*</m:t>
              </m:r>
            </m:sup>
          </m:sSup>
          <m:sSub>
            <m:sSubPr>
              <m:ctrlPr>
                <w:rPr>
                  <w:rFonts w:ascii="Cambria Math" w:hAnsi="Cambria Math" w:cs="Times New Roman"/>
                  <w:i/>
                  <w:vertAlign w:val="superscript"/>
                </w:rPr>
              </m:ctrlPr>
            </m:sSubPr>
            <m:e>
              <m:r>
                <w:rPr>
                  <w:rFonts w:ascii="Cambria Math" w:hAnsi="Cambria Math" w:cs="Times New Roman"/>
                  <w:vertAlign w:val="superscript"/>
                </w:rPr>
                <m:t>F</m:t>
              </m:r>
            </m:e>
            <m:sub>
              <m:r>
                <w:rPr>
                  <w:rFonts w:ascii="Cambria Math" w:hAnsi="Cambria Math" w:cs="Times New Roman"/>
                  <w:vertAlign w:val="superscript"/>
                </w:rPr>
                <m:t>n</m:t>
              </m:r>
            </m:sub>
          </m:sSub>
        </m:oMath>
      </m:oMathPara>
    </w:p>
    <w:p w14:paraId="5866BDFE" w14:textId="77777777" w:rsidR="00487AD3" w:rsidRPr="008F5202" w:rsidRDefault="00487AD3" w:rsidP="00487AD3">
      <w:pPr>
        <w:spacing w:line="360" w:lineRule="auto"/>
        <w:contextualSpacing/>
        <w:jc w:val="both"/>
        <w:rPr>
          <w:rFonts w:ascii="Times New Roman" w:hAnsi="Times New Roman" w:cs="Times New Roman"/>
        </w:rPr>
      </w:pPr>
      <w:r w:rsidRPr="008F5202">
        <w:rPr>
          <w:rFonts w:ascii="Times New Roman" w:hAnsi="Times New Roman" w:cs="Times New Roman"/>
        </w:rPr>
        <w:t xml:space="preserve">The correct evaluation of forces as per the equations presented in this section require accurate a priori determination of several input properties such as Young’s modulus, Poisson’s ratio, and coefficients of sliding friction, rolling friction, and restitution. The properties and other numerical inputs adopted in the simulations of the current study are discussed in the next section. </w:t>
      </w:r>
    </w:p>
    <w:p w14:paraId="789393DC" w14:textId="77777777" w:rsidR="00487AD3" w:rsidRPr="008F5202" w:rsidRDefault="00487AD3" w:rsidP="00487AD3">
      <w:pPr>
        <w:spacing w:line="360" w:lineRule="auto"/>
        <w:contextualSpacing/>
        <w:jc w:val="both"/>
        <w:rPr>
          <w:rFonts w:ascii="Times New Roman" w:hAnsi="Times New Roman" w:cs="Times New Roman"/>
          <w:sz w:val="18"/>
          <w:szCs w:val="18"/>
        </w:rPr>
      </w:pPr>
    </w:p>
    <w:p w14:paraId="509C4FEA" w14:textId="2EEC43A2" w:rsidR="00487AD3" w:rsidRPr="008F5202" w:rsidRDefault="00487AD3" w:rsidP="00393D90">
      <w:pPr>
        <w:pStyle w:val="Heading2"/>
        <w:rPr>
          <w:rFonts w:eastAsia="Calibri"/>
        </w:rPr>
      </w:pPr>
      <w:r w:rsidRPr="008F5202">
        <w:t xml:space="preserve"> </w:t>
      </w:r>
      <w:bookmarkStart w:id="181" w:name="_Toc177758178"/>
      <w:r w:rsidRPr="008F5202">
        <w:rPr>
          <w:rFonts w:eastAsia="Calibri"/>
        </w:rPr>
        <w:t>N</w:t>
      </w:r>
      <w:r w:rsidR="007B7C54" w:rsidRPr="008F5202">
        <w:rPr>
          <w:rFonts w:eastAsia="Calibri"/>
        </w:rPr>
        <w:t>umerical setup</w:t>
      </w:r>
      <w:bookmarkEnd w:id="181"/>
      <w:r w:rsidR="007B7C54" w:rsidRPr="008F5202">
        <w:rPr>
          <w:rFonts w:eastAsia="Calibri"/>
        </w:rPr>
        <w:t xml:space="preserve"> </w:t>
      </w:r>
    </w:p>
    <w:p w14:paraId="17B29A8E" w14:textId="46E2DE08" w:rsidR="00487AD3" w:rsidRPr="008F5202" w:rsidRDefault="00487AD3" w:rsidP="00487AD3">
      <w:pPr>
        <w:tabs>
          <w:tab w:val="left" w:pos="270"/>
        </w:tabs>
        <w:spacing w:line="360" w:lineRule="auto"/>
        <w:contextualSpacing/>
        <w:jc w:val="both"/>
        <w:rPr>
          <w:rFonts w:ascii="Times New Roman" w:hAnsi="Times New Roman" w:cs="Times New Roman"/>
        </w:rPr>
      </w:pPr>
      <w:r w:rsidRPr="008F5202">
        <w:rPr>
          <w:rFonts w:ascii="Times New Roman" w:hAnsi="Times New Roman" w:cs="Times New Roman"/>
        </w:rPr>
        <w:tab/>
        <w:t xml:space="preserve"> The parameters provided as input to evaluate particle-particle, particle-fiber, and particle-channel wall interactions are provided in Table </w:t>
      </w:r>
      <w:r w:rsidR="008700FD" w:rsidRPr="008F5202">
        <w:rPr>
          <w:rFonts w:ascii="Times New Roman" w:hAnsi="Times New Roman" w:cs="Times New Roman"/>
        </w:rPr>
        <w:t>4.</w:t>
      </w:r>
      <w:r w:rsidRPr="008F5202">
        <w:rPr>
          <w:rFonts w:ascii="Times New Roman" w:hAnsi="Times New Roman" w:cs="Times New Roman"/>
        </w:rPr>
        <w:t xml:space="preserve">2. Both the fiber-surfaces and channel-walls were provided with the same material properties. The variables particle-particle sliding friction, rolling friction, and restitution coefficients were adopted from a recent study by Bagepalli et al. </w:t>
      </w:r>
      <w:r w:rsidR="00EA4E2B" w:rsidRPr="008F5202">
        <w:rPr>
          <w:rFonts w:ascii="Times New Roman" w:hAnsi="Times New Roman" w:cs="Times New Roman"/>
        </w:rPr>
        <w:t>[4</w:t>
      </w:r>
      <w:r w:rsidR="00393D90" w:rsidRPr="008F5202">
        <w:rPr>
          <w:rFonts w:ascii="Times New Roman" w:hAnsi="Times New Roman" w:cs="Times New Roman"/>
        </w:rPr>
        <w:t>.48]</w:t>
      </w:r>
      <w:r w:rsidRPr="008F5202">
        <w:rPr>
          <w:rFonts w:ascii="Times New Roman" w:hAnsi="Times New Roman" w:cs="Times New Roman"/>
        </w:rPr>
        <w:t xml:space="preserve">, where the authors experimentally measured the mechanical properties of CARBOBEAD-CP 30/60 proppants. The authors also reported the contact properties of particles against alumina- and resin-walls. The coefficient of sliding friction and rolling friction between particle-alumina wall was 1.0 and 0.41, respectively, whereas the coefficient values for particle-resin wall were 0.80 and 0.40, respectively. The particle-wall sliding friction values of 0.25 and 0.30 were used in DEM simulations by Gallego et al. </w:t>
      </w:r>
      <w:r w:rsidR="00EA4E2B" w:rsidRPr="008F5202">
        <w:rPr>
          <w:rFonts w:ascii="Times New Roman" w:eastAsia="Calibri" w:hAnsi="Times New Roman" w:cs="Times New Roman"/>
        </w:rPr>
        <w:t>[4</w:t>
      </w:r>
      <w:r w:rsidR="00393D90" w:rsidRPr="008F5202">
        <w:rPr>
          <w:rFonts w:ascii="Times New Roman" w:eastAsia="Calibri" w:hAnsi="Times New Roman" w:cs="Times New Roman"/>
        </w:rPr>
        <w:t>.</w:t>
      </w:r>
      <w:r w:rsidRPr="008F5202">
        <w:rPr>
          <w:rFonts w:ascii="Times New Roman" w:eastAsia="Calibri" w:hAnsi="Times New Roman" w:cs="Times New Roman"/>
        </w:rPr>
        <w:t>49]</w:t>
      </w:r>
      <w:r w:rsidRPr="008F5202">
        <w:rPr>
          <w:rFonts w:ascii="Times New Roman" w:hAnsi="Times New Roman" w:cs="Times New Roman"/>
        </w:rPr>
        <w:t xml:space="preserve"> when the walls were considered to be made of steel and methacrylate, respectively, while the glass beads were the falling granular medium. </w:t>
      </w:r>
    </w:p>
    <w:p w14:paraId="39DFE532" w14:textId="77777777" w:rsidR="00487AD3" w:rsidRPr="008F5202" w:rsidRDefault="00487AD3" w:rsidP="00487AD3">
      <w:pPr>
        <w:tabs>
          <w:tab w:val="left" w:pos="270"/>
        </w:tabs>
        <w:spacing w:line="360" w:lineRule="auto"/>
        <w:contextualSpacing/>
        <w:jc w:val="both"/>
        <w:rPr>
          <w:rFonts w:ascii="Times New Roman" w:hAnsi="Times New Roman" w:cs="Times New Roman"/>
        </w:rPr>
      </w:pPr>
      <w:r w:rsidRPr="008F5202">
        <w:rPr>
          <w:rFonts w:ascii="Times New Roman" w:hAnsi="Times New Roman" w:cs="Times New Roman"/>
        </w:rPr>
        <w:tab/>
        <w:t xml:space="preserve">In the current study, alumina particles interacted with steel surface in the hopper, resin-wall in the lattice volume, and acrylic glass on the bounding walls in the experimental </w:t>
      </w:r>
      <w:r w:rsidRPr="008F5202">
        <w:rPr>
          <w:rFonts w:ascii="Times New Roman" w:hAnsi="Times New Roman" w:cs="Times New Roman"/>
        </w:rPr>
        <w:lastRenderedPageBreak/>
        <w:t xml:space="preserve">setup. However, all the surfaces in a simulation were attributed the same sliding friction coefficient value for particle interaction. Three different cases of particle-wall sliding friction (0.3, 0.5, and 1.0) covering a wide range of values as reported in the literature discussed above were simulated in order to calibrate it against the current experimental data. </w:t>
      </w:r>
    </w:p>
    <w:p w14:paraId="5D687E10" w14:textId="5814D667" w:rsidR="00487AD3" w:rsidRPr="008F5202" w:rsidRDefault="00487AD3" w:rsidP="00487AD3">
      <w:pPr>
        <w:spacing w:line="360" w:lineRule="auto"/>
        <w:ind w:firstLine="270"/>
        <w:contextualSpacing/>
        <w:jc w:val="both"/>
        <w:rPr>
          <w:rFonts w:ascii="Times New Roman" w:hAnsi="Times New Roman" w:cs="Times New Roman"/>
        </w:rPr>
      </w:pPr>
      <w:r w:rsidRPr="008F5202">
        <w:rPr>
          <w:rFonts w:ascii="Times New Roman" w:hAnsi="Times New Roman" w:cs="Times New Roman"/>
        </w:rPr>
        <w:t>Time step size (</w:t>
      </w:r>
      <m:oMath>
        <m:r>
          <w:rPr>
            <w:rFonts w:ascii="Cambria Math" w:hAnsi="Cambria Math" w:cs="Times New Roman"/>
          </w:rPr>
          <m:t>δt</m:t>
        </m:r>
      </m:oMath>
      <w:r w:rsidRPr="008F5202">
        <w:rPr>
          <w:rFonts w:ascii="Times New Roman" w:hAnsi="Times New Roman" w:cs="Times New Roman"/>
        </w:rPr>
        <w:t xml:space="preserve">)  for Hertzian contact model in DEM simulations is based on the Rayleigh time as provided by the following theoretical expression </w:t>
      </w:r>
      <w:r w:rsidR="00EA4E2B" w:rsidRPr="008F5202">
        <w:rPr>
          <w:rFonts w:ascii="Times New Roman" w:eastAsia="Calibri" w:hAnsi="Times New Roman" w:cs="Times New Roman"/>
        </w:rPr>
        <w:t>[4</w:t>
      </w:r>
      <w:r w:rsidR="00393D90" w:rsidRPr="008F5202">
        <w:rPr>
          <w:rFonts w:ascii="Times New Roman" w:eastAsia="Calibri" w:hAnsi="Times New Roman" w:cs="Times New Roman"/>
        </w:rPr>
        <w:t>.</w:t>
      </w:r>
      <w:r w:rsidRPr="008F5202">
        <w:rPr>
          <w:rFonts w:ascii="Times New Roman" w:eastAsia="Calibri" w:hAnsi="Times New Roman" w:cs="Times New Roman"/>
        </w:rPr>
        <w:t>50</w:t>
      </w:r>
      <w:r w:rsidR="00EA4E2B" w:rsidRPr="008F5202">
        <w:rPr>
          <w:rFonts w:ascii="Times New Roman" w:eastAsia="Calibri" w:hAnsi="Times New Roman" w:cs="Times New Roman"/>
        </w:rPr>
        <w:t>,4</w:t>
      </w:r>
      <w:r w:rsidR="00393D90" w:rsidRPr="008F5202">
        <w:rPr>
          <w:rFonts w:ascii="Times New Roman" w:eastAsia="Calibri" w:hAnsi="Times New Roman" w:cs="Times New Roman"/>
        </w:rPr>
        <w:t>.</w:t>
      </w:r>
      <w:r w:rsidRPr="008F5202">
        <w:rPr>
          <w:rFonts w:ascii="Times New Roman" w:eastAsia="Calibri" w:hAnsi="Times New Roman" w:cs="Times New Roman"/>
        </w:rPr>
        <w:t>51]</w:t>
      </w:r>
      <w:r w:rsidRPr="008F5202">
        <w:rPr>
          <w:rFonts w:ascii="Times New Roman" w:hAnsi="Times New Roman" w:cs="Times New Roman"/>
        </w:rPr>
        <w:t>:</w:t>
      </w:r>
    </w:p>
    <w:p w14:paraId="422C7022" w14:textId="30691DB8" w:rsidR="00393D90" w:rsidRPr="008F5202" w:rsidRDefault="00393D90"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18</w:t>
      </w:r>
      <w:r w:rsidR="000978FD" w:rsidRPr="008F5202">
        <w:fldChar w:fldCharType="end"/>
      </w:r>
    </w:p>
    <w:p w14:paraId="0CB90FEC" w14:textId="355BDDBB" w:rsidR="00487AD3" w:rsidRPr="008F5202" w:rsidRDefault="00000000" w:rsidP="00487AD3">
      <w:pPr>
        <w:spacing w:line="360" w:lineRule="auto"/>
        <w:ind w:firstLine="284"/>
        <w:contextualSpacing/>
        <w:jc w:val="both"/>
        <w:rPr>
          <w:rFonts w:ascii="Times New Roman" w:hAnsi="Times New Roman" w:cs="Times New Roman"/>
        </w:rPr>
      </w:pPr>
      <m:oMathPara>
        <m:oMath>
          <m:sSub>
            <m:sSubPr>
              <m:ctrlPr>
                <w:rPr>
                  <w:rFonts w:ascii="Cambria Math" w:hAnsi="Cambria Math" w:cs="Times New Roman"/>
                  <w:i/>
                  <w:vertAlign w:val="superscript"/>
                </w:rPr>
              </m:ctrlPr>
            </m:sSubPr>
            <m:e>
              <m:r>
                <w:rPr>
                  <w:rFonts w:ascii="Cambria Math" w:hAnsi="Cambria Math" w:cs="Times New Roman"/>
                  <w:vertAlign w:val="superscript"/>
                </w:rPr>
                <m:t>t</m:t>
              </m:r>
            </m:e>
            <m:sub>
              <m:r>
                <w:rPr>
                  <w:rFonts w:ascii="Cambria Math" w:hAnsi="Cambria Math" w:cs="Times New Roman"/>
                  <w:vertAlign w:val="superscript"/>
                </w:rPr>
                <m:t>Ray</m:t>
              </m:r>
            </m:sub>
          </m:sSub>
          <m:r>
            <w:rPr>
              <w:rFonts w:ascii="Cambria Math" w:hAnsi="Cambria Math" w:cs="Times New Roman"/>
              <w:vertAlign w:val="superscript"/>
            </w:rPr>
            <m:t>=</m:t>
          </m:r>
          <m:f>
            <m:fPr>
              <m:ctrlPr>
                <w:rPr>
                  <w:rFonts w:ascii="Cambria Math" w:hAnsi="Cambria Math" w:cs="Times New Roman"/>
                  <w:i/>
                  <w:vertAlign w:val="superscript"/>
                </w:rPr>
              </m:ctrlPr>
            </m:fPr>
            <m:num>
              <m:r>
                <w:rPr>
                  <w:rFonts w:ascii="Cambria Math" w:hAnsi="Cambria Math" w:cs="Times New Roman"/>
                  <w:vertAlign w:val="superscript"/>
                </w:rPr>
                <m:t>πR</m:t>
              </m:r>
            </m:num>
            <m:den>
              <m:r>
                <w:rPr>
                  <w:rFonts w:ascii="Cambria Math" w:hAnsi="Cambria Math" w:cs="Times New Roman"/>
                  <w:vertAlign w:val="superscript"/>
                </w:rPr>
                <m:t>0.8766+0.163ν</m:t>
              </m:r>
            </m:den>
          </m:f>
          <m:rad>
            <m:radPr>
              <m:degHide m:val="1"/>
              <m:ctrlPr>
                <w:rPr>
                  <w:rFonts w:ascii="Cambria Math" w:hAnsi="Cambria Math" w:cs="Times New Roman"/>
                  <w:i/>
                  <w:vertAlign w:val="superscript"/>
                </w:rPr>
              </m:ctrlPr>
            </m:radPr>
            <m:deg/>
            <m:e>
              <m:f>
                <m:fPr>
                  <m:ctrlPr>
                    <w:rPr>
                      <w:rFonts w:ascii="Cambria Math" w:hAnsi="Cambria Math" w:cs="Times New Roman"/>
                      <w:i/>
                      <w:vertAlign w:val="superscript"/>
                    </w:rPr>
                  </m:ctrlPr>
                </m:fPr>
                <m:num>
                  <m:r>
                    <w:rPr>
                      <w:rFonts w:ascii="Cambria Math" w:hAnsi="Cambria Math" w:cs="Times New Roman"/>
                      <w:vertAlign w:val="superscript"/>
                    </w:rPr>
                    <m:t>ρ</m:t>
                  </m:r>
                </m:num>
                <m:den>
                  <m:r>
                    <w:rPr>
                      <w:rFonts w:ascii="Cambria Math" w:hAnsi="Cambria Math" w:cs="Times New Roman"/>
                      <w:vertAlign w:val="superscript"/>
                    </w:rPr>
                    <m:t>G</m:t>
                  </m:r>
                </m:den>
              </m:f>
            </m:e>
          </m:rad>
        </m:oMath>
      </m:oMathPara>
    </w:p>
    <w:p w14:paraId="32A477A0" w14:textId="5CDDA885" w:rsidR="00487AD3" w:rsidRPr="008F5202" w:rsidRDefault="00487AD3" w:rsidP="00487AD3">
      <w:pPr>
        <w:spacing w:line="360" w:lineRule="auto"/>
        <w:contextualSpacing/>
        <w:jc w:val="both"/>
        <w:rPr>
          <w:rFonts w:ascii="Times New Roman" w:hAnsi="Times New Roman" w:cs="Times New Roman"/>
        </w:rPr>
      </w:pPr>
      <w:r w:rsidRPr="008F5202">
        <w:rPr>
          <w:rFonts w:ascii="Times New Roman" w:hAnsi="Times New Roman" w:cs="Times New Roman"/>
        </w:rPr>
        <w:t>The considered time step (</w:t>
      </w:r>
      <m:oMath>
        <m:r>
          <w:rPr>
            <w:rFonts w:ascii="Cambria Math" w:hAnsi="Cambria Math" w:cs="Times New Roman"/>
          </w:rPr>
          <m:t>δt</m:t>
        </m:r>
      </m:oMath>
      <w:r w:rsidRPr="008F5202">
        <w:rPr>
          <w:rFonts w:ascii="Times New Roman" w:hAnsi="Times New Roman" w:cs="Times New Roman"/>
        </w:rPr>
        <w:t xml:space="preserve">) should be smaller than the particle’s contact duration </w:t>
      </w:r>
      <w:r w:rsidR="00EA4E2B" w:rsidRPr="008F5202">
        <w:rPr>
          <w:rFonts w:ascii="Times New Roman" w:eastAsia="Calibri" w:hAnsi="Times New Roman" w:cs="Times New Roman"/>
        </w:rPr>
        <w:t>[4</w:t>
      </w:r>
      <w:r w:rsidR="00393D90" w:rsidRPr="008F5202">
        <w:rPr>
          <w:rFonts w:ascii="Times New Roman" w:eastAsia="Calibri" w:hAnsi="Times New Roman" w:cs="Times New Roman"/>
        </w:rPr>
        <w:t>.</w:t>
      </w:r>
      <w:r w:rsidRPr="008F5202">
        <w:rPr>
          <w:rFonts w:ascii="Times New Roman" w:eastAsia="Calibri" w:hAnsi="Times New Roman" w:cs="Times New Roman"/>
        </w:rPr>
        <w:t>52]</w:t>
      </w:r>
      <w:r w:rsidRPr="008F5202">
        <w:rPr>
          <w:rFonts w:ascii="Times New Roman" w:hAnsi="Times New Roman" w:cs="Times New Roman"/>
        </w:rPr>
        <w:t xml:space="preserve">. A common guideline is to adopt </w:t>
      </w:r>
      <m:oMath>
        <m:r>
          <w:rPr>
            <w:rFonts w:ascii="Cambria Math" w:hAnsi="Cambria Math" w:cs="Times New Roman"/>
          </w:rPr>
          <m:t>δt</m:t>
        </m:r>
      </m:oMath>
      <w:r w:rsidRPr="008F5202">
        <w:rPr>
          <w:rFonts w:ascii="Times New Roman" w:hAnsi="Times New Roman" w:cs="Times New Roman"/>
        </w:rPr>
        <w:t xml:space="preserve"> of about 20% of </w:t>
      </w:r>
      <m:oMath>
        <m:sSub>
          <m:sSubPr>
            <m:ctrlPr>
              <w:rPr>
                <w:rFonts w:ascii="Cambria Math" w:hAnsi="Cambria Math" w:cs="Times New Roman"/>
                <w:i/>
                <w:vertAlign w:val="superscript"/>
              </w:rPr>
            </m:ctrlPr>
          </m:sSubPr>
          <m:e>
            <m:r>
              <w:rPr>
                <w:rFonts w:ascii="Cambria Math" w:hAnsi="Cambria Math" w:cs="Times New Roman"/>
                <w:vertAlign w:val="superscript"/>
              </w:rPr>
              <m:t>t</m:t>
            </m:r>
          </m:e>
          <m:sub>
            <m:r>
              <w:rPr>
                <w:rFonts w:ascii="Cambria Math" w:hAnsi="Cambria Math" w:cs="Times New Roman"/>
                <w:vertAlign w:val="superscript"/>
              </w:rPr>
              <m:t>Ray</m:t>
            </m:r>
          </m:sub>
        </m:sSub>
      </m:oMath>
      <w:r w:rsidRPr="008F5202">
        <w:rPr>
          <w:rFonts w:ascii="Times New Roman" w:hAnsi="Times New Roman" w:cs="Times New Roman"/>
          <w:vertAlign w:val="superscript"/>
        </w:rPr>
        <w:t xml:space="preserve"> </w:t>
      </w:r>
      <w:r w:rsidRPr="008F5202">
        <w:rPr>
          <w:rFonts w:ascii="Times New Roman" w:hAnsi="Times New Roman" w:cs="Times New Roman"/>
        </w:rPr>
        <w:t xml:space="preserve"> for stable solution, however, larger time steps can be adopted if the achieved particle velocities in the computational domain are not expected to be very large. In the current study, </w:t>
      </w:r>
      <m:oMath>
        <m:r>
          <w:rPr>
            <w:rFonts w:ascii="Cambria Math" w:hAnsi="Cambria Math" w:cs="Times New Roman"/>
          </w:rPr>
          <m:t>δt</m:t>
        </m:r>
      </m:oMath>
      <w:r w:rsidRPr="008F5202">
        <w:rPr>
          <w:rFonts w:ascii="Times New Roman" w:hAnsi="Times New Roman" w:cs="Times New Roman"/>
        </w:rPr>
        <w:t xml:space="preserve"> = 5x10</w:t>
      </w:r>
      <w:r w:rsidRPr="008F5202">
        <w:rPr>
          <w:rFonts w:ascii="Times New Roman" w:hAnsi="Times New Roman" w:cs="Times New Roman"/>
          <w:vertAlign w:val="superscript"/>
        </w:rPr>
        <w:t>-6</w:t>
      </w:r>
      <w:r w:rsidRPr="008F5202">
        <w:rPr>
          <w:rFonts w:ascii="Times New Roman" w:hAnsi="Times New Roman" w:cs="Times New Roman"/>
        </w:rPr>
        <w:t xml:space="preserve"> was specified in all the simulations. The value of Young’s modulus significantly influences the time step size because larger the Young’s modulus smaller is the time step required to resolve particle-scale interactions. Researchers generally use a reduced elastic modulus magnitude as compared to the actual Young’s modulus of particles </w:t>
      </w:r>
      <w:r w:rsidR="00EA4E2B" w:rsidRPr="008F5202">
        <w:rPr>
          <w:rFonts w:ascii="Times New Roman" w:eastAsia="Calibri" w:hAnsi="Times New Roman" w:cs="Times New Roman"/>
        </w:rPr>
        <w:t>[4</w:t>
      </w:r>
      <w:r w:rsidR="00393D90" w:rsidRPr="008F5202">
        <w:rPr>
          <w:rFonts w:ascii="Times New Roman" w:eastAsia="Calibri" w:hAnsi="Times New Roman" w:cs="Times New Roman"/>
        </w:rPr>
        <w:t>.</w:t>
      </w:r>
      <w:r w:rsidRPr="008F5202">
        <w:rPr>
          <w:rFonts w:ascii="Times New Roman" w:eastAsia="Calibri" w:hAnsi="Times New Roman" w:cs="Times New Roman"/>
        </w:rPr>
        <w:t>46</w:t>
      </w:r>
      <w:r w:rsidR="00EA4E2B" w:rsidRPr="008F5202">
        <w:rPr>
          <w:rFonts w:ascii="Times New Roman" w:eastAsia="Calibri" w:hAnsi="Times New Roman" w:cs="Times New Roman"/>
        </w:rPr>
        <w:t>,4</w:t>
      </w:r>
      <w:r w:rsidR="00393D90" w:rsidRPr="008F5202">
        <w:rPr>
          <w:rFonts w:ascii="Times New Roman" w:eastAsia="Calibri" w:hAnsi="Times New Roman" w:cs="Times New Roman"/>
        </w:rPr>
        <w:t>.</w:t>
      </w:r>
      <w:r w:rsidRPr="008F5202">
        <w:rPr>
          <w:rFonts w:ascii="Times New Roman" w:eastAsia="Calibri" w:hAnsi="Times New Roman" w:cs="Times New Roman"/>
        </w:rPr>
        <w:t>52]</w:t>
      </w:r>
      <w:r w:rsidRPr="008F5202">
        <w:rPr>
          <w:rFonts w:ascii="Times New Roman" w:hAnsi="Times New Roman" w:cs="Times New Roman"/>
        </w:rPr>
        <w:t xml:space="preserve"> to reduce the computational time. Zhou et al. </w:t>
      </w:r>
      <w:r w:rsidR="00EA4E2B" w:rsidRPr="008F5202">
        <w:rPr>
          <w:rFonts w:ascii="Times New Roman" w:hAnsi="Times New Roman" w:cs="Times New Roman"/>
        </w:rPr>
        <w:t>[4</w:t>
      </w:r>
      <w:r w:rsidR="00393D90" w:rsidRPr="008F5202">
        <w:rPr>
          <w:rFonts w:ascii="Times New Roman" w:hAnsi="Times New Roman" w:cs="Times New Roman"/>
        </w:rPr>
        <w:t>.</w:t>
      </w:r>
      <w:r w:rsidRPr="008F5202">
        <w:rPr>
          <w:rFonts w:ascii="Times New Roman" w:hAnsi="Times New Roman" w:cs="Times New Roman"/>
        </w:rPr>
        <w:t>53] investigated the sensitivity of angle of repose of monosized spheres to various factors such as particle characteristics, material properties, and geometrical constraints. Young’s modulus range of 10</w:t>
      </w:r>
      <w:r w:rsidRPr="008F5202">
        <w:rPr>
          <w:rFonts w:ascii="Times New Roman" w:hAnsi="Times New Roman" w:cs="Times New Roman"/>
          <w:vertAlign w:val="superscript"/>
        </w:rPr>
        <w:t>5</w:t>
      </w:r>
      <w:r w:rsidRPr="008F5202">
        <w:rPr>
          <w:rFonts w:ascii="Times New Roman" w:hAnsi="Times New Roman" w:cs="Times New Roman"/>
        </w:rPr>
        <w:t xml:space="preserve"> – 10</w:t>
      </w:r>
      <w:r w:rsidRPr="008F5202">
        <w:rPr>
          <w:rFonts w:ascii="Times New Roman" w:hAnsi="Times New Roman" w:cs="Times New Roman"/>
          <w:vertAlign w:val="superscript"/>
        </w:rPr>
        <w:t>8</w:t>
      </w:r>
      <w:r w:rsidRPr="008F5202">
        <w:rPr>
          <w:rFonts w:ascii="Times New Roman" w:hAnsi="Times New Roman" w:cs="Times New Roman"/>
        </w:rPr>
        <w:t xml:space="preserve"> N/m</w:t>
      </w:r>
      <w:r w:rsidRPr="008F5202">
        <w:rPr>
          <w:rFonts w:ascii="Times New Roman" w:hAnsi="Times New Roman" w:cs="Times New Roman"/>
          <w:vertAlign w:val="superscript"/>
        </w:rPr>
        <w:t>2</w:t>
      </w:r>
      <w:r w:rsidRPr="008F5202">
        <w:rPr>
          <w:rFonts w:ascii="Times New Roman" w:hAnsi="Times New Roman" w:cs="Times New Roman"/>
        </w:rPr>
        <w:t xml:space="preserve"> was investigated which showed no obvious effect on the angle of repose. The major controlling factors for translational and rotational motion of particles were found to be sliding and rolling frictions. Yan et al. </w:t>
      </w:r>
      <w:r w:rsidR="00EA4E2B" w:rsidRPr="008F5202">
        <w:rPr>
          <w:rFonts w:ascii="Times New Roman" w:hAnsi="Times New Roman" w:cs="Times New Roman"/>
        </w:rPr>
        <w:t>[4</w:t>
      </w:r>
      <w:r w:rsidR="00393D90" w:rsidRPr="008F5202">
        <w:rPr>
          <w:rFonts w:ascii="Times New Roman" w:hAnsi="Times New Roman" w:cs="Times New Roman"/>
        </w:rPr>
        <w:t>.</w:t>
      </w:r>
      <w:r w:rsidRPr="008F5202">
        <w:rPr>
          <w:rFonts w:ascii="Times New Roman" w:hAnsi="Times New Roman" w:cs="Times New Roman"/>
        </w:rPr>
        <w:t xml:space="preserve">54] performed a parametric multi-level sensitivity analysis to understand the effect of DEM input particle properties on the bulk response for system involving discharge of particles from a flat bottom cylindrical container onto a plate. With all other parameter fixed, change in Young’s modulus from 0.02 GPa to 200 GPa demonstrated small influence on the final shape of pile of material and average velocity of particles near the orifice. However, computational time increased from 0.4 hours for </w:t>
      </w:r>
      <w:r w:rsidRPr="008F5202">
        <w:rPr>
          <w:rFonts w:ascii="Times New Roman" w:hAnsi="Times New Roman" w:cs="Times New Roman"/>
        </w:rPr>
        <w:lastRenderedPageBreak/>
        <w:t>Young’s modulus value of 0.02 GPa with time step size of 5 x 10</w:t>
      </w:r>
      <w:r w:rsidRPr="008F5202">
        <w:rPr>
          <w:rFonts w:ascii="Times New Roman" w:hAnsi="Times New Roman" w:cs="Times New Roman"/>
          <w:vertAlign w:val="superscript"/>
        </w:rPr>
        <w:t xml:space="preserve">-6 </w:t>
      </w:r>
      <w:r w:rsidRPr="008F5202">
        <w:rPr>
          <w:rFonts w:ascii="Times New Roman" w:hAnsi="Times New Roman" w:cs="Times New Roman"/>
        </w:rPr>
        <w:t>s to 240 hours for Young’s modulus value of 200 GPa at time step size of 5 x 10</w:t>
      </w:r>
      <w:r w:rsidRPr="008F5202">
        <w:rPr>
          <w:rFonts w:ascii="Times New Roman" w:hAnsi="Times New Roman" w:cs="Times New Roman"/>
          <w:vertAlign w:val="superscript"/>
        </w:rPr>
        <w:t xml:space="preserve">-8 </w:t>
      </w:r>
      <w:r w:rsidRPr="008F5202">
        <w:rPr>
          <w:rFonts w:ascii="Times New Roman" w:hAnsi="Times New Roman" w:cs="Times New Roman"/>
        </w:rPr>
        <w:t xml:space="preserve">s. Xu et al. </w:t>
      </w:r>
      <w:r w:rsidR="00EA4E2B" w:rsidRPr="008F5202">
        <w:rPr>
          <w:rFonts w:ascii="Times New Roman" w:hAnsi="Times New Roman" w:cs="Times New Roman"/>
        </w:rPr>
        <w:t>[4</w:t>
      </w:r>
      <w:r w:rsidR="00393D90" w:rsidRPr="008F5202">
        <w:rPr>
          <w:rFonts w:ascii="Times New Roman" w:hAnsi="Times New Roman" w:cs="Times New Roman"/>
        </w:rPr>
        <w:t>.</w:t>
      </w:r>
      <w:r w:rsidRPr="008F5202">
        <w:rPr>
          <w:rFonts w:ascii="Times New Roman" w:hAnsi="Times New Roman" w:cs="Times New Roman"/>
        </w:rPr>
        <w:t xml:space="preserve">55] investigated the effects of material properties on granular flow in a silo. The authors found that material modulus with artificial value of 1/1000 of the actual value yielded no significant difference in flow pattern and discharge rate suggesting that soft-sphere approach (lower modulus values) can be used to predict of behavior of hard particles to save computational time. </w:t>
      </w:r>
    </w:p>
    <w:p w14:paraId="6A8DF303" w14:textId="47457A62" w:rsidR="00487AD3" w:rsidRPr="008F5202" w:rsidRDefault="00487AD3" w:rsidP="00487AD3">
      <w:pPr>
        <w:spacing w:line="360" w:lineRule="auto"/>
        <w:contextualSpacing/>
        <w:jc w:val="both"/>
        <w:rPr>
          <w:rFonts w:ascii="Times New Roman" w:hAnsi="Times New Roman" w:cs="Times New Roman"/>
        </w:rPr>
      </w:pPr>
      <w:r w:rsidRPr="008F5202">
        <w:rPr>
          <w:rFonts w:ascii="Times New Roman" w:hAnsi="Times New Roman" w:cs="Times New Roman"/>
        </w:rPr>
        <w:t xml:space="preserve">Yarrington et al. </w:t>
      </w:r>
      <w:r w:rsidR="00EA4E2B" w:rsidRPr="008F5202">
        <w:rPr>
          <w:rFonts w:ascii="Times New Roman" w:eastAsia="Calibri" w:hAnsi="Times New Roman" w:cs="Times New Roman"/>
        </w:rPr>
        <w:t>[4</w:t>
      </w:r>
      <w:r w:rsidR="00393D90" w:rsidRPr="008F5202">
        <w:rPr>
          <w:rFonts w:ascii="Times New Roman" w:eastAsia="Calibri" w:hAnsi="Times New Roman" w:cs="Times New Roman"/>
        </w:rPr>
        <w:t>.</w:t>
      </w:r>
      <w:r w:rsidRPr="008F5202">
        <w:rPr>
          <w:rFonts w:ascii="Times New Roman" w:eastAsia="Calibri" w:hAnsi="Times New Roman" w:cs="Times New Roman"/>
        </w:rPr>
        <w:t>19]</w:t>
      </w:r>
      <w:r w:rsidRPr="008F5202">
        <w:rPr>
          <w:rFonts w:ascii="Times New Roman" w:hAnsi="Times New Roman" w:cs="Times New Roman"/>
        </w:rPr>
        <w:t xml:space="preserve"> and Bagepalli et al. </w:t>
      </w:r>
      <w:r w:rsidR="00EA4E2B" w:rsidRPr="008F5202">
        <w:rPr>
          <w:rFonts w:ascii="Times New Roman" w:eastAsia="Calibri" w:hAnsi="Times New Roman" w:cs="Times New Roman"/>
        </w:rPr>
        <w:t>[4</w:t>
      </w:r>
      <w:r w:rsidR="00393D90" w:rsidRPr="008F5202">
        <w:rPr>
          <w:rFonts w:ascii="Times New Roman" w:eastAsia="Calibri" w:hAnsi="Times New Roman" w:cs="Times New Roman"/>
        </w:rPr>
        <w:t>.</w:t>
      </w:r>
      <w:r w:rsidRPr="008F5202">
        <w:rPr>
          <w:rFonts w:ascii="Times New Roman" w:eastAsia="Calibri" w:hAnsi="Times New Roman" w:cs="Times New Roman"/>
        </w:rPr>
        <w:t>48]</w:t>
      </w:r>
      <w:r w:rsidRPr="008F5202">
        <w:rPr>
          <w:rFonts w:ascii="Times New Roman" w:hAnsi="Times New Roman" w:cs="Times New Roman"/>
        </w:rPr>
        <w:t xml:space="preserve"> reported the Young’s modulus value of alumina particles to be ~ 209 GPa which would require a very small time step. Instead, Young’s modulus of 1x10</w:t>
      </w:r>
      <w:r w:rsidRPr="008F5202">
        <w:rPr>
          <w:rFonts w:ascii="Times New Roman" w:hAnsi="Times New Roman" w:cs="Times New Roman"/>
          <w:vertAlign w:val="superscript"/>
        </w:rPr>
        <w:t xml:space="preserve">7 </w:t>
      </w:r>
      <w:r w:rsidRPr="008F5202">
        <w:rPr>
          <w:rFonts w:ascii="Times New Roman" w:hAnsi="Times New Roman" w:cs="Times New Roman"/>
        </w:rPr>
        <w:t xml:space="preserve">Pa was used in the current study to reduce the overall computational cost. </w:t>
      </w:r>
    </w:p>
    <w:p w14:paraId="62B0BBA4" w14:textId="53385705" w:rsidR="00487AD3" w:rsidRPr="008F5202" w:rsidRDefault="00487AD3" w:rsidP="00487AD3">
      <w:pPr>
        <w:tabs>
          <w:tab w:val="left" w:pos="270"/>
        </w:tabs>
        <w:spacing w:line="360" w:lineRule="auto"/>
        <w:contextualSpacing/>
        <w:jc w:val="both"/>
        <w:rPr>
          <w:rFonts w:ascii="Times New Roman" w:hAnsi="Times New Roman" w:cs="Times New Roman"/>
        </w:rPr>
      </w:pPr>
      <w:r w:rsidRPr="008F5202">
        <w:rPr>
          <w:rFonts w:ascii="Times New Roman" w:hAnsi="Times New Roman" w:cs="Times New Roman"/>
        </w:rPr>
        <w:tab/>
        <w:t xml:space="preserve">In DEM simulations, the neighbor list of potential contacts is built periodically which is checked at every time step and the pairs of particles that are too far away from each other to be in contact are excluded. The pair of interacting particles can be included in the list based on a certain range as given by the following formula </w:t>
      </w:r>
      <w:r w:rsidR="00EA4E2B" w:rsidRPr="008F5202">
        <w:rPr>
          <w:rFonts w:ascii="Times New Roman" w:eastAsia="Calibri" w:hAnsi="Times New Roman" w:cs="Times New Roman"/>
        </w:rPr>
        <w:t>[4</w:t>
      </w:r>
      <w:r w:rsidR="00393D90" w:rsidRPr="008F5202">
        <w:rPr>
          <w:rFonts w:ascii="Times New Roman" w:eastAsia="Calibri" w:hAnsi="Times New Roman" w:cs="Times New Roman"/>
        </w:rPr>
        <w:t>.</w:t>
      </w:r>
      <w:r w:rsidRPr="008F5202">
        <w:rPr>
          <w:rFonts w:ascii="Times New Roman" w:eastAsia="Calibri" w:hAnsi="Times New Roman" w:cs="Times New Roman"/>
        </w:rPr>
        <w:t>45]</w:t>
      </w:r>
      <w:r w:rsidRPr="008F5202">
        <w:rPr>
          <w:rFonts w:ascii="Times New Roman" w:hAnsi="Times New Roman" w:cs="Times New Roman"/>
        </w:rPr>
        <w:t>:</w:t>
      </w:r>
    </w:p>
    <w:p w14:paraId="3D3BB1CD" w14:textId="4EC3CBFD" w:rsidR="00393D90" w:rsidRPr="008F5202" w:rsidRDefault="00393D90"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4</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19</w:t>
      </w:r>
      <w:r w:rsidR="000978FD" w:rsidRPr="008F5202">
        <w:fldChar w:fldCharType="end"/>
      </w:r>
    </w:p>
    <w:p w14:paraId="311B5E97" w14:textId="7092A84E" w:rsidR="00487AD3" w:rsidRPr="008F5202" w:rsidRDefault="00487AD3" w:rsidP="00487AD3">
      <w:pPr>
        <w:spacing w:line="360" w:lineRule="auto"/>
        <w:contextualSpacing/>
        <w:jc w:val="center"/>
        <w:rPr>
          <w:rFonts w:ascii="Times New Roman" w:hAnsi="Times New Roman" w:cs="Times New Roman"/>
        </w:rPr>
      </w:pPr>
      <m:oMathPara>
        <m:oMath>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j</m:t>
              </m:r>
            </m:sub>
          </m:sSub>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j</m:t>
              </m:r>
            </m:sub>
          </m:sSub>
          <m:r>
            <w:rPr>
              <w:rFonts w:ascii="Cambria Math" w:hAnsi="Cambria Math" w:cs="Times New Roman"/>
            </w:rPr>
            <m:t>+s</m:t>
          </m:r>
        </m:oMath>
      </m:oMathPara>
    </w:p>
    <w:p w14:paraId="0208A2CC" w14:textId="77777777" w:rsidR="00487AD3" w:rsidRPr="008F5202" w:rsidRDefault="00487AD3" w:rsidP="00487AD3">
      <w:pPr>
        <w:tabs>
          <w:tab w:val="left" w:pos="270"/>
        </w:tabs>
        <w:spacing w:line="360" w:lineRule="auto"/>
        <w:contextualSpacing/>
        <w:jc w:val="both"/>
        <w:rPr>
          <w:rFonts w:ascii="Times New Roman" w:hAnsi="Times New Roman" w:cs="Times New Roman"/>
        </w:rPr>
      </w:pPr>
      <w:r w:rsidRPr="008F5202">
        <w:rPr>
          <w:rFonts w:ascii="Times New Roman" w:hAnsi="Times New Roman" w:cs="Times New Roman"/>
        </w:rPr>
        <w:t xml:space="preserve">where “s” is the skin parameter that is specified by the user. All interacting pairs within the cut-off distance provided by Eq. 19 are stored in the list which is periodically updated to account for the relocation of particles in a domain upon interaction. The larger the skin parameter, less often the neighbor list requires rebuilding, however, a greater number of pairs must be checked every time step for any possible interactions. The skin parameter used in the current study was 800 </w:t>
      </w:r>
      <w:r w:rsidRPr="008F5202">
        <w:rPr>
          <w:rFonts w:ascii="Times New Roman" w:hAnsi="Times New Roman" w:cs="Times New Roman"/>
          <w:i/>
          <w:iCs/>
        </w:rPr>
        <w:t>µ</w:t>
      </w:r>
      <w:r w:rsidRPr="008F5202">
        <w:rPr>
          <w:rFonts w:ascii="Times New Roman" w:hAnsi="Times New Roman" w:cs="Times New Roman"/>
        </w:rPr>
        <w:t xml:space="preserve">m, i.e., twice of the particle diameter. A 100g of total particle mass was injected into the hopper before the free-fall. The mass flow rate profiles were obtained from simulations at the exit plane of the Octet lattice.  </w:t>
      </w:r>
    </w:p>
    <w:p w14:paraId="205A1AB8" w14:textId="77777777" w:rsidR="00487AD3" w:rsidRPr="008F5202" w:rsidRDefault="00487AD3" w:rsidP="00487AD3">
      <w:pPr>
        <w:tabs>
          <w:tab w:val="left" w:pos="270"/>
        </w:tabs>
        <w:spacing w:line="360" w:lineRule="auto"/>
        <w:contextualSpacing/>
        <w:jc w:val="both"/>
        <w:rPr>
          <w:rFonts w:ascii="Times New Roman" w:hAnsi="Times New Roman" w:cs="Times New Roman"/>
          <w:sz w:val="18"/>
          <w:szCs w:val="18"/>
        </w:rPr>
      </w:pPr>
    </w:p>
    <w:p w14:paraId="3BBFB793" w14:textId="56CBC9C0" w:rsidR="00487AD3" w:rsidRPr="008F5202" w:rsidRDefault="00487AD3" w:rsidP="00393D90">
      <w:pPr>
        <w:pStyle w:val="Heading2"/>
        <w:rPr>
          <w:rFonts w:eastAsia="Calibri"/>
        </w:rPr>
      </w:pPr>
      <w:bookmarkStart w:id="182" w:name="_Toc177758179"/>
      <w:r w:rsidRPr="008F5202">
        <w:rPr>
          <w:rFonts w:eastAsia="Calibri"/>
        </w:rPr>
        <w:lastRenderedPageBreak/>
        <w:t>RESULTS AND DISCUSSION</w:t>
      </w:r>
      <w:bookmarkEnd w:id="182"/>
    </w:p>
    <w:p w14:paraId="44F24BC2" w14:textId="7B2DB395" w:rsidR="00487AD3" w:rsidRPr="008F5202" w:rsidRDefault="00487AD3" w:rsidP="00393D90">
      <w:pPr>
        <w:pStyle w:val="Heading3"/>
        <w:rPr>
          <w:rFonts w:eastAsia="Calibri"/>
        </w:rPr>
      </w:pPr>
      <w:bookmarkStart w:id="183" w:name="_Toc177758180"/>
      <w:r w:rsidRPr="008F5202">
        <w:rPr>
          <w:rFonts w:eastAsia="Calibri"/>
        </w:rPr>
        <w:t>Calibration of sliding friction coefficient for DEM simulations</w:t>
      </w:r>
      <w:bookmarkEnd w:id="183"/>
    </w:p>
    <w:p w14:paraId="1E5124A6" w14:textId="31A6369F" w:rsidR="00487AD3" w:rsidRPr="008F5202" w:rsidRDefault="00487AD3" w:rsidP="00487AD3">
      <w:pPr>
        <w:tabs>
          <w:tab w:val="left" w:pos="284"/>
        </w:tabs>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ab/>
        <w:t xml:space="preserve">As discussed in the previous section, three different values (0.3, 0.5, and 1.0) of particle-wall sliding friction coefficient were investigated numerically. The mass flow rate characteristics of CP 30/60 particles using these three values in OLHX having porosity of 0.88 is presented in Fig. </w:t>
      </w:r>
      <w:r w:rsidR="00297625" w:rsidRPr="008F5202">
        <w:rPr>
          <w:rFonts w:ascii="Times New Roman" w:eastAsia="Calibri" w:hAnsi="Times New Roman" w:cs="Times New Roman"/>
        </w:rPr>
        <w:t>4</w:t>
      </w:r>
      <w:r w:rsidR="00561B55" w:rsidRPr="008F5202">
        <w:rPr>
          <w:rFonts w:ascii="Times New Roman" w:eastAsia="Calibri" w:hAnsi="Times New Roman" w:cs="Times New Roman"/>
        </w:rPr>
        <w:t>.</w:t>
      </w:r>
      <w:r w:rsidRPr="008F5202">
        <w:rPr>
          <w:rFonts w:ascii="Times New Roman" w:eastAsia="Calibri" w:hAnsi="Times New Roman" w:cs="Times New Roman"/>
        </w:rPr>
        <w:t xml:space="preserve">7, where all the simulation results correspond to the EPSD2 rolling friction model. The time </w:t>
      </w:r>
      <m:oMath>
        <m:r>
          <w:rPr>
            <w:rFonts w:ascii="Cambria Math" w:eastAsia="Calibri" w:hAnsi="Cambria Math" w:cs="Times New Roman"/>
          </w:rPr>
          <m:t>t</m:t>
        </m:r>
      </m:oMath>
      <w:r w:rsidRPr="008F5202">
        <w:rPr>
          <w:rFonts w:ascii="Times New Roman" w:hAnsi="Times New Roman" w:cs="Times New Roman"/>
        </w:rPr>
        <w:t>=0 in these plots corresponded to the initiation of injection into the hopper. The same amount of time was provided for particle filling and resting in all the simulations before they were released for the free-fall.</w:t>
      </w:r>
      <w:r w:rsidRPr="008F5202">
        <w:rPr>
          <w:rFonts w:ascii="Times New Roman" w:eastAsia="Calibri" w:hAnsi="Times New Roman" w:cs="Times New Roman"/>
        </w:rPr>
        <w:t xml:space="preserve"> The mass flow rate measured from the experiments for the considered lattice porosity was 38.98 g/s. The simulated mass of the particles falling through OLHX provided a steady-mass flow rate for a considerable time indicating that 100g was sufficient to analyze the flow behavior without the start- and end-effects. Significant deviation in mass-flow rates was observed for the three different particle-wall sliding friction coefficients. As the coefficient of sliding friction decreased, the predicted mass flow rate value increased. For the current setup, the best agreement with the experimental data was provided by friction coefficient value of 0.5. Therefore, this value was used for the rest of the simulations. </w:t>
      </w:r>
    </w:p>
    <w:p w14:paraId="79D0E299" w14:textId="77777777" w:rsidR="00561B55" w:rsidRPr="008F5202" w:rsidRDefault="00561B55" w:rsidP="00561B55">
      <w:pPr>
        <w:keepNext/>
        <w:tabs>
          <w:tab w:val="left" w:pos="284"/>
        </w:tabs>
        <w:spacing w:line="360" w:lineRule="auto"/>
        <w:contextualSpacing/>
        <w:jc w:val="both"/>
        <w:rPr>
          <w:rFonts w:ascii="Times New Roman" w:hAnsi="Times New Roman" w:cs="Times New Roman"/>
        </w:rPr>
      </w:pPr>
      <w:r w:rsidRPr="008F5202">
        <w:rPr>
          <w:rFonts w:ascii="Times New Roman" w:hAnsi="Times New Roman" w:cs="Times New Roman"/>
          <w:noProof/>
          <w:sz w:val="18"/>
          <w:szCs w:val="18"/>
        </w:rPr>
        <w:drawing>
          <wp:inline distT="0" distB="0" distL="0" distR="0" wp14:anchorId="3F37985C" wp14:editId="52DCD737">
            <wp:extent cx="2405747" cy="2208810"/>
            <wp:effectExtent l="0" t="0" r="0" b="1270"/>
            <wp:docPr id="1741829796" name="Picture 1741829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1" cstate="print">
                      <a:extLst>
                        <a:ext uri="{28A0092B-C50C-407E-A947-70E740481C1C}">
                          <a14:useLocalDpi xmlns:a14="http://schemas.microsoft.com/office/drawing/2010/main" val="0"/>
                        </a:ext>
                      </a:extLst>
                    </a:blip>
                    <a:srcRect l="17235" t="27353" r="51590" b="21762"/>
                    <a:stretch/>
                  </pic:blipFill>
                  <pic:spPr bwMode="auto">
                    <a:xfrm>
                      <a:off x="0" y="0"/>
                      <a:ext cx="2419862" cy="2221770"/>
                    </a:xfrm>
                    <a:prstGeom prst="rect">
                      <a:avLst/>
                    </a:prstGeom>
                    <a:ln>
                      <a:noFill/>
                    </a:ln>
                    <a:extLst>
                      <a:ext uri="{53640926-AAD7-44D8-BBD7-CCE9431645EC}">
                        <a14:shadowObscured xmlns:a14="http://schemas.microsoft.com/office/drawing/2010/main"/>
                      </a:ext>
                    </a:extLst>
                  </pic:spPr>
                </pic:pic>
              </a:graphicData>
            </a:graphic>
          </wp:inline>
        </w:drawing>
      </w:r>
    </w:p>
    <w:p w14:paraId="4C458D42" w14:textId="6B8BA122" w:rsidR="00561B55" w:rsidRPr="008F5202" w:rsidRDefault="00561B55" w:rsidP="008F5202">
      <w:pPr>
        <w:pStyle w:val="Caption"/>
      </w:pPr>
      <w:bookmarkStart w:id="184" w:name="_Toc177755222"/>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4</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7</w:t>
      </w:r>
      <w:r w:rsidR="003763D2" w:rsidRPr="008F5202">
        <w:fldChar w:fldCharType="end"/>
      </w:r>
      <w:r w:rsidRPr="008F5202">
        <w:t xml:space="preserve"> </w:t>
      </w:r>
      <w:r w:rsidRPr="008F5202">
        <w:t>Comparison of mass flow rates obtained from DEM simulations for three different particle-wall sliding friction coefficients against the experimental data</w:t>
      </w:r>
      <w:bookmarkEnd w:id="184"/>
      <w:r w:rsidRPr="008F5202">
        <w:t xml:space="preserve">  </w:t>
      </w:r>
    </w:p>
    <w:p w14:paraId="29F7BF9C" w14:textId="77777777" w:rsidR="00487AD3" w:rsidRPr="008F5202" w:rsidRDefault="00487AD3" w:rsidP="00487AD3">
      <w:pPr>
        <w:tabs>
          <w:tab w:val="left" w:pos="284"/>
        </w:tabs>
        <w:spacing w:line="360" w:lineRule="auto"/>
        <w:contextualSpacing/>
        <w:jc w:val="both"/>
        <w:rPr>
          <w:rFonts w:ascii="Times New Roman" w:eastAsia="Calibri" w:hAnsi="Times New Roman" w:cs="Times New Roman"/>
          <w:sz w:val="18"/>
          <w:szCs w:val="18"/>
        </w:rPr>
      </w:pPr>
    </w:p>
    <w:p w14:paraId="207E8C34" w14:textId="5C5DAC08" w:rsidR="00487AD3" w:rsidRPr="008F5202" w:rsidRDefault="00487AD3" w:rsidP="00393D90">
      <w:pPr>
        <w:pStyle w:val="Heading3"/>
        <w:rPr>
          <w:rFonts w:eastAsia="Calibri"/>
        </w:rPr>
      </w:pPr>
      <w:bookmarkStart w:id="185" w:name="_Toc177758181"/>
      <w:r w:rsidRPr="008F5202">
        <w:rPr>
          <w:rFonts w:eastAsia="Calibri"/>
        </w:rPr>
        <w:lastRenderedPageBreak/>
        <w:t>Rolling friction models</w:t>
      </w:r>
      <w:bookmarkEnd w:id="185"/>
    </w:p>
    <w:p w14:paraId="31D57A23" w14:textId="469284DE" w:rsidR="00487AD3" w:rsidRPr="008F5202" w:rsidRDefault="00487AD3" w:rsidP="00487AD3">
      <w:pPr>
        <w:tabs>
          <w:tab w:val="left" w:pos="284"/>
        </w:tabs>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ab/>
        <w:t xml:space="preserve">Once the coefficient of sliding friction was fixed as 0.5, the effect of rolling friction model on the mass flow rate was analyzed. Figure </w:t>
      </w:r>
      <w:r w:rsidR="00561B55" w:rsidRPr="008F5202">
        <w:rPr>
          <w:rFonts w:ascii="Times New Roman" w:eastAsia="Calibri" w:hAnsi="Times New Roman" w:cs="Times New Roman"/>
        </w:rPr>
        <w:t>5.</w:t>
      </w:r>
      <w:r w:rsidRPr="008F5202">
        <w:rPr>
          <w:rFonts w:ascii="Times New Roman" w:eastAsia="Calibri" w:hAnsi="Times New Roman" w:cs="Times New Roman"/>
        </w:rPr>
        <w:t xml:space="preserve">8 shows the temporal variation of the mass-flow rates of CP 30/60 particles in OLHX having porosity of 0.88 for two rolling friction models, namely, EPSD2 and CDT. No significant difference in the mass-flow rate characteristics was observed for the two rolling friction models. During the steady-rate condition, i.e., between 3s to 4.5s, the value of EPSD2 was slightly lower and CDT was slightly higher than the mean experimental value. Since the choice of rolling friction model did not significantly influence the prediction of final mass-flow rate value, EPSD2 was chosen to conduct further simulations. </w:t>
      </w:r>
    </w:p>
    <w:p w14:paraId="2FD9E0F1" w14:textId="77777777" w:rsidR="00561B55" w:rsidRPr="008F5202" w:rsidRDefault="00561B55" w:rsidP="00561B55">
      <w:pPr>
        <w:keepNext/>
        <w:tabs>
          <w:tab w:val="left" w:pos="284"/>
        </w:tabs>
        <w:spacing w:line="360" w:lineRule="auto"/>
        <w:contextualSpacing/>
        <w:jc w:val="both"/>
        <w:rPr>
          <w:rFonts w:ascii="Times New Roman" w:hAnsi="Times New Roman" w:cs="Times New Roman"/>
        </w:rPr>
      </w:pPr>
      <w:r w:rsidRPr="008F5202">
        <w:rPr>
          <w:rFonts w:ascii="Times New Roman" w:hAnsi="Times New Roman" w:cs="Times New Roman"/>
          <w:noProof/>
          <w:sz w:val="32"/>
          <w:szCs w:val="32"/>
        </w:rPr>
        <w:drawing>
          <wp:inline distT="0" distB="0" distL="0" distR="0" wp14:anchorId="4D8F1FFD" wp14:editId="06CB06FA">
            <wp:extent cx="2262324" cy="2179943"/>
            <wp:effectExtent l="0" t="0" r="5080" b="0"/>
            <wp:docPr id="1585774050" name="Picture 1585774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2" cstate="print">
                      <a:extLst>
                        <a:ext uri="{28A0092B-C50C-407E-A947-70E740481C1C}">
                          <a14:useLocalDpi xmlns:a14="http://schemas.microsoft.com/office/drawing/2010/main" val="0"/>
                        </a:ext>
                      </a:extLst>
                    </a:blip>
                    <a:srcRect l="48820" t="26707" r="21548" b="22532"/>
                    <a:stretch/>
                  </pic:blipFill>
                  <pic:spPr bwMode="auto">
                    <a:xfrm>
                      <a:off x="0" y="0"/>
                      <a:ext cx="2271866" cy="2189138"/>
                    </a:xfrm>
                    <a:prstGeom prst="rect">
                      <a:avLst/>
                    </a:prstGeom>
                    <a:ln>
                      <a:noFill/>
                    </a:ln>
                    <a:extLst>
                      <a:ext uri="{53640926-AAD7-44D8-BBD7-CCE9431645EC}">
                        <a14:shadowObscured xmlns:a14="http://schemas.microsoft.com/office/drawing/2010/main"/>
                      </a:ext>
                    </a:extLst>
                  </pic:spPr>
                </pic:pic>
              </a:graphicData>
            </a:graphic>
          </wp:inline>
        </w:drawing>
      </w:r>
    </w:p>
    <w:p w14:paraId="65BB62FC" w14:textId="7A4D50DC" w:rsidR="00487AD3" w:rsidRPr="008F5202" w:rsidRDefault="00561B55" w:rsidP="008F5202">
      <w:pPr>
        <w:pStyle w:val="Caption"/>
        <w:rPr>
          <w:rFonts w:eastAsia="Calibri"/>
          <w:sz w:val="18"/>
          <w:szCs w:val="18"/>
        </w:rPr>
      </w:pPr>
      <w:bookmarkStart w:id="186" w:name="_Toc177755223"/>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4</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8</w:t>
      </w:r>
      <w:r w:rsidR="003763D2" w:rsidRPr="008F5202">
        <w:fldChar w:fldCharType="end"/>
      </w:r>
      <w:r w:rsidRPr="008F5202">
        <w:t xml:space="preserve"> </w:t>
      </w:r>
      <w:r w:rsidRPr="008F5202">
        <w:t>Comparison of mass flow rates obtained from DEM simulations for two different rolling friction models</w:t>
      </w:r>
      <w:bookmarkEnd w:id="186"/>
      <w:r w:rsidRPr="008F5202">
        <w:t xml:space="preserve">   </w:t>
      </w:r>
    </w:p>
    <w:p w14:paraId="60D14851" w14:textId="443C483D" w:rsidR="00487AD3" w:rsidRPr="008F5202" w:rsidRDefault="00487AD3" w:rsidP="00393D90">
      <w:pPr>
        <w:pStyle w:val="Heading3"/>
        <w:rPr>
          <w:rFonts w:eastAsia="Calibri"/>
        </w:rPr>
      </w:pPr>
      <w:bookmarkStart w:id="187" w:name="_Toc177758182"/>
      <w:r w:rsidRPr="008F5202">
        <w:rPr>
          <w:rFonts w:eastAsia="Calibri"/>
        </w:rPr>
        <w:t>Instantaneous flow characteristics</w:t>
      </w:r>
      <w:bookmarkEnd w:id="187"/>
      <w:r w:rsidRPr="008F5202">
        <w:rPr>
          <w:rFonts w:eastAsia="Calibri"/>
        </w:rPr>
        <w:t xml:space="preserve"> </w:t>
      </w:r>
    </w:p>
    <w:p w14:paraId="57D04568" w14:textId="62809BC4" w:rsidR="00487AD3" w:rsidRPr="008F5202" w:rsidRDefault="00487AD3" w:rsidP="00487AD3">
      <w:pPr>
        <w:tabs>
          <w:tab w:val="left" w:pos="270"/>
        </w:tabs>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b/>
          <w:bCs/>
        </w:rPr>
        <w:tab/>
      </w:r>
      <w:r w:rsidRPr="008F5202">
        <w:rPr>
          <w:rFonts w:ascii="Times New Roman" w:eastAsia="Calibri" w:hAnsi="Times New Roman" w:cs="Times New Roman"/>
        </w:rPr>
        <w:t xml:space="preserve">Figure </w:t>
      </w:r>
      <w:r w:rsidR="00297625" w:rsidRPr="008F5202">
        <w:rPr>
          <w:rFonts w:ascii="Times New Roman" w:eastAsia="Calibri" w:hAnsi="Times New Roman" w:cs="Times New Roman"/>
        </w:rPr>
        <w:t>4</w:t>
      </w:r>
      <w:r w:rsidR="00561B55" w:rsidRPr="008F5202">
        <w:rPr>
          <w:rFonts w:ascii="Times New Roman" w:eastAsia="Calibri" w:hAnsi="Times New Roman" w:cs="Times New Roman"/>
        </w:rPr>
        <w:t>.</w:t>
      </w:r>
      <w:r w:rsidRPr="008F5202">
        <w:rPr>
          <w:rFonts w:ascii="Times New Roman" w:eastAsia="Calibri" w:hAnsi="Times New Roman" w:cs="Times New Roman"/>
        </w:rPr>
        <w:t xml:space="preserve">9 shows the image of particles taken during experiments at instants when the particles were in steady-fall condition. Also presented is the zoomed-in image of the front side of the acrylic panel of OLHX having 0.88 porosity with CP 30/60 particles to better understand the granular motion. </w:t>
      </w:r>
    </w:p>
    <w:p w14:paraId="482EE929" w14:textId="77777777" w:rsidR="00561B55" w:rsidRPr="008F5202" w:rsidRDefault="00487AD3" w:rsidP="00487AD3">
      <w:pPr>
        <w:tabs>
          <w:tab w:val="left" w:pos="360"/>
        </w:tabs>
        <w:spacing w:line="360" w:lineRule="auto"/>
        <w:ind w:firstLine="360"/>
        <w:contextualSpacing/>
        <w:jc w:val="both"/>
        <w:rPr>
          <w:rFonts w:ascii="Times New Roman" w:eastAsia="Calibri" w:hAnsi="Times New Roman" w:cs="Times New Roman"/>
        </w:rPr>
      </w:pPr>
      <w:bookmarkStart w:id="188" w:name="_Hlk145066656"/>
      <w:r w:rsidRPr="008F5202">
        <w:rPr>
          <w:rFonts w:ascii="Times New Roman" w:eastAsia="Calibri" w:hAnsi="Times New Roman" w:cs="Times New Roman"/>
        </w:rPr>
        <w:t xml:space="preserve">From the front view, three distinct flow characteristics were observed, i.e., (a) stagnant-zone upstream of the fiber junctions, (b) cone-shaped void zone in the wake of the fibers, and (c) unobstructed wavy-type motion of particles on lateral sides of the fibers. </w:t>
      </w:r>
      <w:bookmarkEnd w:id="188"/>
      <w:r w:rsidRPr="008F5202">
        <w:rPr>
          <w:rFonts w:ascii="Times New Roman" w:eastAsia="Calibri" w:hAnsi="Times New Roman" w:cs="Times New Roman"/>
        </w:rPr>
        <w:t xml:space="preserve">The upstream stagnation of particles and downstream void due to particle separation is a </w:t>
      </w:r>
      <w:r w:rsidRPr="008F5202">
        <w:rPr>
          <w:rFonts w:ascii="Times New Roman" w:eastAsia="Calibri" w:hAnsi="Times New Roman" w:cs="Times New Roman"/>
        </w:rPr>
        <w:lastRenderedPageBreak/>
        <w:t xml:space="preserve">common characteristic of granular flow around tubes in a shell-and-tube type heat exchanger. </w:t>
      </w:r>
    </w:p>
    <w:p w14:paraId="48E5A888" w14:textId="77777777" w:rsidR="00561B55" w:rsidRPr="008F5202" w:rsidRDefault="00561B55" w:rsidP="00561B55">
      <w:pPr>
        <w:keepNext/>
        <w:tabs>
          <w:tab w:val="left" w:pos="360"/>
        </w:tabs>
        <w:spacing w:line="360" w:lineRule="auto"/>
        <w:ind w:firstLine="360"/>
        <w:contextualSpacing/>
        <w:jc w:val="both"/>
        <w:rPr>
          <w:rFonts w:ascii="Times New Roman" w:hAnsi="Times New Roman" w:cs="Times New Roman"/>
        </w:rPr>
      </w:pPr>
      <w:r w:rsidRPr="008F5202">
        <w:rPr>
          <w:rFonts w:ascii="Times New Roman" w:hAnsi="Times New Roman" w:cs="Times New Roman"/>
          <w:b/>
          <w:bCs/>
          <w:noProof/>
          <w:sz w:val="18"/>
          <w:szCs w:val="18"/>
        </w:rPr>
        <w:drawing>
          <wp:inline distT="0" distB="0" distL="0" distR="0" wp14:anchorId="1339D17B" wp14:editId="222F1E9C">
            <wp:extent cx="5486400" cy="3247175"/>
            <wp:effectExtent l="0" t="0" r="0" b="0"/>
            <wp:docPr id="359736405" name="Picture 359736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63" cstate="print">
                      <a:extLst>
                        <a:ext uri="{28A0092B-C50C-407E-A947-70E740481C1C}">
                          <a14:useLocalDpi xmlns:a14="http://schemas.microsoft.com/office/drawing/2010/main" val="0"/>
                        </a:ext>
                      </a:extLst>
                    </a:blip>
                    <a:srcRect l="1034" t="4082" r="11480" b="3860"/>
                    <a:stretch/>
                  </pic:blipFill>
                  <pic:spPr bwMode="auto">
                    <a:xfrm>
                      <a:off x="0" y="0"/>
                      <a:ext cx="5486400" cy="3247175"/>
                    </a:xfrm>
                    <a:prstGeom prst="rect">
                      <a:avLst/>
                    </a:prstGeom>
                    <a:ln>
                      <a:noFill/>
                    </a:ln>
                    <a:extLst>
                      <a:ext uri="{53640926-AAD7-44D8-BBD7-CCE9431645EC}">
                        <a14:shadowObscured xmlns:a14="http://schemas.microsoft.com/office/drawing/2010/main"/>
                      </a:ext>
                    </a:extLst>
                  </pic:spPr>
                </pic:pic>
              </a:graphicData>
            </a:graphic>
          </wp:inline>
        </w:drawing>
      </w:r>
    </w:p>
    <w:p w14:paraId="67050755" w14:textId="14067814" w:rsidR="00561B55" w:rsidRPr="008F5202" w:rsidRDefault="00561B55" w:rsidP="008F5202">
      <w:pPr>
        <w:pStyle w:val="Caption"/>
        <w:rPr>
          <w:rFonts w:eastAsia="Calibri"/>
        </w:rPr>
      </w:pPr>
      <w:bookmarkStart w:id="189" w:name="_Toc177755224"/>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4</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9</w:t>
      </w:r>
      <w:r w:rsidR="003763D2" w:rsidRPr="008F5202">
        <w:fldChar w:fldCharType="end"/>
      </w:r>
      <w:r w:rsidRPr="008F5202">
        <w:t xml:space="preserve"> </w:t>
      </w:r>
      <w:r w:rsidRPr="008F5202">
        <w:t>Instantaneous images of the free-fall of particles in three different lattices taken during experiments</w:t>
      </w:r>
      <w:bookmarkEnd w:id="189"/>
    </w:p>
    <w:p w14:paraId="6C039BE4" w14:textId="0B919FBE" w:rsidR="00487AD3" w:rsidRPr="008F5202" w:rsidRDefault="00487AD3" w:rsidP="00487AD3">
      <w:pPr>
        <w:tabs>
          <w:tab w:val="left" w:pos="360"/>
        </w:tabs>
        <w:spacing w:line="360" w:lineRule="auto"/>
        <w:ind w:firstLine="360"/>
        <w:contextualSpacing/>
        <w:jc w:val="both"/>
        <w:rPr>
          <w:rFonts w:ascii="Times New Roman" w:eastAsia="Calibri" w:hAnsi="Times New Roman" w:cs="Times New Roman"/>
        </w:rPr>
      </w:pPr>
      <w:r w:rsidRPr="008F5202">
        <w:rPr>
          <w:rFonts w:ascii="Times New Roman" w:eastAsia="Calibri" w:hAnsi="Times New Roman" w:cs="Times New Roman"/>
        </w:rPr>
        <w:t xml:space="preserve">The downstream regions of fibers typically remain devoid of the contact with the heated particles leading to weaker heat transfer. The overall conjugate heat transfer coefficient of OLHX depends on the effective thermal conductivity of the system and interfacial heat transfer coefficient values. The interfacial heat transfer coefficient depends on the flow fields rendered by the moving media in the lattice. The local heat transfer coefficient distribution around discrete arrangement of circular tubes arranged normally and inclined to the mean flow direction is reported in literature. However, the current OLHX represents a relatively complex scenario where all the cylindrical fibers of the repeating unit cell are placed at a different angle to the encountering particles. The solid fibers attached to the bounding walls when fabricated in metal will develop thermal gradients internally leading to interesting thermal exchange dynamics with the particles. Figure </w:t>
      </w:r>
      <w:r w:rsidR="00297625" w:rsidRPr="008F5202">
        <w:rPr>
          <w:rFonts w:ascii="Times New Roman" w:eastAsia="Calibri" w:hAnsi="Times New Roman" w:cs="Times New Roman"/>
        </w:rPr>
        <w:t>4</w:t>
      </w:r>
      <w:r w:rsidR="00561B55" w:rsidRPr="008F5202">
        <w:rPr>
          <w:rFonts w:ascii="Times New Roman" w:eastAsia="Calibri" w:hAnsi="Times New Roman" w:cs="Times New Roman"/>
        </w:rPr>
        <w:t>.</w:t>
      </w:r>
      <w:r w:rsidRPr="008F5202">
        <w:rPr>
          <w:rFonts w:ascii="Times New Roman" w:eastAsia="Calibri" w:hAnsi="Times New Roman" w:cs="Times New Roman"/>
        </w:rPr>
        <w:t xml:space="preserve">10 shows the images of OLHX (ε = 0.88) during discharge of particles CP 30/60 colored by the local flow velocities obtained from the simulations. The particles on the lateral side of the fibers had </w:t>
      </w:r>
      <w:r w:rsidRPr="008F5202">
        <w:rPr>
          <w:rFonts w:ascii="Times New Roman" w:eastAsia="Calibri" w:hAnsi="Times New Roman" w:cs="Times New Roman"/>
        </w:rPr>
        <w:lastRenderedPageBreak/>
        <w:t xml:space="preserve">relatively larger flow velocities which corresponded to the speeding wavy motion in Fig. </w:t>
      </w:r>
      <w:r w:rsidR="00297625" w:rsidRPr="008F5202">
        <w:rPr>
          <w:rFonts w:ascii="Times New Roman" w:eastAsia="Calibri" w:hAnsi="Times New Roman" w:cs="Times New Roman"/>
        </w:rPr>
        <w:t>4</w:t>
      </w:r>
      <w:r w:rsidR="00561B55" w:rsidRPr="008F5202">
        <w:rPr>
          <w:rFonts w:ascii="Times New Roman" w:eastAsia="Calibri" w:hAnsi="Times New Roman" w:cs="Times New Roman"/>
        </w:rPr>
        <w:t>.</w:t>
      </w:r>
      <w:r w:rsidRPr="008F5202">
        <w:rPr>
          <w:rFonts w:ascii="Times New Roman" w:eastAsia="Calibri" w:hAnsi="Times New Roman" w:cs="Times New Roman"/>
        </w:rPr>
        <w:t xml:space="preserve">9. The zoomed-in view in Fig. </w:t>
      </w:r>
      <w:r w:rsidR="00297625" w:rsidRPr="008F5202">
        <w:rPr>
          <w:rFonts w:ascii="Times New Roman" w:eastAsia="Calibri" w:hAnsi="Times New Roman" w:cs="Times New Roman"/>
        </w:rPr>
        <w:t>4</w:t>
      </w:r>
      <w:r w:rsidR="00561B55" w:rsidRPr="008F5202">
        <w:rPr>
          <w:rFonts w:ascii="Times New Roman" w:eastAsia="Calibri" w:hAnsi="Times New Roman" w:cs="Times New Roman"/>
        </w:rPr>
        <w:t>.</w:t>
      </w:r>
      <w:r w:rsidRPr="008F5202">
        <w:rPr>
          <w:rFonts w:ascii="Times New Roman" w:eastAsia="Calibri" w:hAnsi="Times New Roman" w:cs="Times New Roman"/>
        </w:rPr>
        <w:t xml:space="preserve">10b clearly demonstrates regions underneath the fibers junctions which were devoid of the particle contact. It is noted that not only the downstream fiber regions suffered from poor contact but also certain sections of the front- and side-acrylic walls (Fig. </w:t>
      </w:r>
      <w:r w:rsidR="00297625" w:rsidRPr="008F5202">
        <w:rPr>
          <w:rFonts w:ascii="Times New Roman" w:eastAsia="Calibri" w:hAnsi="Times New Roman" w:cs="Times New Roman"/>
        </w:rPr>
        <w:t>4</w:t>
      </w:r>
      <w:r w:rsidR="00561B55" w:rsidRPr="008F5202">
        <w:rPr>
          <w:rFonts w:ascii="Times New Roman" w:eastAsia="Calibri" w:hAnsi="Times New Roman" w:cs="Times New Roman"/>
        </w:rPr>
        <w:t>.</w:t>
      </w:r>
      <w:r w:rsidRPr="008F5202">
        <w:rPr>
          <w:rFonts w:ascii="Times New Roman" w:eastAsia="Calibri" w:hAnsi="Times New Roman" w:cs="Times New Roman"/>
        </w:rPr>
        <w:t>10c). Therefore, the heat transfer coefficient values would have non-uniform distribution on the walls connected to sCO</w:t>
      </w:r>
      <w:r w:rsidRPr="008F5202">
        <w:rPr>
          <w:rFonts w:ascii="Times New Roman" w:eastAsia="Calibri" w:hAnsi="Times New Roman" w:cs="Times New Roman"/>
          <w:vertAlign w:val="subscript"/>
        </w:rPr>
        <w:t>2</w:t>
      </w:r>
      <w:r w:rsidRPr="008F5202">
        <w:rPr>
          <w:rFonts w:ascii="Times New Roman" w:eastAsia="Calibri" w:hAnsi="Times New Roman" w:cs="Times New Roman"/>
        </w:rPr>
        <w:t xml:space="preserve">-side channel exhibiting regions of locally high and low heat transfer magnitudes. Moreover, the fiber-fiber junctions and fiber-channel wall junctions provided accommodation to the particles for accumulation as demonstrated in the post free-fall image in Fig. </w:t>
      </w:r>
      <w:r w:rsidR="00297625" w:rsidRPr="008F5202">
        <w:rPr>
          <w:rFonts w:ascii="Times New Roman" w:eastAsia="Calibri" w:hAnsi="Times New Roman" w:cs="Times New Roman"/>
        </w:rPr>
        <w:t>4</w:t>
      </w:r>
      <w:r w:rsidR="00561B55" w:rsidRPr="008F5202">
        <w:rPr>
          <w:rFonts w:ascii="Times New Roman" w:eastAsia="Calibri" w:hAnsi="Times New Roman" w:cs="Times New Roman"/>
        </w:rPr>
        <w:t>.</w:t>
      </w:r>
      <w:r w:rsidRPr="008F5202">
        <w:rPr>
          <w:rFonts w:ascii="Times New Roman" w:eastAsia="Calibri" w:hAnsi="Times New Roman" w:cs="Times New Roman"/>
        </w:rPr>
        <w:t xml:space="preserve">11. </w:t>
      </w:r>
    </w:p>
    <w:p w14:paraId="7A87D0C3" w14:textId="77777777" w:rsidR="00561B55" w:rsidRPr="008F5202" w:rsidRDefault="00561B55" w:rsidP="00561B55">
      <w:pPr>
        <w:keepNext/>
        <w:tabs>
          <w:tab w:val="left" w:pos="360"/>
        </w:tabs>
        <w:spacing w:line="360" w:lineRule="auto"/>
        <w:ind w:firstLine="360"/>
        <w:contextualSpacing/>
        <w:jc w:val="both"/>
        <w:rPr>
          <w:rFonts w:ascii="Times New Roman" w:hAnsi="Times New Roman" w:cs="Times New Roman"/>
        </w:rPr>
      </w:pPr>
      <w:r w:rsidRPr="008F5202">
        <w:rPr>
          <w:rFonts w:ascii="Times New Roman" w:hAnsi="Times New Roman" w:cs="Times New Roman"/>
          <w:noProof/>
          <w:sz w:val="18"/>
          <w:szCs w:val="18"/>
        </w:rPr>
        <w:drawing>
          <wp:inline distT="0" distB="0" distL="0" distR="0" wp14:anchorId="77417B23" wp14:editId="261DEFA4">
            <wp:extent cx="5461279" cy="3555909"/>
            <wp:effectExtent l="0" t="0" r="6350" b="6985"/>
            <wp:docPr id="548780227" name="Picture 548780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64" cstate="print">
                      <a:extLst>
                        <a:ext uri="{28A0092B-C50C-407E-A947-70E740481C1C}">
                          <a14:useLocalDpi xmlns:a14="http://schemas.microsoft.com/office/drawing/2010/main" val="0"/>
                        </a:ext>
                      </a:extLst>
                    </a:blip>
                    <a:srcRect r="13610"/>
                    <a:stretch/>
                  </pic:blipFill>
                  <pic:spPr bwMode="auto">
                    <a:xfrm>
                      <a:off x="0" y="0"/>
                      <a:ext cx="5467938" cy="3560245"/>
                    </a:xfrm>
                    <a:prstGeom prst="rect">
                      <a:avLst/>
                    </a:prstGeom>
                    <a:ln>
                      <a:noFill/>
                    </a:ln>
                    <a:extLst>
                      <a:ext uri="{53640926-AAD7-44D8-BBD7-CCE9431645EC}">
                        <a14:shadowObscured xmlns:a14="http://schemas.microsoft.com/office/drawing/2010/main"/>
                      </a:ext>
                    </a:extLst>
                  </pic:spPr>
                </pic:pic>
              </a:graphicData>
            </a:graphic>
          </wp:inline>
        </w:drawing>
      </w:r>
    </w:p>
    <w:p w14:paraId="75EFC87B" w14:textId="06A554C5" w:rsidR="00561B55" w:rsidRPr="008F5202" w:rsidRDefault="00561B55" w:rsidP="008F5202">
      <w:pPr>
        <w:pStyle w:val="Caption"/>
      </w:pPr>
      <w:bookmarkStart w:id="190" w:name="_Toc177755225"/>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4</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10</w:t>
      </w:r>
      <w:r w:rsidR="003763D2" w:rsidRPr="008F5202">
        <w:fldChar w:fldCharType="end"/>
      </w:r>
      <w:r w:rsidRPr="008F5202">
        <w:t xml:space="preserve"> </w:t>
      </w:r>
      <w:r w:rsidRPr="008F5202">
        <w:t>(a) Instantaneous image of the free-fall of particles from DEM simulations with particles colored with their local flow velocities, (b) zoomed-in view of the front side of the channel, and (c) zoomed-in side view of the channel</w:t>
      </w:r>
      <w:bookmarkEnd w:id="190"/>
      <w:r w:rsidRPr="008F5202">
        <w:t xml:space="preserve">  </w:t>
      </w:r>
    </w:p>
    <w:p w14:paraId="5B150AA0" w14:textId="51457F41" w:rsidR="00561B55" w:rsidRPr="008F5202" w:rsidRDefault="00561B55" w:rsidP="00561B55">
      <w:pPr>
        <w:spacing w:line="360" w:lineRule="auto"/>
        <w:jc w:val="both"/>
        <w:rPr>
          <w:rFonts w:ascii="Times New Roman" w:eastAsia="Calibri" w:hAnsi="Times New Roman" w:cs="Times New Roman"/>
        </w:rPr>
      </w:pPr>
      <w:r w:rsidRPr="008F5202">
        <w:rPr>
          <w:rFonts w:ascii="Times New Roman" w:eastAsia="Calibri" w:hAnsi="Times New Roman" w:cs="Times New Roman"/>
        </w:rPr>
        <w:t>The particles collected in the junctions would not allow these spots to be updated with the fresh heated particles which will affect the heat transfer negatively in these regions over time.</w:t>
      </w:r>
    </w:p>
    <w:p w14:paraId="4A7A270C" w14:textId="77777777" w:rsidR="00561B55" w:rsidRPr="008F5202" w:rsidRDefault="00561B55" w:rsidP="00561B55">
      <w:pPr>
        <w:keepNext/>
        <w:spacing w:line="360" w:lineRule="auto"/>
        <w:jc w:val="both"/>
        <w:rPr>
          <w:rFonts w:ascii="Times New Roman" w:hAnsi="Times New Roman" w:cs="Times New Roman"/>
        </w:rPr>
      </w:pPr>
      <w:r w:rsidRPr="008F5202">
        <w:rPr>
          <w:rFonts w:ascii="Times New Roman" w:hAnsi="Times New Roman" w:cs="Times New Roman"/>
          <w:noProof/>
          <w:sz w:val="18"/>
          <w:szCs w:val="18"/>
        </w:rPr>
        <w:lastRenderedPageBreak/>
        <w:drawing>
          <wp:inline distT="0" distB="0" distL="0" distR="0" wp14:anchorId="6878014A" wp14:editId="7A89BD6A">
            <wp:extent cx="5486400" cy="2572385"/>
            <wp:effectExtent l="0" t="0" r="0" b="0"/>
            <wp:docPr id="781308668" name="Picture 781308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65" cstate="print">
                      <a:extLst>
                        <a:ext uri="{28A0092B-C50C-407E-A947-70E740481C1C}">
                          <a14:useLocalDpi xmlns:a14="http://schemas.microsoft.com/office/drawing/2010/main" val="0"/>
                        </a:ext>
                      </a:extLst>
                    </a:blip>
                    <a:srcRect l="44820" t="27911" r="7059" b="31978"/>
                    <a:stretch/>
                  </pic:blipFill>
                  <pic:spPr bwMode="auto">
                    <a:xfrm>
                      <a:off x="0" y="0"/>
                      <a:ext cx="5486400" cy="2572385"/>
                    </a:xfrm>
                    <a:prstGeom prst="rect">
                      <a:avLst/>
                    </a:prstGeom>
                    <a:ln>
                      <a:noFill/>
                    </a:ln>
                    <a:extLst>
                      <a:ext uri="{53640926-AAD7-44D8-BBD7-CCE9431645EC}">
                        <a14:shadowObscured xmlns:a14="http://schemas.microsoft.com/office/drawing/2010/main"/>
                      </a:ext>
                    </a:extLst>
                  </pic:spPr>
                </pic:pic>
              </a:graphicData>
            </a:graphic>
          </wp:inline>
        </w:drawing>
      </w:r>
    </w:p>
    <w:p w14:paraId="05D5BCDC" w14:textId="5C2EB891" w:rsidR="00561B55" w:rsidRPr="008F5202" w:rsidRDefault="00561B55" w:rsidP="008F5202">
      <w:pPr>
        <w:pStyle w:val="Caption"/>
        <w:rPr>
          <w:rFonts w:eastAsia="Calibri"/>
        </w:rPr>
      </w:pPr>
      <w:bookmarkStart w:id="191" w:name="_Toc177755226"/>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4</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11</w:t>
      </w:r>
      <w:r w:rsidR="003763D2" w:rsidRPr="008F5202">
        <w:fldChar w:fldCharType="end"/>
      </w:r>
      <w:r w:rsidRPr="008F5202">
        <w:t xml:space="preserve"> </w:t>
      </w:r>
      <w:r w:rsidRPr="008F5202">
        <w:t>Image of the particles taken after the completion of the DEM simulation showing accumulation in the junction regions</w:t>
      </w:r>
      <w:bookmarkEnd w:id="191"/>
    </w:p>
    <w:p w14:paraId="6180765B" w14:textId="0252F217" w:rsidR="00487AD3" w:rsidRPr="008F5202" w:rsidRDefault="00487AD3" w:rsidP="00393D90">
      <w:pPr>
        <w:pStyle w:val="Heading3"/>
        <w:rPr>
          <w:rFonts w:eastAsia="Calibri"/>
        </w:rPr>
      </w:pPr>
      <w:bookmarkStart w:id="192" w:name="_Toc177758183"/>
      <w:r w:rsidRPr="008F5202">
        <w:rPr>
          <w:rFonts w:eastAsia="Calibri"/>
        </w:rPr>
        <w:t>Effect of porosity on the mass flow rate</w:t>
      </w:r>
      <w:bookmarkEnd w:id="192"/>
      <w:r w:rsidRPr="008F5202">
        <w:rPr>
          <w:rFonts w:eastAsia="Calibri"/>
        </w:rPr>
        <w:t xml:space="preserve">  </w:t>
      </w:r>
    </w:p>
    <w:p w14:paraId="18497D11" w14:textId="51AE6CA2" w:rsidR="00487AD3" w:rsidRPr="008F5202" w:rsidRDefault="00487AD3" w:rsidP="00487AD3">
      <w:pPr>
        <w:tabs>
          <w:tab w:val="left" w:pos="270"/>
        </w:tabs>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b/>
          <w:bCs/>
        </w:rPr>
        <w:tab/>
      </w:r>
      <w:r w:rsidRPr="008F5202">
        <w:rPr>
          <w:rFonts w:ascii="Times New Roman" w:eastAsia="Calibri" w:hAnsi="Times New Roman" w:cs="Times New Roman"/>
        </w:rPr>
        <w:t xml:space="preserve">The temporal evolution of mass flow rate profiles for CP 30/60 particles at three different lattice porosities is provided in Fig. </w:t>
      </w:r>
      <w:r w:rsidR="00297625" w:rsidRPr="008F5202">
        <w:rPr>
          <w:rFonts w:ascii="Times New Roman" w:eastAsia="Calibri" w:hAnsi="Times New Roman" w:cs="Times New Roman"/>
        </w:rPr>
        <w:t>4</w:t>
      </w:r>
      <w:r w:rsidR="00561B55" w:rsidRPr="008F5202">
        <w:rPr>
          <w:rFonts w:ascii="Times New Roman" w:eastAsia="Calibri" w:hAnsi="Times New Roman" w:cs="Times New Roman"/>
        </w:rPr>
        <w:t>.</w:t>
      </w:r>
      <w:r w:rsidRPr="008F5202">
        <w:rPr>
          <w:rFonts w:ascii="Times New Roman" w:eastAsia="Calibri" w:hAnsi="Times New Roman" w:cs="Times New Roman"/>
        </w:rPr>
        <w:t xml:space="preserve">12. For the same total mass of particles, the mass flow rate was maximum for the highest porosity value of 0.88. Therefore, the particles drained out of 88% porous OLHX in the least time span. The lowest porosity value of 0.75 provided the maximum hinderance to the free flow of the particles resulting in the maximum discharge time. </w:t>
      </w:r>
    </w:p>
    <w:p w14:paraId="3E10ED53" w14:textId="77777777" w:rsidR="00561B55" w:rsidRPr="008F5202" w:rsidRDefault="00561B55" w:rsidP="00561B55">
      <w:pPr>
        <w:keepNext/>
        <w:tabs>
          <w:tab w:val="left" w:pos="270"/>
        </w:tabs>
        <w:spacing w:line="360" w:lineRule="auto"/>
        <w:contextualSpacing/>
        <w:jc w:val="both"/>
        <w:rPr>
          <w:rFonts w:ascii="Times New Roman" w:hAnsi="Times New Roman" w:cs="Times New Roman"/>
        </w:rPr>
      </w:pPr>
      <w:r w:rsidRPr="008F5202">
        <w:rPr>
          <w:rFonts w:ascii="Times New Roman" w:hAnsi="Times New Roman" w:cs="Times New Roman"/>
          <w:noProof/>
          <w:sz w:val="18"/>
          <w:szCs w:val="18"/>
        </w:rPr>
        <w:lastRenderedPageBreak/>
        <w:drawing>
          <wp:inline distT="0" distB="0" distL="0" distR="0" wp14:anchorId="22A934A3" wp14:editId="50551AAE">
            <wp:extent cx="2663432" cy="2305050"/>
            <wp:effectExtent l="0" t="0" r="3810" b="0"/>
            <wp:docPr id="1455424296" name="Picture 1455424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26568" name="Picture 632126568"/>
                    <pic:cNvPicPr/>
                  </pic:nvPicPr>
                  <pic:blipFill rotWithShape="1">
                    <a:blip r:embed="rId66" cstate="print">
                      <a:extLst>
                        <a:ext uri="{28A0092B-C50C-407E-A947-70E740481C1C}">
                          <a14:useLocalDpi xmlns:a14="http://schemas.microsoft.com/office/drawing/2010/main" val="0"/>
                        </a:ext>
                      </a:extLst>
                    </a:blip>
                    <a:srcRect l="8226" t="17665" r="56839" b="28585"/>
                    <a:stretch/>
                  </pic:blipFill>
                  <pic:spPr bwMode="auto">
                    <a:xfrm>
                      <a:off x="0" y="0"/>
                      <a:ext cx="2665812" cy="2307110"/>
                    </a:xfrm>
                    <a:prstGeom prst="rect">
                      <a:avLst/>
                    </a:prstGeom>
                    <a:ln>
                      <a:noFill/>
                    </a:ln>
                    <a:extLst>
                      <a:ext uri="{53640926-AAD7-44D8-BBD7-CCE9431645EC}">
                        <a14:shadowObscured xmlns:a14="http://schemas.microsoft.com/office/drawing/2010/main"/>
                      </a:ext>
                    </a:extLst>
                  </pic:spPr>
                </pic:pic>
              </a:graphicData>
            </a:graphic>
          </wp:inline>
        </w:drawing>
      </w:r>
    </w:p>
    <w:p w14:paraId="29FE1B84" w14:textId="52E80669" w:rsidR="00561B55" w:rsidRPr="008F5202" w:rsidRDefault="00561B55" w:rsidP="008F5202">
      <w:pPr>
        <w:pStyle w:val="Caption"/>
        <w:rPr>
          <w:rFonts w:eastAsia="Calibri"/>
        </w:rPr>
      </w:pPr>
      <w:bookmarkStart w:id="193" w:name="_Toc177755227"/>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4</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12</w:t>
      </w:r>
      <w:r w:rsidR="003763D2" w:rsidRPr="008F5202">
        <w:fldChar w:fldCharType="end"/>
      </w:r>
      <w:r w:rsidRPr="008F5202">
        <w:t xml:space="preserve"> </w:t>
      </w:r>
      <w:r w:rsidRPr="008F5202">
        <w:t>Temporal evolution of mass flow rate profiles for three lattice porosities obtained from DEM simulations</w:t>
      </w:r>
      <w:bookmarkEnd w:id="193"/>
    </w:p>
    <w:p w14:paraId="564FC041" w14:textId="434F07E2" w:rsidR="00487AD3" w:rsidRPr="008F5202" w:rsidRDefault="00487AD3" w:rsidP="00487AD3">
      <w:pPr>
        <w:tabs>
          <w:tab w:val="left" w:pos="270"/>
        </w:tabs>
        <w:spacing w:line="360" w:lineRule="auto"/>
        <w:contextualSpacing/>
        <w:jc w:val="both"/>
        <w:rPr>
          <w:rFonts w:ascii="Times New Roman" w:eastAsia="Calibri" w:hAnsi="Times New Roman" w:cs="Times New Roman"/>
        </w:rPr>
      </w:pPr>
      <w:bookmarkStart w:id="194" w:name="_Hlk145067272"/>
      <w:r w:rsidRPr="008F5202">
        <w:rPr>
          <w:rFonts w:ascii="Times New Roman" w:eastAsia="Calibri" w:hAnsi="Times New Roman" w:cs="Times New Roman"/>
        </w:rPr>
        <w:tab/>
      </w:r>
      <w:bookmarkEnd w:id="194"/>
      <w:r w:rsidRPr="008F5202">
        <w:rPr>
          <w:rFonts w:ascii="Times New Roman" w:eastAsia="Calibri" w:hAnsi="Times New Roman" w:cs="Times New Roman"/>
        </w:rPr>
        <w:t xml:space="preserve">Figure </w:t>
      </w:r>
      <w:r w:rsidR="00297625" w:rsidRPr="008F5202">
        <w:rPr>
          <w:rFonts w:ascii="Times New Roman" w:eastAsia="Calibri" w:hAnsi="Times New Roman" w:cs="Times New Roman"/>
        </w:rPr>
        <w:t>4</w:t>
      </w:r>
      <w:r w:rsidR="00561B55" w:rsidRPr="008F5202">
        <w:rPr>
          <w:rFonts w:ascii="Times New Roman" w:eastAsia="Calibri" w:hAnsi="Times New Roman" w:cs="Times New Roman"/>
        </w:rPr>
        <w:t>.</w:t>
      </w:r>
      <w:r w:rsidRPr="008F5202">
        <w:rPr>
          <w:rFonts w:ascii="Times New Roman" w:eastAsia="Calibri" w:hAnsi="Times New Roman" w:cs="Times New Roman"/>
        </w:rPr>
        <w:t xml:space="preserve">13a shows mass flow rates obtained from the experimental runs of three different particle batches as a function of lattice porosity. The trends with respect to the porosity variation were similar for particles of different diameters, where the mass flow rate increased with increasing porosity. The difference in mass flow rates of CP  40/100 and 30/60 particles remained almost same across the entire porosity range. The gap between mass-flow rates for HSP 20/40 particles with respect to the other batches decreased as the lattice porosity increased. Larger porosity of the lattices ensures greater voidage volume for the particles to fall freely resulting in increased flow velocities in the domain resulting in relatively larger mass-flow rates. However, it should be noted that the stagnant effective thermal conductivity would decrease with increasing porosity too. Figure </w:t>
      </w:r>
      <w:r w:rsidR="00297625" w:rsidRPr="008F5202">
        <w:rPr>
          <w:rFonts w:ascii="Times New Roman" w:eastAsia="Calibri" w:hAnsi="Times New Roman" w:cs="Times New Roman"/>
        </w:rPr>
        <w:t>4</w:t>
      </w:r>
      <w:r w:rsidR="00561B55" w:rsidRPr="008F5202">
        <w:rPr>
          <w:rFonts w:ascii="Times New Roman" w:eastAsia="Calibri" w:hAnsi="Times New Roman" w:cs="Times New Roman"/>
        </w:rPr>
        <w:t>.</w:t>
      </w:r>
      <w:r w:rsidRPr="008F5202">
        <w:rPr>
          <w:rFonts w:ascii="Times New Roman" w:eastAsia="Calibri" w:hAnsi="Times New Roman" w:cs="Times New Roman"/>
        </w:rPr>
        <w:t xml:space="preserve">13b shows the comparison of experimental mean mass flow rate data with the numerically predicted values as a function of porosity for CP 30/60 particles. Overall, the predicted values were in good agreement with the corresponding experimental data, especially for the higher porosities. The simulated mass had spherical particles of uniform diameter as opposed to the distribution profile provided in Fig. </w:t>
      </w:r>
      <w:r w:rsidR="00297625" w:rsidRPr="008F5202">
        <w:rPr>
          <w:rFonts w:ascii="Times New Roman" w:eastAsia="Calibri" w:hAnsi="Times New Roman" w:cs="Times New Roman"/>
        </w:rPr>
        <w:t>4</w:t>
      </w:r>
      <w:r w:rsidR="00561B55" w:rsidRPr="008F5202">
        <w:rPr>
          <w:rFonts w:ascii="Times New Roman" w:eastAsia="Calibri" w:hAnsi="Times New Roman" w:cs="Times New Roman"/>
        </w:rPr>
        <w:t>.</w:t>
      </w:r>
      <w:r w:rsidRPr="008F5202">
        <w:rPr>
          <w:rFonts w:ascii="Times New Roman" w:eastAsia="Calibri" w:hAnsi="Times New Roman" w:cs="Times New Roman"/>
        </w:rPr>
        <w:t xml:space="preserve">5. This is expected to influence the mass-flow rate values predicted via simulations. </w:t>
      </w:r>
    </w:p>
    <w:p w14:paraId="2343B405" w14:textId="77777777" w:rsidR="00561B55" w:rsidRPr="008F5202" w:rsidRDefault="00561B55" w:rsidP="00561B55">
      <w:pPr>
        <w:keepNext/>
        <w:tabs>
          <w:tab w:val="left" w:pos="270"/>
        </w:tabs>
        <w:spacing w:line="360" w:lineRule="auto"/>
        <w:contextualSpacing/>
        <w:jc w:val="both"/>
        <w:rPr>
          <w:rFonts w:ascii="Times New Roman" w:hAnsi="Times New Roman" w:cs="Times New Roman"/>
        </w:rPr>
      </w:pPr>
      <w:r w:rsidRPr="008F5202">
        <w:rPr>
          <w:rFonts w:ascii="Times New Roman" w:hAnsi="Times New Roman" w:cs="Times New Roman"/>
          <w:noProof/>
          <w:sz w:val="18"/>
          <w:szCs w:val="18"/>
        </w:rPr>
        <w:lastRenderedPageBreak/>
        <w:drawing>
          <wp:inline distT="0" distB="0" distL="0" distR="0" wp14:anchorId="3B398FFF" wp14:editId="2A55F2FE">
            <wp:extent cx="4736863" cy="2188464"/>
            <wp:effectExtent l="0" t="0" r="6985" b="2540"/>
            <wp:docPr id="243245760" name="Picture 24324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67" cstate="print">
                      <a:extLst>
                        <a:ext uri="{28A0092B-C50C-407E-A947-70E740481C1C}">
                          <a14:useLocalDpi xmlns:a14="http://schemas.microsoft.com/office/drawing/2010/main" val="0"/>
                        </a:ext>
                      </a:extLst>
                    </a:blip>
                    <a:srcRect l="14566" t="18234" r="16615" b="25242"/>
                    <a:stretch/>
                  </pic:blipFill>
                  <pic:spPr bwMode="auto">
                    <a:xfrm>
                      <a:off x="0" y="0"/>
                      <a:ext cx="4756510" cy="2197541"/>
                    </a:xfrm>
                    <a:prstGeom prst="rect">
                      <a:avLst/>
                    </a:prstGeom>
                    <a:ln>
                      <a:noFill/>
                    </a:ln>
                    <a:extLst>
                      <a:ext uri="{53640926-AAD7-44D8-BBD7-CCE9431645EC}">
                        <a14:shadowObscured xmlns:a14="http://schemas.microsoft.com/office/drawing/2010/main"/>
                      </a:ext>
                    </a:extLst>
                  </pic:spPr>
                </pic:pic>
              </a:graphicData>
            </a:graphic>
          </wp:inline>
        </w:drawing>
      </w:r>
    </w:p>
    <w:p w14:paraId="4C8F579A" w14:textId="5C83D26B" w:rsidR="00487AD3" w:rsidRPr="008F5202" w:rsidRDefault="00561B55" w:rsidP="008F5202">
      <w:pPr>
        <w:pStyle w:val="Caption"/>
        <w:rPr>
          <w:rFonts w:eastAsia="Calibri"/>
        </w:rPr>
      </w:pPr>
      <w:bookmarkStart w:id="195" w:name="_Toc177755228"/>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4</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13</w:t>
      </w:r>
      <w:r w:rsidR="003763D2" w:rsidRPr="008F5202">
        <w:fldChar w:fldCharType="end"/>
      </w:r>
      <w:r w:rsidRPr="008F5202">
        <w:t xml:space="preserve"> </w:t>
      </w:r>
      <w:r w:rsidRPr="008F5202">
        <w:t>(a) Experimentally obtained mass flow rates for three different particle batches as a function of lattice porosity, (b) comparison of mean mass flow rates obtained from the experiments and DEM simulations for CP 30/60 particles as a function of lattice porosity</w:t>
      </w:r>
      <w:bookmarkEnd w:id="195"/>
    </w:p>
    <w:p w14:paraId="32208E8E" w14:textId="4775A372" w:rsidR="00487AD3" w:rsidRPr="008F5202" w:rsidRDefault="00487AD3" w:rsidP="00393D90">
      <w:pPr>
        <w:pStyle w:val="Heading3"/>
        <w:rPr>
          <w:rFonts w:eastAsia="Calibri"/>
        </w:rPr>
      </w:pPr>
      <w:bookmarkStart w:id="196" w:name="_Toc177758184"/>
      <w:r w:rsidRPr="008F5202">
        <w:rPr>
          <w:rFonts w:eastAsia="Calibri"/>
        </w:rPr>
        <w:t>Effect of particle diameter on the mass flow rate</w:t>
      </w:r>
      <w:bookmarkEnd w:id="196"/>
      <w:r w:rsidRPr="008F5202">
        <w:rPr>
          <w:rFonts w:eastAsia="Calibri"/>
        </w:rPr>
        <w:t xml:space="preserve"> </w:t>
      </w:r>
    </w:p>
    <w:p w14:paraId="2609AEBC" w14:textId="52492337" w:rsidR="00487AD3" w:rsidRPr="008F5202" w:rsidRDefault="00487AD3" w:rsidP="00487AD3">
      <w:pPr>
        <w:tabs>
          <w:tab w:val="left" w:pos="270"/>
        </w:tabs>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ab/>
        <w:t xml:space="preserve">Figure </w:t>
      </w:r>
      <w:r w:rsidR="00297625" w:rsidRPr="008F5202">
        <w:rPr>
          <w:rFonts w:ascii="Times New Roman" w:eastAsia="Calibri" w:hAnsi="Times New Roman" w:cs="Times New Roman"/>
        </w:rPr>
        <w:t>4</w:t>
      </w:r>
      <w:r w:rsidR="00561B55" w:rsidRPr="008F5202">
        <w:rPr>
          <w:rFonts w:ascii="Times New Roman" w:eastAsia="Calibri" w:hAnsi="Times New Roman" w:cs="Times New Roman"/>
        </w:rPr>
        <w:t>.</w:t>
      </w:r>
      <w:r w:rsidRPr="008F5202">
        <w:rPr>
          <w:rFonts w:ascii="Times New Roman" w:eastAsia="Calibri" w:hAnsi="Times New Roman" w:cs="Times New Roman"/>
        </w:rPr>
        <w:t xml:space="preserve">14 shows the experimentally obtained mass flow rates for three different porosities of Octet lattice as a function of particle diameter. At a fixed porosity, the mass flow rate diminished with increasing particle diameter. The smaller diameter particles at any fixed porosity will have tendency of moving faster in the porous volume and subsequently have more frequent interactions with the fibers of the lattice oriented at different angles. In the case of OLHX where the fiber-network can be very dense for lower porosities, the scale of particles with respect to the fiber dimensions can be a very critical parameter of investigation. The previous study by the authors </w:t>
      </w:r>
      <w:r w:rsidR="00EA4E2B" w:rsidRPr="008F5202">
        <w:rPr>
          <w:rFonts w:ascii="Times New Roman" w:eastAsia="Calibri" w:hAnsi="Times New Roman" w:cs="Times New Roman"/>
        </w:rPr>
        <w:t>[4</w:t>
      </w:r>
      <w:r w:rsidR="00393D90" w:rsidRPr="008F5202">
        <w:rPr>
          <w:rFonts w:ascii="Times New Roman" w:eastAsia="Calibri" w:hAnsi="Times New Roman" w:cs="Times New Roman"/>
        </w:rPr>
        <w:t>.</w:t>
      </w:r>
      <w:r w:rsidRPr="008F5202">
        <w:rPr>
          <w:rFonts w:ascii="Times New Roman" w:eastAsia="Calibri" w:hAnsi="Times New Roman" w:cs="Times New Roman"/>
        </w:rPr>
        <w:t xml:space="preserve">44] showed that the particles with smaller diameter provided higher overall heat transfer coefficient for OLHX at a fixed porosity. </w:t>
      </w:r>
    </w:p>
    <w:p w14:paraId="13A55923" w14:textId="77777777" w:rsidR="00561B55" w:rsidRPr="008F5202" w:rsidRDefault="00561B55" w:rsidP="00561B55">
      <w:pPr>
        <w:keepNext/>
        <w:tabs>
          <w:tab w:val="left" w:pos="270"/>
        </w:tabs>
        <w:spacing w:line="360" w:lineRule="auto"/>
        <w:contextualSpacing/>
        <w:jc w:val="both"/>
        <w:rPr>
          <w:rFonts w:ascii="Times New Roman" w:hAnsi="Times New Roman" w:cs="Times New Roman"/>
        </w:rPr>
      </w:pPr>
      <w:r w:rsidRPr="008F5202">
        <w:rPr>
          <w:rFonts w:ascii="Times New Roman" w:hAnsi="Times New Roman" w:cs="Times New Roman"/>
          <w:b/>
          <w:bCs/>
          <w:noProof/>
          <w:sz w:val="18"/>
          <w:szCs w:val="18"/>
        </w:rPr>
        <w:lastRenderedPageBreak/>
        <w:drawing>
          <wp:inline distT="0" distB="0" distL="0" distR="0" wp14:anchorId="6CAC87D6" wp14:editId="31E412D5">
            <wp:extent cx="2080009" cy="1957590"/>
            <wp:effectExtent l="0" t="0" r="0" b="5080"/>
            <wp:docPr id="1239803747" name="Picture 123980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68" cstate="print">
                      <a:extLst>
                        <a:ext uri="{28A0092B-C50C-407E-A947-70E740481C1C}">
                          <a14:useLocalDpi xmlns:a14="http://schemas.microsoft.com/office/drawing/2010/main" val="0"/>
                        </a:ext>
                      </a:extLst>
                    </a:blip>
                    <a:srcRect l="57227" t="16232" r="11407" b="31288"/>
                    <a:stretch/>
                  </pic:blipFill>
                  <pic:spPr bwMode="auto">
                    <a:xfrm>
                      <a:off x="0" y="0"/>
                      <a:ext cx="2099357" cy="1975799"/>
                    </a:xfrm>
                    <a:prstGeom prst="rect">
                      <a:avLst/>
                    </a:prstGeom>
                    <a:ln>
                      <a:noFill/>
                    </a:ln>
                    <a:extLst>
                      <a:ext uri="{53640926-AAD7-44D8-BBD7-CCE9431645EC}">
                        <a14:shadowObscured xmlns:a14="http://schemas.microsoft.com/office/drawing/2010/main"/>
                      </a:ext>
                    </a:extLst>
                  </pic:spPr>
                </pic:pic>
              </a:graphicData>
            </a:graphic>
          </wp:inline>
        </w:drawing>
      </w:r>
    </w:p>
    <w:p w14:paraId="5687DD15" w14:textId="62A49ECD" w:rsidR="00561B55" w:rsidRPr="008F5202" w:rsidRDefault="00561B55" w:rsidP="008F5202">
      <w:pPr>
        <w:pStyle w:val="Caption"/>
        <w:rPr>
          <w:rFonts w:eastAsia="Calibri"/>
        </w:rPr>
      </w:pPr>
      <w:bookmarkStart w:id="197" w:name="_Toc177755229"/>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4</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14</w:t>
      </w:r>
      <w:r w:rsidR="003763D2" w:rsidRPr="008F5202">
        <w:fldChar w:fldCharType="end"/>
      </w:r>
      <w:r w:rsidRPr="008F5202">
        <w:t xml:space="preserve"> </w:t>
      </w:r>
      <w:r w:rsidRPr="008F5202">
        <w:t>Experimentally obtained mass flow rates for three different lattice porosities as a function of particle diameter</w:t>
      </w:r>
      <w:bookmarkEnd w:id="197"/>
    </w:p>
    <w:p w14:paraId="5C813145" w14:textId="77777777" w:rsidR="00487AD3" w:rsidRPr="008F5202" w:rsidRDefault="00487AD3" w:rsidP="00487AD3">
      <w:pPr>
        <w:tabs>
          <w:tab w:val="left" w:pos="270"/>
        </w:tabs>
        <w:spacing w:line="360" w:lineRule="auto"/>
        <w:contextualSpacing/>
        <w:jc w:val="both"/>
        <w:rPr>
          <w:rFonts w:ascii="Times New Roman" w:eastAsia="Calibri" w:hAnsi="Times New Roman" w:cs="Times New Roman"/>
          <w:sz w:val="18"/>
          <w:szCs w:val="18"/>
        </w:rPr>
      </w:pPr>
    </w:p>
    <w:p w14:paraId="634C0F23" w14:textId="7CDD89FB" w:rsidR="00487AD3" w:rsidRPr="008F5202" w:rsidRDefault="00487AD3" w:rsidP="00393D90">
      <w:pPr>
        <w:pStyle w:val="Heading2"/>
        <w:rPr>
          <w:rFonts w:eastAsia="Calibri"/>
        </w:rPr>
      </w:pPr>
      <w:bookmarkStart w:id="198" w:name="_Toc177758185"/>
      <w:r w:rsidRPr="008F5202">
        <w:rPr>
          <w:rFonts w:eastAsia="Calibri"/>
        </w:rPr>
        <w:t>Conclusions</w:t>
      </w:r>
      <w:bookmarkEnd w:id="198"/>
      <w:r w:rsidRPr="008F5202">
        <w:rPr>
          <w:rFonts w:eastAsia="Calibri"/>
        </w:rPr>
        <w:t xml:space="preserve"> </w:t>
      </w:r>
    </w:p>
    <w:p w14:paraId="77EDA134" w14:textId="77777777" w:rsidR="00487AD3" w:rsidRPr="008F5202" w:rsidRDefault="00487AD3" w:rsidP="00487AD3">
      <w:pPr>
        <w:spacing w:line="360" w:lineRule="auto"/>
        <w:ind w:firstLine="270"/>
        <w:contextualSpacing/>
        <w:jc w:val="both"/>
        <w:rPr>
          <w:rFonts w:ascii="Times New Roman" w:eastAsia="Calibri" w:hAnsi="Times New Roman" w:cs="Times New Roman"/>
        </w:rPr>
      </w:pPr>
      <w:r w:rsidRPr="008F5202">
        <w:rPr>
          <w:rFonts w:ascii="Times New Roman" w:eastAsia="Calibri" w:hAnsi="Times New Roman" w:cs="Times New Roman"/>
        </w:rPr>
        <w:t>The experimental and DEM-based numerical investigation is conducted for flow in novel Octet lattice moving packed-bed heat exchanger (OLHX) in this study with potential applications in CSP-based power generation. The OLHX packed beds demonstrate high effective thermal conductivity and overall heat transfer coefficients, therefore, it is imperative to gain in-depth knowledge of how it modifies the granular flow field. In the present study, experimental flow visualization was conducted on three different porosities, viz 0.75, 0.80, and 0.88, of OLHX for three different CARBOBEAD particle batches – (a) CP 40/100, (b) CP 30/60, and (c) HSP 20/40. The DEM framework to simulate the granular flow through the OLHX was then developed in the open source LIGGGTHS software, the results from which provided good agreement with the corresponding experimental data. This framework will be further developed to investigate the heat transfer in complex OLHX configurations. Major conclusions from this flow analysis study are highlighted below:</w:t>
      </w:r>
    </w:p>
    <w:p w14:paraId="724E52E1" w14:textId="77777777" w:rsidR="00487AD3" w:rsidRPr="008F5202" w:rsidRDefault="00487AD3" w:rsidP="00487AD3">
      <w:pPr>
        <w:numPr>
          <w:ilvl w:val="0"/>
          <w:numId w:val="9"/>
        </w:numPr>
        <w:tabs>
          <w:tab w:val="left" w:pos="180"/>
        </w:tabs>
        <w:spacing w:after="160" w:line="360" w:lineRule="auto"/>
        <w:ind w:left="270" w:hanging="270"/>
        <w:contextualSpacing/>
        <w:jc w:val="both"/>
        <w:rPr>
          <w:rFonts w:ascii="Times New Roman" w:eastAsia="Calibri" w:hAnsi="Times New Roman" w:cs="Times New Roman"/>
        </w:rPr>
      </w:pPr>
      <w:r w:rsidRPr="008F5202">
        <w:rPr>
          <w:rFonts w:ascii="Times New Roman" w:eastAsia="Calibri" w:hAnsi="Times New Roman" w:cs="Times New Roman"/>
        </w:rPr>
        <w:t xml:space="preserve">For a fixed particle diameter, the mass flow rate increased with increasing OLHX porosity. For a fixed porosity of the OLHX, mass flow rate decreased with increasing particle diameter. The enhanced particle flow velocities coupled with frequent interactions with the fiber network is expected to provide high overall heat transfer coefficient values. </w:t>
      </w:r>
    </w:p>
    <w:p w14:paraId="41CE7FD8" w14:textId="77777777" w:rsidR="00487AD3" w:rsidRPr="008F5202" w:rsidRDefault="00487AD3" w:rsidP="00487AD3">
      <w:pPr>
        <w:numPr>
          <w:ilvl w:val="0"/>
          <w:numId w:val="9"/>
        </w:numPr>
        <w:tabs>
          <w:tab w:val="left" w:pos="180"/>
        </w:tabs>
        <w:spacing w:after="160" w:line="360" w:lineRule="auto"/>
        <w:ind w:left="270" w:hanging="270"/>
        <w:contextualSpacing/>
        <w:jc w:val="both"/>
        <w:rPr>
          <w:rFonts w:ascii="Times New Roman" w:eastAsia="Calibri" w:hAnsi="Times New Roman" w:cs="Times New Roman"/>
        </w:rPr>
      </w:pPr>
      <w:r w:rsidRPr="008F5202">
        <w:rPr>
          <w:rFonts w:ascii="Times New Roman" w:eastAsia="Calibri" w:hAnsi="Times New Roman" w:cs="Times New Roman"/>
        </w:rPr>
        <w:lastRenderedPageBreak/>
        <w:t xml:space="preserve">The experimental images showed cone-shaped void zones downstream of fibers, stagnation areas upstream of junctions, and wavy type unobstructed motion around fibers. The DEM simulations were able to capture all these important flow features of the experimental results. </w:t>
      </w:r>
    </w:p>
    <w:p w14:paraId="2A0B4FEC" w14:textId="77777777" w:rsidR="00487AD3" w:rsidRPr="008F5202" w:rsidRDefault="00487AD3" w:rsidP="00487AD3">
      <w:pPr>
        <w:numPr>
          <w:ilvl w:val="0"/>
          <w:numId w:val="9"/>
        </w:numPr>
        <w:tabs>
          <w:tab w:val="left" w:pos="180"/>
        </w:tabs>
        <w:spacing w:after="160" w:line="360" w:lineRule="auto"/>
        <w:ind w:left="270" w:hanging="270"/>
        <w:contextualSpacing/>
        <w:jc w:val="both"/>
        <w:rPr>
          <w:rFonts w:ascii="Times New Roman" w:eastAsia="Calibri" w:hAnsi="Times New Roman" w:cs="Times New Roman"/>
        </w:rPr>
      </w:pPr>
      <w:r w:rsidRPr="008F5202">
        <w:rPr>
          <w:rFonts w:ascii="Times New Roman" w:eastAsia="Calibri" w:hAnsi="Times New Roman" w:cs="Times New Roman"/>
        </w:rPr>
        <w:t xml:space="preserve">DEM images clearly demonstrated regions of the fiber network as well as channel walls which were completely devoid of the particle contact. These regions will provide very low thermal exchange opportunity leading to non-uniform heat transfer coefficient distribution on the fibers as well as channel walls in contact with the working fluid of the power cycle. </w:t>
      </w:r>
    </w:p>
    <w:p w14:paraId="0F05CB08" w14:textId="77777777" w:rsidR="00487AD3" w:rsidRPr="008F5202" w:rsidRDefault="00487AD3" w:rsidP="00487AD3">
      <w:pPr>
        <w:numPr>
          <w:ilvl w:val="0"/>
          <w:numId w:val="9"/>
        </w:numPr>
        <w:tabs>
          <w:tab w:val="left" w:pos="180"/>
        </w:tabs>
        <w:spacing w:after="160" w:line="360" w:lineRule="auto"/>
        <w:ind w:left="270" w:hanging="270"/>
        <w:contextualSpacing/>
        <w:jc w:val="both"/>
        <w:rPr>
          <w:rFonts w:ascii="Times New Roman" w:eastAsia="Calibri" w:hAnsi="Times New Roman" w:cs="Times New Roman"/>
        </w:rPr>
      </w:pPr>
      <w:r w:rsidRPr="008F5202">
        <w:rPr>
          <w:rFonts w:ascii="Times New Roman" w:eastAsia="Calibri" w:hAnsi="Times New Roman" w:cs="Times New Roman"/>
        </w:rPr>
        <w:t xml:space="preserve">The images of OLHX domain post completion of simulations showed the accumulation of the particles on the junctions of fibers with other fibers as well as with the channel walls. These regions did not have very frequent update of the fresh incoming particles which can prove to be the hot-spots for poor thermal exchange over time. </w:t>
      </w:r>
    </w:p>
    <w:p w14:paraId="6C4AB185" w14:textId="77777777" w:rsidR="00487AD3" w:rsidRPr="008F5202" w:rsidRDefault="00487AD3" w:rsidP="00487AD3">
      <w:pPr>
        <w:numPr>
          <w:ilvl w:val="0"/>
          <w:numId w:val="9"/>
        </w:numPr>
        <w:tabs>
          <w:tab w:val="left" w:pos="180"/>
        </w:tabs>
        <w:spacing w:after="160" w:line="360" w:lineRule="auto"/>
        <w:ind w:left="270" w:hanging="270"/>
        <w:contextualSpacing/>
        <w:jc w:val="both"/>
        <w:rPr>
          <w:rFonts w:ascii="Times New Roman" w:eastAsia="Calibri" w:hAnsi="Times New Roman" w:cs="Times New Roman"/>
        </w:rPr>
      </w:pPr>
      <w:r w:rsidRPr="008F5202">
        <w:rPr>
          <w:rFonts w:ascii="Times New Roman" w:eastAsia="Calibri" w:hAnsi="Times New Roman" w:cs="Times New Roman"/>
        </w:rPr>
        <w:t xml:space="preserve">The DEM simulations were conducted with the assumption of particles being spherical and having uniform fixed diameter which was different from the measured morphological characteristics of the particles used in experiments. Modeling of real-like particle distribution can further improve the accuracy of the DEM simulations. </w:t>
      </w:r>
    </w:p>
    <w:p w14:paraId="08891D54" w14:textId="77777777" w:rsidR="00487AD3" w:rsidRPr="008F5202" w:rsidRDefault="00487AD3" w:rsidP="00487AD3">
      <w:pPr>
        <w:tabs>
          <w:tab w:val="left" w:pos="180"/>
        </w:tabs>
        <w:spacing w:line="360" w:lineRule="auto"/>
        <w:jc w:val="both"/>
        <w:rPr>
          <w:rFonts w:ascii="Times New Roman" w:eastAsia="Calibri" w:hAnsi="Times New Roman" w:cs="Times New Roman"/>
          <w:sz w:val="18"/>
          <w:szCs w:val="18"/>
        </w:rPr>
      </w:pPr>
    </w:p>
    <w:p w14:paraId="0F36C31C" w14:textId="77777777" w:rsidR="00487AD3" w:rsidRPr="008F5202" w:rsidRDefault="00487AD3" w:rsidP="00393D90">
      <w:pPr>
        <w:pStyle w:val="Heading2"/>
        <w:rPr>
          <w:rFonts w:eastAsia="Calibri"/>
        </w:rPr>
      </w:pPr>
      <w:bookmarkStart w:id="199" w:name="_Toc177758186"/>
      <w:r w:rsidRPr="008F5202">
        <w:rPr>
          <w:rFonts w:eastAsia="Calibri"/>
        </w:rPr>
        <w:t>Acknowledgments</w:t>
      </w:r>
      <w:bookmarkEnd w:id="199"/>
      <w:r w:rsidRPr="008F5202">
        <w:rPr>
          <w:rFonts w:eastAsia="Calibri"/>
        </w:rPr>
        <w:t xml:space="preserve"> </w:t>
      </w:r>
    </w:p>
    <w:p w14:paraId="42E7C75D" w14:textId="77777777" w:rsidR="00487AD3" w:rsidRPr="008F5202" w:rsidRDefault="00487AD3" w:rsidP="00487AD3">
      <w:pPr>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 xml:space="preserve">This material is based upon work supported by the U.S. Department of Energy's Office of Energy Efficiency and Renewable Energy (EERE) under the Solar Energy Technologies Office Award Number DE-EE0009377. This report was prepared as an account of work sponsored by an agency of the United States Government. Neither the United States Government nor any agency thereof, nor any of their employees, makes any warranty, express or implied, or assumes any legal liability or responsibility for the accuracy, completeness, or usefulness of any information, apparatus, product, or process disclosed, or represents that its use would not infringe privately owned rights. Reference herein to any specific commercial product, process, or service by trade name, trademark, manufacturer, or otherwise does not necessarily constitute or imply its endorsement, recommendation, or favoring by the United States Government or any agency thereof. The </w:t>
      </w:r>
      <w:r w:rsidRPr="008F5202">
        <w:rPr>
          <w:rFonts w:ascii="Times New Roman" w:eastAsia="Calibri" w:hAnsi="Times New Roman" w:cs="Times New Roman"/>
        </w:rPr>
        <w:lastRenderedPageBreak/>
        <w:t xml:space="preserve">views and opinions of authors expressed herein do not necessarily state or reflect those of the United States Government or any agency thereof. </w:t>
      </w:r>
    </w:p>
    <w:p w14:paraId="50D80B7B" w14:textId="77777777" w:rsidR="00487AD3" w:rsidRPr="008F5202" w:rsidRDefault="00487AD3" w:rsidP="00393D90">
      <w:pPr>
        <w:pStyle w:val="Heading3"/>
        <w:rPr>
          <w:rFonts w:eastAsia="Calibri"/>
        </w:rPr>
      </w:pPr>
      <w:bookmarkStart w:id="200" w:name="_Toc177758187"/>
      <w:r w:rsidRPr="008F5202">
        <w:rPr>
          <w:rFonts w:eastAsia="Calibri"/>
        </w:rPr>
        <w:t>Nomenclature</w:t>
      </w:r>
      <w:bookmarkEnd w:id="200"/>
      <w:r w:rsidRPr="008F5202">
        <w:rPr>
          <w:rFonts w:eastAsia="Calibri"/>
        </w:rPr>
        <w:t xml:space="preserve"> </w:t>
      </w:r>
    </w:p>
    <w:p w14:paraId="0B3D5F94" w14:textId="77777777" w:rsidR="00487AD3" w:rsidRPr="008F5202" w:rsidRDefault="00000000" w:rsidP="00487AD3">
      <w:pPr>
        <w:spacing w:line="360" w:lineRule="auto"/>
        <w:contextualSpacing/>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d</m:t>
            </m:r>
          </m:e>
          <m:sub>
            <m:r>
              <w:rPr>
                <w:rFonts w:ascii="Cambria Math" w:eastAsia="Calibri" w:hAnsi="Cambria Math" w:cs="Times New Roman"/>
              </w:rPr>
              <m:t>f</m:t>
            </m:r>
          </m:sub>
        </m:sSub>
      </m:oMath>
      <w:r w:rsidR="00487AD3" w:rsidRPr="008F5202">
        <w:rPr>
          <w:rFonts w:ascii="Times New Roman" w:hAnsi="Times New Roman" w:cs="Times New Roman"/>
        </w:rPr>
        <w:tab/>
        <w:t>fiber diameter</w:t>
      </w:r>
    </w:p>
    <w:p w14:paraId="4C8867D6" w14:textId="77777777" w:rsidR="00487AD3" w:rsidRPr="008F5202" w:rsidRDefault="00000000" w:rsidP="00487AD3">
      <w:pPr>
        <w:spacing w:line="360" w:lineRule="auto"/>
        <w:contextualSpacing/>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d</m:t>
            </m:r>
          </m:e>
          <m:sub>
            <m:r>
              <w:rPr>
                <w:rFonts w:ascii="Cambria Math" w:eastAsia="Calibri" w:hAnsi="Cambria Math" w:cs="Times New Roman"/>
              </w:rPr>
              <m:t>p</m:t>
            </m:r>
          </m:sub>
        </m:sSub>
      </m:oMath>
      <w:r w:rsidR="00487AD3" w:rsidRPr="008F5202">
        <w:rPr>
          <w:rFonts w:ascii="Times New Roman" w:hAnsi="Times New Roman" w:cs="Times New Roman"/>
        </w:rPr>
        <w:tab/>
        <w:t>mean particle diameter</w:t>
      </w:r>
    </w:p>
    <w:p w14:paraId="280469FD" w14:textId="77777777" w:rsidR="00487AD3" w:rsidRPr="008F5202" w:rsidRDefault="00487AD3" w:rsidP="00487AD3">
      <w:pPr>
        <w:spacing w:line="360" w:lineRule="auto"/>
        <w:contextualSpacing/>
        <w:jc w:val="both"/>
        <w:rPr>
          <w:rFonts w:ascii="Times New Roman" w:hAnsi="Times New Roman" w:cs="Times New Roman"/>
          <w:b/>
          <w:bCs/>
        </w:rPr>
      </w:pPr>
      <w:r w:rsidRPr="008F5202">
        <w:rPr>
          <w:rFonts w:ascii="Times New Roman" w:hAnsi="Times New Roman" w:cs="Times New Roman"/>
        </w:rPr>
        <w:t>e</w:t>
      </w:r>
      <w:r w:rsidRPr="008F5202">
        <w:rPr>
          <w:rFonts w:ascii="Times New Roman" w:hAnsi="Times New Roman" w:cs="Times New Roman"/>
        </w:rPr>
        <w:tab/>
        <w:t>coefficient of restitution</w:t>
      </w:r>
    </w:p>
    <w:p w14:paraId="4C62E24E" w14:textId="77777777" w:rsidR="00487AD3" w:rsidRPr="008F5202" w:rsidRDefault="00487AD3" w:rsidP="00487AD3">
      <w:pPr>
        <w:spacing w:line="360" w:lineRule="auto"/>
        <w:contextualSpacing/>
        <w:jc w:val="both"/>
        <w:rPr>
          <w:rFonts w:ascii="Times New Roman" w:hAnsi="Times New Roman" w:cs="Times New Roman"/>
          <w:bCs/>
        </w:rPr>
      </w:pPr>
      <m:oMath>
        <m:r>
          <w:rPr>
            <w:rFonts w:ascii="Cambria Math" w:eastAsia="Calibri" w:hAnsi="Cambria Math" w:cs="Times New Roman"/>
          </w:rPr>
          <m:t>F</m:t>
        </m:r>
      </m:oMath>
      <w:r w:rsidRPr="008F5202">
        <w:rPr>
          <w:rFonts w:ascii="Times New Roman" w:hAnsi="Times New Roman" w:cs="Times New Roman"/>
          <w:bCs/>
        </w:rPr>
        <w:tab/>
        <w:t>force acting on the particle</w:t>
      </w:r>
    </w:p>
    <w:p w14:paraId="0890AA8C" w14:textId="77777777" w:rsidR="00487AD3" w:rsidRPr="008F5202" w:rsidRDefault="00487AD3" w:rsidP="00487AD3">
      <w:pPr>
        <w:spacing w:line="360" w:lineRule="auto"/>
        <w:contextualSpacing/>
        <w:jc w:val="both"/>
        <w:rPr>
          <w:rFonts w:ascii="Times New Roman" w:hAnsi="Times New Roman" w:cs="Times New Roman"/>
          <w:bCs/>
        </w:rPr>
      </w:pPr>
      <w:r w:rsidRPr="008F5202">
        <w:rPr>
          <w:rFonts w:ascii="Times New Roman" w:hAnsi="Times New Roman" w:cs="Times New Roman"/>
          <w:bCs/>
        </w:rPr>
        <w:t>G</w:t>
      </w:r>
      <w:r w:rsidRPr="008F5202">
        <w:rPr>
          <w:rFonts w:ascii="Times New Roman" w:hAnsi="Times New Roman" w:cs="Times New Roman"/>
          <w:bCs/>
        </w:rPr>
        <w:tab/>
        <w:t>shear modulus</w:t>
      </w:r>
    </w:p>
    <w:p w14:paraId="30EB7907" w14:textId="77777777" w:rsidR="00487AD3" w:rsidRPr="008F5202" w:rsidRDefault="00487AD3" w:rsidP="00487AD3">
      <w:pPr>
        <w:spacing w:line="360" w:lineRule="auto"/>
        <w:contextualSpacing/>
        <w:jc w:val="both"/>
        <w:rPr>
          <w:rFonts w:ascii="Times New Roman" w:hAnsi="Times New Roman" w:cs="Times New Roman"/>
          <w:bCs/>
        </w:rPr>
      </w:pPr>
      <m:oMath>
        <m:r>
          <w:rPr>
            <w:rFonts w:ascii="Cambria Math" w:eastAsia="Calibri" w:hAnsi="Cambria Math" w:cs="Times New Roman"/>
          </w:rPr>
          <m:t>g</m:t>
        </m:r>
      </m:oMath>
      <w:r w:rsidRPr="008F5202">
        <w:rPr>
          <w:rFonts w:ascii="Times New Roman" w:hAnsi="Times New Roman" w:cs="Times New Roman"/>
          <w:bCs/>
        </w:rPr>
        <w:tab/>
        <w:t>gravitational force</w:t>
      </w:r>
    </w:p>
    <w:p w14:paraId="548ED5E9" w14:textId="77777777" w:rsidR="00487AD3" w:rsidRPr="008F5202" w:rsidRDefault="00487AD3" w:rsidP="00487AD3">
      <w:pPr>
        <w:spacing w:line="360" w:lineRule="auto"/>
        <w:contextualSpacing/>
        <w:jc w:val="both"/>
        <w:rPr>
          <w:rFonts w:ascii="Times New Roman" w:hAnsi="Times New Roman" w:cs="Times New Roman"/>
          <w:bCs/>
        </w:rPr>
      </w:pPr>
      <m:oMath>
        <m:r>
          <w:rPr>
            <w:rFonts w:ascii="Cambria Math" w:eastAsia="Calibri" w:hAnsi="Cambria Math" w:cs="Times New Roman"/>
          </w:rPr>
          <m:t>I</m:t>
        </m:r>
      </m:oMath>
      <w:r w:rsidRPr="008F5202">
        <w:rPr>
          <w:rFonts w:ascii="Times New Roman" w:hAnsi="Times New Roman" w:cs="Times New Roman"/>
          <w:bCs/>
        </w:rPr>
        <w:tab/>
        <w:t>moment of inertia</w:t>
      </w:r>
    </w:p>
    <w:p w14:paraId="06B139B8" w14:textId="77777777" w:rsidR="00487AD3" w:rsidRPr="008F5202" w:rsidRDefault="00000000" w:rsidP="00487AD3">
      <w:pPr>
        <w:spacing w:line="360" w:lineRule="auto"/>
        <w:contextualSpacing/>
        <w:jc w:val="both"/>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k</m:t>
            </m:r>
          </m:e>
          <m:sub>
            <m:r>
              <w:rPr>
                <w:rFonts w:ascii="Cambria Math" w:hAnsi="Cambria Math" w:cs="Times New Roman"/>
              </w:rPr>
              <m:t>n</m:t>
            </m:r>
          </m:sub>
        </m:sSub>
      </m:oMath>
      <w:r w:rsidR="00487AD3" w:rsidRPr="008F5202">
        <w:rPr>
          <w:rFonts w:ascii="Times New Roman" w:hAnsi="Times New Roman" w:cs="Times New Roman"/>
          <w:bCs/>
        </w:rPr>
        <w:t xml:space="preserve"> </w:t>
      </w:r>
      <w:r w:rsidR="00487AD3" w:rsidRPr="008F5202">
        <w:rPr>
          <w:rFonts w:ascii="Times New Roman" w:hAnsi="Times New Roman" w:cs="Times New Roman"/>
          <w:bCs/>
        </w:rPr>
        <w:tab/>
        <w:t>elastic constant for normal contact</w:t>
      </w:r>
      <w:r w:rsidR="00487AD3" w:rsidRPr="008F5202">
        <w:rPr>
          <w:rFonts w:ascii="Times New Roman" w:hAnsi="Times New Roman" w:cs="Times New Roman"/>
          <w:bCs/>
        </w:rPr>
        <w:tab/>
      </w:r>
    </w:p>
    <w:p w14:paraId="57FFF4CD" w14:textId="77777777" w:rsidR="00487AD3" w:rsidRPr="008F5202" w:rsidRDefault="00000000" w:rsidP="00487AD3">
      <w:pPr>
        <w:spacing w:line="360" w:lineRule="auto"/>
        <w:contextualSpacing/>
        <w:jc w:val="both"/>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k</m:t>
            </m:r>
          </m:e>
          <m:sub>
            <m:r>
              <w:rPr>
                <w:rFonts w:ascii="Cambria Math" w:hAnsi="Cambria Math" w:cs="Times New Roman"/>
              </w:rPr>
              <m:t>t</m:t>
            </m:r>
          </m:sub>
        </m:sSub>
      </m:oMath>
      <w:r w:rsidR="00487AD3" w:rsidRPr="008F5202">
        <w:rPr>
          <w:rFonts w:ascii="Times New Roman" w:hAnsi="Times New Roman" w:cs="Times New Roman"/>
          <w:bCs/>
        </w:rPr>
        <w:t xml:space="preserve"> </w:t>
      </w:r>
      <w:r w:rsidR="00487AD3" w:rsidRPr="008F5202">
        <w:rPr>
          <w:rFonts w:ascii="Times New Roman" w:hAnsi="Times New Roman" w:cs="Times New Roman"/>
          <w:bCs/>
        </w:rPr>
        <w:tab/>
        <w:t>elastic constant for tangential contact</w:t>
      </w:r>
    </w:p>
    <w:p w14:paraId="115F35B7" w14:textId="77777777" w:rsidR="00487AD3" w:rsidRPr="008F5202" w:rsidRDefault="00487AD3" w:rsidP="00487AD3">
      <w:pPr>
        <w:spacing w:line="360" w:lineRule="auto"/>
        <w:contextualSpacing/>
        <w:jc w:val="both"/>
        <w:rPr>
          <w:rFonts w:ascii="Times New Roman" w:hAnsi="Times New Roman" w:cs="Times New Roman"/>
          <w:bCs/>
        </w:rPr>
      </w:pPr>
      <m:oMath>
        <m:r>
          <w:rPr>
            <w:rFonts w:ascii="Cambria Math" w:eastAsia="Calibri" w:hAnsi="Cambria Math" w:cs="Times New Roman"/>
          </w:rPr>
          <m:t>m</m:t>
        </m:r>
      </m:oMath>
      <w:r w:rsidRPr="008F5202">
        <w:rPr>
          <w:rFonts w:ascii="Times New Roman" w:hAnsi="Times New Roman" w:cs="Times New Roman"/>
          <w:bCs/>
        </w:rPr>
        <w:tab/>
        <w:t>mass of the particle</w:t>
      </w:r>
    </w:p>
    <w:p w14:paraId="0C9C6DC6" w14:textId="77777777" w:rsidR="00487AD3" w:rsidRPr="008F5202" w:rsidRDefault="00487AD3" w:rsidP="00487AD3">
      <w:pPr>
        <w:spacing w:line="360" w:lineRule="auto"/>
        <w:contextualSpacing/>
        <w:jc w:val="both"/>
        <w:rPr>
          <w:rFonts w:ascii="Times New Roman" w:hAnsi="Times New Roman" w:cs="Times New Roman"/>
          <w:bCs/>
        </w:rPr>
      </w:pPr>
      <w:r w:rsidRPr="008F5202">
        <w:rPr>
          <w:rFonts w:ascii="Times New Roman" w:hAnsi="Times New Roman" w:cs="Times New Roman"/>
          <w:bCs/>
        </w:rPr>
        <w:t>R</w:t>
      </w:r>
      <w:r w:rsidRPr="008F5202">
        <w:rPr>
          <w:rFonts w:ascii="Times New Roman" w:hAnsi="Times New Roman" w:cs="Times New Roman"/>
          <w:bCs/>
        </w:rPr>
        <w:tab/>
        <w:t>radius of the particle</w:t>
      </w:r>
    </w:p>
    <w:p w14:paraId="682BF28F" w14:textId="77777777" w:rsidR="00487AD3" w:rsidRPr="008F5202" w:rsidRDefault="00487AD3" w:rsidP="00487AD3">
      <w:pPr>
        <w:spacing w:line="360" w:lineRule="auto"/>
        <w:contextualSpacing/>
        <w:jc w:val="both"/>
        <w:rPr>
          <w:rFonts w:ascii="Times New Roman" w:hAnsi="Times New Roman" w:cs="Times New Roman"/>
          <w:bCs/>
        </w:rPr>
      </w:pPr>
      <m:oMath>
        <m:r>
          <w:rPr>
            <w:rFonts w:ascii="Cambria Math" w:hAnsi="Cambria Math" w:cs="Times New Roman"/>
          </w:rPr>
          <m:t>s</m:t>
        </m:r>
      </m:oMath>
      <w:r w:rsidRPr="008F5202">
        <w:rPr>
          <w:rFonts w:ascii="Times New Roman" w:hAnsi="Times New Roman" w:cs="Times New Roman"/>
          <w:bCs/>
        </w:rPr>
        <w:tab/>
        <w:t>skin parameter</w:t>
      </w:r>
    </w:p>
    <w:p w14:paraId="7905498A" w14:textId="77777777" w:rsidR="00487AD3" w:rsidRPr="008F5202" w:rsidRDefault="00000000" w:rsidP="00487AD3">
      <w:pPr>
        <w:spacing w:line="360" w:lineRule="auto"/>
        <w:contextualSpacing/>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m:t>
            </m:r>
          </m:sub>
        </m:sSub>
      </m:oMath>
      <w:r w:rsidR="00487AD3" w:rsidRPr="008F5202">
        <w:rPr>
          <w:rFonts w:ascii="Times New Roman" w:hAnsi="Times New Roman" w:cs="Times New Roman"/>
        </w:rPr>
        <w:tab/>
        <w:t>material constant in normal direction</w:t>
      </w:r>
    </w:p>
    <w:p w14:paraId="5AE31B0F" w14:textId="77777777" w:rsidR="00487AD3" w:rsidRPr="008F5202" w:rsidRDefault="00000000" w:rsidP="00487AD3">
      <w:pPr>
        <w:spacing w:line="360" w:lineRule="auto"/>
        <w:contextualSpacing/>
        <w:jc w:val="both"/>
        <w:rPr>
          <w:rFonts w:ascii="Times New Roman" w:hAnsi="Times New Roman" w:cs="Times New Roman"/>
          <w:bCs/>
        </w:rPr>
      </w:p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m:t>
            </m:r>
          </m:sub>
        </m:sSub>
      </m:oMath>
      <w:r w:rsidR="00487AD3" w:rsidRPr="008F5202">
        <w:rPr>
          <w:rFonts w:ascii="Times New Roman" w:hAnsi="Times New Roman" w:cs="Times New Roman"/>
        </w:rPr>
        <w:tab/>
        <w:t>material constant in tangential direction</w:t>
      </w:r>
    </w:p>
    <w:p w14:paraId="5591E5E4" w14:textId="77777777" w:rsidR="00487AD3" w:rsidRPr="008F5202" w:rsidRDefault="00487AD3" w:rsidP="00487AD3">
      <w:pPr>
        <w:spacing w:line="360" w:lineRule="auto"/>
        <w:contextualSpacing/>
        <w:jc w:val="both"/>
        <w:rPr>
          <w:rFonts w:ascii="Times New Roman" w:hAnsi="Times New Roman" w:cs="Times New Roman"/>
          <w:bCs/>
        </w:rPr>
      </w:pPr>
      <m:oMath>
        <m:r>
          <w:rPr>
            <w:rFonts w:ascii="Cambria Math" w:eastAsia="Calibri" w:hAnsi="Cambria Math" w:cs="Times New Roman"/>
          </w:rPr>
          <m:t>T</m:t>
        </m:r>
      </m:oMath>
      <w:r w:rsidRPr="008F5202">
        <w:rPr>
          <w:rFonts w:ascii="Times New Roman" w:hAnsi="Times New Roman" w:cs="Times New Roman"/>
          <w:bCs/>
        </w:rPr>
        <w:tab/>
        <w:t>torque acting on the particle</w:t>
      </w:r>
    </w:p>
    <w:p w14:paraId="592D34B1" w14:textId="77777777" w:rsidR="00487AD3" w:rsidRPr="008F5202" w:rsidRDefault="00000000" w:rsidP="00487AD3">
      <w:pPr>
        <w:spacing w:line="360" w:lineRule="auto"/>
        <w:contextualSpacing/>
        <w:jc w:val="both"/>
        <w:rPr>
          <w:rFonts w:ascii="Times New Roman" w:hAnsi="Times New Roman" w:cs="Times New Roman"/>
          <w:bCs/>
        </w:rPr>
      </w:pPr>
      <m:oMath>
        <m:sSub>
          <m:sSubPr>
            <m:ctrlPr>
              <w:rPr>
                <w:rFonts w:ascii="Cambria Math" w:hAnsi="Cambria Math" w:cs="Times New Roman"/>
                <w:bCs/>
                <w:i/>
                <w:vertAlign w:val="superscript"/>
              </w:rPr>
            </m:ctrlPr>
          </m:sSubPr>
          <m:e>
            <m:r>
              <w:rPr>
                <w:rFonts w:ascii="Cambria Math" w:hAnsi="Cambria Math" w:cs="Times New Roman"/>
                <w:vertAlign w:val="superscript"/>
              </w:rPr>
              <m:t>t</m:t>
            </m:r>
          </m:e>
          <m:sub>
            <m:r>
              <w:rPr>
                <w:rFonts w:ascii="Cambria Math" w:hAnsi="Cambria Math" w:cs="Times New Roman"/>
                <w:vertAlign w:val="superscript"/>
              </w:rPr>
              <m:t>Ray</m:t>
            </m:r>
          </m:sub>
        </m:sSub>
      </m:oMath>
      <w:r w:rsidR="00487AD3" w:rsidRPr="008F5202">
        <w:rPr>
          <w:rFonts w:ascii="Times New Roman" w:hAnsi="Times New Roman" w:cs="Times New Roman"/>
          <w:bCs/>
          <w:vertAlign w:val="superscript"/>
        </w:rPr>
        <w:tab/>
      </w:r>
      <w:r w:rsidR="00487AD3" w:rsidRPr="008F5202">
        <w:rPr>
          <w:rFonts w:ascii="Times New Roman" w:hAnsi="Times New Roman" w:cs="Times New Roman"/>
          <w:bCs/>
        </w:rPr>
        <w:t>Rayleigh time step criteria</w:t>
      </w:r>
    </w:p>
    <w:p w14:paraId="364B547A" w14:textId="77777777" w:rsidR="00487AD3" w:rsidRPr="008F5202" w:rsidRDefault="00487AD3" w:rsidP="00487AD3">
      <w:pPr>
        <w:spacing w:line="360" w:lineRule="auto"/>
        <w:contextualSpacing/>
        <w:jc w:val="both"/>
        <w:rPr>
          <w:rFonts w:ascii="Times New Roman" w:hAnsi="Times New Roman" w:cs="Times New Roman"/>
          <w:bCs/>
        </w:rPr>
      </w:pPr>
      <m:oMath>
        <m:r>
          <w:rPr>
            <w:rFonts w:ascii="Cambria Math" w:eastAsia="Calibri" w:hAnsi="Cambria Math" w:cs="Times New Roman"/>
          </w:rPr>
          <m:t>v</m:t>
        </m:r>
      </m:oMath>
      <w:r w:rsidRPr="008F5202">
        <w:rPr>
          <w:rFonts w:ascii="Times New Roman" w:hAnsi="Times New Roman" w:cs="Times New Roman"/>
          <w:bCs/>
        </w:rPr>
        <w:tab/>
        <w:t xml:space="preserve">velocity </w:t>
      </w:r>
    </w:p>
    <w:p w14:paraId="02F48E90" w14:textId="77777777" w:rsidR="00487AD3" w:rsidRPr="008F5202" w:rsidRDefault="00000000" w:rsidP="00487AD3">
      <w:pPr>
        <w:spacing w:line="360" w:lineRule="auto"/>
        <w:contextualSpacing/>
        <w:jc w:val="both"/>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v</m:t>
            </m:r>
          </m:e>
          <m:sub>
            <m:r>
              <w:rPr>
                <w:rFonts w:ascii="Cambria Math" w:hAnsi="Cambria Math" w:cs="Times New Roman"/>
              </w:rPr>
              <m:t>n</m:t>
            </m:r>
          </m:sub>
        </m:sSub>
      </m:oMath>
      <w:r w:rsidR="00487AD3" w:rsidRPr="008F5202">
        <w:rPr>
          <w:rFonts w:ascii="Times New Roman" w:hAnsi="Times New Roman" w:cs="Times New Roman"/>
          <w:bCs/>
        </w:rPr>
        <w:t xml:space="preserve"> </w:t>
      </w:r>
      <w:r w:rsidR="00487AD3" w:rsidRPr="008F5202">
        <w:rPr>
          <w:rFonts w:ascii="Times New Roman" w:hAnsi="Times New Roman" w:cs="Times New Roman"/>
          <w:bCs/>
        </w:rPr>
        <w:tab/>
        <w:t>normal component of the relative velocity</w:t>
      </w:r>
    </w:p>
    <w:p w14:paraId="7B0DCD4D" w14:textId="77777777" w:rsidR="00487AD3" w:rsidRPr="008F5202" w:rsidRDefault="00000000" w:rsidP="00487AD3">
      <w:pPr>
        <w:spacing w:line="360" w:lineRule="auto"/>
        <w:contextualSpacing/>
        <w:jc w:val="both"/>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v</m:t>
            </m:r>
          </m:e>
          <m:sub>
            <m:r>
              <w:rPr>
                <w:rFonts w:ascii="Cambria Math" w:hAnsi="Cambria Math" w:cs="Times New Roman"/>
              </w:rPr>
              <m:t>t</m:t>
            </m:r>
          </m:sub>
        </m:sSub>
      </m:oMath>
      <w:r w:rsidR="00487AD3" w:rsidRPr="008F5202">
        <w:rPr>
          <w:rFonts w:ascii="Times New Roman" w:hAnsi="Times New Roman" w:cs="Times New Roman"/>
          <w:bCs/>
        </w:rPr>
        <w:t xml:space="preserve"> </w:t>
      </w:r>
      <w:r w:rsidR="00487AD3" w:rsidRPr="008F5202">
        <w:rPr>
          <w:rFonts w:ascii="Times New Roman" w:hAnsi="Times New Roman" w:cs="Times New Roman"/>
          <w:bCs/>
        </w:rPr>
        <w:tab/>
        <w:t xml:space="preserve">tangential component of the relative velocity </w:t>
      </w:r>
    </w:p>
    <w:p w14:paraId="5B89FC82" w14:textId="77777777" w:rsidR="00487AD3" w:rsidRPr="008F5202" w:rsidRDefault="00487AD3" w:rsidP="00487AD3">
      <w:pPr>
        <w:spacing w:line="360" w:lineRule="auto"/>
        <w:contextualSpacing/>
        <w:jc w:val="both"/>
        <w:rPr>
          <w:rFonts w:ascii="Times New Roman" w:hAnsi="Times New Roman" w:cs="Times New Roman"/>
          <w:bCs/>
          <w:lang w:val="fr-FR"/>
        </w:rPr>
      </w:pPr>
      <m:oMath>
        <m:r>
          <w:rPr>
            <w:rFonts w:ascii="Cambria Math" w:hAnsi="Cambria Math" w:cs="Times New Roman"/>
          </w:rPr>
          <m:t>Y</m:t>
        </m:r>
      </m:oMath>
      <w:r w:rsidRPr="008F5202">
        <w:rPr>
          <w:rFonts w:ascii="Times New Roman" w:hAnsi="Times New Roman" w:cs="Times New Roman"/>
          <w:bCs/>
          <w:lang w:val="fr-FR"/>
        </w:rPr>
        <w:tab/>
        <w:t xml:space="preserve">Young’s modulus </w:t>
      </w:r>
    </w:p>
    <w:p w14:paraId="57A8E99B" w14:textId="77777777" w:rsidR="00487AD3" w:rsidRPr="008F5202" w:rsidRDefault="00487AD3" w:rsidP="00487AD3">
      <w:pPr>
        <w:spacing w:line="360" w:lineRule="auto"/>
        <w:contextualSpacing/>
        <w:jc w:val="both"/>
        <w:rPr>
          <w:rFonts w:ascii="Times New Roman" w:hAnsi="Times New Roman" w:cs="Times New Roman"/>
          <w:bCs/>
          <w:sz w:val="18"/>
          <w:szCs w:val="18"/>
          <w:lang w:val="fr-FR"/>
        </w:rPr>
      </w:pPr>
      <m:oMath>
        <m:r>
          <w:rPr>
            <w:rFonts w:ascii="Cambria Math" w:hAnsi="Cambria Math" w:cs="Times New Roman"/>
          </w:rPr>
          <m:t>x</m:t>
        </m:r>
      </m:oMath>
      <w:r w:rsidRPr="008F5202">
        <w:rPr>
          <w:rFonts w:ascii="Times New Roman" w:hAnsi="Times New Roman" w:cs="Times New Roman"/>
          <w:bCs/>
          <w:lang w:val="fr-FR"/>
        </w:rPr>
        <w:tab/>
        <w:t>particle position</w:t>
      </w:r>
      <w:r w:rsidRPr="008F5202">
        <w:rPr>
          <w:rFonts w:ascii="Times New Roman" w:hAnsi="Times New Roman" w:cs="Times New Roman"/>
          <w:bCs/>
          <w:sz w:val="18"/>
          <w:szCs w:val="18"/>
          <w:lang w:val="fr-FR"/>
        </w:rPr>
        <w:t xml:space="preserve"> </w:t>
      </w:r>
    </w:p>
    <w:p w14:paraId="0616CC1C" w14:textId="77777777" w:rsidR="00487AD3" w:rsidRPr="008F5202" w:rsidRDefault="00487AD3" w:rsidP="00487AD3">
      <w:pPr>
        <w:spacing w:line="360" w:lineRule="auto"/>
        <w:contextualSpacing/>
        <w:jc w:val="both"/>
        <w:rPr>
          <w:rFonts w:ascii="Times New Roman" w:hAnsi="Times New Roman" w:cs="Times New Roman"/>
          <w:bCs/>
          <w:sz w:val="18"/>
          <w:szCs w:val="18"/>
          <w:lang w:val="fr-FR"/>
        </w:rPr>
      </w:pPr>
    </w:p>
    <w:p w14:paraId="33A0F7C2" w14:textId="77777777" w:rsidR="00487AD3" w:rsidRPr="008F5202" w:rsidRDefault="00487AD3" w:rsidP="00393D90">
      <w:pPr>
        <w:pStyle w:val="Heading3"/>
      </w:pPr>
      <w:bookmarkStart w:id="201" w:name="_Toc177758188"/>
      <w:r w:rsidRPr="008F5202">
        <w:rPr>
          <w:rFonts w:eastAsia="Calibri"/>
        </w:rPr>
        <w:t>Greek symbols</w:t>
      </w:r>
      <w:bookmarkEnd w:id="201"/>
    </w:p>
    <w:p w14:paraId="414DA00C" w14:textId="77777777" w:rsidR="00487AD3" w:rsidRPr="008F5202" w:rsidRDefault="00487AD3" w:rsidP="00487AD3">
      <w:pPr>
        <w:spacing w:line="360" w:lineRule="auto"/>
        <w:contextualSpacing/>
        <w:jc w:val="both"/>
        <w:rPr>
          <w:rFonts w:ascii="Times New Roman" w:eastAsia="Calibri" w:hAnsi="Times New Roman" w:cs="Times New Roman"/>
          <w:bCs/>
        </w:rPr>
      </w:pPr>
      <w:r w:rsidRPr="008F5202">
        <w:rPr>
          <w:rFonts w:ascii="Times New Roman" w:eastAsia="Calibri" w:hAnsi="Times New Roman" w:cs="Times New Roman"/>
          <w:bCs/>
        </w:rPr>
        <w:t>ε</w:t>
      </w:r>
      <w:r w:rsidRPr="008F5202">
        <w:rPr>
          <w:rFonts w:ascii="Times New Roman" w:eastAsia="Calibri" w:hAnsi="Times New Roman" w:cs="Times New Roman"/>
          <w:bCs/>
        </w:rPr>
        <w:tab/>
        <w:t>porosity</w:t>
      </w:r>
    </w:p>
    <w:p w14:paraId="5A01CCA4" w14:textId="77777777" w:rsidR="00487AD3" w:rsidRPr="008F5202" w:rsidRDefault="00000000" w:rsidP="00487AD3">
      <w:pPr>
        <w:spacing w:line="360" w:lineRule="auto"/>
        <w:contextualSpacing/>
        <w:jc w:val="both"/>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δ</m:t>
            </m:r>
          </m:e>
          <m:sub>
            <m:r>
              <w:rPr>
                <w:rFonts w:ascii="Cambria Math" w:hAnsi="Cambria Math" w:cs="Times New Roman"/>
              </w:rPr>
              <m:t>n</m:t>
            </m:r>
          </m:sub>
        </m:sSub>
        <m:r>
          <w:rPr>
            <w:rFonts w:ascii="Cambria Math" w:hAnsi="Cambria Math" w:cs="Times New Roman"/>
          </w:rPr>
          <m:t xml:space="preserve"> </m:t>
        </m:r>
      </m:oMath>
      <w:r w:rsidR="00487AD3" w:rsidRPr="008F5202">
        <w:rPr>
          <w:rFonts w:ascii="Times New Roman" w:hAnsi="Times New Roman" w:cs="Times New Roman"/>
          <w:bCs/>
        </w:rPr>
        <w:tab/>
        <w:t xml:space="preserve">normal overlap distance between two particles </w:t>
      </w:r>
    </w:p>
    <w:p w14:paraId="12149915" w14:textId="77777777" w:rsidR="00487AD3" w:rsidRPr="008F5202" w:rsidRDefault="00000000" w:rsidP="00487AD3">
      <w:pPr>
        <w:spacing w:line="360" w:lineRule="auto"/>
        <w:contextualSpacing/>
        <w:jc w:val="both"/>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δ</m:t>
            </m:r>
          </m:e>
          <m:sub>
            <m:r>
              <w:rPr>
                <w:rFonts w:ascii="Cambria Math" w:hAnsi="Cambria Math" w:cs="Times New Roman"/>
              </w:rPr>
              <m:t>t</m:t>
            </m:r>
          </m:sub>
        </m:sSub>
      </m:oMath>
      <w:r w:rsidR="00487AD3" w:rsidRPr="008F5202">
        <w:rPr>
          <w:rFonts w:ascii="Times New Roman" w:hAnsi="Times New Roman" w:cs="Times New Roman"/>
          <w:bCs/>
        </w:rPr>
        <w:t xml:space="preserve"> </w:t>
      </w:r>
      <w:r w:rsidR="00487AD3" w:rsidRPr="008F5202">
        <w:rPr>
          <w:rFonts w:ascii="Times New Roman" w:hAnsi="Times New Roman" w:cs="Times New Roman"/>
          <w:bCs/>
        </w:rPr>
        <w:tab/>
        <w:t xml:space="preserve">tangential displacement between two particles </w:t>
      </w:r>
    </w:p>
    <w:p w14:paraId="3B416484" w14:textId="77777777" w:rsidR="00487AD3" w:rsidRPr="008F5202" w:rsidRDefault="00000000" w:rsidP="00487AD3">
      <w:pPr>
        <w:spacing w:line="360" w:lineRule="auto"/>
        <w:contextualSpacing/>
        <w:jc w:val="both"/>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γ</m:t>
            </m:r>
          </m:e>
          <m:sub>
            <m:r>
              <w:rPr>
                <w:rFonts w:ascii="Cambria Math" w:hAnsi="Cambria Math" w:cs="Times New Roman"/>
              </w:rPr>
              <m:t>n</m:t>
            </m:r>
          </m:sub>
        </m:sSub>
      </m:oMath>
      <w:r w:rsidR="00487AD3" w:rsidRPr="008F5202">
        <w:rPr>
          <w:rFonts w:ascii="Times New Roman" w:hAnsi="Times New Roman" w:cs="Times New Roman"/>
          <w:bCs/>
        </w:rPr>
        <w:t xml:space="preserve"> </w:t>
      </w:r>
      <w:r w:rsidR="00487AD3" w:rsidRPr="008F5202">
        <w:rPr>
          <w:rFonts w:ascii="Times New Roman" w:hAnsi="Times New Roman" w:cs="Times New Roman"/>
          <w:bCs/>
        </w:rPr>
        <w:tab/>
        <w:t xml:space="preserve">viscoelastic damping constant for normal contact </w:t>
      </w:r>
    </w:p>
    <w:p w14:paraId="56B9E408" w14:textId="77777777" w:rsidR="00487AD3" w:rsidRPr="008F5202" w:rsidRDefault="00000000" w:rsidP="00487AD3">
      <w:pPr>
        <w:spacing w:line="360" w:lineRule="auto"/>
        <w:contextualSpacing/>
        <w:jc w:val="both"/>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γ</m:t>
            </m:r>
          </m:e>
          <m:sub>
            <m:r>
              <w:rPr>
                <w:rFonts w:ascii="Cambria Math" w:hAnsi="Cambria Math" w:cs="Times New Roman"/>
              </w:rPr>
              <m:t>t</m:t>
            </m:r>
          </m:sub>
        </m:sSub>
      </m:oMath>
      <w:r w:rsidR="00487AD3" w:rsidRPr="008F5202">
        <w:rPr>
          <w:rFonts w:ascii="Times New Roman" w:hAnsi="Times New Roman" w:cs="Times New Roman"/>
          <w:bCs/>
        </w:rPr>
        <w:t xml:space="preserve"> </w:t>
      </w:r>
      <w:r w:rsidR="00487AD3" w:rsidRPr="008F5202">
        <w:rPr>
          <w:rFonts w:ascii="Times New Roman" w:hAnsi="Times New Roman" w:cs="Times New Roman"/>
          <w:bCs/>
        </w:rPr>
        <w:tab/>
        <w:t>viscoelastic damping constant for tangential contact</w:t>
      </w:r>
    </w:p>
    <w:p w14:paraId="346DFD12" w14:textId="77777777" w:rsidR="00487AD3" w:rsidRPr="008F5202" w:rsidRDefault="00487AD3" w:rsidP="00487AD3">
      <w:pPr>
        <w:spacing w:line="360" w:lineRule="auto"/>
        <w:contextualSpacing/>
        <w:jc w:val="both"/>
        <w:rPr>
          <w:rFonts w:ascii="Times New Roman" w:hAnsi="Times New Roman" w:cs="Times New Roman"/>
          <w:bCs/>
        </w:rPr>
      </w:pPr>
      <m:oMath>
        <m:r>
          <w:rPr>
            <w:rFonts w:ascii="Cambria Math" w:hAnsi="Cambria Math" w:cs="Times New Roman"/>
          </w:rPr>
          <m:t>ν</m:t>
        </m:r>
      </m:oMath>
      <w:r w:rsidRPr="008F5202">
        <w:rPr>
          <w:rFonts w:ascii="Times New Roman" w:hAnsi="Times New Roman" w:cs="Times New Roman"/>
          <w:bCs/>
        </w:rPr>
        <w:tab/>
        <w:t>Poisson’s ratio</w:t>
      </w:r>
    </w:p>
    <w:p w14:paraId="7A92602C" w14:textId="77777777" w:rsidR="00487AD3" w:rsidRPr="008F5202" w:rsidRDefault="00000000" w:rsidP="00487AD3">
      <w:pPr>
        <w:spacing w:line="360" w:lineRule="auto"/>
        <w:contextualSpacing/>
        <w:jc w:val="both"/>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μ</m:t>
            </m:r>
          </m:e>
          <m:sub>
            <m:r>
              <w:rPr>
                <w:rFonts w:ascii="Cambria Math" w:hAnsi="Cambria Math" w:cs="Times New Roman"/>
              </w:rPr>
              <m:t>s</m:t>
            </m:r>
          </m:sub>
        </m:sSub>
      </m:oMath>
      <w:r w:rsidR="00487AD3" w:rsidRPr="008F5202">
        <w:rPr>
          <w:rFonts w:ascii="Times New Roman" w:hAnsi="Times New Roman" w:cs="Times New Roman"/>
          <w:bCs/>
        </w:rPr>
        <w:t xml:space="preserve"> </w:t>
      </w:r>
      <w:r w:rsidR="00487AD3" w:rsidRPr="008F5202">
        <w:rPr>
          <w:rFonts w:ascii="Times New Roman" w:hAnsi="Times New Roman" w:cs="Times New Roman"/>
          <w:bCs/>
        </w:rPr>
        <w:tab/>
        <w:t xml:space="preserve">sliding friction coefficient </w:t>
      </w:r>
    </w:p>
    <w:p w14:paraId="5C806082" w14:textId="77777777" w:rsidR="00487AD3" w:rsidRPr="008F5202" w:rsidRDefault="00000000" w:rsidP="00487AD3">
      <w:pPr>
        <w:spacing w:line="360" w:lineRule="auto"/>
        <w:contextualSpacing/>
        <w:jc w:val="both"/>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μ</m:t>
            </m:r>
          </m:e>
          <m:sub>
            <m:r>
              <w:rPr>
                <w:rFonts w:ascii="Cambria Math" w:hAnsi="Cambria Math" w:cs="Times New Roman"/>
              </w:rPr>
              <m:t>r</m:t>
            </m:r>
          </m:sub>
        </m:sSub>
      </m:oMath>
      <w:r w:rsidR="00487AD3" w:rsidRPr="008F5202">
        <w:rPr>
          <w:rFonts w:ascii="Times New Roman" w:hAnsi="Times New Roman" w:cs="Times New Roman"/>
          <w:bCs/>
        </w:rPr>
        <w:t xml:space="preserve"> </w:t>
      </w:r>
      <w:r w:rsidR="00487AD3" w:rsidRPr="008F5202">
        <w:rPr>
          <w:rFonts w:ascii="Times New Roman" w:hAnsi="Times New Roman" w:cs="Times New Roman"/>
          <w:bCs/>
        </w:rPr>
        <w:tab/>
        <w:t xml:space="preserve">rolling friction coefficient </w:t>
      </w:r>
    </w:p>
    <w:p w14:paraId="4403440D" w14:textId="77777777" w:rsidR="00487AD3" w:rsidRPr="008F5202" w:rsidRDefault="00487AD3" w:rsidP="00487AD3">
      <w:pPr>
        <w:spacing w:line="360" w:lineRule="auto"/>
        <w:contextualSpacing/>
        <w:jc w:val="both"/>
        <w:rPr>
          <w:rFonts w:ascii="Times New Roman" w:hAnsi="Times New Roman" w:cs="Times New Roman"/>
          <w:bCs/>
        </w:rPr>
      </w:pPr>
      <m:oMath>
        <m:r>
          <w:rPr>
            <w:rFonts w:ascii="Cambria Math" w:eastAsia="Calibri" w:hAnsi="Cambria Math" w:cs="Times New Roman"/>
          </w:rPr>
          <m:t>ω</m:t>
        </m:r>
      </m:oMath>
      <w:r w:rsidRPr="008F5202">
        <w:rPr>
          <w:rFonts w:ascii="Times New Roman" w:hAnsi="Times New Roman" w:cs="Times New Roman"/>
          <w:bCs/>
        </w:rPr>
        <w:tab/>
        <w:t xml:space="preserve">angular velocity </w:t>
      </w:r>
    </w:p>
    <w:p w14:paraId="4C5684FB" w14:textId="77777777" w:rsidR="00487AD3" w:rsidRPr="008F5202" w:rsidRDefault="00487AD3" w:rsidP="00487AD3">
      <w:pPr>
        <w:spacing w:line="360" w:lineRule="auto"/>
        <w:contextualSpacing/>
        <w:jc w:val="both"/>
        <w:rPr>
          <w:rFonts w:ascii="Times New Roman" w:hAnsi="Times New Roman" w:cs="Times New Roman"/>
        </w:rPr>
      </w:pPr>
      <m:oMath>
        <m:r>
          <w:rPr>
            <w:rFonts w:ascii="Cambria Math" w:hAnsi="Cambria Math" w:cs="Times New Roman"/>
            <w:vertAlign w:val="superscript"/>
          </w:rPr>
          <m:t>ρ</m:t>
        </m:r>
      </m:oMath>
      <w:r w:rsidRPr="008F5202">
        <w:rPr>
          <w:rFonts w:ascii="Times New Roman" w:hAnsi="Times New Roman" w:cs="Times New Roman"/>
          <w:vertAlign w:val="superscript"/>
        </w:rPr>
        <w:tab/>
      </w:r>
      <w:r w:rsidRPr="008F5202">
        <w:rPr>
          <w:rFonts w:ascii="Times New Roman" w:hAnsi="Times New Roman" w:cs="Times New Roman"/>
        </w:rPr>
        <w:t>density of the particle</w:t>
      </w:r>
    </w:p>
    <w:p w14:paraId="2E387E5B" w14:textId="77777777" w:rsidR="00487AD3" w:rsidRPr="008F5202" w:rsidRDefault="00487AD3" w:rsidP="00487AD3">
      <w:pPr>
        <w:spacing w:line="360" w:lineRule="auto"/>
        <w:contextualSpacing/>
        <w:jc w:val="both"/>
        <w:rPr>
          <w:rFonts w:ascii="Times New Roman" w:hAnsi="Times New Roman" w:cs="Times New Roman"/>
        </w:rPr>
      </w:pPr>
      <m:oMath>
        <m:r>
          <w:rPr>
            <w:rFonts w:ascii="Cambria Math" w:hAnsi="Cambria Math" w:cs="Times New Roman"/>
          </w:rPr>
          <m:t>β</m:t>
        </m:r>
      </m:oMath>
      <w:r w:rsidRPr="008F5202">
        <w:rPr>
          <w:rFonts w:ascii="Times New Roman" w:hAnsi="Times New Roman" w:cs="Times New Roman"/>
        </w:rPr>
        <w:tab/>
        <w:t>material constant used to calculate interacting forces in LIGGGHTS</w:t>
      </w:r>
    </w:p>
    <w:p w14:paraId="4854357C" w14:textId="77777777" w:rsidR="00487AD3" w:rsidRPr="008F5202" w:rsidRDefault="00487AD3" w:rsidP="00487AD3">
      <w:pPr>
        <w:spacing w:line="360" w:lineRule="auto"/>
        <w:contextualSpacing/>
        <w:jc w:val="both"/>
        <w:rPr>
          <w:rFonts w:ascii="Times New Roman" w:hAnsi="Times New Roman" w:cs="Times New Roman"/>
          <w:bCs/>
          <w:sz w:val="18"/>
          <w:szCs w:val="18"/>
        </w:rPr>
      </w:pPr>
    </w:p>
    <w:p w14:paraId="6194BA60" w14:textId="77777777" w:rsidR="00487AD3" w:rsidRPr="008F5202" w:rsidRDefault="00487AD3" w:rsidP="00393D90">
      <w:pPr>
        <w:pStyle w:val="Heading3"/>
        <w:rPr>
          <w:rFonts w:eastAsia="Calibri"/>
        </w:rPr>
      </w:pPr>
      <w:bookmarkStart w:id="202" w:name="_Toc177758189"/>
      <w:r w:rsidRPr="008F5202">
        <w:rPr>
          <w:rFonts w:eastAsia="Calibri"/>
        </w:rPr>
        <w:t>Abbreviations</w:t>
      </w:r>
      <w:bookmarkEnd w:id="202"/>
    </w:p>
    <w:p w14:paraId="21BED709" w14:textId="77777777" w:rsidR="00487AD3" w:rsidRPr="008F5202" w:rsidRDefault="00487AD3" w:rsidP="00487AD3">
      <w:pPr>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CDT</w:t>
      </w:r>
      <w:r w:rsidRPr="008F5202">
        <w:rPr>
          <w:rFonts w:ascii="Times New Roman" w:eastAsia="Calibri" w:hAnsi="Times New Roman" w:cs="Times New Roman"/>
        </w:rPr>
        <w:tab/>
        <w:t>constant direction torque</w:t>
      </w:r>
    </w:p>
    <w:p w14:paraId="314C25CC" w14:textId="77777777" w:rsidR="00487AD3" w:rsidRPr="008F5202" w:rsidRDefault="00487AD3" w:rsidP="00487AD3">
      <w:pPr>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CSP</w:t>
      </w:r>
      <w:r w:rsidRPr="008F5202">
        <w:rPr>
          <w:rFonts w:ascii="Times New Roman" w:eastAsia="Calibri" w:hAnsi="Times New Roman" w:cs="Times New Roman"/>
        </w:rPr>
        <w:tab/>
        <w:t>concentrated solar power plant</w:t>
      </w:r>
    </w:p>
    <w:p w14:paraId="5152DF6C" w14:textId="77777777" w:rsidR="00487AD3" w:rsidRPr="008F5202" w:rsidRDefault="00487AD3" w:rsidP="00487AD3">
      <w:pPr>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 xml:space="preserve">DEM </w:t>
      </w:r>
      <w:r w:rsidRPr="008F5202">
        <w:rPr>
          <w:rFonts w:ascii="Times New Roman" w:eastAsia="Calibri" w:hAnsi="Times New Roman" w:cs="Times New Roman"/>
        </w:rPr>
        <w:tab/>
        <w:t>discrete element method</w:t>
      </w:r>
    </w:p>
    <w:p w14:paraId="735203AE" w14:textId="77777777" w:rsidR="00487AD3" w:rsidRPr="008F5202" w:rsidRDefault="00487AD3" w:rsidP="00487AD3">
      <w:pPr>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EPSD</w:t>
      </w:r>
      <w:r w:rsidRPr="008F5202">
        <w:rPr>
          <w:rFonts w:ascii="Times New Roman" w:eastAsia="Calibri" w:hAnsi="Times New Roman" w:cs="Times New Roman"/>
        </w:rPr>
        <w:tab/>
        <w:t xml:space="preserve">elastic-plastic spring dashpot </w:t>
      </w:r>
    </w:p>
    <w:p w14:paraId="2C64150F" w14:textId="77777777" w:rsidR="00487AD3" w:rsidRPr="008F5202" w:rsidRDefault="00487AD3" w:rsidP="00487AD3">
      <w:pPr>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HTF</w:t>
      </w:r>
      <w:r w:rsidRPr="008F5202">
        <w:rPr>
          <w:rFonts w:ascii="Times New Roman" w:eastAsia="Calibri" w:hAnsi="Times New Roman" w:cs="Times New Roman"/>
        </w:rPr>
        <w:tab/>
        <w:t>heat transfer fluid</w:t>
      </w:r>
    </w:p>
    <w:p w14:paraId="1688BB31" w14:textId="77777777" w:rsidR="00487AD3" w:rsidRPr="008F5202" w:rsidRDefault="00487AD3" w:rsidP="00487AD3">
      <w:pPr>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HX</w:t>
      </w:r>
      <w:r w:rsidRPr="008F5202">
        <w:rPr>
          <w:rFonts w:ascii="Times New Roman" w:eastAsia="Calibri" w:hAnsi="Times New Roman" w:cs="Times New Roman"/>
        </w:rPr>
        <w:tab/>
        <w:t>heat exchanger</w:t>
      </w:r>
    </w:p>
    <w:p w14:paraId="1681F901" w14:textId="77777777" w:rsidR="00487AD3" w:rsidRPr="008F5202" w:rsidRDefault="00487AD3" w:rsidP="00487AD3">
      <w:pPr>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OLHX</w:t>
      </w:r>
      <w:r w:rsidRPr="008F5202">
        <w:rPr>
          <w:rFonts w:ascii="Times New Roman" w:eastAsia="Calibri" w:hAnsi="Times New Roman" w:cs="Times New Roman"/>
        </w:rPr>
        <w:tab/>
        <w:t>Octet lattice moving packed-bed heat exchanger</w:t>
      </w:r>
    </w:p>
    <w:p w14:paraId="133A69AB" w14:textId="77777777" w:rsidR="00487AD3" w:rsidRPr="008F5202" w:rsidRDefault="00487AD3" w:rsidP="00487AD3">
      <w:pPr>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sCO</w:t>
      </w:r>
      <w:r w:rsidRPr="008F5202">
        <w:rPr>
          <w:rFonts w:ascii="Times New Roman" w:eastAsia="Calibri" w:hAnsi="Times New Roman" w:cs="Times New Roman"/>
          <w:vertAlign w:val="subscript"/>
        </w:rPr>
        <w:t>2</w:t>
      </w:r>
      <w:r w:rsidRPr="008F5202">
        <w:rPr>
          <w:rFonts w:ascii="Times New Roman" w:eastAsia="Calibri" w:hAnsi="Times New Roman" w:cs="Times New Roman"/>
          <w:vertAlign w:val="subscript"/>
        </w:rPr>
        <w:tab/>
      </w:r>
      <w:r w:rsidRPr="008F5202">
        <w:rPr>
          <w:rFonts w:ascii="Times New Roman" w:eastAsia="Calibri" w:hAnsi="Times New Roman" w:cs="Times New Roman"/>
        </w:rPr>
        <w:t>supercritical carbon-dioxide</w:t>
      </w:r>
    </w:p>
    <w:p w14:paraId="36B2438A" w14:textId="7AC38AE3" w:rsidR="00487AD3" w:rsidRPr="008F5202" w:rsidRDefault="00487AD3" w:rsidP="00487AD3">
      <w:pPr>
        <w:spacing w:line="360" w:lineRule="auto"/>
        <w:contextualSpacing/>
        <w:jc w:val="both"/>
        <w:rPr>
          <w:rFonts w:ascii="Times New Roman" w:eastAsia="Calibri" w:hAnsi="Times New Roman" w:cs="Times New Roman"/>
        </w:rPr>
      </w:pPr>
      <w:r w:rsidRPr="008F5202">
        <w:rPr>
          <w:rFonts w:ascii="Times New Roman" w:eastAsia="Calibri" w:hAnsi="Times New Roman" w:cs="Times New Roman"/>
        </w:rPr>
        <w:t>TES</w:t>
      </w:r>
      <w:r w:rsidRPr="008F5202">
        <w:rPr>
          <w:rFonts w:ascii="Times New Roman" w:eastAsia="Calibri" w:hAnsi="Times New Roman" w:cs="Times New Roman"/>
        </w:rPr>
        <w:tab/>
        <w:t>thermal energy storage</w:t>
      </w:r>
      <w:r w:rsidR="00393D90" w:rsidRPr="008F5202">
        <w:rPr>
          <w:rFonts w:ascii="Times New Roman" w:eastAsia="Calibri" w:hAnsi="Times New Roman" w:cs="Times New Roman"/>
        </w:rPr>
        <w:t>=</w:t>
      </w:r>
    </w:p>
    <w:p w14:paraId="6FD5E663" w14:textId="77777777" w:rsidR="00487AD3" w:rsidRPr="008F5202" w:rsidRDefault="00487AD3" w:rsidP="00393D90">
      <w:pPr>
        <w:pStyle w:val="Heading3"/>
        <w:rPr>
          <w:rFonts w:eastAsia="Calibri"/>
        </w:rPr>
      </w:pPr>
      <w:bookmarkStart w:id="203" w:name="_Toc177758190"/>
      <w:r w:rsidRPr="008F5202">
        <w:rPr>
          <w:rFonts w:eastAsia="Calibri"/>
        </w:rPr>
        <w:t>Superscript</w:t>
      </w:r>
      <w:bookmarkEnd w:id="203"/>
    </w:p>
    <w:p w14:paraId="7BF45B53" w14:textId="77777777" w:rsidR="00487AD3" w:rsidRPr="008F5202" w:rsidRDefault="00487AD3" w:rsidP="00487AD3">
      <w:pPr>
        <w:spacing w:line="360" w:lineRule="auto"/>
        <w:contextualSpacing/>
        <w:jc w:val="both"/>
        <w:rPr>
          <w:rFonts w:ascii="Times New Roman" w:eastAsia="Calibri" w:hAnsi="Times New Roman" w:cs="Times New Roman"/>
          <w:bCs/>
        </w:rPr>
      </w:pPr>
      <w:r w:rsidRPr="008F5202">
        <w:rPr>
          <w:rFonts w:ascii="Times New Roman" w:eastAsia="Calibri" w:hAnsi="Times New Roman" w:cs="Times New Roman"/>
          <w:bCs/>
        </w:rPr>
        <w:t xml:space="preserve">* </w:t>
      </w:r>
      <w:r w:rsidRPr="008F5202">
        <w:rPr>
          <w:rFonts w:ascii="Times New Roman" w:eastAsia="Calibri" w:hAnsi="Times New Roman" w:cs="Times New Roman"/>
          <w:bCs/>
        </w:rPr>
        <w:tab/>
        <w:t xml:space="preserve">effective properties </w:t>
      </w:r>
    </w:p>
    <w:p w14:paraId="2AC46511" w14:textId="000D9FC6" w:rsidR="00393D90" w:rsidRPr="008F5202" w:rsidRDefault="00393D90" w:rsidP="00393D90">
      <w:pPr>
        <w:pStyle w:val="Heading2"/>
        <w:rPr>
          <w:rFonts w:eastAsia="Calibri"/>
        </w:rPr>
      </w:pPr>
      <w:bookmarkStart w:id="204" w:name="_Toc177758191"/>
      <w:r w:rsidRPr="008F5202">
        <w:rPr>
          <w:rFonts w:eastAsia="Calibri"/>
        </w:rPr>
        <w:t>References</w:t>
      </w:r>
      <w:bookmarkEnd w:id="204"/>
    </w:p>
    <w:p w14:paraId="2CADF740" w14:textId="3CF6C221"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1]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rPr>
        <w:tab/>
        <w:t xml:space="preserve">Montes, M.J., Linares, J.I., Barbero, R., and Moratilla, B.Y., 2020, “Optimization of a New Design of Molten Salt-to-CO2 Heat Exchanger Using Exergy Destruction Minimization,” </w:t>
      </w:r>
      <w:r w:rsidR="00393D90" w:rsidRPr="00393D90">
        <w:rPr>
          <w:rFonts w:ascii="Times New Roman" w:eastAsia="Aptos" w:hAnsi="Times New Roman" w:cs="Times New Roman"/>
          <w:i/>
          <w:iCs/>
          <w:color w:val="000000"/>
        </w:rPr>
        <w:t xml:space="preserve">Entropy, </w:t>
      </w:r>
      <w:r w:rsidR="00393D90" w:rsidRPr="00393D90">
        <w:rPr>
          <w:rFonts w:ascii="Times New Roman" w:eastAsia="Aptos" w:hAnsi="Times New Roman" w:cs="Times New Roman"/>
          <w:color w:val="000000"/>
        </w:rPr>
        <w:t xml:space="preserve">22, p. 883. </w:t>
      </w:r>
      <w:hyperlink r:id="rId69" w:history="1">
        <w:r w:rsidR="00393D90" w:rsidRPr="00393D90">
          <w:rPr>
            <w:rFonts w:ascii="Times New Roman" w:eastAsia="Aptos" w:hAnsi="Times New Roman" w:cs="Times New Roman"/>
            <w:color w:val="000000"/>
          </w:rPr>
          <w:t>https://doi.org/10.3390/e22080883</w:t>
        </w:r>
      </w:hyperlink>
      <w:r w:rsidR="00393D90" w:rsidRPr="00393D90">
        <w:rPr>
          <w:rFonts w:ascii="Times New Roman" w:eastAsia="Aptos" w:hAnsi="Times New Roman" w:cs="Times New Roman"/>
          <w:color w:val="000000"/>
        </w:rPr>
        <w:t>.</w:t>
      </w:r>
    </w:p>
    <w:p w14:paraId="28F32772" w14:textId="5D4AACDC"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2]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rPr>
        <w:tab/>
        <w:t xml:space="preserve">Mehos, M., Turch, C., Vidal, J., Wagner, M., Ma, Z., Ho, C., Kolb, W., Andraka, C., and Kruizenga, A., 2017, “Concentrating Solar Power Gen3 Demonstration Roadmap,”. </w:t>
      </w:r>
      <w:hyperlink r:id="rId70" w:history="1">
        <w:r w:rsidR="00393D90" w:rsidRPr="00393D90">
          <w:rPr>
            <w:rFonts w:ascii="Times New Roman" w:eastAsia="Aptos" w:hAnsi="Times New Roman" w:cs="Times New Roman"/>
            <w:color w:val="000000"/>
          </w:rPr>
          <w:t>https://doi.org/10.2172/1338899</w:t>
        </w:r>
      </w:hyperlink>
      <w:r w:rsidR="00393D90" w:rsidRPr="00393D90">
        <w:rPr>
          <w:rFonts w:ascii="Times New Roman" w:eastAsia="Aptos" w:hAnsi="Times New Roman" w:cs="Times New Roman"/>
          <w:color w:val="000000"/>
        </w:rPr>
        <w:t>.</w:t>
      </w:r>
    </w:p>
    <w:p w14:paraId="133D080C" w14:textId="77777777" w:rsidR="00393D90" w:rsidRPr="00393D90" w:rsidRDefault="00393D90" w:rsidP="008F5202">
      <w:pPr>
        <w:tabs>
          <w:tab w:val="left" w:pos="360"/>
          <w:tab w:val="left" w:pos="540"/>
        </w:tabs>
        <w:spacing w:line="360" w:lineRule="auto"/>
        <w:ind w:left="540" w:hanging="540"/>
        <w:rPr>
          <w:rFonts w:ascii="Times New Roman" w:eastAsia="Aptos" w:hAnsi="Times New Roman" w:cs="Times New Roman"/>
          <w:color w:val="000000"/>
        </w:rPr>
      </w:pPr>
    </w:p>
    <w:p w14:paraId="3BD8A37A" w14:textId="7E15B0A0" w:rsidR="00393D90" w:rsidRPr="00393D90" w:rsidRDefault="00EA4E2B" w:rsidP="008F5202">
      <w:pPr>
        <w:tabs>
          <w:tab w:val="left" w:pos="384"/>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lastRenderedPageBreak/>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3]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rPr>
        <w:tab/>
        <w:t xml:space="preserve">Du¸ B.C, He, Y.L., Qiu, Y., Liang, Q., and Zhou, Y.P., 2018, “Investigation on heat transfer characteristics of molten salt in a shell-and-tube heat exchanger,” </w:t>
      </w:r>
      <w:r w:rsidR="00393D90" w:rsidRPr="00393D90">
        <w:rPr>
          <w:rFonts w:ascii="Times New Roman" w:eastAsia="Aptos" w:hAnsi="Times New Roman" w:cs="Times New Roman"/>
          <w:i/>
          <w:iCs/>
          <w:color w:val="000000"/>
        </w:rPr>
        <w:t xml:space="preserve">International Communications in Heat and Mass Transfer, </w:t>
      </w:r>
      <w:r w:rsidR="00393D90" w:rsidRPr="00393D90">
        <w:rPr>
          <w:rFonts w:ascii="Times New Roman" w:eastAsia="Aptos" w:hAnsi="Times New Roman" w:cs="Times New Roman"/>
          <w:color w:val="000000"/>
        </w:rPr>
        <w:t xml:space="preserve">96, pp. 61-68. </w:t>
      </w:r>
      <w:hyperlink r:id="rId71" w:history="1">
        <w:r w:rsidR="00393D90" w:rsidRPr="00393D90">
          <w:rPr>
            <w:rFonts w:ascii="Times New Roman" w:eastAsia="Aptos" w:hAnsi="Times New Roman" w:cs="Times New Roman"/>
            <w:color w:val="000000"/>
          </w:rPr>
          <w:t>https://doi.org/10.1016/j.icheatmasstransfer.2018.05.020</w:t>
        </w:r>
      </w:hyperlink>
      <w:r w:rsidR="00393D90" w:rsidRPr="00393D90">
        <w:rPr>
          <w:rFonts w:ascii="Times New Roman" w:eastAsia="Aptos" w:hAnsi="Times New Roman" w:cs="Times New Roman"/>
          <w:color w:val="000000"/>
        </w:rPr>
        <w:t>.</w:t>
      </w:r>
    </w:p>
    <w:p w14:paraId="20BA761A" w14:textId="485BD616"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4]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rPr>
        <w:tab/>
        <w:t xml:space="preserve">He, Y.L., Zheng, Z.J., Du, B.C., Wang, K., and Qiu, Y., 2016, “Experimental investigation on turbulent heat transfer characteristics of molten salt in a shell-and-tube heat exchanger,” </w:t>
      </w:r>
      <w:r w:rsidR="00393D90" w:rsidRPr="00393D90">
        <w:rPr>
          <w:rFonts w:ascii="Times New Roman" w:eastAsia="Aptos" w:hAnsi="Times New Roman" w:cs="Times New Roman"/>
          <w:i/>
          <w:iCs/>
          <w:color w:val="000000"/>
        </w:rPr>
        <w:t>Applied Thermal Engineering</w:t>
      </w:r>
      <w:r w:rsidR="00393D90" w:rsidRPr="00393D90">
        <w:rPr>
          <w:rFonts w:ascii="Times New Roman" w:eastAsia="Aptos" w:hAnsi="Times New Roman" w:cs="Times New Roman"/>
          <w:color w:val="000000"/>
        </w:rPr>
        <w:t xml:space="preserve">, 108, pp. 1206-1213. </w:t>
      </w:r>
      <w:hyperlink r:id="rId72" w:history="1">
        <w:r w:rsidR="00393D90" w:rsidRPr="00393D90">
          <w:rPr>
            <w:rFonts w:ascii="Times New Roman" w:eastAsia="Aptos" w:hAnsi="Times New Roman" w:cs="Times New Roman"/>
            <w:color w:val="000000"/>
          </w:rPr>
          <w:t>https://doi.org/10.1016/j.applthermaleng.2016.08.023</w:t>
        </w:r>
      </w:hyperlink>
      <w:r w:rsidR="00393D90" w:rsidRPr="00393D90">
        <w:rPr>
          <w:rFonts w:ascii="Times New Roman" w:eastAsia="Aptos" w:hAnsi="Times New Roman" w:cs="Times New Roman"/>
          <w:color w:val="000000"/>
        </w:rPr>
        <w:t>.</w:t>
      </w:r>
    </w:p>
    <w:p w14:paraId="2C517CEB" w14:textId="1EFFB8C4"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5]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rPr>
        <w:tab/>
        <w:t xml:space="preserve">Qian, J., Kong, Q.L., Zhang, H.W., Zhu, Z.H, Huang, W.G., and Li, W.H, 2017, “Experimental study for shell-and-tube molten salt heat exchangers,” </w:t>
      </w:r>
      <w:r w:rsidR="00393D90" w:rsidRPr="00393D90">
        <w:rPr>
          <w:rFonts w:ascii="Times New Roman" w:eastAsia="Aptos" w:hAnsi="Times New Roman" w:cs="Times New Roman"/>
          <w:i/>
          <w:iCs/>
          <w:color w:val="000000"/>
        </w:rPr>
        <w:t>Applied Thermal Engineering</w:t>
      </w:r>
      <w:r w:rsidR="00393D90" w:rsidRPr="00393D90">
        <w:rPr>
          <w:rFonts w:ascii="Times New Roman" w:eastAsia="Aptos" w:hAnsi="Times New Roman" w:cs="Times New Roman"/>
          <w:color w:val="000000"/>
        </w:rPr>
        <w:t xml:space="preserve">, 124, pp. 616-623. </w:t>
      </w:r>
      <w:hyperlink r:id="rId73" w:history="1">
        <w:r w:rsidR="00393D90" w:rsidRPr="00393D90">
          <w:rPr>
            <w:rFonts w:ascii="Times New Roman" w:eastAsia="Aptos" w:hAnsi="Times New Roman" w:cs="Times New Roman"/>
            <w:color w:val="000000"/>
          </w:rPr>
          <w:t>https://doi.org/10.1016/j.applthermaleng.2017.06.005</w:t>
        </w:r>
      </w:hyperlink>
      <w:r w:rsidR="00393D90" w:rsidRPr="00393D90">
        <w:rPr>
          <w:rFonts w:ascii="Times New Roman" w:eastAsia="Aptos" w:hAnsi="Times New Roman" w:cs="Times New Roman"/>
          <w:color w:val="000000"/>
        </w:rPr>
        <w:t>.</w:t>
      </w:r>
    </w:p>
    <w:p w14:paraId="4D320E90" w14:textId="2EF4A914"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6]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rPr>
        <w:tab/>
        <w:t xml:space="preserve">Huang, C, Cai, W., Wang, Y., Liu, Y., Li, Q., and Li. B, 2019, “Review on the characteristics of flow and heat transfer in printed circuit heat exchangers,” </w:t>
      </w:r>
      <w:r w:rsidR="00393D90" w:rsidRPr="00393D90">
        <w:rPr>
          <w:rFonts w:ascii="Times New Roman" w:eastAsia="Aptos" w:hAnsi="Times New Roman" w:cs="Times New Roman"/>
          <w:i/>
          <w:iCs/>
          <w:color w:val="000000"/>
        </w:rPr>
        <w:t>Applied Thermal Engineering</w:t>
      </w:r>
      <w:r w:rsidR="00393D90" w:rsidRPr="00393D90">
        <w:rPr>
          <w:rFonts w:ascii="Times New Roman" w:eastAsia="Aptos" w:hAnsi="Times New Roman" w:cs="Times New Roman"/>
          <w:color w:val="000000"/>
        </w:rPr>
        <w:t>, 153, pp.190-205. https://doi.org/10.1016/j.applthermaleng.2019.02.131.</w:t>
      </w:r>
    </w:p>
    <w:p w14:paraId="14657B93" w14:textId="6011818A" w:rsidR="00393D90" w:rsidRPr="00393D90" w:rsidRDefault="00EA4E2B" w:rsidP="008F5202">
      <w:pPr>
        <w:tabs>
          <w:tab w:val="left" w:pos="384"/>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7]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rPr>
        <w:tab/>
        <w:t xml:space="preserve">Wang, W.Q., Qiu, Y., He, Y.L., and Shi, H.Y., 2019, “Experimental study on the heat transfer performance of a molten-salt printed circuit heat exchanger with airfoil fins for concentrating solar power,” </w:t>
      </w:r>
      <w:r w:rsidR="00393D90" w:rsidRPr="00393D90">
        <w:rPr>
          <w:rFonts w:ascii="Times New Roman" w:eastAsia="Aptos" w:hAnsi="Times New Roman" w:cs="Times New Roman"/>
          <w:i/>
          <w:iCs/>
          <w:color w:val="000000"/>
        </w:rPr>
        <w:t xml:space="preserve">International Journal of Heat and Mass Transfer, </w:t>
      </w:r>
      <w:r w:rsidR="00393D90" w:rsidRPr="00393D90">
        <w:rPr>
          <w:rFonts w:ascii="Times New Roman" w:eastAsia="Aptos" w:hAnsi="Times New Roman" w:cs="Times New Roman"/>
          <w:color w:val="000000"/>
        </w:rPr>
        <w:t>135,</w:t>
      </w:r>
      <w:r w:rsidR="00393D90" w:rsidRPr="00393D90">
        <w:rPr>
          <w:rFonts w:ascii="Times New Roman" w:eastAsia="Aptos" w:hAnsi="Times New Roman" w:cs="Times New Roman"/>
          <w:i/>
          <w:iCs/>
          <w:color w:val="000000"/>
        </w:rPr>
        <w:t xml:space="preserve"> </w:t>
      </w:r>
      <w:r w:rsidR="00393D90" w:rsidRPr="00393D90">
        <w:rPr>
          <w:rFonts w:ascii="Times New Roman" w:eastAsia="Aptos" w:hAnsi="Times New Roman" w:cs="Times New Roman"/>
          <w:color w:val="000000"/>
        </w:rPr>
        <w:t>pp. 837-846. https://doi.org/10.1016/j.ijheatmasstransfer.2019.02.012.</w:t>
      </w:r>
    </w:p>
    <w:p w14:paraId="14427CB0" w14:textId="2395318C"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8]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Nikitin, K., Kato, Y. and Ngo, L., 2006, “Printed circuit heat exchanger thermal–hydraulic performance in supercritical CO2 experimental loop,” </w:t>
      </w:r>
      <w:r w:rsidR="00393D90" w:rsidRPr="00393D90">
        <w:rPr>
          <w:rFonts w:ascii="Times New Roman" w:eastAsia="Aptos" w:hAnsi="Times New Roman" w:cs="Times New Roman"/>
          <w:i/>
          <w:iCs/>
          <w:color w:val="000000"/>
          <w:shd w:val="clear" w:color="auto" w:fill="FFFFFF"/>
        </w:rPr>
        <w:t>International Journal of refrigeration</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29</w:t>
      </w:r>
      <w:r w:rsidR="00393D90" w:rsidRPr="00393D90">
        <w:rPr>
          <w:rFonts w:ascii="Times New Roman" w:eastAsia="Aptos" w:hAnsi="Times New Roman" w:cs="Times New Roman"/>
          <w:color w:val="000000"/>
          <w:shd w:val="clear" w:color="auto" w:fill="FFFFFF"/>
        </w:rPr>
        <w:t>(5), pp.807-814.</w:t>
      </w:r>
      <w:r w:rsidR="00393D90" w:rsidRPr="00393D90">
        <w:rPr>
          <w:rFonts w:ascii="Times New Roman" w:eastAsia="Aptos" w:hAnsi="Times New Roman" w:cs="Times New Roman"/>
          <w:color w:val="000000"/>
        </w:rPr>
        <w:t xml:space="preserve"> </w:t>
      </w:r>
      <w:hyperlink r:id="rId74" w:history="1">
        <w:r w:rsidR="00393D90" w:rsidRPr="00393D90">
          <w:rPr>
            <w:rFonts w:ascii="Times New Roman" w:eastAsia="Aptos" w:hAnsi="Times New Roman" w:cs="Times New Roman"/>
            <w:color w:val="000000"/>
          </w:rPr>
          <w:t>https://doi.org/10.1016/j.ijrefrig.2005.11.005</w:t>
        </w:r>
      </w:hyperlink>
      <w:r w:rsidR="00393D90" w:rsidRPr="00393D90">
        <w:rPr>
          <w:rFonts w:ascii="Times New Roman" w:eastAsia="Aptos" w:hAnsi="Times New Roman" w:cs="Times New Roman"/>
          <w:color w:val="000000"/>
        </w:rPr>
        <w:t>.</w:t>
      </w:r>
    </w:p>
    <w:p w14:paraId="55B62DF3" w14:textId="1BFE7275" w:rsidR="00393D90" w:rsidRPr="00393D90" w:rsidRDefault="00EA4E2B" w:rsidP="008F5202">
      <w:pPr>
        <w:tabs>
          <w:tab w:val="left" w:pos="360"/>
          <w:tab w:val="left" w:pos="540"/>
          <w:tab w:val="left" w:pos="63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9]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Encinas-Sánchez, V., Lasanta, M.I., De Miguel, M.T., García-Martín, G. and Pérez, F.J., 2021, “Corrosion monitoring of 321H in contact with a quaternary molten salt for parabolic trough CSP plants,” </w:t>
      </w:r>
      <w:r w:rsidR="00393D90" w:rsidRPr="00393D90">
        <w:rPr>
          <w:rFonts w:ascii="Times New Roman" w:eastAsia="Aptos" w:hAnsi="Times New Roman" w:cs="Times New Roman"/>
          <w:i/>
          <w:iCs/>
          <w:color w:val="000000"/>
          <w:shd w:val="clear" w:color="auto" w:fill="FFFFFF"/>
        </w:rPr>
        <w:t>Corrosion Science</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178</w:t>
      </w:r>
      <w:r w:rsidR="00393D90" w:rsidRPr="00393D90">
        <w:rPr>
          <w:rFonts w:ascii="Times New Roman" w:eastAsia="Aptos" w:hAnsi="Times New Roman" w:cs="Times New Roman"/>
          <w:color w:val="000000"/>
          <w:shd w:val="clear" w:color="auto" w:fill="FFFFFF"/>
        </w:rPr>
        <w:t xml:space="preserve">, p.109070. </w:t>
      </w:r>
      <w:hyperlink r:id="rId75" w:history="1">
        <w:r w:rsidR="00393D90" w:rsidRPr="00393D90">
          <w:rPr>
            <w:rFonts w:ascii="Times New Roman" w:eastAsia="Aptos" w:hAnsi="Times New Roman" w:cs="Times New Roman"/>
            <w:color w:val="000000"/>
          </w:rPr>
          <w:t>https://doi.org/10.1016/j.corsci.2020.109070</w:t>
        </w:r>
      </w:hyperlink>
      <w:r w:rsidR="00393D90" w:rsidRPr="00393D90">
        <w:rPr>
          <w:rFonts w:ascii="Times New Roman" w:eastAsia="Aptos" w:hAnsi="Times New Roman" w:cs="Times New Roman"/>
          <w:color w:val="000000"/>
        </w:rPr>
        <w:t>.</w:t>
      </w:r>
    </w:p>
    <w:p w14:paraId="490D9E17" w14:textId="57AD1FA7"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lastRenderedPageBreak/>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10]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Tian, X., Yang, J., Guo, Z., Wang, Q. and Sunden, B., 2020, “Numerical study of heat transfer in gravity-driven dense particle flow around a hexagonal tube,” </w:t>
      </w:r>
      <w:r w:rsidR="00393D90" w:rsidRPr="00393D90">
        <w:rPr>
          <w:rFonts w:ascii="Times New Roman" w:eastAsia="Aptos" w:hAnsi="Times New Roman" w:cs="Times New Roman"/>
          <w:i/>
          <w:iCs/>
          <w:color w:val="000000"/>
          <w:shd w:val="clear" w:color="auto" w:fill="FFFFFF"/>
        </w:rPr>
        <w:t>Powder technology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367</w:t>
      </w:r>
      <w:r w:rsidR="00393D90" w:rsidRPr="00393D90">
        <w:rPr>
          <w:rFonts w:ascii="Times New Roman" w:eastAsia="Aptos" w:hAnsi="Times New Roman" w:cs="Times New Roman"/>
          <w:color w:val="000000"/>
          <w:shd w:val="clear" w:color="auto" w:fill="FFFFFF"/>
        </w:rPr>
        <w:t xml:space="preserve">, pp.285-295. </w:t>
      </w:r>
      <w:hyperlink r:id="rId76" w:history="1">
        <w:r w:rsidR="00393D90" w:rsidRPr="00393D90">
          <w:rPr>
            <w:rFonts w:ascii="Times New Roman" w:eastAsia="Aptos" w:hAnsi="Times New Roman" w:cs="Times New Roman"/>
            <w:color w:val="000000"/>
          </w:rPr>
          <w:t>https://doi.org/10.1016/j.powtec.2020.04.001</w:t>
        </w:r>
      </w:hyperlink>
      <w:r w:rsidR="00393D90" w:rsidRPr="00393D90">
        <w:rPr>
          <w:rFonts w:ascii="Times New Roman" w:eastAsia="Aptos" w:hAnsi="Times New Roman" w:cs="Times New Roman"/>
          <w:color w:val="000000"/>
        </w:rPr>
        <w:t>.</w:t>
      </w:r>
    </w:p>
    <w:p w14:paraId="2A76B7E4" w14:textId="605493FD"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11]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Albrecht, K.J. and Ho, C.K., 2019, “Heat transfer models of moving packed-bed particle-to-sCO2 heat exchangers,” </w:t>
      </w:r>
      <w:r w:rsidR="00393D90" w:rsidRPr="00393D90">
        <w:rPr>
          <w:rFonts w:ascii="Times New Roman" w:eastAsia="Aptos" w:hAnsi="Times New Roman" w:cs="Times New Roman"/>
          <w:i/>
          <w:iCs/>
          <w:color w:val="000000"/>
          <w:shd w:val="clear" w:color="auto" w:fill="FFFFFF"/>
        </w:rPr>
        <w:t>J Sol Energy Eng</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141</w:t>
      </w:r>
      <w:r w:rsidR="00393D90" w:rsidRPr="00393D90">
        <w:rPr>
          <w:rFonts w:ascii="Times New Roman" w:eastAsia="Aptos" w:hAnsi="Times New Roman" w:cs="Times New Roman"/>
          <w:color w:val="000000"/>
          <w:shd w:val="clear" w:color="auto" w:fill="FFFFFF"/>
        </w:rPr>
        <w:t xml:space="preserve">(3), p.031006. </w:t>
      </w:r>
      <w:hyperlink r:id="rId77" w:history="1">
        <w:r w:rsidR="00393D90" w:rsidRPr="00393D90">
          <w:rPr>
            <w:rFonts w:ascii="Times New Roman" w:eastAsia="Aptos" w:hAnsi="Times New Roman" w:cs="Times New Roman"/>
            <w:color w:val="000000"/>
          </w:rPr>
          <w:t>https://doi.org/10.1115/1.4041546</w:t>
        </w:r>
      </w:hyperlink>
      <w:r w:rsidR="00393D90" w:rsidRPr="00393D90">
        <w:rPr>
          <w:rFonts w:ascii="Times New Roman" w:eastAsia="Aptos" w:hAnsi="Times New Roman" w:cs="Times New Roman"/>
          <w:color w:val="000000"/>
        </w:rPr>
        <w:t>.</w:t>
      </w:r>
    </w:p>
    <w:p w14:paraId="27797002" w14:textId="49F00614"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12]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Albrecht, K.J. and Ho, C.K., 2019, “Design and operating considerations for a shell-and-plate, moving packed-bed, particle-to-sCO2 heat exchanger,” </w:t>
      </w:r>
      <w:r w:rsidR="00393D90" w:rsidRPr="00393D90">
        <w:rPr>
          <w:rFonts w:ascii="Times New Roman" w:eastAsia="Aptos" w:hAnsi="Times New Roman" w:cs="Times New Roman"/>
          <w:i/>
          <w:iCs/>
          <w:color w:val="000000"/>
          <w:shd w:val="clear" w:color="auto" w:fill="FFFFFF"/>
        </w:rPr>
        <w:t>Solar Energy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178</w:t>
      </w:r>
      <w:r w:rsidR="00393D90" w:rsidRPr="00393D90">
        <w:rPr>
          <w:rFonts w:ascii="Times New Roman" w:eastAsia="Aptos" w:hAnsi="Times New Roman" w:cs="Times New Roman"/>
          <w:color w:val="000000"/>
          <w:shd w:val="clear" w:color="auto" w:fill="FFFFFF"/>
        </w:rPr>
        <w:t xml:space="preserve">, pp.331-340. </w:t>
      </w:r>
      <w:hyperlink r:id="rId78" w:history="1">
        <w:r w:rsidR="00393D90" w:rsidRPr="00393D90">
          <w:rPr>
            <w:rFonts w:ascii="Times New Roman" w:eastAsia="Aptos" w:hAnsi="Times New Roman" w:cs="Times New Roman"/>
            <w:color w:val="000000"/>
          </w:rPr>
          <w:t>https://doi.org/10.1016/j.solener.2018.11.065</w:t>
        </w:r>
      </w:hyperlink>
      <w:r w:rsidR="00393D90" w:rsidRPr="00393D90">
        <w:rPr>
          <w:rFonts w:ascii="Times New Roman" w:eastAsia="Aptos" w:hAnsi="Times New Roman" w:cs="Times New Roman"/>
          <w:color w:val="000000"/>
        </w:rPr>
        <w:t>.</w:t>
      </w:r>
    </w:p>
    <w:p w14:paraId="78CACFD2" w14:textId="07E271DA"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13]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Baumann, T. and Zunft, S., 2015, “Development and performance assessment of a moving bed heat exchanger for solar central receiver power plants,” </w:t>
      </w:r>
      <w:r w:rsidR="00393D90" w:rsidRPr="00393D90">
        <w:rPr>
          <w:rFonts w:ascii="Times New Roman" w:eastAsia="Aptos" w:hAnsi="Times New Roman" w:cs="Times New Roman"/>
          <w:i/>
          <w:iCs/>
          <w:color w:val="000000"/>
          <w:shd w:val="clear" w:color="auto" w:fill="FFFFFF"/>
        </w:rPr>
        <w:t>Energy Procedia</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69</w:t>
      </w:r>
      <w:r w:rsidR="00393D90" w:rsidRPr="00393D90">
        <w:rPr>
          <w:rFonts w:ascii="Times New Roman" w:eastAsia="Aptos" w:hAnsi="Times New Roman" w:cs="Times New Roman"/>
          <w:color w:val="000000"/>
          <w:shd w:val="clear" w:color="auto" w:fill="FFFFFF"/>
        </w:rPr>
        <w:t xml:space="preserve">, pp.748-757. </w:t>
      </w:r>
      <w:hyperlink r:id="rId79" w:history="1">
        <w:r w:rsidR="00393D90" w:rsidRPr="00393D90">
          <w:rPr>
            <w:rFonts w:ascii="Times New Roman" w:eastAsia="Aptos" w:hAnsi="Times New Roman" w:cs="Times New Roman"/>
            <w:color w:val="000000"/>
          </w:rPr>
          <w:t>https://doi.org/10.1016/j.egypro.2015.03.085</w:t>
        </w:r>
      </w:hyperlink>
      <w:r w:rsidR="00393D90" w:rsidRPr="00393D90">
        <w:rPr>
          <w:rFonts w:ascii="Times New Roman" w:eastAsia="Aptos" w:hAnsi="Times New Roman" w:cs="Times New Roman"/>
          <w:color w:val="000000"/>
        </w:rPr>
        <w:t>.</w:t>
      </w:r>
    </w:p>
    <w:p w14:paraId="179395FD" w14:textId="64E44A9C"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14]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Tian, X., Guo, Z., Jia, H., Yang, J. and Wang, Q., 2021, “Numerical investigation of a new type tube for shell-and-tube moving packed bed heat exchanger,” </w:t>
      </w:r>
      <w:r w:rsidR="00393D90" w:rsidRPr="00393D90">
        <w:rPr>
          <w:rFonts w:ascii="Times New Roman" w:eastAsia="Aptos" w:hAnsi="Times New Roman" w:cs="Times New Roman"/>
          <w:i/>
          <w:iCs/>
          <w:color w:val="000000"/>
          <w:shd w:val="clear" w:color="auto" w:fill="FFFFFF"/>
        </w:rPr>
        <w:t>Powder Technology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394</w:t>
      </w:r>
      <w:r w:rsidR="00393D90" w:rsidRPr="00393D90">
        <w:rPr>
          <w:rFonts w:ascii="Times New Roman" w:eastAsia="Aptos" w:hAnsi="Times New Roman" w:cs="Times New Roman"/>
          <w:color w:val="000000"/>
          <w:shd w:val="clear" w:color="auto" w:fill="FFFFFF"/>
        </w:rPr>
        <w:t xml:space="preserve">, pp.584-596. </w:t>
      </w:r>
      <w:hyperlink r:id="rId80" w:history="1">
        <w:r w:rsidR="00393D90" w:rsidRPr="00393D90">
          <w:rPr>
            <w:rFonts w:ascii="Times New Roman" w:eastAsia="Aptos" w:hAnsi="Times New Roman" w:cs="Times New Roman"/>
            <w:color w:val="000000"/>
          </w:rPr>
          <w:t>https://doi.org/10.1016/j.powtec.2021.08.080</w:t>
        </w:r>
      </w:hyperlink>
      <w:r w:rsidR="00393D90" w:rsidRPr="00393D90">
        <w:rPr>
          <w:rFonts w:ascii="Times New Roman" w:eastAsia="Aptos" w:hAnsi="Times New Roman" w:cs="Times New Roman"/>
          <w:color w:val="000000"/>
        </w:rPr>
        <w:t>.</w:t>
      </w:r>
    </w:p>
    <w:p w14:paraId="13EDD791" w14:textId="530A19A1"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15]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Tian, X., Zhu, F., Guo, Z., Zhang, J., Yang, J. and Wang, Q., 2022, “Numerical investigation of gravity-driven particle flow along the trapezoidal corrugated plate for a moving packed bed heat exchanger,” </w:t>
      </w:r>
      <w:r w:rsidR="00393D90" w:rsidRPr="00393D90">
        <w:rPr>
          <w:rFonts w:ascii="Times New Roman" w:eastAsia="Aptos" w:hAnsi="Times New Roman" w:cs="Times New Roman"/>
          <w:i/>
          <w:iCs/>
          <w:color w:val="000000"/>
          <w:shd w:val="clear" w:color="auto" w:fill="FFFFFF"/>
        </w:rPr>
        <w:t>Powder Technology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405</w:t>
      </w:r>
      <w:r w:rsidR="00393D90" w:rsidRPr="00393D90">
        <w:rPr>
          <w:rFonts w:ascii="Times New Roman" w:eastAsia="Aptos" w:hAnsi="Times New Roman" w:cs="Times New Roman"/>
          <w:color w:val="000000"/>
          <w:shd w:val="clear" w:color="auto" w:fill="FFFFFF"/>
        </w:rPr>
        <w:t xml:space="preserve">, p.117526. </w:t>
      </w:r>
      <w:hyperlink r:id="rId81" w:history="1">
        <w:r w:rsidR="00393D90" w:rsidRPr="00393D90">
          <w:rPr>
            <w:rFonts w:ascii="Times New Roman" w:eastAsia="Aptos" w:hAnsi="Times New Roman" w:cs="Times New Roman"/>
            <w:color w:val="000000"/>
          </w:rPr>
          <w:t>https://doi.org/10.1016/j.powtec.2022.117526</w:t>
        </w:r>
      </w:hyperlink>
      <w:r w:rsidR="00393D90" w:rsidRPr="00393D90">
        <w:rPr>
          <w:rFonts w:ascii="Times New Roman" w:eastAsia="Aptos" w:hAnsi="Times New Roman" w:cs="Times New Roman"/>
          <w:color w:val="000000"/>
        </w:rPr>
        <w:t>.</w:t>
      </w:r>
    </w:p>
    <w:p w14:paraId="2673822F" w14:textId="41774D2A"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16]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Guo, Z., Yang, J., Tan, Z., Tian, X. and Wang, Q., 2021, “</w:t>
      </w:r>
      <w:r w:rsidR="00393D90" w:rsidRPr="00393D90">
        <w:rPr>
          <w:rFonts w:ascii="Times New Roman" w:eastAsia="Aptos" w:hAnsi="Times New Roman" w:cs="Times New Roman"/>
          <w:color w:val="000000"/>
          <w:shd w:val="clear" w:color="auto" w:fill="FFFFFF"/>
        </w:rPr>
        <w:tab/>
        <w:t>Numerical study on gravity-driven granular flow around tube out-wall: Effect of tube inclination on the heat transfer,” </w:t>
      </w:r>
      <w:r w:rsidR="00393D90" w:rsidRPr="00393D90">
        <w:rPr>
          <w:rFonts w:ascii="Times New Roman" w:eastAsia="Aptos" w:hAnsi="Times New Roman" w:cs="Times New Roman"/>
          <w:i/>
          <w:iCs/>
          <w:color w:val="000000"/>
          <w:shd w:val="clear" w:color="auto" w:fill="FFFFFF"/>
        </w:rPr>
        <w:t>International Journal of Heat and Mass Transfer</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174</w:t>
      </w:r>
      <w:r w:rsidR="00393D90" w:rsidRPr="00393D90">
        <w:rPr>
          <w:rFonts w:ascii="Times New Roman" w:eastAsia="Aptos" w:hAnsi="Times New Roman" w:cs="Times New Roman"/>
          <w:color w:val="000000"/>
          <w:shd w:val="clear" w:color="auto" w:fill="FFFFFF"/>
        </w:rPr>
        <w:t xml:space="preserve">, p.121296. </w:t>
      </w:r>
      <w:hyperlink r:id="rId82" w:tgtFrame="_blank" w:tooltip="Persistent link using digital object identifier" w:history="1">
        <w:r w:rsidR="00393D90" w:rsidRPr="00393D90">
          <w:rPr>
            <w:rFonts w:ascii="Times New Roman" w:eastAsia="Aptos" w:hAnsi="Times New Roman" w:cs="Times New Roman"/>
            <w:color w:val="000000"/>
          </w:rPr>
          <w:t>https://doi.org/10.1016/j.ijheatmasstransfer.2021.121296</w:t>
        </w:r>
      </w:hyperlink>
    </w:p>
    <w:p w14:paraId="38561ADE" w14:textId="35919C0F"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17]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Cundall, P.A. and Strack, O.D., 1979, “A discrete numerical model for granular assemblies,” </w:t>
      </w:r>
      <w:r w:rsidR="00393D90" w:rsidRPr="00393D90">
        <w:rPr>
          <w:rFonts w:ascii="Times New Roman" w:eastAsia="Aptos" w:hAnsi="Times New Roman" w:cs="Times New Roman"/>
          <w:i/>
          <w:iCs/>
          <w:color w:val="000000"/>
          <w:shd w:val="clear" w:color="auto" w:fill="FFFFFF"/>
        </w:rPr>
        <w:t>geotechnique</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29</w:t>
      </w:r>
      <w:r w:rsidR="00393D90" w:rsidRPr="00393D90">
        <w:rPr>
          <w:rFonts w:ascii="Times New Roman" w:eastAsia="Aptos" w:hAnsi="Times New Roman" w:cs="Times New Roman"/>
          <w:color w:val="000000"/>
          <w:shd w:val="clear" w:color="auto" w:fill="FFFFFF"/>
        </w:rPr>
        <w:t xml:space="preserve">(1), pp.47-65. </w:t>
      </w:r>
      <w:hyperlink r:id="rId83" w:history="1">
        <w:r w:rsidR="00393D90" w:rsidRPr="00393D90">
          <w:rPr>
            <w:rFonts w:ascii="Times New Roman" w:eastAsia="Aptos" w:hAnsi="Times New Roman" w:cs="Times New Roman"/>
            <w:color w:val="000000"/>
          </w:rPr>
          <w:t>https://doi.org/10.1680/geot.1979.29.1.47</w:t>
        </w:r>
      </w:hyperlink>
      <w:r w:rsidR="00393D90" w:rsidRPr="00393D90">
        <w:rPr>
          <w:rFonts w:ascii="Times New Roman" w:eastAsia="Aptos" w:hAnsi="Times New Roman" w:cs="Times New Roman"/>
          <w:color w:val="000000"/>
        </w:rPr>
        <w:t>.</w:t>
      </w:r>
    </w:p>
    <w:p w14:paraId="5A518FA9" w14:textId="1D4B81C7"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18]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 xml:space="preserve">Bartsch, P. and Zunft, S., 2019, “Granular flow around the horizontal tubes of a particle heat exchanger: DEM-simulation and experimental validation,” </w:t>
      </w:r>
      <w:r w:rsidR="00393D90" w:rsidRPr="00393D90">
        <w:rPr>
          <w:rFonts w:ascii="Times New Roman" w:eastAsia="Aptos" w:hAnsi="Times New Roman" w:cs="Times New Roman"/>
          <w:i/>
          <w:iCs/>
          <w:color w:val="000000"/>
          <w:shd w:val="clear" w:color="auto" w:fill="FFFFFF"/>
        </w:rPr>
        <w:t>Solar Energy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182</w:t>
      </w:r>
      <w:r w:rsidR="00393D90" w:rsidRPr="00393D90">
        <w:rPr>
          <w:rFonts w:ascii="Times New Roman" w:eastAsia="Aptos" w:hAnsi="Times New Roman" w:cs="Times New Roman"/>
          <w:color w:val="000000"/>
          <w:shd w:val="clear" w:color="auto" w:fill="FFFFFF"/>
        </w:rPr>
        <w:t>, pp.48-56.</w:t>
      </w:r>
      <w:r w:rsidR="00393D90" w:rsidRPr="00393D90">
        <w:rPr>
          <w:rFonts w:ascii="Times New Roman" w:eastAsia="Aptos" w:hAnsi="Times New Roman" w:cs="Times New Roman"/>
          <w:color w:val="000000"/>
        </w:rPr>
        <w:t xml:space="preserve"> </w:t>
      </w:r>
      <w:hyperlink r:id="rId84" w:history="1">
        <w:r w:rsidR="00393D90" w:rsidRPr="00393D90">
          <w:rPr>
            <w:rFonts w:ascii="Times New Roman" w:eastAsia="Aptos" w:hAnsi="Times New Roman" w:cs="Times New Roman"/>
            <w:color w:val="000000"/>
          </w:rPr>
          <w:t>https://doi.org/10.1016/j.solener.2019.01.086</w:t>
        </w:r>
      </w:hyperlink>
      <w:r w:rsidR="00393D90" w:rsidRPr="00393D90">
        <w:rPr>
          <w:rFonts w:ascii="Times New Roman" w:eastAsia="Aptos" w:hAnsi="Times New Roman" w:cs="Times New Roman"/>
          <w:color w:val="000000"/>
        </w:rPr>
        <w:t>.</w:t>
      </w:r>
    </w:p>
    <w:p w14:paraId="06013E82" w14:textId="492776FC"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lastRenderedPageBreak/>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19]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Yarrington, J.D., Bagepalli, M.V., Pathikonda, G., Schrader, A.J., Zhang, Z.M., Ranjan, D. and Loutzenhiser, P.G., 2021, “ Numerical analyses of high temperature dense, granular flows coupled to high temperature flow property measurements for solar thermal energy storage,” </w:t>
      </w:r>
      <w:r w:rsidR="00393D90" w:rsidRPr="00393D90">
        <w:rPr>
          <w:rFonts w:ascii="Times New Roman" w:eastAsia="Aptos" w:hAnsi="Times New Roman" w:cs="Times New Roman"/>
          <w:i/>
          <w:iCs/>
          <w:color w:val="000000"/>
          <w:shd w:val="clear" w:color="auto" w:fill="FFFFFF"/>
        </w:rPr>
        <w:t>Solar Energy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213</w:t>
      </w:r>
      <w:r w:rsidR="00393D90" w:rsidRPr="00393D90">
        <w:rPr>
          <w:rFonts w:ascii="Times New Roman" w:eastAsia="Aptos" w:hAnsi="Times New Roman" w:cs="Times New Roman"/>
          <w:color w:val="000000"/>
          <w:shd w:val="clear" w:color="auto" w:fill="FFFFFF"/>
        </w:rPr>
        <w:t xml:space="preserve">, pp.350-360. </w:t>
      </w:r>
      <w:hyperlink r:id="rId85" w:history="1">
        <w:r w:rsidR="00393D90" w:rsidRPr="00393D90">
          <w:rPr>
            <w:rFonts w:ascii="Times New Roman" w:eastAsia="Aptos" w:hAnsi="Times New Roman" w:cs="Times New Roman"/>
            <w:color w:val="000000"/>
          </w:rPr>
          <w:t>https://doi.org/10.1016/j.solener.2020.10.085</w:t>
        </w:r>
      </w:hyperlink>
      <w:r w:rsidR="00393D90" w:rsidRPr="00393D90">
        <w:rPr>
          <w:rFonts w:ascii="Times New Roman" w:eastAsia="Aptos" w:hAnsi="Times New Roman" w:cs="Times New Roman"/>
          <w:color w:val="000000"/>
        </w:rPr>
        <w:t>.</w:t>
      </w:r>
    </w:p>
    <w:p w14:paraId="78C7BB38" w14:textId="1CF48A7C"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20]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Soni, R.K., Mohanty, R., Mohanty, S. and Mishra, B.K., 2016, “Numerical analysis of mixing of particles in drum mixers using DEM,” </w:t>
      </w:r>
      <w:r w:rsidR="00393D90" w:rsidRPr="00393D90">
        <w:rPr>
          <w:rFonts w:ascii="Times New Roman" w:eastAsia="Aptos" w:hAnsi="Times New Roman" w:cs="Times New Roman"/>
          <w:i/>
          <w:iCs/>
          <w:color w:val="000000"/>
          <w:shd w:val="clear" w:color="auto" w:fill="FFFFFF"/>
        </w:rPr>
        <w:t>Advanced Powder Technology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27</w:t>
      </w:r>
      <w:r w:rsidR="00393D90" w:rsidRPr="00393D90">
        <w:rPr>
          <w:rFonts w:ascii="Times New Roman" w:eastAsia="Aptos" w:hAnsi="Times New Roman" w:cs="Times New Roman"/>
          <w:color w:val="000000"/>
          <w:shd w:val="clear" w:color="auto" w:fill="FFFFFF"/>
        </w:rPr>
        <w:t>(2), pp.531-540.</w:t>
      </w:r>
      <w:r w:rsidR="00393D90" w:rsidRPr="00393D90">
        <w:rPr>
          <w:rFonts w:ascii="Times New Roman" w:eastAsia="Aptos" w:hAnsi="Times New Roman" w:cs="Times New Roman"/>
          <w:color w:val="000000"/>
        </w:rPr>
        <w:t xml:space="preserve"> </w:t>
      </w:r>
      <w:hyperlink r:id="rId86" w:history="1">
        <w:r w:rsidR="00393D90" w:rsidRPr="00393D90">
          <w:rPr>
            <w:rFonts w:ascii="Times New Roman" w:eastAsia="Aptos" w:hAnsi="Times New Roman" w:cs="Times New Roman"/>
            <w:color w:val="000000"/>
          </w:rPr>
          <w:t>https://doi.org/10.1016/j.apt.2016.01.016</w:t>
        </w:r>
      </w:hyperlink>
      <w:r w:rsidR="00393D90" w:rsidRPr="00393D90">
        <w:rPr>
          <w:rFonts w:ascii="Times New Roman" w:eastAsia="Aptos" w:hAnsi="Times New Roman" w:cs="Times New Roman"/>
          <w:color w:val="000000"/>
        </w:rPr>
        <w:t>.</w:t>
      </w:r>
    </w:p>
    <w:p w14:paraId="216643D0" w14:textId="556F6F98"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21]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Liu, P.Y., Yang, R.Y. and Yu, A.B., 2013, “DEM study of the transverse mixing of wet particles in rotating drums,” </w:t>
      </w:r>
      <w:r w:rsidR="00393D90" w:rsidRPr="00393D90">
        <w:rPr>
          <w:rFonts w:ascii="Times New Roman" w:eastAsia="Aptos" w:hAnsi="Times New Roman" w:cs="Times New Roman"/>
          <w:i/>
          <w:iCs/>
          <w:color w:val="000000"/>
          <w:shd w:val="clear" w:color="auto" w:fill="FFFFFF"/>
        </w:rPr>
        <w:t>Chemical Engineering Science</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86</w:t>
      </w:r>
      <w:r w:rsidR="00393D90" w:rsidRPr="00393D90">
        <w:rPr>
          <w:rFonts w:ascii="Times New Roman" w:eastAsia="Aptos" w:hAnsi="Times New Roman" w:cs="Times New Roman"/>
          <w:color w:val="000000"/>
          <w:shd w:val="clear" w:color="auto" w:fill="FFFFFF"/>
        </w:rPr>
        <w:t>, pp.99-107.</w:t>
      </w:r>
      <w:r w:rsidR="00393D90" w:rsidRPr="00393D90">
        <w:rPr>
          <w:rFonts w:ascii="Times New Roman" w:eastAsia="Aptos" w:hAnsi="Times New Roman" w:cs="Times New Roman"/>
          <w:color w:val="000000"/>
        </w:rPr>
        <w:t xml:space="preserve"> </w:t>
      </w:r>
      <w:hyperlink r:id="rId87" w:history="1">
        <w:r w:rsidR="00393D90" w:rsidRPr="00393D90">
          <w:rPr>
            <w:rFonts w:ascii="Times New Roman" w:eastAsia="Aptos" w:hAnsi="Times New Roman" w:cs="Times New Roman"/>
            <w:color w:val="000000"/>
          </w:rPr>
          <w:t>https://doi.org/10.1016/j.ces.2012.06.015</w:t>
        </w:r>
      </w:hyperlink>
      <w:r w:rsidR="00393D90" w:rsidRPr="00393D90">
        <w:rPr>
          <w:rFonts w:ascii="Times New Roman" w:eastAsia="Aptos" w:hAnsi="Times New Roman" w:cs="Times New Roman"/>
          <w:color w:val="000000"/>
        </w:rPr>
        <w:t>.</w:t>
      </w:r>
    </w:p>
    <w:p w14:paraId="6B444EC3" w14:textId="6B63349A"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22]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Xiao, X., Tan, Y., Zhang, H., Deng, R. and Jiang, S., 2017, “Experimental and DEM studies on the particle mixing performance in rotating drums: Effect of area ratio,” </w:t>
      </w:r>
      <w:r w:rsidR="00393D90" w:rsidRPr="00393D90">
        <w:rPr>
          <w:rFonts w:ascii="Times New Roman" w:eastAsia="Aptos" w:hAnsi="Times New Roman" w:cs="Times New Roman"/>
          <w:i/>
          <w:iCs/>
          <w:color w:val="000000"/>
          <w:shd w:val="clear" w:color="auto" w:fill="FFFFFF"/>
        </w:rPr>
        <w:t>Powder technology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314</w:t>
      </w:r>
      <w:r w:rsidR="00393D90" w:rsidRPr="00393D90">
        <w:rPr>
          <w:rFonts w:ascii="Times New Roman" w:eastAsia="Aptos" w:hAnsi="Times New Roman" w:cs="Times New Roman"/>
          <w:color w:val="000000"/>
          <w:shd w:val="clear" w:color="auto" w:fill="FFFFFF"/>
        </w:rPr>
        <w:t>, pp.182-194.</w:t>
      </w:r>
      <w:r w:rsidR="00393D90" w:rsidRPr="00393D90">
        <w:rPr>
          <w:rFonts w:ascii="Times New Roman" w:eastAsia="Aptos" w:hAnsi="Times New Roman" w:cs="Times New Roman"/>
          <w:color w:val="000000"/>
        </w:rPr>
        <w:t xml:space="preserve"> </w:t>
      </w:r>
      <w:hyperlink r:id="rId88" w:history="1">
        <w:r w:rsidR="00393D90" w:rsidRPr="00393D90">
          <w:rPr>
            <w:rFonts w:ascii="Times New Roman" w:eastAsia="Aptos" w:hAnsi="Times New Roman" w:cs="Times New Roman"/>
            <w:color w:val="000000"/>
          </w:rPr>
          <w:t>https://doi.org/10.1016/j.powtec.2017.01.044</w:t>
        </w:r>
      </w:hyperlink>
      <w:r w:rsidR="00393D90" w:rsidRPr="00393D90">
        <w:rPr>
          <w:rFonts w:ascii="Times New Roman" w:eastAsia="Aptos" w:hAnsi="Times New Roman" w:cs="Times New Roman"/>
          <w:color w:val="000000"/>
        </w:rPr>
        <w:t>.</w:t>
      </w:r>
    </w:p>
    <w:p w14:paraId="368E84A1" w14:textId="29E3F8C8"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23]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Deb, S. and Tafti, D.K., 2014, “Two and three dimensional modeling of fluidized bed with multiple jets in a DEM–CFD framework,” </w:t>
      </w:r>
      <w:r w:rsidR="00393D90" w:rsidRPr="00393D90">
        <w:rPr>
          <w:rFonts w:ascii="Times New Roman" w:eastAsia="Aptos" w:hAnsi="Times New Roman" w:cs="Times New Roman"/>
          <w:i/>
          <w:iCs/>
          <w:color w:val="000000"/>
          <w:shd w:val="clear" w:color="auto" w:fill="FFFFFF"/>
        </w:rPr>
        <w:t>Particuology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16</w:t>
      </w:r>
      <w:r w:rsidR="00393D90" w:rsidRPr="00393D90">
        <w:rPr>
          <w:rFonts w:ascii="Times New Roman" w:eastAsia="Aptos" w:hAnsi="Times New Roman" w:cs="Times New Roman"/>
          <w:color w:val="000000"/>
          <w:shd w:val="clear" w:color="auto" w:fill="FFFFFF"/>
        </w:rPr>
        <w:t xml:space="preserve">, pp.19-28. </w:t>
      </w:r>
      <w:hyperlink r:id="rId89" w:history="1">
        <w:r w:rsidR="00393D90" w:rsidRPr="00393D90">
          <w:rPr>
            <w:rFonts w:ascii="Times New Roman" w:eastAsia="Aptos" w:hAnsi="Times New Roman" w:cs="Times New Roman"/>
            <w:color w:val="000000"/>
          </w:rPr>
          <w:t>https://doi.org/10.1016/j.partic.2014.04.005</w:t>
        </w:r>
      </w:hyperlink>
      <w:r w:rsidR="00393D90" w:rsidRPr="00393D90">
        <w:rPr>
          <w:rFonts w:ascii="Times New Roman" w:eastAsia="Aptos" w:hAnsi="Times New Roman" w:cs="Times New Roman"/>
          <w:color w:val="000000"/>
        </w:rPr>
        <w:t>.</w:t>
      </w:r>
    </w:p>
    <w:p w14:paraId="1482DCA6" w14:textId="0BC26069"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24]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Li, T. and Guenther, C., 2012, “MFIX-DEM simulations of change of volumetric flow in fluidized beds due to chemical reactions,” </w:t>
      </w:r>
      <w:r w:rsidR="00393D90" w:rsidRPr="00393D90">
        <w:rPr>
          <w:rFonts w:ascii="Times New Roman" w:eastAsia="Aptos" w:hAnsi="Times New Roman" w:cs="Times New Roman"/>
          <w:i/>
          <w:iCs/>
          <w:color w:val="000000"/>
          <w:shd w:val="clear" w:color="auto" w:fill="FFFFFF"/>
        </w:rPr>
        <w:t>Powder technology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220</w:t>
      </w:r>
      <w:r w:rsidR="00393D90" w:rsidRPr="00393D90">
        <w:rPr>
          <w:rFonts w:ascii="Times New Roman" w:eastAsia="Aptos" w:hAnsi="Times New Roman" w:cs="Times New Roman"/>
          <w:color w:val="000000"/>
          <w:shd w:val="clear" w:color="auto" w:fill="FFFFFF"/>
        </w:rPr>
        <w:t>, pp.70-78.</w:t>
      </w:r>
      <w:r w:rsidR="00393D90" w:rsidRPr="00393D90">
        <w:rPr>
          <w:rFonts w:ascii="Times New Roman" w:eastAsia="Aptos" w:hAnsi="Times New Roman" w:cs="Times New Roman"/>
          <w:color w:val="000000"/>
        </w:rPr>
        <w:t xml:space="preserve"> </w:t>
      </w:r>
      <w:hyperlink r:id="rId90" w:history="1">
        <w:r w:rsidR="00393D90" w:rsidRPr="00393D90">
          <w:rPr>
            <w:rFonts w:ascii="Times New Roman" w:eastAsia="Aptos" w:hAnsi="Times New Roman" w:cs="Times New Roman"/>
            <w:color w:val="000000"/>
          </w:rPr>
          <w:t>https://doi.org/10.1016/j.powtec.2011.09.025</w:t>
        </w:r>
      </w:hyperlink>
      <w:r w:rsidR="00393D90" w:rsidRPr="00393D90">
        <w:rPr>
          <w:rFonts w:ascii="Times New Roman" w:eastAsia="Aptos" w:hAnsi="Times New Roman" w:cs="Times New Roman"/>
          <w:color w:val="000000"/>
        </w:rPr>
        <w:t>.</w:t>
      </w:r>
    </w:p>
    <w:p w14:paraId="7B577CB4" w14:textId="0BAC5EB4"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25]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Xu, Y., Li, T., Musser, J., Liu, X., Xu, G. and Rogers, W.A., 2017, “CFD-DEM modeling the effect of column size and bed height on minimum fluidization velocity in micro fluidized beds with Geldart B particles,” </w:t>
      </w:r>
      <w:r w:rsidR="00393D90" w:rsidRPr="00393D90">
        <w:rPr>
          <w:rFonts w:ascii="Times New Roman" w:eastAsia="Aptos" w:hAnsi="Times New Roman" w:cs="Times New Roman"/>
          <w:i/>
          <w:iCs/>
          <w:color w:val="000000"/>
          <w:shd w:val="clear" w:color="auto" w:fill="FFFFFF"/>
        </w:rPr>
        <w:t>Powder technology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318</w:t>
      </w:r>
      <w:r w:rsidR="00393D90" w:rsidRPr="00393D90">
        <w:rPr>
          <w:rFonts w:ascii="Times New Roman" w:eastAsia="Aptos" w:hAnsi="Times New Roman" w:cs="Times New Roman"/>
          <w:color w:val="000000"/>
          <w:shd w:val="clear" w:color="auto" w:fill="FFFFFF"/>
        </w:rPr>
        <w:t>, pp.321-328.</w:t>
      </w:r>
      <w:r w:rsidR="00393D90" w:rsidRPr="00393D90">
        <w:rPr>
          <w:rFonts w:ascii="Times New Roman" w:eastAsia="Aptos" w:hAnsi="Times New Roman" w:cs="Times New Roman"/>
          <w:color w:val="000000"/>
        </w:rPr>
        <w:t xml:space="preserve"> </w:t>
      </w:r>
      <w:hyperlink r:id="rId91" w:history="1">
        <w:r w:rsidR="00393D90" w:rsidRPr="00393D90">
          <w:rPr>
            <w:rFonts w:ascii="Times New Roman" w:eastAsia="Aptos" w:hAnsi="Times New Roman" w:cs="Times New Roman"/>
            <w:color w:val="000000"/>
          </w:rPr>
          <w:t>https://doi.org/10.1016/j.powtec.2017.06.020</w:t>
        </w:r>
      </w:hyperlink>
      <w:r w:rsidR="00393D90" w:rsidRPr="00393D90">
        <w:rPr>
          <w:rFonts w:ascii="Times New Roman" w:eastAsia="Aptos" w:hAnsi="Times New Roman" w:cs="Times New Roman"/>
          <w:color w:val="000000"/>
        </w:rPr>
        <w:t>.</w:t>
      </w:r>
    </w:p>
    <w:p w14:paraId="665812A1" w14:textId="679F5A0E"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26]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Guo, Z., Zhang, S., Tian, X., Yang, J. and Wang, Q., 2020, “Numerical investigation of tube oscillation in gravity-driven granular flow with heat transfer by discrete element method,” </w:t>
      </w:r>
      <w:r w:rsidR="00393D90" w:rsidRPr="00393D90">
        <w:rPr>
          <w:rFonts w:ascii="Times New Roman" w:eastAsia="Aptos" w:hAnsi="Times New Roman" w:cs="Times New Roman"/>
          <w:i/>
          <w:iCs/>
          <w:color w:val="000000"/>
          <w:shd w:val="clear" w:color="auto" w:fill="FFFFFF"/>
        </w:rPr>
        <w:t>Energy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207</w:t>
      </w:r>
      <w:r w:rsidR="00393D90" w:rsidRPr="00393D90">
        <w:rPr>
          <w:rFonts w:ascii="Times New Roman" w:eastAsia="Aptos" w:hAnsi="Times New Roman" w:cs="Times New Roman"/>
          <w:color w:val="000000"/>
          <w:shd w:val="clear" w:color="auto" w:fill="FFFFFF"/>
        </w:rPr>
        <w:t>, p.118203.</w:t>
      </w:r>
      <w:r w:rsidR="00393D90" w:rsidRPr="00393D90">
        <w:rPr>
          <w:rFonts w:ascii="Times New Roman" w:eastAsia="Aptos" w:hAnsi="Times New Roman" w:cs="Times New Roman"/>
          <w:color w:val="000000"/>
        </w:rPr>
        <w:t xml:space="preserve"> </w:t>
      </w:r>
      <w:hyperlink r:id="rId92" w:history="1">
        <w:r w:rsidR="00393D90" w:rsidRPr="00393D90">
          <w:rPr>
            <w:rFonts w:ascii="Times New Roman" w:eastAsia="Aptos" w:hAnsi="Times New Roman" w:cs="Times New Roman"/>
            <w:color w:val="000000"/>
          </w:rPr>
          <w:t>https://doi.org/10.1016/j.energy.2020.118203</w:t>
        </w:r>
      </w:hyperlink>
      <w:r w:rsidR="00393D90" w:rsidRPr="00393D90">
        <w:rPr>
          <w:rFonts w:ascii="Times New Roman" w:eastAsia="Aptos" w:hAnsi="Times New Roman" w:cs="Times New Roman"/>
          <w:color w:val="000000"/>
        </w:rPr>
        <w:t>.</w:t>
      </w:r>
    </w:p>
    <w:p w14:paraId="5BCF9376" w14:textId="51365175"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lastRenderedPageBreak/>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27]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Tian, X., Yang, J., Guo, Z. and Wang, Q., 2021, “Numerical Investigation of Gravity-Driven Granular Flow around the Vertical Plate: Effect of Pin-Fin and Oscillation on the Heat Transfer,” </w:t>
      </w:r>
      <w:r w:rsidR="00393D90" w:rsidRPr="00393D90">
        <w:rPr>
          <w:rFonts w:ascii="Times New Roman" w:eastAsia="Aptos" w:hAnsi="Times New Roman" w:cs="Times New Roman"/>
          <w:i/>
          <w:iCs/>
          <w:color w:val="000000"/>
          <w:shd w:val="clear" w:color="auto" w:fill="FFFFFF"/>
        </w:rPr>
        <w:t>Energies</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14</w:t>
      </w:r>
      <w:r w:rsidR="00393D90" w:rsidRPr="00393D90">
        <w:rPr>
          <w:rFonts w:ascii="Times New Roman" w:eastAsia="Aptos" w:hAnsi="Times New Roman" w:cs="Times New Roman"/>
          <w:color w:val="000000"/>
          <w:shd w:val="clear" w:color="auto" w:fill="FFFFFF"/>
        </w:rPr>
        <w:t>(8), p.2187.</w:t>
      </w:r>
      <w:r w:rsidR="00393D90" w:rsidRPr="00393D90">
        <w:rPr>
          <w:rFonts w:ascii="Times New Roman" w:eastAsia="Aptos" w:hAnsi="Times New Roman" w:cs="Times New Roman"/>
          <w:color w:val="000000"/>
        </w:rPr>
        <w:t xml:space="preserve"> </w:t>
      </w:r>
      <w:hyperlink r:id="rId93" w:history="1">
        <w:r w:rsidR="00393D90" w:rsidRPr="00393D90">
          <w:rPr>
            <w:rFonts w:ascii="Times New Roman" w:eastAsia="Aptos" w:hAnsi="Times New Roman" w:cs="Times New Roman"/>
            <w:color w:val="000000"/>
          </w:rPr>
          <w:t>https://doi.org/10.3390/en14082187</w:t>
        </w:r>
      </w:hyperlink>
      <w:r w:rsidR="00393D90" w:rsidRPr="00393D90">
        <w:rPr>
          <w:rFonts w:ascii="Times New Roman" w:eastAsia="Aptos" w:hAnsi="Times New Roman" w:cs="Times New Roman"/>
          <w:color w:val="000000"/>
        </w:rPr>
        <w:t>.</w:t>
      </w:r>
    </w:p>
    <w:p w14:paraId="45590210" w14:textId="42F18259"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28]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Peng, Z., Doroodchi, E. and Moghtaderi, B., 2020, “Heat transfer modelling in Discrete Element Method (DEM)-based simulations of thermal processes: Theory and model development,” </w:t>
      </w:r>
      <w:r w:rsidR="00393D90" w:rsidRPr="00393D90">
        <w:rPr>
          <w:rFonts w:ascii="Times New Roman" w:eastAsia="Aptos" w:hAnsi="Times New Roman" w:cs="Times New Roman"/>
          <w:i/>
          <w:iCs/>
          <w:color w:val="000000"/>
          <w:shd w:val="clear" w:color="auto" w:fill="FFFFFF"/>
        </w:rPr>
        <w:t>Progress in Energy and Combustion Science</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79</w:t>
      </w:r>
      <w:r w:rsidR="00393D90" w:rsidRPr="00393D90">
        <w:rPr>
          <w:rFonts w:ascii="Times New Roman" w:eastAsia="Aptos" w:hAnsi="Times New Roman" w:cs="Times New Roman"/>
          <w:color w:val="000000"/>
          <w:shd w:val="clear" w:color="auto" w:fill="FFFFFF"/>
        </w:rPr>
        <w:t>, p.100847.</w:t>
      </w:r>
      <w:r w:rsidR="00393D90" w:rsidRPr="00393D90">
        <w:rPr>
          <w:rFonts w:ascii="Times New Roman" w:eastAsia="Aptos" w:hAnsi="Times New Roman" w:cs="Times New Roman"/>
          <w:color w:val="000000"/>
        </w:rPr>
        <w:t xml:space="preserve"> </w:t>
      </w:r>
      <w:hyperlink r:id="rId94" w:history="1">
        <w:r w:rsidR="00393D90" w:rsidRPr="00393D90">
          <w:rPr>
            <w:rFonts w:ascii="Times New Roman" w:eastAsia="Aptos" w:hAnsi="Times New Roman" w:cs="Times New Roman"/>
            <w:color w:val="000000"/>
          </w:rPr>
          <w:t>https://doi.org/10.1016/j.pecs.2020.100847</w:t>
        </w:r>
      </w:hyperlink>
      <w:r w:rsidR="00393D90" w:rsidRPr="00393D90">
        <w:rPr>
          <w:rFonts w:ascii="Times New Roman" w:eastAsia="Aptos" w:hAnsi="Times New Roman" w:cs="Times New Roman"/>
          <w:color w:val="000000"/>
        </w:rPr>
        <w:t>.</w:t>
      </w:r>
    </w:p>
    <w:p w14:paraId="02B104BF" w14:textId="3377D2D4" w:rsidR="00393D90" w:rsidRPr="00393D90" w:rsidRDefault="00EA4E2B" w:rsidP="008F5202">
      <w:pPr>
        <w:tabs>
          <w:tab w:val="left" w:pos="360"/>
          <w:tab w:val="left" w:pos="450"/>
          <w:tab w:val="left" w:pos="540"/>
        </w:tabs>
        <w:spacing w:line="360" w:lineRule="auto"/>
        <w:ind w:left="590" w:hanging="59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29]</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Batchelor, G.K. and O'brien, R.W., 1977, “Thermal or electrical conduction through a granular material,” </w:t>
      </w:r>
      <w:r w:rsidR="00393D90" w:rsidRPr="00393D90">
        <w:rPr>
          <w:rFonts w:ascii="Times New Roman" w:eastAsia="Aptos" w:hAnsi="Times New Roman" w:cs="Times New Roman"/>
          <w:i/>
          <w:iCs/>
          <w:color w:val="000000"/>
          <w:shd w:val="clear" w:color="auto" w:fill="FFFFFF"/>
        </w:rPr>
        <w:t>Proceedings of the Royal Society of London. A. Mathematical and Physical Sciences</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355</w:t>
      </w:r>
      <w:r w:rsidR="00393D90" w:rsidRPr="00393D90">
        <w:rPr>
          <w:rFonts w:ascii="Times New Roman" w:eastAsia="Aptos" w:hAnsi="Times New Roman" w:cs="Times New Roman"/>
          <w:color w:val="000000"/>
          <w:shd w:val="clear" w:color="auto" w:fill="FFFFFF"/>
        </w:rPr>
        <w:t>(1682), pp.313-333.</w:t>
      </w:r>
      <w:r w:rsidR="00393D90" w:rsidRPr="00393D90">
        <w:rPr>
          <w:rFonts w:ascii="Times New Roman" w:eastAsia="Aptos" w:hAnsi="Times New Roman" w:cs="Times New Roman"/>
          <w:color w:val="000000"/>
        </w:rPr>
        <w:t xml:space="preserve"> </w:t>
      </w:r>
      <w:hyperlink r:id="rId95" w:history="1">
        <w:r w:rsidR="00393D90" w:rsidRPr="00393D90">
          <w:rPr>
            <w:rFonts w:ascii="Times New Roman" w:eastAsia="Aptos" w:hAnsi="Times New Roman" w:cs="Times New Roman"/>
            <w:color w:val="000000"/>
            <w:shd w:val="clear" w:color="auto" w:fill="FFFFFF"/>
          </w:rPr>
          <w:t>https://doi.org/10.1098/rspa.1977.0100</w:t>
        </w:r>
      </w:hyperlink>
    </w:p>
    <w:p w14:paraId="5C0FBA33" w14:textId="234BD565"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30]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Wang, S., Luo, K., Hu, C., Lin, J. and Fan, J., 2019, “CFD-DEM simulation of heat transfer in fluidized beds: Model verification, validation, and application,” </w:t>
      </w:r>
      <w:r w:rsidR="00393D90" w:rsidRPr="00393D90">
        <w:rPr>
          <w:rFonts w:ascii="Times New Roman" w:eastAsia="Aptos" w:hAnsi="Times New Roman" w:cs="Times New Roman"/>
          <w:i/>
          <w:iCs/>
          <w:color w:val="000000"/>
          <w:shd w:val="clear" w:color="auto" w:fill="FFFFFF"/>
        </w:rPr>
        <w:t>Chemical Engineering Science</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197</w:t>
      </w:r>
      <w:r w:rsidR="00393D90" w:rsidRPr="00393D90">
        <w:rPr>
          <w:rFonts w:ascii="Times New Roman" w:eastAsia="Aptos" w:hAnsi="Times New Roman" w:cs="Times New Roman"/>
          <w:color w:val="000000"/>
          <w:shd w:val="clear" w:color="auto" w:fill="FFFFFF"/>
        </w:rPr>
        <w:t>, pp.280-295.</w:t>
      </w:r>
      <w:r w:rsidR="00393D90" w:rsidRPr="00393D90">
        <w:rPr>
          <w:rFonts w:ascii="Times New Roman" w:eastAsia="Aptos" w:hAnsi="Times New Roman" w:cs="Times New Roman"/>
          <w:color w:val="000000"/>
        </w:rPr>
        <w:t xml:space="preserve"> </w:t>
      </w:r>
      <w:hyperlink r:id="rId96" w:history="1">
        <w:r w:rsidR="00393D90" w:rsidRPr="00393D90">
          <w:rPr>
            <w:rFonts w:ascii="Times New Roman" w:eastAsia="Aptos" w:hAnsi="Times New Roman" w:cs="Times New Roman"/>
            <w:color w:val="000000"/>
          </w:rPr>
          <w:t>https://doi.org/10.1016/j.ces.2018.12.031</w:t>
        </w:r>
      </w:hyperlink>
      <w:r w:rsidR="00393D90" w:rsidRPr="00393D90">
        <w:rPr>
          <w:rFonts w:ascii="Times New Roman" w:eastAsia="Aptos" w:hAnsi="Times New Roman" w:cs="Times New Roman"/>
          <w:color w:val="000000"/>
        </w:rPr>
        <w:t>.</w:t>
      </w:r>
    </w:p>
    <w:p w14:paraId="626713D0" w14:textId="33CABDC7"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31]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Denloye, A.O.O. and Botterill, J.S.M., 1977, “Heat transfer in flowing packed beds,” </w:t>
      </w:r>
      <w:r w:rsidR="00393D90" w:rsidRPr="00393D90">
        <w:rPr>
          <w:rFonts w:ascii="Times New Roman" w:eastAsia="Aptos" w:hAnsi="Times New Roman" w:cs="Times New Roman"/>
          <w:i/>
          <w:iCs/>
          <w:color w:val="000000"/>
          <w:shd w:val="clear" w:color="auto" w:fill="FFFFFF"/>
        </w:rPr>
        <w:t>Chemical Engineering Science</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32</w:t>
      </w:r>
      <w:r w:rsidR="00393D90" w:rsidRPr="00393D90">
        <w:rPr>
          <w:rFonts w:ascii="Times New Roman" w:eastAsia="Aptos" w:hAnsi="Times New Roman" w:cs="Times New Roman"/>
          <w:color w:val="000000"/>
          <w:shd w:val="clear" w:color="auto" w:fill="FFFFFF"/>
        </w:rPr>
        <w:t xml:space="preserve">(5), pp.461-465. </w:t>
      </w:r>
      <w:hyperlink r:id="rId97" w:tgtFrame="_blank" w:tooltip="Persistent link using digital object identifier" w:history="1">
        <w:r w:rsidR="00393D90" w:rsidRPr="00393D90">
          <w:rPr>
            <w:rFonts w:ascii="Times New Roman" w:eastAsia="Aptos" w:hAnsi="Times New Roman" w:cs="Times New Roman"/>
            <w:color w:val="000000"/>
          </w:rPr>
          <w:t>https://doi.org/10.1016/0009-2509(77)87001-2</w:t>
        </w:r>
      </w:hyperlink>
    </w:p>
    <w:p w14:paraId="277008E0" w14:textId="73473680"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32] </w:t>
      </w:r>
      <w:r w:rsidR="00393D90" w:rsidRPr="00393D90">
        <w:rPr>
          <w:rFonts w:ascii="Times New Roman" w:eastAsia="Aptos" w:hAnsi="Times New Roman" w:cs="Times New Roman"/>
          <w:color w:val="000000"/>
          <w:shd w:val="clear" w:color="auto" w:fill="FFFFFF"/>
        </w:rPr>
        <w:tab/>
        <w:t>Sullivan, W.N. and Sabersky, R.H., 1975, “Heat transfer to flowing granular media,” </w:t>
      </w:r>
      <w:r w:rsidR="00393D90" w:rsidRPr="00393D90">
        <w:rPr>
          <w:rFonts w:ascii="Times New Roman" w:eastAsia="Aptos" w:hAnsi="Times New Roman" w:cs="Times New Roman"/>
          <w:i/>
          <w:iCs/>
          <w:color w:val="000000"/>
          <w:shd w:val="clear" w:color="auto" w:fill="FFFFFF"/>
        </w:rPr>
        <w:t>International Journal of Heat and Mass Transfer</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18</w:t>
      </w:r>
      <w:r w:rsidR="00393D90" w:rsidRPr="00393D90">
        <w:rPr>
          <w:rFonts w:ascii="Times New Roman" w:eastAsia="Aptos" w:hAnsi="Times New Roman" w:cs="Times New Roman"/>
          <w:color w:val="000000"/>
          <w:shd w:val="clear" w:color="auto" w:fill="FFFFFF"/>
        </w:rPr>
        <w:t>(1), pp.97-107.</w:t>
      </w:r>
      <w:r w:rsidR="00393D90" w:rsidRPr="00393D90">
        <w:rPr>
          <w:rFonts w:ascii="Times New Roman" w:eastAsia="Aptos" w:hAnsi="Times New Roman" w:cs="Times New Roman"/>
          <w:color w:val="000000"/>
        </w:rPr>
        <w:t xml:space="preserve"> https://doi.org/10.1016/0017-9310(75)90012-5.</w:t>
      </w:r>
    </w:p>
    <w:p w14:paraId="10114BF3" w14:textId="1B4EB455"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33] </w:t>
      </w:r>
      <w:r w:rsidR="00393D90" w:rsidRPr="00393D90">
        <w:rPr>
          <w:rFonts w:ascii="Times New Roman" w:eastAsia="Aptos" w:hAnsi="Times New Roman" w:cs="Times New Roman"/>
          <w:color w:val="000000"/>
          <w:shd w:val="clear" w:color="auto" w:fill="FFFFFF"/>
        </w:rPr>
        <w:tab/>
        <w:t>Spelt, J.K., Brennen, C.E. and Sabersky, R.H., 1982, “Heat transfer to flowing granular material,” </w:t>
      </w:r>
      <w:r w:rsidR="00393D90" w:rsidRPr="00393D90">
        <w:rPr>
          <w:rFonts w:ascii="Times New Roman" w:eastAsia="Aptos" w:hAnsi="Times New Roman" w:cs="Times New Roman"/>
          <w:i/>
          <w:iCs/>
          <w:color w:val="000000"/>
          <w:shd w:val="clear" w:color="auto" w:fill="FFFFFF"/>
        </w:rPr>
        <w:t>International Journal of Heat and Mass Transfer</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25</w:t>
      </w:r>
      <w:r w:rsidR="00393D90" w:rsidRPr="00393D90">
        <w:rPr>
          <w:rFonts w:ascii="Times New Roman" w:eastAsia="Aptos" w:hAnsi="Times New Roman" w:cs="Times New Roman"/>
          <w:color w:val="000000"/>
          <w:shd w:val="clear" w:color="auto" w:fill="FFFFFF"/>
        </w:rPr>
        <w:t>(6), pp.791-796.</w:t>
      </w:r>
      <w:r w:rsidR="00393D90" w:rsidRPr="00393D90">
        <w:rPr>
          <w:rFonts w:ascii="Times New Roman" w:eastAsia="Aptos" w:hAnsi="Times New Roman" w:cs="Times New Roman"/>
          <w:color w:val="000000"/>
        </w:rPr>
        <w:t xml:space="preserve"> https://doi.org/10.1016/0017-9310(82)90091-6.</w:t>
      </w:r>
    </w:p>
    <w:p w14:paraId="029B6333" w14:textId="3707C78E" w:rsidR="00393D90" w:rsidRPr="00393D90" w:rsidRDefault="00EA4E2B" w:rsidP="008F5202">
      <w:pPr>
        <w:tabs>
          <w:tab w:val="left" w:pos="360"/>
          <w:tab w:val="left" w:pos="45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34] </w:t>
      </w:r>
      <w:r w:rsidR="00393D90" w:rsidRPr="00393D90">
        <w:rPr>
          <w:rFonts w:ascii="Times New Roman" w:eastAsia="Aptos" w:hAnsi="Times New Roman" w:cs="Times New Roman"/>
          <w:color w:val="000000"/>
          <w:shd w:val="clear" w:color="auto" w:fill="FFFFFF"/>
        </w:rPr>
        <w:tab/>
        <w:t xml:space="preserve">Lv, W., Li, D. and Dong, L., 2020, “Study on mechanical properties of a hierarchical octet-truss structure,” </w:t>
      </w:r>
      <w:r w:rsidR="00393D90" w:rsidRPr="00393D90">
        <w:rPr>
          <w:rFonts w:ascii="Times New Roman" w:eastAsia="Aptos" w:hAnsi="Times New Roman" w:cs="Times New Roman"/>
          <w:i/>
          <w:iCs/>
          <w:color w:val="000000"/>
          <w:shd w:val="clear" w:color="auto" w:fill="FFFFFF"/>
        </w:rPr>
        <w:t>Composite Structures</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249</w:t>
      </w:r>
      <w:r w:rsidR="00393D90" w:rsidRPr="00393D90">
        <w:rPr>
          <w:rFonts w:ascii="Times New Roman" w:eastAsia="Aptos" w:hAnsi="Times New Roman" w:cs="Times New Roman"/>
          <w:color w:val="000000"/>
          <w:shd w:val="clear" w:color="auto" w:fill="FFFFFF"/>
        </w:rPr>
        <w:t>, p.112640.</w:t>
      </w:r>
      <w:r w:rsidR="00393D90" w:rsidRPr="00393D90">
        <w:rPr>
          <w:rFonts w:ascii="Times New Roman" w:eastAsia="Aptos" w:hAnsi="Times New Roman" w:cs="Times New Roman"/>
          <w:color w:val="000000"/>
        </w:rPr>
        <w:t xml:space="preserve"> https://doi.org/10.1016/j.compstruct.2020.112640.</w:t>
      </w:r>
    </w:p>
    <w:p w14:paraId="1E395EAA" w14:textId="6881D68E"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lastRenderedPageBreak/>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35] </w:t>
      </w:r>
      <w:r w:rsidR="00393D90" w:rsidRPr="00393D90">
        <w:rPr>
          <w:rFonts w:ascii="Times New Roman" w:eastAsia="Aptos" w:hAnsi="Times New Roman" w:cs="Times New Roman"/>
          <w:color w:val="000000"/>
          <w:shd w:val="clear" w:color="auto" w:fill="FFFFFF"/>
        </w:rPr>
        <w:tab/>
        <w:t>Deshpande, V.S., Fleck, N.A. and Ashby, M.F., 2001, “Effective properties of the octet-truss lattice material,” </w:t>
      </w:r>
      <w:r w:rsidR="00393D90" w:rsidRPr="00393D90">
        <w:rPr>
          <w:rFonts w:ascii="Times New Roman" w:eastAsia="Aptos" w:hAnsi="Times New Roman" w:cs="Times New Roman"/>
          <w:i/>
          <w:iCs/>
          <w:color w:val="000000"/>
          <w:shd w:val="clear" w:color="auto" w:fill="FFFFFF"/>
        </w:rPr>
        <w:t>Journal of the Mechanics and Physics of Solids</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49</w:t>
      </w:r>
      <w:r w:rsidR="00393D90" w:rsidRPr="00393D90">
        <w:rPr>
          <w:rFonts w:ascii="Times New Roman" w:eastAsia="Aptos" w:hAnsi="Times New Roman" w:cs="Times New Roman"/>
          <w:color w:val="000000"/>
          <w:shd w:val="clear" w:color="auto" w:fill="FFFFFF"/>
        </w:rPr>
        <w:t>(8), pp.1747-1769.</w:t>
      </w:r>
      <w:r w:rsidR="00393D90" w:rsidRPr="00393D90">
        <w:rPr>
          <w:rFonts w:ascii="Times New Roman" w:eastAsia="Aptos" w:hAnsi="Times New Roman" w:cs="Times New Roman"/>
          <w:color w:val="000000"/>
        </w:rPr>
        <w:t xml:space="preserve"> https://doi.org/10.1016/S0022-5096(01)00010-2.</w:t>
      </w:r>
    </w:p>
    <w:p w14:paraId="19F17003" w14:textId="1E2C5E2C"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36] </w:t>
      </w:r>
      <w:r w:rsidR="00393D90" w:rsidRPr="00393D90">
        <w:rPr>
          <w:rFonts w:ascii="Times New Roman" w:eastAsia="Aptos" w:hAnsi="Times New Roman" w:cs="Times New Roman"/>
          <w:color w:val="000000"/>
          <w:shd w:val="clear" w:color="auto" w:fill="FFFFFF"/>
        </w:rPr>
        <w:tab/>
        <w:t xml:space="preserve">Kaur, I. and Singh, P., 2020, “Flow and thermal transport through unit cell topologies of cubic and octahedron families,” </w:t>
      </w:r>
      <w:r w:rsidR="00393D90" w:rsidRPr="00393D90">
        <w:rPr>
          <w:rFonts w:ascii="Times New Roman" w:eastAsia="Aptos" w:hAnsi="Times New Roman" w:cs="Times New Roman"/>
          <w:i/>
          <w:iCs/>
          <w:color w:val="000000"/>
          <w:shd w:val="clear" w:color="auto" w:fill="FFFFFF"/>
        </w:rPr>
        <w:t>International Journal of Heat and Mass Transfer</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158</w:t>
      </w:r>
      <w:r w:rsidR="00393D90" w:rsidRPr="00393D90">
        <w:rPr>
          <w:rFonts w:ascii="Times New Roman" w:eastAsia="Aptos" w:hAnsi="Times New Roman" w:cs="Times New Roman"/>
          <w:color w:val="000000"/>
          <w:shd w:val="clear" w:color="auto" w:fill="FFFFFF"/>
        </w:rPr>
        <w:t>, p.119784.</w:t>
      </w:r>
      <w:r w:rsidR="00393D90" w:rsidRPr="00393D90">
        <w:rPr>
          <w:rFonts w:ascii="Times New Roman" w:eastAsia="Aptos" w:hAnsi="Times New Roman" w:cs="Times New Roman"/>
          <w:color w:val="000000"/>
        </w:rPr>
        <w:t xml:space="preserve"> https://doi.org/10.1016/j.ijheatmasstransfer.2020.119784.</w:t>
      </w:r>
    </w:p>
    <w:p w14:paraId="5E62DBCF" w14:textId="648C95DF"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37] </w:t>
      </w:r>
      <w:r w:rsidR="00393D90" w:rsidRPr="00393D90">
        <w:rPr>
          <w:rFonts w:ascii="Times New Roman" w:eastAsia="Aptos" w:hAnsi="Times New Roman" w:cs="Times New Roman"/>
          <w:color w:val="000000"/>
          <w:shd w:val="clear" w:color="auto" w:fill="FFFFFF"/>
        </w:rPr>
        <w:tab/>
        <w:t>Kaur, I. and Singh, P., 2021, “Numerical investigation on conjugate heat transfer in octet-shape-based single unit cell thick metal foam,” </w:t>
      </w:r>
      <w:r w:rsidR="00393D90" w:rsidRPr="00393D90">
        <w:rPr>
          <w:rFonts w:ascii="Times New Roman" w:eastAsia="Aptos" w:hAnsi="Times New Roman" w:cs="Times New Roman"/>
          <w:i/>
          <w:iCs/>
          <w:color w:val="000000"/>
          <w:shd w:val="clear" w:color="auto" w:fill="FFFFFF"/>
        </w:rPr>
        <w:t>International Communications in Heat and Mass Transfer</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121</w:t>
      </w:r>
      <w:r w:rsidR="00393D90" w:rsidRPr="00393D90">
        <w:rPr>
          <w:rFonts w:ascii="Times New Roman" w:eastAsia="Aptos" w:hAnsi="Times New Roman" w:cs="Times New Roman"/>
          <w:color w:val="000000"/>
          <w:shd w:val="clear" w:color="auto" w:fill="FFFFFF"/>
        </w:rPr>
        <w:t>, p.105090.</w:t>
      </w:r>
      <w:r w:rsidR="00393D90" w:rsidRPr="00393D90">
        <w:rPr>
          <w:rFonts w:ascii="Times New Roman" w:eastAsia="Aptos" w:hAnsi="Times New Roman" w:cs="Times New Roman"/>
          <w:color w:val="000000"/>
        </w:rPr>
        <w:t xml:space="preserve"> https://doi.org/10.1016/j.icheatmasstransfer.2020.105090.</w:t>
      </w:r>
    </w:p>
    <w:p w14:paraId="1197814C" w14:textId="425BF803"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38] </w:t>
      </w:r>
      <w:r w:rsidR="00393D90" w:rsidRPr="00393D90">
        <w:rPr>
          <w:rFonts w:ascii="Times New Roman" w:eastAsia="Aptos" w:hAnsi="Times New Roman" w:cs="Times New Roman"/>
          <w:color w:val="000000"/>
          <w:shd w:val="clear" w:color="auto" w:fill="FFFFFF"/>
        </w:rPr>
        <w:tab/>
        <w:t>Kaur, I. and Singh, P., 2022, “Direct pore-scale simulations of fully periodic unit cells of different regular lattices,” </w:t>
      </w:r>
      <w:r w:rsidR="00393D90" w:rsidRPr="00393D90">
        <w:rPr>
          <w:rFonts w:ascii="Times New Roman" w:eastAsia="Aptos" w:hAnsi="Times New Roman" w:cs="Times New Roman"/>
          <w:i/>
          <w:iCs/>
          <w:color w:val="000000"/>
          <w:shd w:val="clear" w:color="auto" w:fill="FFFFFF"/>
        </w:rPr>
        <w:t>Journal of Heat Transfer</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144</w:t>
      </w:r>
      <w:r w:rsidR="00393D90" w:rsidRPr="00393D90">
        <w:rPr>
          <w:rFonts w:ascii="Times New Roman" w:eastAsia="Aptos" w:hAnsi="Times New Roman" w:cs="Times New Roman"/>
          <w:color w:val="000000"/>
          <w:shd w:val="clear" w:color="auto" w:fill="FFFFFF"/>
        </w:rPr>
        <w:t>(2), p.022702.</w:t>
      </w:r>
      <w:r w:rsidR="00393D90" w:rsidRPr="00393D90">
        <w:rPr>
          <w:rFonts w:ascii="Times New Roman" w:eastAsia="Aptos" w:hAnsi="Times New Roman" w:cs="Times New Roman"/>
          <w:color w:val="000000"/>
        </w:rPr>
        <w:t xml:space="preserve"> https://doi.org/10.1115/1.4053204.</w:t>
      </w:r>
    </w:p>
    <w:p w14:paraId="7C480611" w14:textId="6FA68982"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39] </w:t>
      </w:r>
      <w:r w:rsidR="00393D90" w:rsidRPr="00393D90">
        <w:rPr>
          <w:rFonts w:ascii="Times New Roman" w:eastAsia="Aptos" w:hAnsi="Times New Roman" w:cs="Times New Roman"/>
          <w:color w:val="000000"/>
          <w:shd w:val="clear" w:color="auto" w:fill="FFFFFF"/>
        </w:rPr>
        <w:tab/>
        <w:t>Aider, Y., Kaur, I., Cho, H. and Singh, P., 2022, “Periodic heat transfer characteristics of additively manufactured lattices,” </w:t>
      </w:r>
      <w:r w:rsidR="00393D90" w:rsidRPr="00393D90">
        <w:rPr>
          <w:rFonts w:ascii="Times New Roman" w:eastAsia="Aptos" w:hAnsi="Times New Roman" w:cs="Times New Roman"/>
          <w:i/>
          <w:iCs/>
          <w:color w:val="000000"/>
          <w:shd w:val="clear" w:color="auto" w:fill="FFFFFF"/>
        </w:rPr>
        <w:t>International Journal of Heat and Mass Transfer</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189</w:t>
      </w:r>
      <w:r w:rsidR="00393D90" w:rsidRPr="00393D90">
        <w:rPr>
          <w:rFonts w:ascii="Times New Roman" w:eastAsia="Aptos" w:hAnsi="Times New Roman" w:cs="Times New Roman"/>
          <w:color w:val="000000"/>
          <w:shd w:val="clear" w:color="auto" w:fill="FFFFFF"/>
        </w:rPr>
        <w:t>, p.122692.</w:t>
      </w:r>
      <w:r w:rsidR="00393D90" w:rsidRPr="00393D90">
        <w:rPr>
          <w:rFonts w:ascii="Times New Roman" w:eastAsia="Aptos" w:hAnsi="Times New Roman" w:cs="Times New Roman"/>
          <w:color w:val="000000"/>
        </w:rPr>
        <w:t xml:space="preserve"> https://doi.org/10.1115/1.4053204.</w:t>
      </w:r>
    </w:p>
    <w:p w14:paraId="721DA2A0" w14:textId="1C09EE06"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40] </w:t>
      </w:r>
      <w:r w:rsidR="00393D90" w:rsidRPr="00393D90">
        <w:rPr>
          <w:rFonts w:ascii="Times New Roman" w:eastAsia="Aptos" w:hAnsi="Times New Roman" w:cs="Times New Roman"/>
          <w:color w:val="000000"/>
          <w:shd w:val="clear" w:color="auto" w:fill="FFFFFF"/>
        </w:rPr>
        <w:tab/>
        <w:t>Kaur, I., Aider, Y., Nithyanandam, K. and Singh, P., 2022, “Thermal-hydraulic performance of additively manufactured lattices for gas turbine blade trailing edge cooling,” </w:t>
      </w:r>
      <w:r w:rsidR="00393D90" w:rsidRPr="00393D90">
        <w:rPr>
          <w:rFonts w:ascii="Times New Roman" w:eastAsia="Aptos" w:hAnsi="Times New Roman" w:cs="Times New Roman"/>
          <w:i/>
          <w:iCs/>
          <w:color w:val="000000"/>
          <w:shd w:val="clear" w:color="auto" w:fill="FFFFFF"/>
        </w:rPr>
        <w:t>Applied Thermal Engineering</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211</w:t>
      </w:r>
      <w:r w:rsidR="00393D90" w:rsidRPr="00393D90">
        <w:rPr>
          <w:rFonts w:ascii="Times New Roman" w:eastAsia="Aptos" w:hAnsi="Times New Roman" w:cs="Times New Roman"/>
          <w:color w:val="000000"/>
          <w:shd w:val="clear" w:color="auto" w:fill="FFFFFF"/>
        </w:rPr>
        <w:t>, p.118461.</w:t>
      </w:r>
      <w:r w:rsidR="00393D90" w:rsidRPr="00393D90">
        <w:rPr>
          <w:rFonts w:ascii="Times New Roman" w:eastAsia="Aptos" w:hAnsi="Times New Roman" w:cs="Times New Roman"/>
          <w:color w:val="000000"/>
        </w:rPr>
        <w:t xml:space="preserve"> https://doi.org/10.1016/j.applthermaleng.2022.118461.</w:t>
      </w:r>
    </w:p>
    <w:p w14:paraId="75F4B60E" w14:textId="60177D23"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41] </w:t>
      </w:r>
      <w:r w:rsidR="00393D90" w:rsidRPr="00393D90">
        <w:rPr>
          <w:rFonts w:ascii="Times New Roman" w:eastAsia="Aptos" w:hAnsi="Times New Roman" w:cs="Times New Roman"/>
          <w:color w:val="000000"/>
          <w:shd w:val="clear" w:color="auto" w:fill="FFFFFF"/>
        </w:rPr>
        <w:tab/>
        <w:t>Kaur, I., Mahajan, R.L. and Singh, P., 2023, “Generalized correlation for effective thermal conductivity of high porosity architectured materials and metal foams,” </w:t>
      </w:r>
      <w:r w:rsidR="00393D90" w:rsidRPr="00393D90">
        <w:rPr>
          <w:rFonts w:ascii="Times New Roman" w:eastAsia="Aptos" w:hAnsi="Times New Roman" w:cs="Times New Roman"/>
          <w:i/>
          <w:iCs/>
          <w:color w:val="000000"/>
          <w:shd w:val="clear" w:color="auto" w:fill="FFFFFF"/>
        </w:rPr>
        <w:t>International Journal of Heat and Mass Transfer</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200</w:t>
      </w:r>
      <w:r w:rsidR="00393D90" w:rsidRPr="00393D90">
        <w:rPr>
          <w:rFonts w:ascii="Times New Roman" w:eastAsia="Aptos" w:hAnsi="Times New Roman" w:cs="Times New Roman"/>
          <w:color w:val="000000"/>
          <w:shd w:val="clear" w:color="auto" w:fill="FFFFFF"/>
        </w:rPr>
        <w:t>, p.123512.</w:t>
      </w:r>
      <w:r w:rsidR="00393D90" w:rsidRPr="00393D90">
        <w:rPr>
          <w:rFonts w:ascii="Times New Roman" w:eastAsia="Aptos" w:hAnsi="Times New Roman" w:cs="Times New Roman"/>
          <w:color w:val="000000"/>
        </w:rPr>
        <w:t xml:space="preserve"> https://doi.org/10.1016/j.ijheatmasstransfer.2022.123512.</w:t>
      </w:r>
    </w:p>
    <w:p w14:paraId="47F92083" w14:textId="32379A1F"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42] </w:t>
      </w:r>
      <w:r w:rsidR="00393D90" w:rsidRPr="00393D90">
        <w:rPr>
          <w:rFonts w:ascii="Times New Roman" w:eastAsia="Aptos" w:hAnsi="Times New Roman" w:cs="Times New Roman"/>
          <w:color w:val="000000"/>
          <w:shd w:val="clear" w:color="auto" w:fill="FFFFFF"/>
        </w:rPr>
        <w:tab/>
        <w:t>Wang, N., Kaur, I., Singh, P. and Li, L., 2021, “Prediction of effective thermal conductivity of porous lattice structures and validation with additively manufactured metal foams,” </w:t>
      </w:r>
      <w:r w:rsidR="00393D90" w:rsidRPr="00393D90">
        <w:rPr>
          <w:rFonts w:ascii="Times New Roman" w:eastAsia="Aptos" w:hAnsi="Times New Roman" w:cs="Times New Roman"/>
          <w:i/>
          <w:iCs/>
          <w:color w:val="000000"/>
          <w:shd w:val="clear" w:color="auto" w:fill="FFFFFF"/>
        </w:rPr>
        <w:t>Applied Thermal Engineering</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187</w:t>
      </w:r>
      <w:r w:rsidR="00393D90" w:rsidRPr="00393D90">
        <w:rPr>
          <w:rFonts w:ascii="Times New Roman" w:eastAsia="Aptos" w:hAnsi="Times New Roman" w:cs="Times New Roman"/>
          <w:color w:val="000000"/>
          <w:shd w:val="clear" w:color="auto" w:fill="FFFFFF"/>
        </w:rPr>
        <w:t>, p.116558.</w:t>
      </w:r>
      <w:r w:rsidR="00393D90" w:rsidRPr="00393D90">
        <w:rPr>
          <w:rFonts w:ascii="Times New Roman" w:eastAsia="Aptos" w:hAnsi="Times New Roman" w:cs="Times New Roman"/>
          <w:color w:val="000000"/>
        </w:rPr>
        <w:t xml:space="preserve"> https://doi.org/10.1016/j.applthermaleng.2021.116558.</w:t>
      </w:r>
    </w:p>
    <w:p w14:paraId="3B610AF2" w14:textId="69D6700B"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lastRenderedPageBreak/>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43] </w:t>
      </w:r>
      <w:r w:rsidR="00393D90" w:rsidRPr="00393D90">
        <w:rPr>
          <w:rFonts w:ascii="Times New Roman" w:eastAsia="Aptos" w:hAnsi="Times New Roman" w:cs="Times New Roman"/>
          <w:color w:val="000000"/>
          <w:shd w:val="clear" w:color="auto" w:fill="FFFFFF"/>
        </w:rPr>
        <w:tab/>
        <w:t>Dong, L. and Wadley, H., 2015, “Mechanical properties of carbon fiber composite octet-truss lattice structures,” </w:t>
      </w:r>
      <w:r w:rsidR="00393D90" w:rsidRPr="00393D90">
        <w:rPr>
          <w:rFonts w:ascii="Times New Roman" w:eastAsia="Aptos" w:hAnsi="Times New Roman" w:cs="Times New Roman"/>
          <w:i/>
          <w:iCs/>
          <w:color w:val="000000"/>
          <w:shd w:val="clear" w:color="auto" w:fill="FFFFFF"/>
        </w:rPr>
        <w:t>Composites Science and Technology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119</w:t>
      </w:r>
      <w:r w:rsidR="00393D90" w:rsidRPr="00393D90">
        <w:rPr>
          <w:rFonts w:ascii="Times New Roman" w:eastAsia="Aptos" w:hAnsi="Times New Roman" w:cs="Times New Roman"/>
          <w:color w:val="000000"/>
          <w:shd w:val="clear" w:color="auto" w:fill="FFFFFF"/>
        </w:rPr>
        <w:t>, pp.26-33.</w:t>
      </w:r>
      <w:r w:rsidR="00393D90" w:rsidRPr="00393D90">
        <w:rPr>
          <w:rFonts w:ascii="Times New Roman" w:eastAsia="Aptos" w:hAnsi="Times New Roman" w:cs="Times New Roman"/>
          <w:color w:val="000000"/>
        </w:rPr>
        <w:t xml:space="preserve"> https://doi.org/10.1016/j.compscitech.2015.09.022.</w:t>
      </w:r>
    </w:p>
    <w:p w14:paraId="14EDB916" w14:textId="27482841"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44] </w:t>
      </w:r>
      <w:r w:rsidR="00393D90" w:rsidRPr="00393D90">
        <w:rPr>
          <w:rFonts w:ascii="Times New Roman" w:eastAsia="Aptos" w:hAnsi="Times New Roman" w:cs="Times New Roman"/>
          <w:color w:val="000000"/>
          <w:shd w:val="clear" w:color="auto" w:fill="FFFFFF"/>
        </w:rPr>
        <w:tab/>
        <w:t xml:space="preserve">Aider, Y., Cho, H. and Singh, P., 2022, “Convective Heat Transfer Potential of Particles/Airflow Through Single Cell Thick Additively Manufactured Octet-Shaped Lattice Frame Material,” </w:t>
      </w:r>
      <w:r w:rsidR="00393D90" w:rsidRPr="00393D90">
        <w:rPr>
          <w:rFonts w:ascii="Times New Roman" w:eastAsia="Aptos" w:hAnsi="Times New Roman" w:cs="Times New Roman"/>
          <w:i/>
          <w:iCs/>
          <w:color w:val="000000"/>
          <w:shd w:val="clear" w:color="auto" w:fill="FFFFFF"/>
        </w:rPr>
        <w:t>Heat Transfer Summer Conference</w:t>
      </w:r>
      <w:r w:rsidR="00393D90" w:rsidRPr="00393D90">
        <w:rPr>
          <w:rFonts w:ascii="Times New Roman" w:eastAsia="Aptos" w:hAnsi="Times New Roman" w:cs="Times New Roman"/>
          <w:color w:val="000000"/>
          <w:shd w:val="clear" w:color="auto" w:fill="FFFFFF"/>
        </w:rPr>
        <w:t xml:space="preserve">, 85796, p. V001T06A004. </w:t>
      </w:r>
      <w:hyperlink r:id="rId98" w:tgtFrame="_blank" w:history="1">
        <w:r w:rsidR="00393D90" w:rsidRPr="00393D90">
          <w:rPr>
            <w:rFonts w:ascii="Times New Roman" w:eastAsia="Aptos" w:hAnsi="Times New Roman" w:cs="Times New Roman"/>
            <w:color w:val="000000"/>
            <w:shd w:val="clear" w:color="auto" w:fill="FFFFFF"/>
          </w:rPr>
          <w:t>https://doi.org/10.1115/HT2022-81856</w:t>
        </w:r>
      </w:hyperlink>
    </w:p>
    <w:p w14:paraId="4A95C824" w14:textId="3311F34E"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45] </w:t>
      </w:r>
      <w:r w:rsidR="00393D90" w:rsidRPr="00393D90">
        <w:rPr>
          <w:rFonts w:ascii="Times New Roman" w:eastAsia="Aptos" w:hAnsi="Times New Roman" w:cs="Times New Roman"/>
          <w:color w:val="000000"/>
          <w:shd w:val="clear" w:color="auto" w:fill="FFFFFF"/>
        </w:rPr>
        <w:tab/>
      </w:r>
      <w:r w:rsidR="00393D90" w:rsidRPr="00393D90">
        <w:rPr>
          <w:rFonts w:ascii="Times New Roman" w:eastAsia="Aptos" w:hAnsi="Times New Roman" w:cs="Times New Roman"/>
          <w:color w:val="000000"/>
          <w:shd w:val="clear" w:color="auto" w:fill="FFFFFF"/>
        </w:rPr>
        <w:tab/>
        <w:t>Kloss, C., Goniva, C., Hager, A., Amberger, S. and Pirker, S., 2012, “Models, algorithms and validation for opensource DEM and CFD–DEM,” </w:t>
      </w:r>
      <w:r w:rsidR="00393D90" w:rsidRPr="00393D90">
        <w:rPr>
          <w:rFonts w:ascii="Times New Roman" w:eastAsia="Aptos" w:hAnsi="Times New Roman" w:cs="Times New Roman"/>
          <w:i/>
          <w:iCs/>
          <w:color w:val="000000"/>
          <w:shd w:val="clear" w:color="auto" w:fill="FFFFFF"/>
        </w:rPr>
        <w:t>Progress in Computational Fluid Dynamics, an International Journal</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12</w:t>
      </w:r>
      <w:r w:rsidR="00393D90" w:rsidRPr="00393D90">
        <w:rPr>
          <w:rFonts w:ascii="Times New Roman" w:eastAsia="Aptos" w:hAnsi="Times New Roman" w:cs="Times New Roman"/>
          <w:color w:val="000000"/>
          <w:shd w:val="clear" w:color="auto" w:fill="FFFFFF"/>
        </w:rPr>
        <w:t>(2-3), pp.140-152.</w:t>
      </w:r>
      <w:r w:rsidR="00393D90" w:rsidRPr="00393D90">
        <w:rPr>
          <w:rFonts w:ascii="Times New Roman" w:eastAsia="Aptos" w:hAnsi="Times New Roman" w:cs="Times New Roman"/>
          <w:color w:val="000000"/>
        </w:rPr>
        <w:t xml:space="preserve"> https://doi.org/10.1504/PCFD.2012.047457.</w:t>
      </w:r>
    </w:p>
    <w:p w14:paraId="6F2BE052" w14:textId="1A3A6DBC"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46] </w:t>
      </w:r>
      <w:r w:rsidR="00393D90" w:rsidRPr="00393D90">
        <w:rPr>
          <w:rFonts w:ascii="Times New Roman" w:eastAsia="Aptos" w:hAnsi="Times New Roman" w:cs="Times New Roman"/>
          <w:color w:val="000000"/>
          <w:shd w:val="clear" w:color="auto" w:fill="FFFFFF"/>
        </w:rPr>
        <w:tab/>
        <w:t>Jahani, M., Farzanegan, A. and Noaparast, M., 2015, “Investigation of screening performance of banana screens using LIGGGHTS DEM solver,” </w:t>
      </w:r>
      <w:r w:rsidR="00393D90" w:rsidRPr="00393D90">
        <w:rPr>
          <w:rFonts w:ascii="Times New Roman" w:eastAsia="Aptos" w:hAnsi="Times New Roman" w:cs="Times New Roman"/>
          <w:i/>
          <w:iCs/>
          <w:color w:val="000000"/>
          <w:shd w:val="clear" w:color="auto" w:fill="FFFFFF"/>
        </w:rPr>
        <w:t>Powder Technology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283</w:t>
      </w:r>
      <w:r w:rsidR="00393D90" w:rsidRPr="00393D90">
        <w:rPr>
          <w:rFonts w:ascii="Times New Roman" w:eastAsia="Aptos" w:hAnsi="Times New Roman" w:cs="Times New Roman"/>
          <w:color w:val="000000"/>
          <w:shd w:val="clear" w:color="auto" w:fill="FFFFFF"/>
        </w:rPr>
        <w:t xml:space="preserve">, pp.32-47. </w:t>
      </w:r>
      <w:r w:rsidR="00393D90" w:rsidRPr="00393D90">
        <w:rPr>
          <w:rFonts w:ascii="Times New Roman" w:eastAsia="Aptos" w:hAnsi="Times New Roman" w:cs="Times New Roman"/>
          <w:color w:val="000000"/>
        </w:rPr>
        <w:t>https://doi.org/10.1016/j.powtec.2015.05.016.</w:t>
      </w:r>
    </w:p>
    <w:p w14:paraId="0149A26E" w14:textId="1BBA6476"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47] </w:t>
      </w:r>
      <w:r w:rsidR="00393D90" w:rsidRPr="00393D90">
        <w:rPr>
          <w:rFonts w:ascii="Times New Roman" w:eastAsia="Aptos" w:hAnsi="Times New Roman" w:cs="Times New Roman"/>
          <w:color w:val="000000"/>
          <w:shd w:val="clear" w:color="auto" w:fill="FFFFFF"/>
        </w:rPr>
        <w:tab/>
        <w:t>Deb, S. and Tafti, D., 2014, “Investigation of flat bottomed spouted bed with multiple jets using DEM–CFD framework,” </w:t>
      </w:r>
      <w:r w:rsidR="00393D90" w:rsidRPr="00393D90">
        <w:rPr>
          <w:rFonts w:ascii="Times New Roman" w:eastAsia="Aptos" w:hAnsi="Times New Roman" w:cs="Times New Roman"/>
          <w:i/>
          <w:iCs/>
          <w:color w:val="000000"/>
          <w:shd w:val="clear" w:color="auto" w:fill="FFFFFF"/>
        </w:rPr>
        <w:t>Powder technology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254</w:t>
      </w:r>
      <w:r w:rsidR="00393D90" w:rsidRPr="00393D90">
        <w:rPr>
          <w:rFonts w:ascii="Times New Roman" w:eastAsia="Aptos" w:hAnsi="Times New Roman" w:cs="Times New Roman"/>
          <w:color w:val="000000"/>
          <w:shd w:val="clear" w:color="auto" w:fill="FFFFFF"/>
        </w:rPr>
        <w:t>, pp.387-402.</w:t>
      </w:r>
      <w:r w:rsidR="00393D90" w:rsidRPr="00393D90">
        <w:rPr>
          <w:rFonts w:ascii="Times New Roman" w:eastAsia="Aptos" w:hAnsi="Times New Roman" w:cs="Times New Roman"/>
          <w:color w:val="000000"/>
        </w:rPr>
        <w:t xml:space="preserve"> https://doi.org/10.1016/j.powtec.2014.01.045.</w:t>
      </w:r>
    </w:p>
    <w:p w14:paraId="00E8F429" w14:textId="75D35484"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48] </w:t>
      </w:r>
      <w:r w:rsidR="00393D90" w:rsidRPr="00393D90">
        <w:rPr>
          <w:rFonts w:ascii="Times New Roman" w:eastAsia="Aptos" w:hAnsi="Times New Roman" w:cs="Times New Roman"/>
          <w:color w:val="000000"/>
          <w:shd w:val="clear" w:color="auto" w:fill="FFFFFF"/>
        </w:rPr>
        <w:tab/>
        <w:t>Bagepalli, M.V., Yarrington, J.D., Schrader, A.J., Zhang, Z.M., Ranjan, D. and Loutzenhiser, P.G., 2020, “Measurement of flow properties coupled to experimental and numerical analyses of dense, granular flows for solar thermal energy storage,” </w:t>
      </w:r>
      <w:r w:rsidR="00393D90" w:rsidRPr="00393D90">
        <w:rPr>
          <w:rFonts w:ascii="Times New Roman" w:eastAsia="Aptos" w:hAnsi="Times New Roman" w:cs="Times New Roman"/>
          <w:i/>
          <w:iCs/>
          <w:color w:val="000000"/>
          <w:shd w:val="clear" w:color="auto" w:fill="FFFFFF"/>
        </w:rPr>
        <w:t>Solar Energy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207</w:t>
      </w:r>
      <w:r w:rsidR="00393D90" w:rsidRPr="00393D90">
        <w:rPr>
          <w:rFonts w:ascii="Times New Roman" w:eastAsia="Aptos" w:hAnsi="Times New Roman" w:cs="Times New Roman"/>
          <w:color w:val="000000"/>
          <w:shd w:val="clear" w:color="auto" w:fill="FFFFFF"/>
        </w:rPr>
        <w:t>, pp.77-90.</w:t>
      </w:r>
      <w:r w:rsidR="00393D90" w:rsidRPr="00393D90">
        <w:rPr>
          <w:rFonts w:ascii="Times New Roman" w:eastAsia="Aptos" w:hAnsi="Times New Roman" w:cs="Times New Roman"/>
          <w:color w:val="000000"/>
        </w:rPr>
        <w:t xml:space="preserve"> https://doi.org/10.1016/j.solener.2020.06.062.</w:t>
      </w:r>
    </w:p>
    <w:p w14:paraId="03EB8418" w14:textId="062C7CD6" w:rsidR="00393D90" w:rsidRPr="00393D90" w:rsidRDefault="00EA4E2B" w:rsidP="008F5202">
      <w:pPr>
        <w:tabs>
          <w:tab w:val="left" w:pos="360"/>
          <w:tab w:val="left" w:pos="540"/>
        </w:tabs>
        <w:spacing w:line="360" w:lineRule="auto"/>
        <w:ind w:left="540" w:hanging="540"/>
        <w:rPr>
          <w:rFonts w:ascii="Times New Roman" w:eastAsia="Aptos" w:hAnsi="Times New Roman" w:cs="Times New Roman"/>
          <w:color w:val="000000"/>
          <w:shd w:val="clear" w:color="auto" w:fill="FFFFFF"/>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49] </w:t>
      </w:r>
      <w:r w:rsidR="00393D90" w:rsidRPr="00393D90">
        <w:rPr>
          <w:rFonts w:ascii="Times New Roman" w:eastAsia="Aptos" w:hAnsi="Times New Roman" w:cs="Times New Roman"/>
          <w:color w:val="000000"/>
          <w:shd w:val="clear" w:color="auto" w:fill="FFFFFF"/>
        </w:rPr>
        <w:tab/>
        <w:t>Gallego, E., Fuentes, J.M., Wiącek, J., Villar, J.R. and Ayuga, F., 2019, “DEM analysis of the flow and friction of spherical particles in steel silos with corrugated walls,” </w:t>
      </w:r>
      <w:r w:rsidR="00393D90" w:rsidRPr="00393D90">
        <w:rPr>
          <w:rFonts w:ascii="Times New Roman" w:eastAsia="Aptos" w:hAnsi="Times New Roman" w:cs="Times New Roman"/>
          <w:i/>
          <w:iCs/>
          <w:color w:val="000000"/>
          <w:shd w:val="clear" w:color="auto" w:fill="FFFFFF"/>
        </w:rPr>
        <w:t>Powder Technology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355</w:t>
      </w:r>
      <w:r w:rsidR="00393D90" w:rsidRPr="00393D90">
        <w:rPr>
          <w:rFonts w:ascii="Times New Roman" w:eastAsia="Aptos" w:hAnsi="Times New Roman" w:cs="Times New Roman"/>
          <w:color w:val="000000"/>
          <w:shd w:val="clear" w:color="auto" w:fill="FFFFFF"/>
        </w:rPr>
        <w:t>, pp.425-437.</w:t>
      </w:r>
      <w:r w:rsidR="00393D90" w:rsidRPr="00393D90">
        <w:rPr>
          <w:rFonts w:ascii="Times New Roman" w:eastAsia="Aptos" w:hAnsi="Times New Roman" w:cs="Times New Roman"/>
          <w:color w:val="000000"/>
        </w:rPr>
        <w:t xml:space="preserve"> https://doi.org/10.1016/j.powtec.2019.07.072.</w:t>
      </w:r>
    </w:p>
    <w:p w14:paraId="7D37385C" w14:textId="3DB3A771" w:rsidR="00393D90" w:rsidRPr="00393D90" w:rsidRDefault="00EA4E2B" w:rsidP="008F5202">
      <w:pPr>
        <w:tabs>
          <w:tab w:val="left" w:pos="384"/>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50] </w:t>
      </w:r>
      <w:r w:rsidR="00393D90" w:rsidRPr="00393D90">
        <w:rPr>
          <w:rFonts w:ascii="Times New Roman" w:eastAsia="Aptos" w:hAnsi="Times New Roman" w:cs="Times New Roman"/>
          <w:color w:val="000000"/>
          <w:shd w:val="clear" w:color="auto" w:fill="FFFFFF"/>
        </w:rPr>
        <w:tab/>
      </w:r>
      <w:r w:rsidR="00393D90" w:rsidRPr="00393D90">
        <w:rPr>
          <w:rFonts w:ascii="Times New Roman" w:eastAsia="Aptos" w:hAnsi="Times New Roman" w:cs="Times New Roman"/>
          <w:color w:val="000000"/>
          <w:shd w:val="clear" w:color="auto" w:fill="FFFFFF"/>
        </w:rPr>
        <w:tab/>
        <w:t>Washino, K., Chan, E.L., Miyazaki, K., Tsuji, T. and Tanaka, T., 2016, “Time step criteria in DEM simulation of wet particles in viscosity dominant systems,” </w:t>
      </w:r>
      <w:r w:rsidR="00393D90" w:rsidRPr="00393D90">
        <w:rPr>
          <w:rFonts w:ascii="Times New Roman" w:eastAsia="Aptos" w:hAnsi="Times New Roman" w:cs="Times New Roman"/>
          <w:i/>
          <w:iCs/>
          <w:color w:val="000000"/>
          <w:shd w:val="clear" w:color="auto" w:fill="FFFFFF"/>
        </w:rPr>
        <w:t>Powder Technology</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302</w:t>
      </w:r>
      <w:r w:rsidR="00393D90" w:rsidRPr="00393D90">
        <w:rPr>
          <w:rFonts w:ascii="Times New Roman" w:eastAsia="Aptos" w:hAnsi="Times New Roman" w:cs="Times New Roman"/>
          <w:color w:val="000000"/>
          <w:shd w:val="clear" w:color="auto" w:fill="FFFFFF"/>
        </w:rPr>
        <w:t>, pp.100-107.</w:t>
      </w:r>
      <w:r w:rsidR="00393D90" w:rsidRPr="00393D90">
        <w:rPr>
          <w:rFonts w:ascii="Times New Roman" w:eastAsia="Aptos" w:hAnsi="Times New Roman" w:cs="Times New Roman"/>
          <w:color w:val="000000"/>
        </w:rPr>
        <w:t xml:space="preserve"> </w:t>
      </w:r>
      <w:hyperlink r:id="rId99" w:history="1">
        <w:r w:rsidR="00393D90" w:rsidRPr="00393D90">
          <w:rPr>
            <w:rFonts w:ascii="Times New Roman" w:eastAsia="Aptos" w:hAnsi="Times New Roman" w:cs="Times New Roman"/>
            <w:color w:val="000000"/>
          </w:rPr>
          <w:t>https://doi.org/10.1016/j.powtec.2016.08.018</w:t>
        </w:r>
      </w:hyperlink>
      <w:r w:rsidR="00393D90" w:rsidRPr="00393D90">
        <w:rPr>
          <w:rFonts w:ascii="Times New Roman" w:eastAsia="Aptos" w:hAnsi="Times New Roman" w:cs="Times New Roman"/>
          <w:color w:val="000000"/>
        </w:rPr>
        <w:t>.</w:t>
      </w:r>
    </w:p>
    <w:p w14:paraId="4A7A165B" w14:textId="77777777" w:rsidR="00393D90" w:rsidRPr="00393D90" w:rsidRDefault="00393D90" w:rsidP="008F5202">
      <w:pPr>
        <w:tabs>
          <w:tab w:val="left" w:pos="450"/>
          <w:tab w:val="left" w:pos="540"/>
        </w:tabs>
        <w:spacing w:line="360" w:lineRule="auto"/>
        <w:ind w:left="540" w:hanging="540"/>
        <w:rPr>
          <w:rFonts w:ascii="Times New Roman" w:eastAsia="Aptos" w:hAnsi="Times New Roman" w:cs="Times New Roman"/>
          <w:color w:val="000000"/>
        </w:rPr>
      </w:pPr>
    </w:p>
    <w:p w14:paraId="48B88862" w14:textId="0A77ACA1" w:rsidR="00393D90" w:rsidRPr="00393D90" w:rsidRDefault="00EA4E2B" w:rsidP="008F5202">
      <w:pPr>
        <w:tabs>
          <w:tab w:val="left" w:pos="450"/>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51]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000000"/>
          <w:shd w:val="clear" w:color="auto" w:fill="FFFFFF"/>
        </w:rPr>
        <w:t>Burns, S.J., Piiroinen, P.T. and Hanley, K.J., 2019, “Critical time step for DEM simulations of dynamic systems using a Hertzian contact model,” </w:t>
      </w:r>
      <w:r w:rsidR="00393D90" w:rsidRPr="00393D90">
        <w:rPr>
          <w:rFonts w:ascii="Times New Roman" w:eastAsia="Aptos" w:hAnsi="Times New Roman" w:cs="Times New Roman"/>
          <w:i/>
          <w:iCs/>
          <w:color w:val="000000"/>
          <w:shd w:val="clear" w:color="auto" w:fill="FFFFFF"/>
        </w:rPr>
        <w:t>International Journal for Numerical Methods in Engineering</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119</w:t>
      </w:r>
      <w:r w:rsidR="00393D90" w:rsidRPr="00393D90">
        <w:rPr>
          <w:rFonts w:ascii="Times New Roman" w:eastAsia="Aptos" w:hAnsi="Times New Roman" w:cs="Times New Roman"/>
          <w:color w:val="000000"/>
          <w:shd w:val="clear" w:color="auto" w:fill="FFFFFF"/>
        </w:rPr>
        <w:t>(5), pp.432-451.</w:t>
      </w:r>
      <w:r w:rsidR="00393D90" w:rsidRPr="00393D90">
        <w:rPr>
          <w:rFonts w:ascii="Times New Roman" w:eastAsia="Aptos" w:hAnsi="Times New Roman" w:cs="Times New Roman"/>
          <w:color w:val="000000"/>
        </w:rPr>
        <w:t xml:space="preserve"> </w:t>
      </w:r>
      <w:hyperlink r:id="rId100" w:history="1">
        <w:r w:rsidR="00393D90" w:rsidRPr="00393D90">
          <w:rPr>
            <w:rFonts w:ascii="Times New Roman" w:eastAsia="Aptos" w:hAnsi="Times New Roman" w:cs="Times New Roman"/>
            <w:color w:val="000000"/>
          </w:rPr>
          <w:t>https://doi.org/10.1002/nme.6056</w:t>
        </w:r>
      </w:hyperlink>
      <w:r w:rsidR="00393D90" w:rsidRPr="00393D90">
        <w:rPr>
          <w:rFonts w:ascii="Times New Roman" w:eastAsia="Aptos" w:hAnsi="Times New Roman" w:cs="Times New Roman"/>
          <w:color w:val="000000"/>
        </w:rPr>
        <w:t>.</w:t>
      </w:r>
    </w:p>
    <w:p w14:paraId="6A5503F2" w14:textId="55B0FE93" w:rsidR="00393D90" w:rsidRPr="00393D90" w:rsidRDefault="00EA4E2B" w:rsidP="008F5202">
      <w:pPr>
        <w:tabs>
          <w:tab w:val="left" w:pos="540"/>
        </w:tabs>
        <w:spacing w:line="360" w:lineRule="auto"/>
        <w:ind w:left="540" w:hanging="540"/>
        <w:rPr>
          <w:rFonts w:ascii="Times New Roman" w:eastAsia="Aptos" w:hAnsi="Times New Roman" w:cs="Times New Roman"/>
          <w:color w:val="000000"/>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52]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222222"/>
          <w:shd w:val="clear" w:color="auto" w:fill="FFFFFF"/>
        </w:rPr>
        <w:t>Paulick, M., Morgeneyer, M. and Kwade, A., 2015, “Review on the influence of elastic particle properties on DEM simulation results,” </w:t>
      </w:r>
      <w:r w:rsidR="00393D90" w:rsidRPr="00393D90">
        <w:rPr>
          <w:rFonts w:ascii="Times New Roman" w:eastAsia="Aptos" w:hAnsi="Times New Roman" w:cs="Times New Roman"/>
          <w:i/>
          <w:iCs/>
          <w:color w:val="222222"/>
          <w:shd w:val="clear" w:color="auto" w:fill="FFFFFF"/>
        </w:rPr>
        <w:t>Powder Technology</w:t>
      </w:r>
      <w:r w:rsidR="00393D90" w:rsidRPr="00393D90">
        <w:rPr>
          <w:rFonts w:ascii="Times New Roman" w:eastAsia="Aptos" w:hAnsi="Times New Roman" w:cs="Times New Roman"/>
          <w:color w:val="222222"/>
          <w:shd w:val="clear" w:color="auto" w:fill="FFFFFF"/>
        </w:rPr>
        <w:t>, </w:t>
      </w:r>
      <w:r w:rsidR="00393D90" w:rsidRPr="00393D90">
        <w:rPr>
          <w:rFonts w:ascii="Times New Roman" w:eastAsia="Aptos" w:hAnsi="Times New Roman" w:cs="Times New Roman"/>
          <w:i/>
          <w:iCs/>
          <w:color w:val="222222"/>
          <w:shd w:val="clear" w:color="auto" w:fill="FFFFFF"/>
        </w:rPr>
        <w:t>283</w:t>
      </w:r>
      <w:r w:rsidR="00393D90" w:rsidRPr="00393D90">
        <w:rPr>
          <w:rFonts w:ascii="Times New Roman" w:eastAsia="Aptos" w:hAnsi="Times New Roman" w:cs="Times New Roman"/>
          <w:color w:val="222222"/>
          <w:shd w:val="clear" w:color="auto" w:fill="FFFFFF"/>
        </w:rPr>
        <w:t>, pp.66-76</w:t>
      </w:r>
      <w:r w:rsidR="00393D90" w:rsidRPr="00393D90">
        <w:rPr>
          <w:rFonts w:ascii="Times New Roman" w:eastAsia="Aptos" w:hAnsi="Times New Roman" w:cs="Times New Roman"/>
          <w:color w:val="000000"/>
          <w:shd w:val="clear" w:color="auto" w:fill="FFFFFF"/>
        </w:rPr>
        <w:t xml:space="preserve">. </w:t>
      </w:r>
      <w:hyperlink r:id="rId101" w:history="1">
        <w:r w:rsidR="00393D90" w:rsidRPr="00393D90">
          <w:rPr>
            <w:rFonts w:ascii="Times New Roman" w:eastAsia="Aptos" w:hAnsi="Times New Roman" w:cs="Times New Roman"/>
            <w:color w:val="000000"/>
          </w:rPr>
          <w:t>https://doi.org/10.1016/j.powtec.2015.03.040</w:t>
        </w:r>
      </w:hyperlink>
      <w:r w:rsidR="00393D90" w:rsidRPr="00393D90">
        <w:rPr>
          <w:rFonts w:ascii="Times New Roman" w:eastAsia="Aptos" w:hAnsi="Times New Roman" w:cs="Times New Roman"/>
          <w:color w:val="000000"/>
        </w:rPr>
        <w:t>.</w:t>
      </w:r>
    </w:p>
    <w:p w14:paraId="5A854DC7" w14:textId="18A292D6" w:rsidR="00393D90" w:rsidRPr="00393D90" w:rsidRDefault="00EA4E2B" w:rsidP="008F5202">
      <w:pPr>
        <w:tabs>
          <w:tab w:val="left" w:pos="540"/>
        </w:tabs>
        <w:spacing w:line="360" w:lineRule="auto"/>
        <w:ind w:left="540" w:hanging="540"/>
        <w:rPr>
          <w:rFonts w:ascii="Times New Roman" w:eastAsia="Aptos" w:hAnsi="Times New Roman" w:cs="Times New Roman"/>
          <w:color w:val="222222"/>
          <w:shd w:val="clear" w:color="auto" w:fill="FFFFFF"/>
        </w:rPr>
      </w:pPr>
      <w:r w:rsidRPr="008F5202">
        <w:rPr>
          <w:rFonts w:ascii="Times New Roman" w:eastAsia="Aptos" w:hAnsi="Times New Roman" w:cs="Times New Roman"/>
          <w:color w:val="000000"/>
        </w:rPr>
        <w:t>[4</w:t>
      </w:r>
      <w:r w:rsidR="00393D90" w:rsidRPr="008F5202">
        <w:rPr>
          <w:rFonts w:ascii="Times New Roman" w:eastAsia="Aptos" w:hAnsi="Times New Roman" w:cs="Times New Roman"/>
          <w:color w:val="000000"/>
        </w:rPr>
        <w:t>.</w:t>
      </w:r>
      <w:r w:rsidR="00393D90" w:rsidRPr="00393D90">
        <w:rPr>
          <w:rFonts w:ascii="Times New Roman" w:eastAsia="Aptos" w:hAnsi="Times New Roman" w:cs="Times New Roman"/>
          <w:color w:val="000000"/>
        </w:rPr>
        <w:t xml:space="preserve">53] </w:t>
      </w:r>
      <w:r w:rsidR="00393D90" w:rsidRPr="00393D90">
        <w:rPr>
          <w:rFonts w:ascii="Times New Roman" w:eastAsia="Aptos" w:hAnsi="Times New Roman" w:cs="Times New Roman"/>
          <w:color w:val="000000"/>
        </w:rPr>
        <w:tab/>
      </w:r>
      <w:r w:rsidR="00393D90" w:rsidRPr="00393D90">
        <w:rPr>
          <w:rFonts w:ascii="Times New Roman" w:eastAsia="Aptos" w:hAnsi="Times New Roman" w:cs="Times New Roman"/>
          <w:color w:val="222222"/>
          <w:shd w:val="clear" w:color="auto" w:fill="FFFFFF"/>
        </w:rPr>
        <w:t>Zhou, Y.C., Xu, B.H., Yu, A.B. and Zulli, P., 2001, “</w:t>
      </w:r>
      <w:r w:rsidR="00393D90" w:rsidRPr="00393D90">
        <w:rPr>
          <w:rFonts w:ascii="Times New Roman" w:eastAsia="Aptos" w:hAnsi="Times New Roman" w:cs="Times New Roman"/>
          <w:color w:val="000000"/>
          <w:shd w:val="clear" w:color="auto" w:fill="FFFFFF"/>
        </w:rPr>
        <w:t>Numerical investigation of the angle of repose of monosized spheres,” </w:t>
      </w:r>
      <w:r w:rsidR="00393D90" w:rsidRPr="00393D90">
        <w:rPr>
          <w:rFonts w:ascii="Times New Roman" w:eastAsia="Aptos" w:hAnsi="Times New Roman" w:cs="Times New Roman"/>
          <w:i/>
          <w:iCs/>
          <w:color w:val="000000"/>
          <w:shd w:val="clear" w:color="auto" w:fill="FFFFFF"/>
        </w:rPr>
        <w:t>Physical Review E</w:t>
      </w:r>
      <w:r w:rsidR="00393D90" w:rsidRPr="00393D90">
        <w:rPr>
          <w:rFonts w:ascii="Times New Roman" w:eastAsia="Aptos" w:hAnsi="Times New Roman" w:cs="Times New Roman"/>
          <w:color w:val="000000"/>
          <w:shd w:val="clear" w:color="auto" w:fill="FFFFFF"/>
        </w:rPr>
        <w:t xml:space="preserve">, 64(2), p.021301. </w:t>
      </w:r>
      <w:hyperlink r:id="rId102" w:history="1">
        <w:r w:rsidR="00393D90" w:rsidRPr="00393D90">
          <w:rPr>
            <w:rFonts w:ascii="Times New Roman" w:eastAsia="Aptos" w:hAnsi="Times New Roman" w:cs="Times New Roman"/>
            <w:color w:val="000000"/>
          </w:rPr>
          <w:t>https://doi.org/10.1103/PhysRevE.64.021301</w:t>
        </w:r>
      </w:hyperlink>
      <w:r w:rsidR="00393D90" w:rsidRPr="00393D90">
        <w:rPr>
          <w:rFonts w:ascii="Times New Roman" w:eastAsia="Aptos" w:hAnsi="Times New Roman" w:cs="Times New Roman"/>
          <w:color w:val="000000"/>
          <w:shd w:val="clear" w:color="auto" w:fill="FFFFFF"/>
        </w:rPr>
        <w:t>.</w:t>
      </w:r>
    </w:p>
    <w:p w14:paraId="4705B697" w14:textId="6ECB5490" w:rsidR="00393D90" w:rsidRPr="00393D90" w:rsidRDefault="00EA4E2B" w:rsidP="008F5202">
      <w:pPr>
        <w:tabs>
          <w:tab w:val="left" w:pos="540"/>
        </w:tabs>
        <w:spacing w:line="360" w:lineRule="auto"/>
        <w:ind w:left="540" w:hanging="540"/>
        <w:rPr>
          <w:rFonts w:ascii="Times New Roman" w:eastAsia="Aptos" w:hAnsi="Times New Roman" w:cs="Times New Roman"/>
          <w:color w:val="000000"/>
          <w:shd w:val="clear" w:color="auto" w:fill="FCFCFC"/>
        </w:rPr>
      </w:pPr>
      <w:r w:rsidRPr="008F5202">
        <w:rPr>
          <w:rFonts w:ascii="Times New Roman" w:eastAsia="Aptos" w:hAnsi="Times New Roman" w:cs="Times New Roman"/>
          <w:color w:val="000000"/>
          <w:shd w:val="clear" w:color="auto" w:fill="FFFFFF"/>
        </w:rPr>
        <w:t>[4</w:t>
      </w:r>
      <w:r w:rsidR="00393D90" w:rsidRPr="008F5202">
        <w:rPr>
          <w:rFonts w:ascii="Times New Roman" w:eastAsia="Aptos" w:hAnsi="Times New Roman" w:cs="Times New Roman"/>
          <w:color w:val="000000"/>
          <w:shd w:val="clear" w:color="auto" w:fill="FFFFFF"/>
        </w:rPr>
        <w:t>.</w:t>
      </w:r>
      <w:r w:rsidR="00393D90" w:rsidRPr="00393D90">
        <w:rPr>
          <w:rFonts w:ascii="Times New Roman" w:eastAsia="Aptos" w:hAnsi="Times New Roman" w:cs="Times New Roman"/>
          <w:color w:val="000000"/>
          <w:shd w:val="clear" w:color="auto" w:fill="FFFFFF"/>
        </w:rPr>
        <w:t xml:space="preserve">54] </w:t>
      </w:r>
      <w:r w:rsidR="00393D90" w:rsidRPr="00393D90">
        <w:rPr>
          <w:rFonts w:ascii="Times New Roman" w:eastAsia="Aptos" w:hAnsi="Times New Roman" w:cs="Times New Roman"/>
          <w:color w:val="000000"/>
          <w:shd w:val="clear" w:color="auto" w:fill="FFFFFF"/>
        </w:rPr>
        <w:tab/>
        <w:t>Yan, Z., Wilkinson, S.K., Stitt, E.H. and Marigo, M.J.C.P.M., 2015, “Discrete element modelling (DEM) input parameters: understanding their impact on model predictions using statistical analysis,” </w:t>
      </w:r>
      <w:r w:rsidR="00393D90" w:rsidRPr="00393D90">
        <w:rPr>
          <w:rFonts w:ascii="Times New Roman" w:eastAsia="Aptos" w:hAnsi="Times New Roman" w:cs="Times New Roman"/>
          <w:i/>
          <w:iCs/>
          <w:color w:val="000000"/>
          <w:shd w:val="clear" w:color="auto" w:fill="FFFFFF"/>
        </w:rPr>
        <w:t>Computational Particle Mechanics</w:t>
      </w:r>
      <w:r w:rsidR="00393D90" w:rsidRPr="00393D90">
        <w:rPr>
          <w:rFonts w:ascii="Times New Roman" w:eastAsia="Aptos" w:hAnsi="Times New Roman" w:cs="Times New Roman"/>
          <w:color w:val="000000"/>
          <w:shd w:val="clear" w:color="auto" w:fill="FFFFFF"/>
        </w:rPr>
        <w:t>, </w:t>
      </w:r>
      <w:r w:rsidR="00393D90" w:rsidRPr="00393D90">
        <w:rPr>
          <w:rFonts w:ascii="Times New Roman" w:eastAsia="Aptos" w:hAnsi="Times New Roman" w:cs="Times New Roman"/>
          <w:i/>
          <w:iCs/>
          <w:color w:val="000000"/>
          <w:shd w:val="clear" w:color="auto" w:fill="FFFFFF"/>
        </w:rPr>
        <w:t>2</w:t>
      </w:r>
      <w:r w:rsidR="00393D90" w:rsidRPr="00393D90">
        <w:rPr>
          <w:rFonts w:ascii="Times New Roman" w:eastAsia="Aptos" w:hAnsi="Times New Roman" w:cs="Times New Roman"/>
          <w:color w:val="000000"/>
          <w:shd w:val="clear" w:color="auto" w:fill="FFFFFF"/>
        </w:rPr>
        <w:t xml:space="preserve">, pp.283-299. </w:t>
      </w:r>
      <w:hyperlink r:id="rId103" w:history="1">
        <w:r w:rsidR="00393D90" w:rsidRPr="00393D90">
          <w:rPr>
            <w:rFonts w:ascii="Times New Roman" w:eastAsia="Aptos" w:hAnsi="Times New Roman" w:cs="Times New Roman"/>
            <w:color w:val="000000"/>
          </w:rPr>
          <w:t>https://doi.org/10.1007/s40571-015-0056-5</w:t>
        </w:r>
      </w:hyperlink>
      <w:r w:rsidR="00393D90" w:rsidRPr="00393D90">
        <w:rPr>
          <w:rFonts w:ascii="Times New Roman" w:eastAsia="Aptos" w:hAnsi="Times New Roman" w:cs="Times New Roman"/>
          <w:color w:val="000000"/>
          <w:shd w:val="clear" w:color="auto" w:fill="FCFCFC"/>
        </w:rPr>
        <w:t>.</w:t>
      </w:r>
    </w:p>
    <w:p w14:paraId="413A9CE4" w14:textId="5D5A4841" w:rsidR="00352528" w:rsidRPr="008F5202" w:rsidRDefault="00EA4E2B" w:rsidP="008F5202">
      <w:pPr>
        <w:tabs>
          <w:tab w:val="left" w:pos="540"/>
        </w:tabs>
        <w:spacing w:line="360" w:lineRule="auto"/>
        <w:ind w:left="540" w:hanging="540"/>
        <w:rPr>
          <w:rFonts w:ascii="Times New Roman" w:hAnsi="Times New Roman" w:cs="Times New Roman"/>
          <w:color w:val="000000"/>
        </w:rPr>
      </w:pPr>
      <w:r w:rsidRPr="008F5202">
        <w:rPr>
          <w:rFonts w:ascii="Times New Roman" w:hAnsi="Times New Roman" w:cs="Times New Roman"/>
          <w:color w:val="000000"/>
          <w:shd w:val="clear" w:color="auto" w:fill="FCFCFC"/>
        </w:rPr>
        <w:t>[4</w:t>
      </w:r>
      <w:r w:rsidR="00393D90" w:rsidRPr="008F5202">
        <w:rPr>
          <w:rFonts w:ascii="Times New Roman" w:hAnsi="Times New Roman" w:cs="Times New Roman"/>
          <w:color w:val="000000"/>
          <w:shd w:val="clear" w:color="auto" w:fill="FCFCFC"/>
        </w:rPr>
        <w:t>.</w:t>
      </w:r>
      <w:r w:rsidR="00393D90" w:rsidRPr="00393D90">
        <w:rPr>
          <w:rFonts w:ascii="Times New Roman" w:hAnsi="Times New Roman" w:cs="Times New Roman"/>
          <w:color w:val="000000"/>
          <w:shd w:val="clear" w:color="auto" w:fill="FCFCFC"/>
        </w:rPr>
        <w:t xml:space="preserve">55] </w:t>
      </w:r>
      <w:r w:rsidR="00393D90" w:rsidRPr="00393D90">
        <w:rPr>
          <w:rFonts w:ascii="Times New Roman" w:hAnsi="Times New Roman" w:cs="Times New Roman"/>
          <w:color w:val="000000"/>
          <w:shd w:val="clear" w:color="auto" w:fill="FCFCFC"/>
        </w:rPr>
        <w:tab/>
      </w:r>
      <w:r w:rsidR="00393D90" w:rsidRPr="00393D90">
        <w:rPr>
          <w:rFonts w:ascii="Times New Roman" w:hAnsi="Times New Roman" w:cs="Times New Roman"/>
          <w:color w:val="000000"/>
          <w:shd w:val="clear" w:color="auto" w:fill="FFFFFF"/>
        </w:rPr>
        <w:t>Xu, Y., Kafui, K.D., Thornton, C. and Lian, G., 2002. Effects of material properties on granular flow in a silo using DEM simulation. </w:t>
      </w:r>
      <w:r w:rsidR="00393D90" w:rsidRPr="00393D90">
        <w:rPr>
          <w:rFonts w:ascii="Times New Roman" w:hAnsi="Times New Roman" w:cs="Times New Roman"/>
          <w:i/>
          <w:iCs/>
          <w:color w:val="000000"/>
          <w:shd w:val="clear" w:color="auto" w:fill="FFFFFF"/>
        </w:rPr>
        <w:t>Particulate Science and Technology</w:t>
      </w:r>
      <w:r w:rsidR="00393D90" w:rsidRPr="00393D90">
        <w:rPr>
          <w:rFonts w:ascii="Times New Roman" w:hAnsi="Times New Roman" w:cs="Times New Roman"/>
          <w:color w:val="000000"/>
          <w:shd w:val="clear" w:color="auto" w:fill="FFFFFF"/>
        </w:rPr>
        <w:t>, </w:t>
      </w:r>
      <w:r w:rsidR="00393D90" w:rsidRPr="00393D90">
        <w:rPr>
          <w:rFonts w:ascii="Times New Roman" w:hAnsi="Times New Roman" w:cs="Times New Roman"/>
          <w:i/>
          <w:iCs/>
          <w:color w:val="000000"/>
          <w:shd w:val="clear" w:color="auto" w:fill="FFFFFF"/>
        </w:rPr>
        <w:t>20</w:t>
      </w:r>
      <w:r w:rsidR="00393D90" w:rsidRPr="00393D90">
        <w:rPr>
          <w:rFonts w:ascii="Times New Roman" w:hAnsi="Times New Roman" w:cs="Times New Roman"/>
          <w:color w:val="000000"/>
          <w:shd w:val="clear" w:color="auto" w:fill="FFFFFF"/>
        </w:rPr>
        <w:t xml:space="preserve">(2), pp.109-124. </w:t>
      </w:r>
      <w:hyperlink r:id="rId104" w:history="1">
        <w:r w:rsidR="00393D90" w:rsidRPr="00393D90">
          <w:rPr>
            <w:rFonts w:ascii="Times New Roman" w:hAnsi="Times New Roman" w:cs="Times New Roman"/>
            <w:color w:val="000000"/>
          </w:rPr>
          <w:t>https://doi.org/10.1080/02726350215338</w:t>
        </w:r>
      </w:hyperlink>
      <w:r w:rsidR="00393D90" w:rsidRPr="00393D90">
        <w:rPr>
          <w:rFonts w:ascii="Times New Roman" w:hAnsi="Times New Roman" w:cs="Times New Roman"/>
          <w:color w:val="000000"/>
        </w:rPr>
        <w:t>.</w:t>
      </w:r>
      <w:r w:rsidR="00352528" w:rsidRPr="008F5202">
        <w:rPr>
          <w:rFonts w:ascii="Times New Roman" w:hAnsi="Times New Roman" w:cs="Times New Roman"/>
          <w:color w:val="000000"/>
        </w:rPr>
        <w:br w:type="page"/>
      </w:r>
    </w:p>
    <w:p w14:paraId="2E591B53" w14:textId="77777777" w:rsidR="00393D90" w:rsidRPr="00393D90" w:rsidRDefault="00393D90" w:rsidP="00352528">
      <w:pPr>
        <w:tabs>
          <w:tab w:val="left" w:pos="540"/>
        </w:tabs>
        <w:spacing w:before="100" w:beforeAutospacing="1" w:after="100" w:afterAutospacing="1" w:line="360" w:lineRule="auto"/>
        <w:ind w:left="540" w:hanging="540"/>
        <w:rPr>
          <w:rFonts w:ascii="Times New Roman" w:hAnsi="Times New Roman" w:cs="Times New Roman"/>
          <w:color w:val="000000"/>
        </w:rPr>
      </w:pPr>
    </w:p>
    <w:p w14:paraId="345F3B72" w14:textId="1806A4B5" w:rsidR="00352528" w:rsidRPr="008F5202" w:rsidRDefault="00FE12BA" w:rsidP="00AF1AFB">
      <w:pPr>
        <w:pStyle w:val="Heading1"/>
      </w:pPr>
      <w:bookmarkStart w:id="205" w:name="_Toc177758192"/>
      <w:r>
        <w:t>:</w:t>
      </w:r>
      <w:r w:rsidR="00352528" w:rsidRPr="008F5202">
        <w:br/>
      </w:r>
      <w:r w:rsidR="00352528" w:rsidRPr="008F5202">
        <w:t>Heat Transfer Characteristics of Particle and Air Flow Through Additively Manufactured Lattice Frame Material Based on Octet-Shape Topology</w:t>
      </w:r>
      <w:bookmarkEnd w:id="205"/>
    </w:p>
    <w:p w14:paraId="63B2A668" w14:textId="77777777" w:rsidR="00352528" w:rsidRPr="008F5202" w:rsidRDefault="00352528" w:rsidP="00352528">
      <w:pPr>
        <w:pStyle w:val="Heading2"/>
      </w:pPr>
      <w:bookmarkStart w:id="206" w:name="_Toc177758193"/>
      <w:r w:rsidRPr="008F5202">
        <w:t>Abstract</w:t>
      </w:r>
      <w:bookmarkEnd w:id="206"/>
    </w:p>
    <w:p w14:paraId="57A6CEDA" w14:textId="77777777" w:rsidR="00352528" w:rsidRPr="008F5202" w:rsidRDefault="00352528" w:rsidP="00352528">
      <w:pPr>
        <w:rPr>
          <w:rFonts w:ascii="Times New Roman" w:hAnsi="Times New Roman" w:cs="Times New Roman"/>
        </w:rPr>
      </w:pPr>
    </w:p>
    <w:p w14:paraId="069C1442" w14:textId="355A70B1" w:rsidR="00352528" w:rsidRPr="008F5202" w:rsidRDefault="00352528" w:rsidP="00352528">
      <w:pPr>
        <w:spacing w:line="360" w:lineRule="auto"/>
        <w:rPr>
          <w:rFonts w:ascii="Times New Roman" w:hAnsi="Times New Roman" w:cs="Times New Roman"/>
        </w:rPr>
      </w:pPr>
      <w:r w:rsidRPr="008F5202">
        <w:rPr>
          <w:rFonts w:ascii="Times New Roman" w:hAnsi="Times New Roman" w:cs="Times New Roman"/>
        </w:rPr>
        <w:t xml:space="preserve">Particle-to-supercritical carbon dioxide (sCO2) heat exchanger is a critical component in next-generation concentrating solar power (CSP) plants. The inherently low heat transfer between falling particles and sCO2 imposes a challenge towards economic justification of levelized cost of electricity produced through solar energy. Introduction of integrated porous media with the walls bounding particle flow has the potential to enhance the overall particle-to-sCO2 heat exchanger performance. This paper presents an experimental study on heat transfer characterization of additively manufactured lattice frame material based on Octet-shaped unit cell with particles and air as working fluids. The lattice structures were additively manufactured in Stainless Steel (SS) 316L and SS420 (with 40% bronze infiltration) via Binder jetting process, where the lattice porosities were varied between 0.75 and 0.9. The mean particle diameters were varied from 266-966 μm. The effective thermal conductivity and averaged heat transfer coefficient were determined through steady-state experiments. It was found that the presence of lattice enhances the effective thermal conductivity by 2-4 times when compared to packed bed of particles alone. Furthermore, for gravity-assisted particle flow through lattice panel, significantly high convective heat transfer coefficients ranging from </w:t>
      </w:r>
      <w:r w:rsidRPr="008F5202">
        <w:rPr>
          <w:rFonts w:ascii="Times New Roman" w:hAnsi="Times New Roman" w:cs="Times New Roman"/>
        </w:rPr>
        <w:lastRenderedPageBreak/>
        <w:t>200-400 W/m2K were obtained for the range of particle diameters tested. The superior thermal transport properties of Octet-shape-based lattice frame for particle flow makes it a very promising candidate for particle-to-sCO2 heat exchanger for CSP application.</w:t>
      </w:r>
    </w:p>
    <w:p w14:paraId="7083427D" w14:textId="36B8C762" w:rsidR="00352528" w:rsidRPr="008F5202" w:rsidRDefault="00352528" w:rsidP="00352528">
      <w:pPr>
        <w:pStyle w:val="Heading2"/>
      </w:pPr>
      <w:bookmarkStart w:id="207" w:name="_Toc177758194"/>
      <w:r w:rsidRPr="008F5202">
        <w:t>Introduction</w:t>
      </w:r>
      <w:bookmarkEnd w:id="207"/>
    </w:p>
    <w:p w14:paraId="6AA3BE33" w14:textId="10874A87" w:rsidR="00352528" w:rsidRPr="008F5202" w:rsidRDefault="00352528" w:rsidP="00352528">
      <w:pPr>
        <w:spacing w:line="360" w:lineRule="auto"/>
        <w:ind w:firstLine="360"/>
        <w:contextualSpacing/>
        <w:jc w:val="both"/>
        <w:rPr>
          <w:rFonts w:ascii="Times New Roman" w:hAnsi="Times New Roman" w:cs="Times New Roman"/>
        </w:rPr>
      </w:pPr>
      <w:r w:rsidRPr="008F5202">
        <w:rPr>
          <w:rFonts w:ascii="Times New Roman" w:hAnsi="Times New Roman" w:cs="Times New Roman"/>
        </w:rPr>
        <w:t>Supercritical carbon dioxide (sCO</w:t>
      </w:r>
      <w:r w:rsidRPr="008F5202">
        <w:rPr>
          <w:rFonts w:ascii="Times New Roman" w:hAnsi="Times New Roman" w:cs="Times New Roman"/>
          <w:vertAlign w:val="subscript"/>
        </w:rPr>
        <w:t>2</w:t>
      </w:r>
      <w:r w:rsidRPr="008F5202">
        <w:rPr>
          <w:rFonts w:ascii="Times New Roman" w:hAnsi="Times New Roman" w:cs="Times New Roman"/>
        </w:rPr>
        <w:t xml:space="preserve">)-based Brayton cycle has the potential for higher efficiency (&gt;50%) compared to steam-based Rankine cycles at concentrated solar power (CSP) relevant temperatures </w:t>
      </w:r>
      <w:r w:rsidR="00C544AE" w:rsidRPr="008F5202">
        <w:rPr>
          <w:rFonts w:ascii="Times New Roman" w:hAnsi="Times New Roman" w:cs="Times New Roman"/>
        </w:rPr>
        <w:t>[5</w:t>
      </w:r>
      <w:r w:rsidRPr="008F5202">
        <w:rPr>
          <w:rFonts w:ascii="Times New Roman" w:hAnsi="Times New Roman" w:cs="Times New Roman"/>
        </w:rPr>
        <w:t>.1]</w:t>
      </w:r>
      <w:r w:rsidRPr="008F5202">
        <w:rPr>
          <w:rFonts w:ascii="Times New Roman" w:hAnsi="Times New Roman" w:cs="Times New Roman"/>
        </w:rPr>
        <w:t xml:space="preserve"> because of its high temperature operability. The sCO</w:t>
      </w:r>
      <w:r w:rsidRPr="008F5202">
        <w:rPr>
          <w:rFonts w:ascii="Times New Roman" w:hAnsi="Times New Roman" w:cs="Times New Roman"/>
          <w:vertAlign w:val="subscript"/>
        </w:rPr>
        <w:t xml:space="preserve">2  </w:t>
      </w:r>
      <w:r w:rsidRPr="008F5202">
        <w:rPr>
          <w:rFonts w:ascii="Times New Roman" w:hAnsi="Times New Roman" w:cs="Times New Roman"/>
        </w:rPr>
        <w:t xml:space="preserve">process has relatively simpler turbomachinery and offers lower installment, maintenance, and operational costs </w:t>
      </w:r>
      <w:r w:rsidR="00C544AE" w:rsidRPr="008F5202">
        <w:rPr>
          <w:rFonts w:ascii="Times New Roman" w:hAnsi="Times New Roman" w:cs="Times New Roman"/>
        </w:rPr>
        <w:t>[5</w:t>
      </w:r>
      <w:r w:rsidRPr="008F5202">
        <w:rPr>
          <w:rFonts w:ascii="Times New Roman" w:hAnsi="Times New Roman" w:cs="Times New Roman"/>
        </w:rPr>
        <w:t>.2]</w:t>
      </w:r>
      <w:r w:rsidRPr="008F5202">
        <w:rPr>
          <w:rFonts w:ascii="Times New Roman" w:hAnsi="Times New Roman" w:cs="Times New Roman"/>
        </w:rPr>
        <w:t xml:space="preserve">. CSP Gen3 technology identifies three pathways, viz. molten salt, gas-phase and falling particles </w:t>
      </w:r>
      <w:r w:rsidR="00C544AE" w:rsidRPr="008F5202">
        <w:rPr>
          <w:rFonts w:ascii="Times New Roman" w:hAnsi="Times New Roman" w:cs="Times New Roman"/>
        </w:rPr>
        <w:t>[5</w:t>
      </w:r>
      <w:r w:rsidRPr="008F5202">
        <w:rPr>
          <w:rFonts w:ascii="Times New Roman" w:hAnsi="Times New Roman" w:cs="Times New Roman"/>
        </w:rPr>
        <w:t>.2]</w:t>
      </w:r>
      <w:r w:rsidRPr="008F5202">
        <w:rPr>
          <w:rFonts w:ascii="Times New Roman" w:hAnsi="Times New Roman" w:cs="Times New Roman"/>
        </w:rPr>
        <w:t xml:space="preserve"> to develop sCO</w:t>
      </w:r>
      <w:r w:rsidRPr="008F5202">
        <w:rPr>
          <w:rFonts w:ascii="Times New Roman" w:hAnsi="Times New Roman" w:cs="Times New Roman"/>
          <w:vertAlign w:val="subscript"/>
        </w:rPr>
        <w:t>2</w:t>
      </w:r>
      <w:r w:rsidRPr="008F5202">
        <w:rPr>
          <w:rFonts w:ascii="Times New Roman" w:hAnsi="Times New Roman" w:cs="Times New Roman"/>
        </w:rPr>
        <w:t xml:space="preserve">-based heat exchangers that can operate efficiently at CSP relevant temperatures while being both reliable and cost effective. Liquified nitrate salts can be operated at temperatures up to 565ºC </w:t>
      </w:r>
      <w:r w:rsidR="00C544AE" w:rsidRPr="008F5202">
        <w:rPr>
          <w:rFonts w:ascii="Times New Roman" w:hAnsi="Times New Roman" w:cs="Times New Roman"/>
        </w:rPr>
        <w:t>[5</w:t>
      </w:r>
      <w:r w:rsidR="007B7C54" w:rsidRPr="008F5202">
        <w:rPr>
          <w:rFonts w:ascii="Times New Roman" w:hAnsi="Times New Roman" w:cs="Times New Roman"/>
        </w:rPr>
        <w:t>.3]</w:t>
      </w:r>
      <w:r w:rsidRPr="008F5202">
        <w:rPr>
          <w:rFonts w:ascii="Times New Roman" w:hAnsi="Times New Roman" w:cs="Times New Roman"/>
        </w:rPr>
        <w:t xml:space="preserve"> while chloride salts can go up to 700ºC under practical considerations </w:t>
      </w:r>
      <w:r w:rsidR="00C544AE" w:rsidRPr="008F5202">
        <w:rPr>
          <w:rFonts w:ascii="Times New Roman" w:hAnsi="Times New Roman" w:cs="Times New Roman"/>
        </w:rPr>
        <w:t>[5</w:t>
      </w:r>
      <w:r w:rsidR="007B7C54" w:rsidRPr="008F5202">
        <w:rPr>
          <w:rFonts w:ascii="Times New Roman" w:hAnsi="Times New Roman" w:cs="Times New Roman"/>
        </w:rPr>
        <w:t>.2]</w:t>
      </w:r>
      <w:r w:rsidRPr="008F5202">
        <w:rPr>
          <w:rFonts w:ascii="Times New Roman" w:hAnsi="Times New Roman" w:cs="Times New Roman"/>
        </w:rPr>
        <w:t xml:space="preserve">, however, corrosion to stainless steel medium is of major concern in the case of chloride salts </w:t>
      </w:r>
      <w:r w:rsidR="00C544AE" w:rsidRPr="008F5202">
        <w:rPr>
          <w:rFonts w:ascii="Times New Roman" w:hAnsi="Times New Roman" w:cs="Times New Roman"/>
        </w:rPr>
        <w:t>[5</w:t>
      </w:r>
      <w:r w:rsidR="007B7C54" w:rsidRPr="008F5202">
        <w:rPr>
          <w:rFonts w:ascii="Times New Roman" w:hAnsi="Times New Roman" w:cs="Times New Roman"/>
        </w:rPr>
        <w:t>.4]</w:t>
      </w:r>
      <w:r w:rsidRPr="008F5202">
        <w:rPr>
          <w:rFonts w:ascii="Times New Roman" w:hAnsi="Times New Roman" w:cs="Times New Roman"/>
        </w:rPr>
        <w:t xml:space="preserve">. In context with the above drawbacks of molten salt, particles are considered an attractive solution. Particles such as bauxite and silica sand can be directly heated up to 1000ºC and above, in the receiver section through a heliostat field </w:t>
      </w:r>
      <w:r w:rsidR="00C544AE" w:rsidRPr="008F5202">
        <w:rPr>
          <w:rFonts w:ascii="Times New Roman" w:hAnsi="Times New Roman" w:cs="Times New Roman"/>
        </w:rPr>
        <w:t>[5</w:t>
      </w:r>
      <w:r w:rsidR="007B7C54" w:rsidRPr="008F5202">
        <w:rPr>
          <w:rFonts w:ascii="Times New Roman" w:hAnsi="Times New Roman" w:cs="Times New Roman"/>
        </w:rPr>
        <w:t>.5]</w:t>
      </w:r>
      <w:r w:rsidRPr="008F5202">
        <w:rPr>
          <w:rFonts w:ascii="Times New Roman" w:hAnsi="Times New Roman" w:cs="Times New Roman"/>
        </w:rPr>
        <w:t xml:space="preserve">. There have been several investigations on particle-based receiver designs </w:t>
      </w:r>
      <w:r w:rsidR="00C544AE" w:rsidRPr="008F5202">
        <w:rPr>
          <w:rFonts w:ascii="Times New Roman" w:hAnsi="Times New Roman" w:cs="Times New Roman"/>
        </w:rPr>
        <w:t>[5</w:t>
      </w:r>
      <w:r w:rsidR="007B7C54" w:rsidRPr="008F5202">
        <w:rPr>
          <w:rFonts w:ascii="Times New Roman" w:hAnsi="Times New Roman" w:cs="Times New Roman"/>
        </w:rPr>
        <w:t>.5-</w:t>
      </w:r>
      <w:r w:rsidR="00C544AE" w:rsidRPr="008F5202">
        <w:rPr>
          <w:rFonts w:ascii="Times New Roman" w:hAnsi="Times New Roman" w:cs="Times New Roman"/>
        </w:rPr>
        <w:t>5</w:t>
      </w:r>
      <w:r w:rsidR="007B7C54" w:rsidRPr="008F5202">
        <w:rPr>
          <w:rFonts w:ascii="Times New Roman" w:hAnsi="Times New Roman" w:cs="Times New Roman"/>
        </w:rPr>
        <w:t>.12]</w:t>
      </w:r>
      <w:r w:rsidRPr="008F5202">
        <w:rPr>
          <w:rFonts w:ascii="Times New Roman" w:hAnsi="Times New Roman" w:cs="Times New Roman"/>
        </w:rPr>
        <w:t xml:space="preserve">. Heated particles can then be driven with the help of gravity from the central receiver to a particle storage container or directly to a heat exchanger. </w:t>
      </w:r>
    </w:p>
    <w:p w14:paraId="26C4A530" w14:textId="77777777" w:rsidR="00352528" w:rsidRPr="008F5202" w:rsidRDefault="00352528" w:rsidP="00352528">
      <w:pPr>
        <w:spacing w:line="360" w:lineRule="auto"/>
        <w:ind w:firstLine="360"/>
        <w:contextualSpacing/>
        <w:jc w:val="both"/>
        <w:rPr>
          <w:rFonts w:ascii="Times New Roman" w:hAnsi="Times New Roman" w:cs="Times New Roman"/>
        </w:rPr>
      </w:pPr>
    </w:p>
    <w:p w14:paraId="6101E32D" w14:textId="1AEACBA1" w:rsidR="00352528" w:rsidRPr="008F5202" w:rsidRDefault="00352528" w:rsidP="00352528">
      <w:pPr>
        <w:spacing w:line="360" w:lineRule="auto"/>
        <w:ind w:firstLine="360"/>
        <w:contextualSpacing/>
        <w:jc w:val="both"/>
        <w:rPr>
          <w:rFonts w:ascii="Times New Roman" w:hAnsi="Times New Roman" w:cs="Times New Roman"/>
        </w:rPr>
      </w:pPr>
      <w:r w:rsidRPr="008F5202">
        <w:rPr>
          <w:rFonts w:ascii="Times New Roman" w:hAnsi="Times New Roman" w:cs="Times New Roman"/>
        </w:rPr>
        <w:t>Particle-to-sCO</w:t>
      </w:r>
      <w:r w:rsidRPr="008F5202">
        <w:rPr>
          <w:rFonts w:ascii="Times New Roman" w:hAnsi="Times New Roman" w:cs="Times New Roman"/>
          <w:vertAlign w:val="subscript"/>
        </w:rPr>
        <w:t>2</w:t>
      </w:r>
      <w:r w:rsidRPr="008F5202">
        <w:rPr>
          <w:rFonts w:ascii="Times New Roman" w:hAnsi="Times New Roman" w:cs="Times New Roman"/>
        </w:rPr>
        <w:t xml:space="preserve"> heat exchangers have been identified as one of the most crucial components demanding innovation to achieve the CSP Levelized Cost of Electricity (LCoE) targets of $0.05/kWh by 2030 </w:t>
      </w:r>
      <w:r w:rsidR="00C544AE" w:rsidRPr="008F5202">
        <w:rPr>
          <w:rFonts w:ascii="Times New Roman" w:hAnsi="Times New Roman" w:cs="Times New Roman"/>
        </w:rPr>
        <w:t>[5</w:t>
      </w:r>
      <w:r w:rsidR="007B7C54" w:rsidRPr="008F5202">
        <w:rPr>
          <w:rFonts w:ascii="Times New Roman" w:hAnsi="Times New Roman" w:cs="Times New Roman"/>
        </w:rPr>
        <w:t>.2]</w:t>
      </w:r>
      <w:r w:rsidRPr="008F5202">
        <w:rPr>
          <w:rFonts w:ascii="Times New Roman" w:hAnsi="Times New Roman" w:cs="Times New Roman"/>
        </w:rPr>
        <w:t xml:space="preserve">. The simplest particle heat exchangers can be in the form of tube bundles, where the fluid such as air or water passes inside the tubes and a heated packed bed of particles is driven around the tubes, thus heating the fluid. This type of heat exchanger is known to have a highly localized heat transfer coefficient in which only the sides of the tubes benefit from the movement of the packed bed while the top and bottom of each tube get lower heat transfer </w:t>
      </w:r>
      <w:r w:rsidR="00C544AE" w:rsidRPr="008F5202">
        <w:rPr>
          <w:rFonts w:ascii="Times New Roman" w:hAnsi="Times New Roman" w:cs="Times New Roman"/>
        </w:rPr>
        <w:t>[5</w:t>
      </w:r>
      <w:r w:rsidR="007B7C54" w:rsidRPr="008F5202">
        <w:rPr>
          <w:rFonts w:ascii="Times New Roman" w:hAnsi="Times New Roman" w:cs="Times New Roman"/>
        </w:rPr>
        <w:t>.13]</w:t>
      </w:r>
      <w:r w:rsidRPr="008F5202">
        <w:rPr>
          <w:rFonts w:ascii="Times New Roman" w:hAnsi="Times New Roman" w:cs="Times New Roman"/>
        </w:rPr>
        <w:t xml:space="preserve">. More efficient heat exchangers such as shell-and-plate and shell-and-tube have also been considered for particle-to-fluid </w:t>
      </w:r>
      <w:r w:rsidRPr="008F5202">
        <w:rPr>
          <w:rFonts w:ascii="Times New Roman" w:hAnsi="Times New Roman" w:cs="Times New Roman"/>
        </w:rPr>
        <w:lastRenderedPageBreak/>
        <w:t>applications. Tian et al.</w:t>
      </w:r>
      <w:r w:rsidR="007B7C54" w:rsidRPr="008F5202">
        <w:rPr>
          <w:rFonts w:ascii="Times New Roman" w:hAnsi="Times New Roman" w:cs="Times New Roman"/>
        </w:rPr>
        <w:t xml:space="preserve"> </w:t>
      </w:r>
      <w:r w:rsidR="00C544AE" w:rsidRPr="008F5202">
        <w:rPr>
          <w:rFonts w:ascii="Times New Roman" w:hAnsi="Times New Roman" w:cs="Times New Roman"/>
        </w:rPr>
        <w:t>[5</w:t>
      </w:r>
      <w:r w:rsidR="007B7C54" w:rsidRPr="008F5202">
        <w:rPr>
          <w:rFonts w:ascii="Times New Roman" w:hAnsi="Times New Roman" w:cs="Times New Roman"/>
        </w:rPr>
        <w:t>.14]</w:t>
      </w:r>
      <w:r w:rsidRPr="008F5202">
        <w:rPr>
          <w:rFonts w:ascii="Times New Roman" w:hAnsi="Times New Roman" w:cs="Times New Roman"/>
        </w:rPr>
        <w:t xml:space="preserve"> suggested a novel tube shape for implementation in shell-and-tube particle heat exchanger, where the elliptical shaped tube enhanced heat transfer at the top and bottom of the tube (compared to circular shape) by 42% and 53%, respectively. Experimental study done by Maskalunas et al. </w:t>
      </w:r>
      <w:r w:rsidR="00C544AE" w:rsidRPr="008F5202">
        <w:rPr>
          <w:rFonts w:ascii="Times New Roman" w:hAnsi="Times New Roman" w:cs="Times New Roman"/>
        </w:rPr>
        <w:t>[5</w:t>
      </w:r>
      <w:r w:rsidR="007B7C54" w:rsidRPr="008F5202">
        <w:rPr>
          <w:rFonts w:ascii="Times New Roman" w:hAnsi="Times New Roman" w:cs="Times New Roman"/>
        </w:rPr>
        <w:t>.15]</w:t>
      </w:r>
      <w:r w:rsidRPr="008F5202">
        <w:rPr>
          <w:rFonts w:ascii="Times New Roman" w:hAnsi="Times New Roman" w:cs="Times New Roman"/>
        </w:rPr>
        <w:t xml:space="preserve"> showed that the heat transfer coefficient between silica particles and the surface of a parallel plate heat exchanger can vary between 200-250 W/m</w:t>
      </w:r>
      <w:r w:rsidRPr="008F5202">
        <w:rPr>
          <w:rFonts w:ascii="Times New Roman" w:hAnsi="Times New Roman" w:cs="Times New Roman"/>
          <w:vertAlign w:val="superscript"/>
        </w:rPr>
        <w:t>2</w:t>
      </w:r>
      <w:r w:rsidRPr="008F5202">
        <w:rPr>
          <w:rFonts w:ascii="Times New Roman" w:hAnsi="Times New Roman" w:cs="Times New Roman"/>
        </w:rPr>
        <w:t xml:space="preserve">K. Parallel plate heat exchangers can be easily manufactured from high performance materials such as stainless steel and zirconium carbide composite for high temperature and pressure applications. These materials can be diffusion bonded to create very compact heat exchangers known as printed circuit heat exchangers (PCHEs) </w:t>
      </w:r>
      <w:r w:rsidR="00C544AE" w:rsidRPr="008F5202">
        <w:rPr>
          <w:rFonts w:ascii="Times New Roman" w:hAnsi="Times New Roman" w:cs="Times New Roman"/>
        </w:rPr>
        <w:t>[5</w:t>
      </w:r>
      <w:r w:rsidR="007B7C54" w:rsidRPr="008F5202">
        <w:rPr>
          <w:rFonts w:ascii="Times New Roman" w:hAnsi="Times New Roman" w:cs="Times New Roman"/>
        </w:rPr>
        <w:t>.4]</w:t>
      </w:r>
      <w:r w:rsidRPr="008F5202">
        <w:rPr>
          <w:rFonts w:ascii="Times New Roman" w:hAnsi="Times New Roman" w:cs="Times New Roman"/>
        </w:rPr>
        <w:t xml:space="preserve">. In an evaluation study, based on factors such as thermal transport capabilities, heat exchanger’s structural integrity and its manufacturability, as well as scalability and erosion characteristics,  shell-and-plate design was demonstrated to be the best </w:t>
      </w:r>
      <w:r w:rsidR="00C544AE" w:rsidRPr="008F5202">
        <w:rPr>
          <w:rFonts w:ascii="Times New Roman" w:hAnsi="Times New Roman" w:cs="Times New Roman"/>
        </w:rPr>
        <w:t>[5</w:t>
      </w:r>
      <w:r w:rsidR="007B7C54" w:rsidRPr="008F5202">
        <w:rPr>
          <w:rFonts w:ascii="Times New Roman" w:hAnsi="Times New Roman" w:cs="Times New Roman"/>
        </w:rPr>
        <w:t>.16]</w:t>
      </w:r>
      <w:r w:rsidRPr="008F5202">
        <w:rPr>
          <w:rFonts w:ascii="Times New Roman" w:hAnsi="Times New Roman" w:cs="Times New Roman"/>
        </w:rPr>
        <w:t>.</w:t>
      </w:r>
    </w:p>
    <w:p w14:paraId="20750CCB" w14:textId="77777777" w:rsidR="00352528" w:rsidRPr="008F5202" w:rsidRDefault="00352528" w:rsidP="00352528">
      <w:pPr>
        <w:spacing w:line="360" w:lineRule="auto"/>
        <w:contextualSpacing/>
        <w:jc w:val="both"/>
        <w:rPr>
          <w:rFonts w:ascii="Times New Roman" w:hAnsi="Times New Roman" w:cs="Times New Roman"/>
        </w:rPr>
      </w:pPr>
    </w:p>
    <w:p w14:paraId="45787A3F" w14:textId="55BB90CB" w:rsidR="00352528" w:rsidRPr="008F5202" w:rsidRDefault="00352528" w:rsidP="00352528">
      <w:pPr>
        <w:spacing w:line="360" w:lineRule="auto"/>
        <w:ind w:firstLine="360"/>
        <w:contextualSpacing/>
        <w:jc w:val="both"/>
        <w:rPr>
          <w:rFonts w:ascii="Times New Roman" w:hAnsi="Times New Roman" w:cs="Times New Roman"/>
        </w:rPr>
      </w:pPr>
      <w:r w:rsidRPr="008F5202">
        <w:rPr>
          <w:rFonts w:ascii="Times New Roman" w:hAnsi="Times New Roman" w:cs="Times New Roman"/>
        </w:rPr>
        <w:t xml:space="preserve">Figure </w:t>
      </w:r>
      <w:r w:rsidR="00297625" w:rsidRPr="008F5202">
        <w:rPr>
          <w:rFonts w:ascii="Times New Roman" w:hAnsi="Times New Roman" w:cs="Times New Roman"/>
        </w:rPr>
        <w:t>5</w:t>
      </w:r>
      <w:r w:rsidRPr="008F5202">
        <w:rPr>
          <w:rFonts w:ascii="Times New Roman" w:hAnsi="Times New Roman" w:cs="Times New Roman"/>
        </w:rPr>
        <w:t>.1 shows a typical CSP plant for power generation, where the present study is focused on the particle-to-sCO</w:t>
      </w:r>
      <w:r w:rsidRPr="008F5202">
        <w:rPr>
          <w:rFonts w:ascii="Times New Roman" w:hAnsi="Times New Roman" w:cs="Times New Roman"/>
          <w:vertAlign w:val="subscript"/>
        </w:rPr>
        <w:t>2</w:t>
      </w:r>
      <w:r w:rsidRPr="008F5202">
        <w:rPr>
          <w:rFonts w:ascii="Times New Roman" w:hAnsi="Times New Roman" w:cs="Times New Roman"/>
        </w:rPr>
        <w:t xml:space="preserve"> heat exchanger. The overall heat transfer coefficient of this heat exchanger is given as, </w:t>
      </w:r>
    </w:p>
    <w:p w14:paraId="39F6AD10" w14:textId="77777777" w:rsidR="00352528" w:rsidRPr="008F5202" w:rsidRDefault="00352528" w:rsidP="00352528">
      <w:pPr>
        <w:spacing w:line="360" w:lineRule="auto"/>
        <w:ind w:firstLine="360"/>
        <w:contextualSpacing/>
        <w:jc w:val="both"/>
        <w:rPr>
          <w:rFonts w:ascii="Times New Roman" w:hAnsi="Times New Roman" w:cs="Times New Roman"/>
        </w:rPr>
      </w:pPr>
    </w:p>
    <w:p w14:paraId="1935A427" w14:textId="3FC0C20C" w:rsidR="007B7C54" w:rsidRPr="008F5202" w:rsidRDefault="007B7C54"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5</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1</w:t>
      </w:r>
      <w:r w:rsidR="000978FD" w:rsidRPr="008F5202">
        <w:fldChar w:fldCharType="end"/>
      </w:r>
    </w:p>
    <w:p w14:paraId="475A010D" w14:textId="77777777" w:rsidR="00352528" w:rsidRPr="008F5202" w:rsidRDefault="00352528" w:rsidP="00352528">
      <w:pPr>
        <w:spacing w:line="360" w:lineRule="auto"/>
        <w:ind w:firstLine="360"/>
        <w:contextualSpacing/>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HX</m:t>
              </m:r>
            </m:sub>
          </m:sSub>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sC</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sub>
                      </m:sSub>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HX</m:t>
                          </m:r>
                        </m:sub>
                      </m:sSub>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HX</m:t>
                          </m:r>
                        </m:sub>
                      </m:sSub>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C</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p</m:t>
                          </m:r>
                        </m:sub>
                      </m:sSub>
                    </m:den>
                  </m:f>
                </m:e>
              </m:d>
            </m:e>
            <m:sup>
              <m:r>
                <w:rPr>
                  <w:rFonts w:ascii="Cambria Math" w:hAnsi="Cambria Math" w:cs="Times New Roman"/>
                </w:rPr>
                <m:t>-1</m:t>
              </m:r>
            </m:sup>
          </m:sSup>
        </m:oMath>
      </m:oMathPara>
    </w:p>
    <w:p w14:paraId="62E71913" w14:textId="77777777" w:rsidR="00352528" w:rsidRPr="008F5202" w:rsidRDefault="00352528" w:rsidP="00352528">
      <w:pPr>
        <w:spacing w:line="360" w:lineRule="auto"/>
        <w:ind w:firstLine="360"/>
        <w:contextualSpacing/>
        <w:jc w:val="both"/>
        <w:rPr>
          <w:rFonts w:ascii="Times New Roman" w:hAnsi="Times New Roman" w:cs="Times New Roman"/>
        </w:rPr>
      </w:pPr>
    </w:p>
    <w:p w14:paraId="56B9E76F" w14:textId="77777777" w:rsidR="00352528" w:rsidRPr="008F5202" w:rsidRDefault="00352528" w:rsidP="00352528">
      <w:pPr>
        <w:spacing w:line="360" w:lineRule="auto"/>
        <w:contextualSpacing/>
        <w:jc w:val="both"/>
        <w:rPr>
          <w:rFonts w:ascii="Times New Roman" w:hAnsi="Times New Roman" w:cs="Times New Roman"/>
        </w:rPr>
      </w:pPr>
      <w:r w:rsidRPr="008F5202">
        <w:rPr>
          <w:rFonts w:ascii="Times New Roman" w:hAnsi="Times New Roman" w:cs="Times New Roman"/>
        </w:rPr>
        <w:t>where, the thermal resistances are comprised of convection due to sCO</w:t>
      </w:r>
      <w:r w:rsidRPr="008F5202">
        <w:rPr>
          <w:rFonts w:ascii="Times New Roman" w:hAnsi="Times New Roman" w:cs="Times New Roman"/>
          <w:vertAlign w:val="subscript"/>
        </w:rPr>
        <w:t xml:space="preserve">2 </w:t>
      </w:r>
      <w:r w:rsidRPr="008F5202">
        <w:rPr>
          <w:rFonts w:ascii="Times New Roman" w:hAnsi="Times New Roman" w:cs="Times New Roman"/>
        </w:rPr>
        <w:t>(</w:t>
      </w:r>
      <m:oMath>
        <m:f>
          <m:fPr>
            <m:type m:val="lin"/>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sC</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sub>
            </m:sSub>
          </m:den>
        </m:f>
      </m:oMath>
      <w:r w:rsidRPr="008F5202">
        <w:rPr>
          <w:rFonts w:ascii="Times New Roman" w:hAnsi="Times New Roman" w:cs="Times New Roman"/>
        </w:rPr>
        <w:t>), conduction in the wall separating hot and cold sides (</w:t>
      </w:r>
      <m:oMath>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HX</m:t>
                </m:r>
              </m:sub>
            </m:sSub>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HX</m:t>
                </m:r>
              </m:sub>
            </m:sSub>
          </m:den>
        </m:f>
      </m:oMath>
      <w:r w:rsidRPr="008F5202">
        <w:rPr>
          <w:rFonts w:ascii="Times New Roman" w:hAnsi="Times New Roman" w:cs="Times New Roman"/>
        </w:rPr>
        <w:t>), particle contact resistance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c</m:t>
            </m:r>
          </m:sub>
        </m:sSub>
      </m:oMath>
      <w:r w:rsidRPr="008F5202">
        <w:rPr>
          <w:rFonts w:ascii="Times New Roman" w:hAnsi="Times New Roman" w:cs="Times New Roman"/>
        </w:rPr>
        <w:t>) and convection on the hot side due to falling particles (</w:t>
      </w:r>
      <m:oMath>
        <m:f>
          <m:fPr>
            <m:type m:val="lin"/>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p</m:t>
                </m:r>
              </m:sub>
            </m:sSub>
          </m:den>
        </m:f>
      </m:oMath>
      <w:r w:rsidRPr="008F5202">
        <w:rPr>
          <w:rFonts w:ascii="Times New Roman" w:hAnsi="Times New Roman" w:cs="Times New Roman"/>
        </w:rPr>
        <w:t>). The sCO</w:t>
      </w:r>
      <w:r w:rsidRPr="008F5202">
        <w:rPr>
          <w:rFonts w:ascii="Times New Roman" w:hAnsi="Times New Roman" w:cs="Times New Roman"/>
          <w:vertAlign w:val="subscript"/>
        </w:rPr>
        <w:t>2</w:t>
      </w:r>
      <w:r w:rsidRPr="008F5202">
        <w:rPr>
          <w:rFonts w:ascii="Times New Roman" w:hAnsi="Times New Roman" w:cs="Times New Roman"/>
        </w:rPr>
        <w:t xml:space="preserve"> flows through mini- or micro-channels offering superior convective transport, hence yielding significantly lower thermal resistance than that on the hot side due to falling particles. The present study is focused on improving the particle side thermal resistance through incorporation of porous media on the hot side. </w:t>
      </w:r>
    </w:p>
    <w:p w14:paraId="34F07EFE" w14:textId="77777777" w:rsidR="00352528" w:rsidRPr="008F5202" w:rsidRDefault="00352528" w:rsidP="00352528">
      <w:pPr>
        <w:spacing w:line="360" w:lineRule="auto"/>
        <w:contextualSpacing/>
        <w:jc w:val="both"/>
        <w:rPr>
          <w:rFonts w:ascii="Times New Roman" w:hAnsi="Times New Roman" w:cs="Times New Roman"/>
        </w:rPr>
      </w:pPr>
    </w:p>
    <w:p w14:paraId="09449ECF" w14:textId="214E3A6A" w:rsidR="00352528" w:rsidRPr="008F5202" w:rsidRDefault="00352528" w:rsidP="00352528">
      <w:pPr>
        <w:spacing w:line="360" w:lineRule="auto"/>
        <w:ind w:firstLine="360"/>
        <w:contextualSpacing/>
        <w:jc w:val="both"/>
        <w:rPr>
          <w:rFonts w:ascii="Times New Roman" w:hAnsi="Times New Roman" w:cs="Times New Roman"/>
        </w:rPr>
      </w:pPr>
      <w:r w:rsidRPr="008F5202">
        <w:rPr>
          <w:rFonts w:ascii="Times New Roman" w:hAnsi="Times New Roman" w:cs="Times New Roman"/>
        </w:rPr>
        <w:t>To this end, a novel enhanced heat transfer concept is developed for the falling particle channel side of the particle-to-sCO</w:t>
      </w:r>
      <w:r w:rsidRPr="008F5202">
        <w:rPr>
          <w:rFonts w:ascii="Times New Roman" w:hAnsi="Times New Roman" w:cs="Times New Roman"/>
          <w:vertAlign w:val="subscript"/>
        </w:rPr>
        <w:t>2</w:t>
      </w:r>
      <w:r w:rsidRPr="008F5202">
        <w:rPr>
          <w:rFonts w:ascii="Times New Roman" w:hAnsi="Times New Roman" w:cs="Times New Roman"/>
        </w:rPr>
        <w:t xml:space="preserve"> heat exchanger for potential employment in a shell-and-plate type heat exchanger (Fig. </w:t>
      </w:r>
      <w:r w:rsidR="00297625" w:rsidRPr="008F5202">
        <w:rPr>
          <w:rFonts w:ascii="Times New Roman" w:hAnsi="Times New Roman" w:cs="Times New Roman"/>
        </w:rPr>
        <w:t>5</w:t>
      </w:r>
      <w:r w:rsidRPr="008F5202">
        <w:rPr>
          <w:rFonts w:ascii="Times New Roman" w:hAnsi="Times New Roman" w:cs="Times New Roman"/>
        </w:rPr>
        <w:t xml:space="preserve">.1). The convective heat transfer coefficient on the falling particle side is enhanced by packing the parallel plates with Octet-shaped lattices. The Octet unit cells, and the enclosing plates were additively manufactured in Stainless Steel 316L and SS420 (with 40% bronze infiltration) via Binder jetting technology. The Octet lattice has been chosen after carrying out direct simulations which quantified its superior heat transfer enhancement characteristics compared to other common unit cell topologies </w:t>
      </w:r>
      <w:r w:rsidR="00C544AE" w:rsidRPr="008F5202">
        <w:rPr>
          <w:rFonts w:ascii="Times New Roman" w:hAnsi="Times New Roman" w:cs="Times New Roman"/>
        </w:rPr>
        <w:t>[5</w:t>
      </w:r>
      <w:r w:rsidR="007B7C54" w:rsidRPr="008F5202">
        <w:rPr>
          <w:rFonts w:ascii="Times New Roman" w:hAnsi="Times New Roman" w:cs="Times New Roman"/>
        </w:rPr>
        <w:t>.17-</w:t>
      </w:r>
      <w:r w:rsidR="00C544AE" w:rsidRPr="008F5202">
        <w:rPr>
          <w:rFonts w:ascii="Times New Roman" w:hAnsi="Times New Roman" w:cs="Times New Roman"/>
        </w:rPr>
        <w:t>5</w:t>
      </w:r>
      <w:r w:rsidR="007B7C54" w:rsidRPr="008F5202">
        <w:rPr>
          <w:rFonts w:ascii="Times New Roman" w:hAnsi="Times New Roman" w:cs="Times New Roman"/>
        </w:rPr>
        <w:t>.19]</w:t>
      </w:r>
      <w:r w:rsidRPr="008F5202">
        <w:rPr>
          <w:rFonts w:ascii="Times New Roman" w:hAnsi="Times New Roman" w:cs="Times New Roman"/>
        </w:rPr>
        <w:t xml:space="preserve">. </w:t>
      </w:r>
      <w:bookmarkStart w:id="208" w:name="_Hlk127943129"/>
      <w:r w:rsidRPr="008F5202">
        <w:rPr>
          <w:rFonts w:ascii="Times New Roman" w:hAnsi="Times New Roman" w:cs="Times New Roman"/>
        </w:rPr>
        <w:t xml:space="preserve">The goal of this paper is to: (a) determine the effective thermal conductivity of lattice structures with void space occupied by particles of different sizes, (b) determine the convective heat transfer coefficient for air and particles flow in large panel of Octet lattice manufactured additively via Binder jetting. </w:t>
      </w:r>
      <w:bookmarkEnd w:id="208"/>
    </w:p>
    <w:p w14:paraId="288D1815" w14:textId="77777777" w:rsidR="00352528" w:rsidRPr="008F5202" w:rsidRDefault="00352528" w:rsidP="00352528">
      <w:pPr>
        <w:spacing w:line="360" w:lineRule="auto"/>
        <w:ind w:firstLine="360"/>
        <w:contextualSpacing/>
        <w:jc w:val="both"/>
        <w:rPr>
          <w:rFonts w:ascii="Times New Roman" w:hAnsi="Times New Roman" w:cs="Times New Roman"/>
        </w:rPr>
      </w:pPr>
    </w:p>
    <w:p w14:paraId="4DFFA35E" w14:textId="77777777" w:rsidR="000978FD" w:rsidRPr="008F5202" w:rsidRDefault="000978FD" w:rsidP="000978FD">
      <w:pPr>
        <w:keepNext/>
        <w:spacing w:line="360" w:lineRule="auto"/>
        <w:ind w:firstLine="360"/>
        <w:contextualSpacing/>
        <w:jc w:val="both"/>
        <w:rPr>
          <w:rFonts w:ascii="Times New Roman" w:hAnsi="Times New Roman" w:cs="Times New Roman"/>
        </w:rPr>
      </w:pPr>
      <w:r w:rsidRPr="008F5202">
        <w:rPr>
          <w:rFonts w:ascii="Times New Roman" w:eastAsia="Calibri" w:hAnsi="Times New Roman" w:cs="Times New Roman"/>
          <w:noProof/>
          <w:sz w:val="22"/>
          <w:szCs w:val="22"/>
        </w:rPr>
        <w:drawing>
          <wp:inline distT="0" distB="0" distL="0" distR="0" wp14:anchorId="29F5B274" wp14:editId="0913ED15">
            <wp:extent cx="5486400" cy="2646498"/>
            <wp:effectExtent l="0" t="0" r="0" b="1905"/>
            <wp:docPr id="1244018911" name="Picture 1244018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t="7032" b="7404"/>
                    <a:stretch/>
                  </pic:blipFill>
                  <pic:spPr bwMode="auto">
                    <a:xfrm>
                      <a:off x="0" y="0"/>
                      <a:ext cx="5486400" cy="2646498"/>
                    </a:xfrm>
                    <a:prstGeom prst="rect">
                      <a:avLst/>
                    </a:prstGeom>
                    <a:noFill/>
                    <a:ln>
                      <a:noFill/>
                    </a:ln>
                    <a:extLst>
                      <a:ext uri="{53640926-AAD7-44D8-BBD7-CCE9431645EC}">
                        <a14:shadowObscured xmlns:a14="http://schemas.microsoft.com/office/drawing/2010/main"/>
                      </a:ext>
                    </a:extLst>
                  </pic:spPr>
                </pic:pic>
              </a:graphicData>
            </a:graphic>
          </wp:inline>
        </w:drawing>
      </w:r>
    </w:p>
    <w:p w14:paraId="3825F554" w14:textId="73283E61" w:rsidR="00352528" w:rsidRPr="008F5202" w:rsidRDefault="000978FD" w:rsidP="008F5202">
      <w:pPr>
        <w:pStyle w:val="Caption"/>
      </w:pPr>
      <w:bookmarkStart w:id="209" w:name="_Toc177755230"/>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5</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1</w:t>
      </w:r>
      <w:r w:rsidR="003763D2" w:rsidRPr="008F5202">
        <w:fldChar w:fldCharType="end"/>
      </w:r>
      <w:r w:rsidRPr="008F5202">
        <w:t xml:space="preserve"> </w:t>
      </w:r>
      <w:r w:rsidRPr="008F5202">
        <w:t xml:space="preserve">Concentrating solar power plant </w:t>
      </w:r>
      <w:r w:rsidR="00C544AE" w:rsidRPr="008F5202">
        <w:t>[5</w:t>
      </w:r>
      <w:r w:rsidRPr="008F5202">
        <w:t>.</w:t>
      </w:r>
      <w:r w:rsidRPr="008F5202">
        <w:t>2] and representation of particle-to-sCO2 heat exchanger; present study focused on particle-side heat transfer enhancement</w:t>
      </w:r>
      <w:bookmarkEnd w:id="209"/>
    </w:p>
    <w:p w14:paraId="23416B23" w14:textId="09704814" w:rsidR="00352528" w:rsidRPr="008F5202" w:rsidRDefault="00352528" w:rsidP="00352528">
      <w:pPr>
        <w:spacing w:line="360" w:lineRule="auto"/>
        <w:ind w:firstLine="360"/>
        <w:contextualSpacing/>
        <w:jc w:val="both"/>
        <w:rPr>
          <w:rFonts w:ascii="Times New Roman" w:hAnsi="Times New Roman" w:cs="Times New Roman"/>
        </w:rPr>
      </w:pPr>
      <w:r w:rsidRPr="008F5202">
        <w:rPr>
          <w:rFonts w:ascii="Times New Roman" w:hAnsi="Times New Roman" w:cs="Times New Roman"/>
        </w:rPr>
        <w:t xml:space="preserve">The following sections present details of different experimental setups employed to measure effective thermal conductivity of lattices made from Octet unit cells where void </w:t>
      </w:r>
      <w:r w:rsidRPr="008F5202">
        <w:rPr>
          <w:rFonts w:ascii="Times New Roman" w:hAnsi="Times New Roman" w:cs="Times New Roman"/>
        </w:rPr>
        <w:lastRenderedPageBreak/>
        <w:t>space is packed with particles of varying diameter. A forced convection setup to quantify the overall convective heat transfer coefficient of sandwich-type Octet panel with air as the working fluid is discussed. Finally, a unique test facility was built to carry out particle-based heat transfer experiments. After this section, the results are presented and analyzed. The paper concludes with major findings from this comprehensive experimental program and path forward based on these findings.</w:t>
      </w:r>
    </w:p>
    <w:p w14:paraId="48439798" w14:textId="4A47C050" w:rsidR="007B7C54" w:rsidRPr="008F5202" w:rsidRDefault="007B7C54" w:rsidP="007B7C54">
      <w:pPr>
        <w:pStyle w:val="Heading2"/>
      </w:pPr>
      <w:bookmarkStart w:id="210" w:name="_Toc177758195"/>
      <w:r w:rsidRPr="008F5202">
        <w:t>E</w:t>
      </w:r>
      <w:r w:rsidRPr="008F5202">
        <w:t>xperimental setups and measurement techniques</w:t>
      </w:r>
      <w:bookmarkEnd w:id="210"/>
    </w:p>
    <w:p w14:paraId="70F700B1" w14:textId="77777777" w:rsidR="007B7C54" w:rsidRPr="007B7C54" w:rsidRDefault="007B7C54" w:rsidP="007B7C54">
      <w:pPr>
        <w:spacing w:line="360" w:lineRule="auto"/>
        <w:ind w:firstLine="360"/>
        <w:jc w:val="both"/>
        <w:rPr>
          <w:rFonts w:ascii="Times New Roman" w:eastAsia="Calibri" w:hAnsi="Times New Roman" w:cs="Times New Roman"/>
        </w:rPr>
      </w:pPr>
      <w:r w:rsidRPr="007B7C54">
        <w:rPr>
          <w:rFonts w:ascii="Times New Roman" w:eastAsia="Calibri" w:hAnsi="Times New Roman" w:cs="Times New Roman"/>
        </w:rPr>
        <w:t xml:space="preserve">Effective thermal conductivity experiments were carried out on the additively manufactured lattice frames for two different cases: a) void space was occupied by air, b) void space was occupied by particles. Further, convective heat transfer capabilities of single cell thick lattice for air and particle flows have been investigated experimentally. Three different experimental setups were built to measure the above-mentioned quantities. </w:t>
      </w:r>
    </w:p>
    <w:p w14:paraId="4EE2878D" w14:textId="77777777" w:rsidR="007B7C54" w:rsidRPr="007B7C54" w:rsidRDefault="007B7C54" w:rsidP="007B7C54">
      <w:pPr>
        <w:jc w:val="both"/>
        <w:rPr>
          <w:rFonts w:ascii="Times New Roman" w:eastAsia="Calibri" w:hAnsi="Times New Roman" w:cs="Times New Roman"/>
          <w:sz w:val="20"/>
          <w:szCs w:val="20"/>
        </w:rPr>
      </w:pPr>
    </w:p>
    <w:p w14:paraId="637712CC" w14:textId="445A7434" w:rsidR="007B7C54" w:rsidRPr="008F5202" w:rsidRDefault="007B7C54" w:rsidP="007B7C54">
      <w:pPr>
        <w:pStyle w:val="Heading3"/>
        <w:rPr>
          <w:rFonts w:eastAsia="Calibri"/>
        </w:rPr>
      </w:pPr>
      <w:bookmarkStart w:id="211" w:name="_Toc177758196"/>
      <w:r w:rsidRPr="008F5202">
        <w:rPr>
          <w:rFonts w:eastAsia="Calibri"/>
        </w:rPr>
        <w:t xml:space="preserve">Effective thermal conductivity test samples, experimental setup and </w:t>
      </w:r>
      <w:r w:rsidRPr="008F5202">
        <w:rPr>
          <w:rFonts w:eastAsia="Calibri"/>
          <w:iCs/>
        </w:rPr>
        <w:t>k</w:t>
      </w:r>
      <w:r w:rsidRPr="008F5202">
        <w:rPr>
          <w:rFonts w:eastAsia="Calibri"/>
          <w:vertAlign w:val="subscript"/>
        </w:rPr>
        <w:t>eff</w:t>
      </w:r>
      <w:r w:rsidRPr="008F5202">
        <w:rPr>
          <w:rFonts w:eastAsia="Calibri"/>
        </w:rPr>
        <w:t xml:space="preserve"> measurement procedure</w:t>
      </w:r>
      <w:bookmarkEnd w:id="211"/>
    </w:p>
    <w:p w14:paraId="6A190F7F" w14:textId="77777777" w:rsidR="007B7C54" w:rsidRPr="007B7C54" w:rsidRDefault="007B7C54" w:rsidP="007B7C54">
      <w:pPr>
        <w:jc w:val="both"/>
        <w:rPr>
          <w:rFonts w:ascii="Times New Roman" w:eastAsia="Calibri" w:hAnsi="Times New Roman" w:cs="Times New Roman"/>
          <w:noProof/>
          <w:sz w:val="20"/>
          <w:szCs w:val="20"/>
        </w:rPr>
      </w:pPr>
    </w:p>
    <w:p w14:paraId="68BFB67D" w14:textId="624EC4EE" w:rsidR="007B7C54" w:rsidRPr="008F5202" w:rsidRDefault="007B7C54" w:rsidP="000978FD">
      <w:pPr>
        <w:spacing w:line="360" w:lineRule="auto"/>
        <w:ind w:firstLine="360"/>
        <w:jc w:val="both"/>
        <w:rPr>
          <w:rFonts w:ascii="Times New Roman" w:hAnsi="Times New Roman" w:cs="Times New Roman"/>
          <w:iCs/>
          <w:color w:val="000000" w:themeColor="text1"/>
        </w:rPr>
      </w:pPr>
      <w:r w:rsidRPr="007B7C54">
        <w:rPr>
          <w:rFonts w:ascii="Times New Roman" w:eastAsia="Calibri" w:hAnsi="Times New Roman" w:cs="Times New Roman"/>
        </w:rPr>
        <w:t xml:space="preserve">The lattice samples for </w:t>
      </w:r>
      <w:r w:rsidRPr="007B7C54">
        <w:rPr>
          <w:rFonts w:ascii="Times New Roman" w:eastAsia="Calibri" w:hAnsi="Times New Roman" w:cs="Times New Roman"/>
          <w:i/>
          <w:iCs/>
        </w:rPr>
        <w:t>k</w:t>
      </w:r>
      <w:r w:rsidRPr="007B7C54">
        <w:rPr>
          <w:rFonts w:ascii="Times New Roman" w:eastAsia="Calibri" w:hAnsi="Times New Roman" w:cs="Times New Roman"/>
          <w:vertAlign w:val="subscript"/>
        </w:rPr>
        <w:t>eff</w:t>
      </w:r>
      <w:r w:rsidRPr="007B7C54">
        <w:rPr>
          <w:rFonts w:ascii="Times New Roman" w:eastAsia="Calibri" w:hAnsi="Times New Roman" w:cs="Times New Roman"/>
        </w:rPr>
        <w:t xml:space="preserve"> experiments were made from a 5 x 5 array of Octet-shaped unit cells in the span and single unit cell in the thickness as shown in Fig. </w:t>
      </w:r>
      <w:r w:rsidR="00297625" w:rsidRPr="008F5202">
        <w:rPr>
          <w:rFonts w:ascii="Times New Roman" w:eastAsia="Calibri" w:hAnsi="Times New Roman" w:cs="Times New Roman"/>
        </w:rPr>
        <w:t>5.</w:t>
      </w:r>
      <w:r w:rsidRPr="007B7C54">
        <w:rPr>
          <w:rFonts w:ascii="Times New Roman" w:eastAsia="Calibri" w:hAnsi="Times New Roman" w:cs="Times New Roman"/>
        </w:rPr>
        <w:t xml:space="preserve">2. The Octet unit cell could be contained in a cube of edge length </w:t>
      </w:r>
      <m:oMath>
        <m:r>
          <w:rPr>
            <w:rFonts w:ascii="Cambria Math" w:eastAsia="Calibri" w:hAnsi="Cambria Math" w:cs="Times New Roman"/>
          </w:rPr>
          <m:t>∆z</m:t>
        </m:r>
      </m:oMath>
      <w:r w:rsidRPr="007B7C54">
        <w:rPr>
          <w:rFonts w:ascii="Times New Roman" w:eastAsia="Calibri" w:hAnsi="Times New Roman" w:cs="Times New Roman"/>
        </w:rPr>
        <w:t xml:space="preserve"> =10 mm. </w:t>
      </w:r>
      <w:bookmarkStart w:id="212" w:name="_Hlk127943196"/>
      <w:r w:rsidRPr="007B7C54">
        <w:rPr>
          <w:rFonts w:ascii="Times New Roman" w:eastAsia="Calibri" w:hAnsi="Times New Roman" w:cs="Times New Roman"/>
        </w:rPr>
        <w:t>The overall dimensions of each sample were 50 mm x 50 mm x 10 mm. Three samples having as-designed lattice porosities (</w:t>
      </w:r>
      <m:oMath>
        <m:r>
          <w:rPr>
            <w:rFonts w:ascii="Cambria Math" w:eastAsia="Calibri" w:hAnsi="Cambria Math" w:cs="Times New Roman"/>
          </w:rPr>
          <m:t>ε</m:t>
        </m:r>
      </m:oMath>
      <w:r w:rsidRPr="007B7C54">
        <w:rPr>
          <w:rFonts w:ascii="Times New Roman" w:eastAsia="Calibri" w:hAnsi="Times New Roman" w:cs="Times New Roman"/>
        </w:rPr>
        <w:t xml:space="preserve">) of 0.75, 0.8 and 0.886 were tested for effective thermal conductivity evaluation. However, the actual measured porosities of the additively manufactured lattices were 0.733, 0.798, 0.884, respectively. </w:t>
      </w:r>
      <w:bookmarkEnd w:id="212"/>
      <w:r w:rsidRPr="007B7C54">
        <w:rPr>
          <w:rFonts w:ascii="Times New Roman" w:eastAsia="Calibri" w:hAnsi="Times New Roman" w:cs="Times New Roman"/>
        </w:rPr>
        <w:t xml:space="preserve">Porosity of lattice structures has a dominant effect on the </w:t>
      </w:r>
      <w:r w:rsidRPr="007B7C54">
        <w:rPr>
          <w:rFonts w:ascii="Times New Roman" w:eastAsia="Calibri" w:hAnsi="Times New Roman" w:cs="Times New Roman"/>
          <w:i/>
          <w:iCs/>
        </w:rPr>
        <w:t>k</w:t>
      </w:r>
      <w:r w:rsidRPr="007B7C54">
        <w:rPr>
          <w:rFonts w:ascii="Times New Roman" w:eastAsia="Calibri" w:hAnsi="Times New Roman" w:cs="Times New Roman"/>
          <w:vertAlign w:val="subscript"/>
        </w:rPr>
        <w:t>eff</w:t>
      </w:r>
      <w:r w:rsidRPr="007B7C54">
        <w:rPr>
          <w:rFonts w:ascii="Times New Roman" w:eastAsia="Calibri" w:hAnsi="Times New Roman" w:cs="Times New Roman"/>
        </w:rPr>
        <w:t xml:space="preserve"> for a given solid-fluid pair, hence it is imperative that accurate measurement of porosity be carried out in such studies since deviations from as-designed and AM-assisted samples are frequent. </w:t>
      </w:r>
    </w:p>
    <w:p w14:paraId="0E505ED5" w14:textId="77777777" w:rsidR="000978FD" w:rsidRPr="008F5202" w:rsidRDefault="000978FD" w:rsidP="000978FD">
      <w:pPr>
        <w:keepNext/>
        <w:spacing w:line="360" w:lineRule="auto"/>
        <w:ind w:firstLine="360"/>
        <w:jc w:val="both"/>
        <w:rPr>
          <w:rFonts w:ascii="Times New Roman" w:hAnsi="Times New Roman" w:cs="Times New Roman"/>
        </w:rPr>
      </w:pPr>
      <w:r w:rsidRPr="008F5202">
        <w:rPr>
          <w:rFonts w:ascii="Times New Roman" w:eastAsia="Calibri" w:hAnsi="Times New Roman" w:cs="Times New Roman"/>
          <w:noProof/>
        </w:rPr>
        <w:lastRenderedPageBreak/>
        <w:drawing>
          <wp:inline distT="0" distB="0" distL="0" distR="0" wp14:anchorId="69B69D61" wp14:editId="7F1517D8">
            <wp:extent cx="3877310" cy="3846830"/>
            <wp:effectExtent l="0" t="0" r="8890" b="1270"/>
            <wp:docPr id="969471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877310" cy="3846830"/>
                    </a:xfrm>
                    <a:prstGeom prst="rect">
                      <a:avLst/>
                    </a:prstGeom>
                    <a:noFill/>
                  </pic:spPr>
                </pic:pic>
              </a:graphicData>
            </a:graphic>
          </wp:inline>
        </w:drawing>
      </w:r>
    </w:p>
    <w:p w14:paraId="1DC8BFEA" w14:textId="03431A9F" w:rsidR="007B7C54" w:rsidRPr="007B7C54" w:rsidRDefault="000978FD" w:rsidP="008F5202">
      <w:pPr>
        <w:pStyle w:val="Caption"/>
        <w:rPr>
          <w:rFonts w:eastAsia="Calibri"/>
        </w:rPr>
      </w:pPr>
      <w:bookmarkStart w:id="213" w:name="_Toc177755231"/>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5</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2</w:t>
      </w:r>
      <w:r w:rsidR="003763D2" w:rsidRPr="008F5202">
        <w:fldChar w:fldCharType="end"/>
      </w:r>
      <w:r w:rsidRPr="008F5202">
        <w:t xml:space="preserve"> </w:t>
      </w:r>
      <w:r w:rsidRPr="008F5202">
        <w:t>Three samples of different porosities tested for effective thermal conductivity (dimensions in top figure in mm, scale in sample images in inches)</w:t>
      </w:r>
      <w:bookmarkEnd w:id="213"/>
    </w:p>
    <w:p w14:paraId="2DFB71A6" w14:textId="2ECEC678" w:rsidR="007B7C54" w:rsidRPr="007B7C54" w:rsidRDefault="007B7C54" w:rsidP="000978FD">
      <w:pPr>
        <w:spacing w:line="360" w:lineRule="auto"/>
        <w:ind w:firstLine="360"/>
        <w:jc w:val="both"/>
        <w:rPr>
          <w:rFonts w:ascii="Times New Roman" w:eastAsia="Calibri" w:hAnsi="Times New Roman" w:cs="Times New Roman"/>
        </w:rPr>
      </w:pPr>
      <w:r w:rsidRPr="007B7C54">
        <w:rPr>
          <w:rFonts w:ascii="Times New Roman" w:eastAsia="Calibri" w:hAnsi="Times New Roman" w:cs="Times New Roman"/>
        </w:rPr>
        <w:t xml:space="preserve">As mentioned above, the actual porosities differed from the intended ones, and the deviation is attributed to the AM process – a trend observed in many prior research efforts </w:t>
      </w:r>
      <w:r w:rsidR="00C544AE" w:rsidRPr="008F5202">
        <w:rPr>
          <w:rFonts w:ascii="Times New Roman" w:eastAsia="Calibri" w:hAnsi="Times New Roman" w:cs="Times New Roman"/>
        </w:rPr>
        <w:t>[5</w:t>
      </w:r>
      <w:r w:rsidRPr="008F5202">
        <w:rPr>
          <w:rFonts w:ascii="Times New Roman" w:eastAsia="Calibri" w:hAnsi="Times New Roman" w:cs="Times New Roman"/>
        </w:rPr>
        <w:t>.20,</w:t>
      </w:r>
      <w:r w:rsidR="00C544AE" w:rsidRPr="008F5202">
        <w:rPr>
          <w:rFonts w:ascii="Times New Roman" w:eastAsia="Calibri" w:hAnsi="Times New Roman" w:cs="Times New Roman"/>
        </w:rPr>
        <w:t>5</w:t>
      </w:r>
      <w:r w:rsidRPr="008F5202">
        <w:rPr>
          <w:rFonts w:ascii="Times New Roman" w:eastAsia="Calibri" w:hAnsi="Times New Roman" w:cs="Times New Roman"/>
        </w:rPr>
        <w:t>.21]</w:t>
      </w:r>
      <w:r w:rsidRPr="007B7C54">
        <w:rPr>
          <w:rFonts w:ascii="Times New Roman" w:eastAsia="Calibri" w:hAnsi="Times New Roman" w:cs="Times New Roman"/>
        </w:rPr>
        <w:t xml:space="preserve">. It is noted that the AM samples have inherent roughness and defects at both the fibers and endwall, however, the measurement of porosity of such structure accounts for all the defects </w:t>
      </w:r>
      <w:r w:rsidR="00C544AE" w:rsidRPr="008F5202">
        <w:rPr>
          <w:rFonts w:ascii="Times New Roman" w:eastAsia="Calibri" w:hAnsi="Times New Roman" w:cs="Times New Roman"/>
        </w:rPr>
        <w:t>[5</w:t>
      </w:r>
      <w:r w:rsidRPr="008F5202">
        <w:rPr>
          <w:rFonts w:ascii="Times New Roman" w:eastAsia="Calibri" w:hAnsi="Times New Roman" w:cs="Times New Roman"/>
        </w:rPr>
        <w:t>.22]</w:t>
      </w:r>
      <w:r w:rsidRPr="007B7C54">
        <w:rPr>
          <w:rFonts w:ascii="Times New Roman" w:eastAsia="Calibri" w:hAnsi="Times New Roman" w:cs="Times New Roman"/>
        </w:rPr>
        <w:t xml:space="preserve">. For </w:t>
      </w:r>
      <w:r w:rsidRPr="007B7C54">
        <w:rPr>
          <w:rFonts w:ascii="Times New Roman" w:eastAsia="Calibri" w:hAnsi="Times New Roman" w:cs="Times New Roman"/>
          <w:i/>
          <w:iCs/>
        </w:rPr>
        <w:t>k</w:t>
      </w:r>
      <w:r w:rsidRPr="007B7C54">
        <w:rPr>
          <w:rFonts w:ascii="Times New Roman" w:eastAsia="Calibri" w:hAnsi="Times New Roman" w:cs="Times New Roman"/>
          <w:vertAlign w:val="subscript"/>
        </w:rPr>
        <w:t>eff</w:t>
      </w:r>
      <w:r w:rsidRPr="007B7C54">
        <w:rPr>
          <w:rFonts w:ascii="Times New Roman" w:eastAsia="Calibri" w:hAnsi="Times New Roman" w:cs="Times New Roman"/>
        </w:rPr>
        <w:t xml:space="preserve"> experiments in particular, the void space is occupied by stagnant air/particles, hence the AM induced defects are not expected to have an added contribution on </w:t>
      </w:r>
      <w:r w:rsidRPr="007B7C54">
        <w:rPr>
          <w:rFonts w:ascii="Times New Roman" w:eastAsia="Calibri" w:hAnsi="Times New Roman" w:cs="Times New Roman"/>
          <w:i/>
          <w:iCs/>
        </w:rPr>
        <w:t>k</w:t>
      </w:r>
      <w:r w:rsidRPr="007B7C54">
        <w:rPr>
          <w:rFonts w:ascii="Times New Roman" w:eastAsia="Calibri" w:hAnsi="Times New Roman" w:cs="Times New Roman"/>
          <w:vertAlign w:val="subscript"/>
        </w:rPr>
        <w:t>eff</w:t>
      </w:r>
      <w:r w:rsidRPr="007B7C54">
        <w:rPr>
          <w:rFonts w:ascii="Times New Roman" w:eastAsia="Calibri" w:hAnsi="Times New Roman" w:cs="Times New Roman"/>
        </w:rPr>
        <w:t xml:space="preserve">, other than the porosity itself. Hence </w:t>
      </w:r>
      <w:r w:rsidRPr="007B7C54">
        <w:rPr>
          <w:rFonts w:ascii="Times New Roman" w:eastAsia="Calibri" w:hAnsi="Times New Roman" w:cs="Times New Roman"/>
          <w:i/>
          <w:iCs/>
        </w:rPr>
        <w:t>k</w:t>
      </w:r>
      <w:r w:rsidRPr="007B7C54">
        <w:rPr>
          <w:rFonts w:ascii="Times New Roman" w:eastAsia="Calibri" w:hAnsi="Times New Roman" w:cs="Times New Roman"/>
          <w:vertAlign w:val="subscript"/>
        </w:rPr>
        <w:t xml:space="preserve">eff </w:t>
      </w:r>
      <w:r w:rsidRPr="007B7C54">
        <w:rPr>
          <w:rFonts w:ascii="Times New Roman" w:eastAsia="Calibri" w:hAnsi="Times New Roman" w:cs="Times New Roman"/>
        </w:rPr>
        <w:t>results are reported as a function of measured porosities of the AM parts.</w:t>
      </w:r>
    </w:p>
    <w:p w14:paraId="2243AE1F" w14:textId="43B67E4E" w:rsidR="007B7C54" w:rsidRPr="007B7C54" w:rsidRDefault="007B7C54" w:rsidP="000978FD">
      <w:pPr>
        <w:spacing w:before="120" w:after="120" w:line="360" w:lineRule="auto"/>
        <w:ind w:firstLine="360"/>
        <w:jc w:val="both"/>
        <w:rPr>
          <w:rFonts w:ascii="Times New Roman" w:eastAsia="Calibri" w:hAnsi="Times New Roman" w:cs="Times New Roman"/>
        </w:rPr>
      </w:pPr>
      <w:r w:rsidRPr="007B7C54">
        <w:rPr>
          <w:rFonts w:ascii="Times New Roman" w:eastAsia="Calibri" w:hAnsi="Times New Roman" w:cs="Times New Roman"/>
        </w:rPr>
        <w:t>The effective thermal conductivity (</w:t>
      </w:r>
      <w:r w:rsidRPr="007B7C54">
        <w:rPr>
          <w:rFonts w:ascii="Times New Roman" w:eastAsia="Calibri" w:hAnsi="Times New Roman" w:cs="Times New Roman"/>
          <w:i/>
          <w:iCs/>
        </w:rPr>
        <w:t>k</w:t>
      </w:r>
      <w:r w:rsidRPr="007B7C54">
        <w:rPr>
          <w:rFonts w:ascii="Times New Roman" w:eastAsia="Calibri" w:hAnsi="Times New Roman" w:cs="Times New Roman"/>
          <w:vertAlign w:val="subscript"/>
        </w:rPr>
        <w:t>eff</w:t>
      </w:r>
      <w:r w:rsidRPr="007B7C54">
        <w:rPr>
          <w:rFonts w:ascii="Times New Roman" w:eastAsia="Calibri" w:hAnsi="Times New Roman" w:cs="Times New Roman"/>
        </w:rPr>
        <w:t xml:space="preserve">) setup is shown in Fig. </w:t>
      </w:r>
      <w:r w:rsidR="00297625" w:rsidRPr="008F5202">
        <w:rPr>
          <w:rFonts w:ascii="Times New Roman" w:eastAsia="Calibri" w:hAnsi="Times New Roman" w:cs="Times New Roman"/>
        </w:rPr>
        <w:t>5.</w:t>
      </w:r>
      <w:r w:rsidRPr="007B7C54">
        <w:rPr>
          <w:rFonts w:ascii="Times New Roman" w:eastAsia="Calibri" w:hAnsi="Times New Roman" w:cs="Times New Roman"/>
        </w:rPr>
        <w:t xml:space="preserve">3. A steady-state heat transfer experiment was developed to obtain the </w:t>
      </w:r>
      <w:r w:rsidRPr="007B7C54">
        <w:rPr>
          <w:rFonts w:ascii="Times New Roman" w:eastAsia="Calibri" w:hAnsi="Times New Roman" w:cs="Times New Roman"/>
          <w:i/>
          <w:iCs/>
        </w:rPr>
        <w:t>k</w:t>
      </w:r>
      <w:r w:rsidRPr="007B7C54">
        <w:rPr>
          <w:rFonts w:ascii="Times New Roman" w:eastAsia="Calibri" w:hAnsi="Times New Roman" w:cs="Times New Roman"/>
          <w:vertAlign w:val="subscript"/>
        </w:rPr>
        <w:t>eff</w:t>
      </w:r>
      <w:r w:rsidRPr="007B7C54">
        <w:rPr>
          <w:rFonts w:ascii="Times New Roman" w:eastAsia="Calibri" w:hAnsi="Times New Roman" w:cs="Times New Roman"/>
        </w:rPr>
        <w:t xml:space="preserve"> of additively manufactured samples. A unidirectional heat flow was achieved from top plate to bottom plate of the sample, where Octet-shaped unit cells were sandwiched between the two plates. A cold thermal reservoir </w:t>
      </w:r>
      <w:r w:rsidRPr="007B7C54">
        <w:rPr>
          <w:rFonts w:ascii="Times New Roman" w:eastAsia="Calibri" w:hAnsi="Times New Roman" w:cs="Times New Roman"/>
        </w:rPr>
        <w:lastRenderedPageBreak/>
        <w:t>was created with the help of an ice-water slurry which was periodically stirred to avoid thermal stratification. An aluminum slab (10 x 10 x 2.5 cm</w:t>
      </w:r>
      <w:r w:rsidRPr="007B7C54">
        <w:rPr>
          <w:rFonts w:ascii="Times New Roman" w:eastAsia="Calibri" w:hAnsi="Times New Roman" w:cs="Times New Roman"/>
          <w:vertAlign w:val="superscript"/>
        </w:rPr>
        <w:t>3</w:t>
      </w:r>
      <w:r w:rsidRPr="007B7C54">
        <w:rPr>
          <w:rFonts w:ascii="Times New Roman" w:eastAsia="Calibri" w:hAnsi="Times New Roman" w:cs="Times New Roman"/>
        </w:rPr>
        <w:t>) was then partially submerged into the chilled reservoir which acted as a near-constant cold reservoir, owing to its large thermal mass.</w:t>
      </w:r>
    </w:p>
    <w:p w14:paraId="63440BC6" w14:textId="77777777" w:rsidR="000978FD" w:rsidRPr="008F5202" w:rsidRDefault="000978FD" w:rsidP="000978FD">
      <w:pPr>
        <w:keepNext/>
        <w:spacing w:before="120" w:after="120" w:line="360" w:lineRule="auto"/>
        <w:jc w:val="both"/>
        <w:rPr>
          <w:rFonts w:ascii="Times New Roman" w:hAnsi="Times New Roman" w:cs="Times New Roman"/>
        </w:rPr>
      </w:pPr>
      <w:r w:rsidRPr="008F5202">
        <w:rPr>
          <w:rFonts w:ascii="Times New Roman" w:eastAsia="Calibri" w:hAnsi="Times New Roman" w:cs="Times New Roman"/>
          <w:noProof/>
        </w:rPr>
        <w:drawing>
          <wp:inline distT="0" distB="0" distL="0" distR="0" wp14:anchorId="48E6F76E" wp14:editId="115E970E">
            <wp:extent cx="5475768" cy="1611551"/>
            <wp:effectExtent l="0" t="0" r="0" b="8255"/>
            <wp:docPr id="5546226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486339" cy="1614662"/>
                    </a:xfrm>
                    <a:prstGeom prst="rect">
                      <a:avLst/>
                    </a:prstGeom>
                    <a:noFill/>
                  </pic:spPr>
                </pic:pic>
              </a:graphicData>
            </a:graphic>
          </wp:inline>
        </w:drawing>
      </w:r>
    </w:p>
    <w:p w14:paraId="02C949B7" w14:textId="6519D605" w:rsidR="000978FD" w:rsidRPr="007B7C54" w:rsidRDefault="000978FD" w:rsidP="000978FD">
      <w:pPr>
        <w:spacing w:before="120" w:after="120"/>
        <w:rPr>
          <w:rFonts w:ascii="Times New Roman" w:eastAsia="Calibri" w:hAnsi="Times New Roman" w:cs="Times New Roman"/>
        </w:rPr>
      </w:pPr>
      <w:bookmarkStart w:id="214" w:name="_Toc177755232"/>
      <w:r w:rsidRPr="008F5202">
        <w:rPr>
          <w:rFonts w:ascii="Times New Roman" w:hAnsi="Times New Roman" w:cs="Times New Roman"/>
        </w:rPr>
        <w:t xml:space="preserve">Figure </w:t>
      </w:r>
      <w:r w:rsidR="003763D2" w:rsidRPr="008F5202">
        <w:rPr>
          <w:rFonts w:ascii="Times New Roman" w:hAnsi="Times New Roman" w:cs="Times New Roman"/>
        </w:rPr>
        <w:fldChar w:fldCharType="begin"/>
      </w:r>
      <w:r w:rsidR="003763D2" w:rsidRPr="008F5202">
        <w:rPr>
          <w:rFonts w:ascii="Times New Roman" w:hAnsi="Times New Roman" w:cs="Times New Roman"/>
        </w:rPr>
        <w:instrText xml:space="preserve"> STYLEREF 1 \s </w:instrText>
      </w:r>
      <w:r w:rsidR="003763D2" w:rsidRPr="008F5202">
        <w:rPr>
          <w:rFonts w:ascii="Times New Roman" w:hAnsi="Times New Roman" w:cs="Times New Roman"/>
        </w:rPr>
        <w:fldChar w:fldCharType="separate"/>
      </w:r>
      <w:r w:rsidR="00AF1AFB">
        <w:rPr>
          <w:rFonts w:ascii="Times New Roman" w:hAnsi="Times New Roman" w:cs="Times New Roman"/>
          <w:noProof/>
        </w:rPr>
        <w:t>5</w:t>
      </w:r>
      <w:r w:rsidR="003763D2" w:rsidRPr="008F5202">
        <w:rPr>
          <w:rFonts w:ascii="Times New Roman" w:hAnsi="Times New Roman" w:cs="Times New Roman"/>
        </w:rPr>
        <w:fldChar w:fldCharType="end"/>
      </w:r>
      <w:r w:rsidR="003763D2" w:rsidRPr="008F5202">
        <w:rPr>
          <w:rFonts w:ascii="Times New Roman" w:hAnsi="Times New Roman" w:cs="Times New Roman"/>
        </w:rPr>
        <w:t>.</w:t>
      </w:r>
      <w:r w:rsidR="003763D2" w:rsidRPr="008F5202">
        <w:rPr>
          <w:rFonts w:ascii="Times New Roman" w:hAnsi="Times New Roman" w:cs="Times New Roman"/>
        </w:rPr>
        <w:fldChar w:fldCharType="begin"/>
      </w:r>
      <w:r w:rsidR="003763D2" w:rsidRPr="008F5202">
        <w:rPr>
          <w:rFonts w:ascii="Times New Roman" w:hAnsi="Times New Roman" w:cs="Times New Roman"/>
        </w:rPr>
        <w:instrText xml:space="preserve"> SEQ Figure \* ARABIC \s 1 </w:instrText>
      </w:r>
      <w:r w:rsidR="003763D2" w:rsidRPr="008F5202">
        <w:rPr>
          <w:rFonts w:ascii="Times New Roman" w:hAnsi="Times New Roman" w:cs="Times New Roman"/>
        </w:rPr>
        <w:fldChar w:fldCharType="separate"/>
      </w:r>
      <w:r w:rsidR="00AF1AFB">
        <w:rPr>
          <w:rFonts w:ascii="Times New Roman" w:hAnsi="Times New Roman" w:cs="Times New Roman"/>
          <w:noProof/>
        </w:rPr>
        <w:t>3</w:t>
      </w:r>
      <w:r w:rsidR="003763D2" w:rsidRPr="008F5202">
        <w:rPr>
          <w:rFonts w:ascii="Times New Roman" w:hAnsi="Times New Roman" w:cs="Times New Roman"/>
        </w:rPr>
        <w:fldChar w:fldCharType="end"/>
      </w:r>
      <w:r w:rsidRPr="008F5202">
        <w:rPr>
          <w:rFonts w:ascii="Times New Roman" w:hAnsi="Times New Roman" w:cs="Times New Roman"/>
        </w:rPr>
        <w:t xml:space="preserve"> </w:t>
      </w:r>
      <w:r w:rsidRPr="008F5202">
        <w:rPr>
          <w:rFonts w:ascii="Times New Roman" w:eastAsia="Calibri" w:hAnsi="Times New Roman" w:cs="Times New Roman"/>
        </w:rPr>
        <w:t xml:space="preserve">(a) Experimental setup for </w:t>
      </w:r>
      <w:r w:rsidRPr="008F5202">
        <w:rPr>
          <w:rFonts w:ascii="Times New Roman" w:eastAsia="Calibri" w:hAnsi="Times New Roman" w:cs="Times New Roman"/>
          <w:i/>
          <w:iCs/>
        </w:rPr>
        <w:t>k</w:t>
      </w:r>
      <w:r w:rsidRPr="008F5202">
        <w:rPr>
          <w:rFonts w:ascii="Times New Roman" w:eastAsia="Calibri" w:hAnsi="Times New Roman" w:cs="Times New Roman"/>
          <w:vertAlign w:val="subscript"/>
        </w:rPr>
        <w:t xml:space="preserve">eff </w:t>
      </w:r>
      <w:r w:rsidRPr="008F5202">
        <w:rPr>
          <w:rFonts w:ascii="Times New Roman" w:eastAsia="Calibri" w:hAnsi="Times New Roman" w:cs="Times New Roman"/>
        </w:rPr>
        <w:t>determination, (b) unidirectional heat flow obtained via patch heater and cold sink (bottom)</w:t>
      </w:r>
      <w:bookmarkEnd w:id="214"/>
    </w:p>
    <w:p w14:paraId="27153382" w14:textId="6B61B8B3" w:rsidR="007B7C54" w:rsidRPr="007B7C54" w:rsidRDefault="007B7C54" w:rsidP="000978FD">
      <w:pPr>
        <w:spacing w:before="120" w:after="120" w:line="360" w:lineRule="auto"/>
        <w:ind w:firstLine="360"/>
        <w:jc w:val="both"/>
        <w:rPr>
          <w:rFonts w:ascii="Times New Roman" w:eastAsia="Calibri" w:hAnsi="Times New Roman" w:cs="Times New Roman"/>
        </w:rPr>
      </w:pPr>
      <w:r w:rsidRPr="007B7C54">
        <w:rPr>
          <w:rFonts w:ascii="Times New Roman" w:eastAsia="Calibri" w:hAnsi="Times New Roman" w:cs="Times New Roman"/>
        </w:rPr>
        <w:t>The effective thermal conductivity (</w:t>
      </w:r>
      <w:r w:rsidRPr="007B7C54">
        <w:rPr>
          <w:rFonts w:ascii="Times New Roman" w:eastAsia="Calibri" w:hAnsi="Times New Roman" w:cs="Times New Roman"/>
          <w:i/>
          <w:iCs/>
        </w:rPr>
        <w:t>k</w:t>
      </w:r>
      <w:r w:rsidRPr="007B7C54">
        <w:rPr>
          <w:rFonts w:ascii="Times New Roman" w:eastAsia="Calibri" w:hAnsi="Times New Roman" w:cs="Times New Roman"/>
          <w:vertAlign w:val="subscript"/>
        </w:rPr>
        <w:t>eff</w:t>
      </w:r>
      <w:r w:rsidRPr="007B7C54">
        <w:rPr>
          <w:rFonts w:ascii="Times New Roman" w:eastAsia="Calibri" w:hAnsi="Times New Roman" w:cs="Times New Roman"/>
        </w:rPr>
        <w:t xml:space="preserve">) was determined using Fourier’s law of conduction (Eq. </w:t>
      </w:r>
      <w:r w:rsidR="008700FD" w:rsidRPr="008F5202">
        <w:rPr>
          <w:rFonts w:ascii="Times New Roman" w:eastAsia="Calibri" w:hAnsi="Times New Roman" w:cs="Times New Roman"/>
        </w:rPr>
        <w:t>5.</w:t>
      </w:r>
      <w:r w:rsidRPr="007B7C54">
        <w:rPr>
          <w:rFonts w:ascii="Times New Roman" w:eastAsia="Calibri" w:hAnsi="Times New Roman" w:cs="Times New Roman"/>
        </w:rPr>
        <w:t>2). A constant heat flux boundary condition was maintained at the top wall of the sample while the bottom wall was glued firmly with the Aluminum slab which served as the cold reservoir. Steady-state heat transfer experiments were conducted at three different heat flux values, and effective thermal conductivity was determined for each case, to ensure that the determined value was independent of the applied heat flux at the top wall. The net heat conducted across the one-unit cell thick sample was calculated by subtracting the stray heat loss from the total heat supplied.</w:t>
      </w:r>
    </w:p>
    <w:p w14:paraId="13DC0436" w14:textId="0941D23E" w:rsidR="007B7C54" w:rsidRPr="008F5202" w:rsidRDefault="007B7C54"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5</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2</w:t>
      </w:r>
      <w:r w:rsidR="000978FD" w:rsidRPr="008F5202">
        <w:fldChar w:fldCharType="end"/>
      </w:r>
    </w:p>
    <w:p w14:paraId="25005220" w14:textId="612838E2" w:rsidR="007B7C54" w:rsidRPr="007B7C54" w:rsidRDefault="007B7C54" w:rsidP="007B7C54">
      <w:pPr>
        <w:spacing w:line="360" w:lineRule="auto"/>
        <w:jc w:val="both"/>
        <w:rPr>
          <w:rFonts w:ascii="Times New Roman" w:hAnsi="Times New Roman" w:cs="Times New Roman"/>
          <w:iCs/>
        </w:rPr>
      </w:pPr>
      <m:oMathPara>
        <m:oMath>
          <m:sSub>
            <m:sSubPr>
              <m:ctrlPr>
                <w:rPr>
                  <w:rFonts w:ascii="Cambria Math" w:eastAsia="Calibri" w:hAnsi="Cambria Math" w:cs="Times New Roman"/>
                  <w:i/>
                  <w:iCs/>
                </w:rPr>
              </m:ctrlPr>
            </m:sSubPr>
            <m:e>
              <m:r>
                <w:rPr>
                  <w:rFonts w:ascii="Cambria Math" w:eastAsia="Calibri" w:hAnsi="Cambria Math" w:cs="Times New Roman"/>
                </w:rPr>
                <m:t>k</m:t>
              </m:r>
            </m:e>
            <m:sub>
              <m:r>
                <w:rPr>
                  <w:rFonts w:ascii="Cambria Math" w:eastAsia="Calibri" w:hAnsi="Cambria Math" w:cs="Times New Roman"/>
                </w:rPr>
                <m:t>eff</m:t>
              </m:r>
            </m:sub>
          </m:sSub>
          <m:r>
            <w:rPr>
              <w:rFonts w:ascii="Cambria Math" w:eastAsia="Calibri" w:hAnsi="Cambria Math" w:cs="Times New Roman"/>
            </w:rPr>
            <m:t>=</m:t>
          </m:r>
          <m:f>
            <m:fPr>
              <m:ctrlPr>
                <w:rPr>
                  <w:rFonts w:ascii="Cambria Math" w:eastAsia="Calibri" w:hAnsi="Cambria Math" w:cs="Times New Roman"/>
                  <w:i/>
                  <w:iCs/>
                </w:rPr>
              </m:ctrlPr>
            </m:fPr>
            <m:num>
              <m:d>
                <m:dPr>
                  <m:ctrlPr>
                    <w:rPr>
                      <w:rFonts w:ascii="Cambria Math" w:eastAsia="Calibri" w:hAnsi="Cambria Math" w:cs="Times New Roman"/>
                      <w:i/>
                      <w:iCs/>
                    </w:rPr>
                  </m:ctrlPr>
                </m:dPr>
                <m:e>
                  <m:f>
                    <m:fPr>
                      <m:type m:val="lin"/>
                      <m:ctrlPr>
                        <w:rPr>
                          <w:rFonts w:ascii="Cambria Math" w:eastAsia="Calibri" w:hAnsi="Cambria Math" w:cs="Times New Roman"/>
                          <w:i/>
                          <w:iCs/>
                        </w:rPr>
                      </m:ctrlPr>
                    </m:fPr>
                    <m:num>
                      <m:sSub>
                        <m:sSubPr>
                          <m:ctrlPr>
                            <w:rPr>
                              <w:rFonts w:ascii="Cambria Math" w:eastAsia="Calibri" w:hAnsi="Cambria Math" w:cs="Times New Roman"/>
                              <w:i/>
                              <w:iCs/>
                            </w:rPr>
                          </m:ctrlPr>
                        </m:sSubPr>
                        <m:e>
                          <m:r>
                            <w:rPr>
                              <w:rFonts w:ascii="Cambria Math" w:eastAsia="Calibri" w:hAnsi="Cambria Math" w:cs="Times New Roman"/>
                            </w:rPr>
                            <m:t>q</m:t>
                          </m:r>
                        </m:e>
                        <m:sub>
                          <m:r>
                            <w:rPr>
                              <w:rFonts w:ascii="Cambria Math" w:eastAsia="Calibri" w:hAnsi="Cambria Math" w:cs="Times New Roman"/>
                            </w:rPr>
                            <m:t>cond</m:t>
                          </m:r>
                        </m:sub>
                      </m:sSub>
                    </m:num>
                    <m:den>
                      <m:r>
                        <w:rPr>
                          <w:rFonts w:ascii="Cambria Math" w:eastAsia="Calibri" w:hAnsi="Cambria Math" w:cs="Times New Roman"/>
                        </w:rPr>
                        <m:t>A</m:t>
                      </m:r>
                    </m:den>
                  </m:f>
                </m:e>
              </m:d>
              <m:r>
                <w:rPr>
                  <w:rFonts w:ascii="Cambria Math" w:eastAsia="Calibri" w:hAnsi="Cambria Math" w:cs="Times New Roman"/>
                </w:rPr>
                <m:t>∆z</m:t>
              </m:r>
            </m:num>
            <m:den>
              <m:r>
                <w:rPr>
                  <w:rFonts w:ascii="Cambria Math" w:eastAsia="Calibri" w:hAnsi="Cambria Math" w:cs="Times New Roman"/>
                </w:rPr>
                <m:t>∆T</m:t>
              </m:r>
            </m:den>
          </m:f>
          <m:r>
            <w:rPr>
              <w:rFonts w:ascii="Cambria Math" w:eastAsia="Calibri" w:hAnsi="Cambria Math" w:cs="Times New Roman"/>
            </w:rPr>
            <m:t>=</m:t>
          </m:r>
          <m:f>
            <m:fPr>
              <m:ctrlPr>
                <w:rPr>
                  <w:rFonts w:ascii="Cambria Math" w:eastAsia="Calibri" w:hAnsi="Cambria Math" w:cs="Times New Roman"/>
                  <w:i/>
                  <w:iCs/>
                </w:rPr>
              </m:ctrlPr>
            </m:fPr>
            <m:num>
              <m:d>
                <m:dPr>
                  <m:ctrlPr>
                    <w:rPr>
                      <w:rFonts w:ascii="Cambria Math" w:eastAsia="Calibri" w:hAnsi="Cambria Math" w:cs="Times New Roman"/>
                      <w:i/>
                      <w:iCs/>
                    </w:rPr>
                  </m:ctrlPr>
                </m:dPr>
                <m:e>
                  <m:f>
                    <m:fPr>
                      <m:type m:val="lin"/>
                      <m:ctrlPr>
                        <w:rPr>
                          <w:rFonts w:ascii="Cambria Math" w:eastAsia="Calibri" w:hAnsi="Cambria Math" w:cs="Times New Roman"/>
                          <w:i/>
                          <w:iCs/>
                        </w:rPr>
                      </m:ctrlPr>
                    </m:fPr>
                    <m:num>
                      <m:sSub>
                        <m:sSubPr>
                          <m:ctrlPr>
                            <w:rPr>
                              <w:rFonts w:ascii="Cambria Math" w:eastAsia="Calibri" w:hAnsi="Cambria Math" w:cs="Times New Roman"/>
                              <w:i/>
                              <w:iCs/>
                            </w:rPr>
                          </m:ctrlPr>
                        </m:sSubPr>
                        <m:e>
                          <m:r>
                            <w:rPr>
                              <w:rFonts w:ascii="Cambria Math" w:eastAsia="Calibri" w:hAnsi="Cambria Math" w:cs="Times New Roman"/>
                            </w:rPr>
                            <m:t>{q</m:t>
                          </m:r>
                        </m:e>
                        <m:sub>
                          <m:r>
                            <w:rPr>
                              <w:rFonts w:ascii="Cambria Math" w:eastAsia="Calibri" w:hAnsi="Cambria Math" w:cs="Times New Roman"/>
                            </w:rPr>
                            <m:t>total</m:t>
                          </m:r>
                        </m:sub>
                      </m:sSub>
                      <m:r>
                        <w:rPr>
                          <w:rFonts w:ascii="Cambria Math" w:eastAsia="Calibri" w:hAnsi="Cambria Math" w:cs="Times New Roman"/>
                        </w:rPr>
                        <m:t>-</m:t>
                      </m:r>
                      <m:nary>
                        <m:naryPr>
                          <m:chr m:val="∑"/>
                          <m:subHide m:val="1"/>
                          <m:supHide m:val="1"/>
                          <m:ctrlPr>
                            <w:rPr>
                              <w:rFonts w:ascii="Cambria Math" w:eastAsia="Calibri" w:hAnsi="Cambria Math" w:cs="Times New Roman"/>
                              <w:i/>
                              <w:iCs/>
                            </w:rPr>
                          </m:ctrlPr>
                        </m:naryPr>
                        <m:sub/>
                        <m:sup/>
                        <m:e>
                          <m:sSub>
                            <m:sSubPr>
                              <m:ctrlPr>
                                <w:rPr>
                                  <w:rFonts w:ascii="Cambria Math" w:eastAsia="Calibri" w:hAnsi="Cambria Math" w:cs="Times New Roman"/>
                                  <w:i/>
                                  <w:iCs/>
                                </w:rPr>
                              </m:ctrlPr>
                            </m:sSubPr>
                            <m:e>
                              <m:r>
                                <w:rPr>
                                  <w:rFonts w:ascii="Cambria Math" w:eastAsia="Calibri" w:hAnsi="Cambria Math" w:cs="Times New Roman"/>
                                </w:rPr>
                                <m:t>q</m:t>
                              </m:r>
                            </m:e>
                            <m:sub>
                              <m:r>
                                <w:rPr>
                                  <w:rFonts w:ascii="Cambria Math" w:eastAsia="Calibri" w:hAnsi="Cambria Math" w:cs="Times New Roman"/>
                                </w:rPr>
                                <m:t>loss</m:t>
                              </m:r>
                            </m:sub>
                          </m:sSub>
                          <m:r>
                            <w:rPr>
                              <w:rFonts w:ascii="Cambria Math" w:eastAsia="Calibri" w:hAnsi="Cambria Math" w:cs="Times New Roman"/>
                            </w:rPr>
                            <m:t>}</m:t>
                          </m:r>
                        </m:e>
                      </m:nary>
                    </m:num>
                    <m:den>
                      <m:r>
                        <w:rPr>
                          <w:rFonts w:ascii="Cambria Math" w:eastAsia="Calibri" w:hAnsi="Cambria Math" w:cs="Times New Roman"/>
                        </w:rPr>
                        <m:t>A</m:t>
                      </m:r>
                    </m:den>
                  </m:f>
                </m:e>
              </m:d>
              <m:r>
                <w:rPr>
                  <w:rFonts w:ascii="Cambria Math" w:eastAsia="Calibri" w:hAnsi="Cambria Math" w:cs="Times New Roman"/>
                </w:rPr>
                <m:t>∆z</m:t>
              </m:r>
            </m:num>
            <m:den>
              <m:sSub>
                <m:sSubPr>
                  <m:ctrlPr>
                    <w:rPr>
                      <w:rFonts w:ascii="Cambria Math" w:eastAsia="Calibri" w:hAnsi="Cambria Math" w:cs="Times New Roman"/>
                      <w:i/>
                      <w:iCs/>
                    </w:rPr>
                  </m:ctrlPr>
                </m:sSubPr>
                <m:e>
                  <m:acc>
                    <m:accPr>
                      <m:chr m:val="̃"/>
                      <m:ctrlPr>
                        <w:rPr>
                          <w:rFonts w:ascii="Cambria Math" w:eastAsia="Calibri" w:hAnsi="Cambria Math" w:cs="Times New Roman"/>
                          <w:i/>
                          <w:iCs/>
                        </w:rPr>
                      </m:ctrlPr>
                    </m:accPr>
                    <m:e>
                      <m:r>
                        <w:rPr>
                          <w:rFonts w:ascii="Cambria Math" w:eastAsia="Calibri" w:hAnsi="Cambria Math" w:cs="Times New Roman"/>
                        </w:rPr>
                        <m:t>T</m:t>
                      </m:r>
                    </m:e>
                  </m:acc>
                </m:e>
                <m:sub>
                  <m:r>
                    <w:rPr>
                      <w:rFonts w:ascii="Cambria Math" w:eastAsia="Calibri" w:hAnsi="Cambria Math" w:cs="Times New Roman"/>
                    </w:rPr>
                    <m:t>top</m:t>
                  </m:r>
                </m:sub>
              </m:sSub>
              <m:r>
                <w:rPr>
                  <w:rFonts w:ascii="Cambria Math" w:eastAsia="Calibri" w:hAnsi="Cambria Math" w:cs="Times New Roman"/>
                </w:rPr>
                <m:t>-</m:t>
              </m:r>
              <m:sSub>
                <m:sSubPr>
                  <m:ctrlPr>
                    <w:rPr>
                      <w:rFonts w:ascii="Cambria Math" w:eastAsia="Calibri" w:hAnsi="Cambria Math" w:cs="Times New Roman"/>
                      <w:i/>
                      <w:iCs/>
                    </w:rPr>
                  </m:ctrlPr>
                </m:sSubPr>
                <m:e>
                  <m:acc>
                    <m:accPr>
                      <m:chr m:val="̃"/>
                      <m:ctrlPr>
                        <w:rPr>
                          <w:rFonts w:ascii="Cambria Math" w:eastAsia="Calibri" w:hAnsi="Cambria Math" w:cs="Times New Roman"/>
                          <w:i/>
                          <w:iCs/>
                        </w:rPr>
                      </m:ctrlPr>
                    </m:accPr>
                    <m:e>
                      <m:r>
                        <w:rPr>
                          <w:rFonts w:ascii="Cambria Math" w:eastAsia="Calibri" w:hAnsi="Cambria Math" w:cs="Times New Roman"/>
                        </w:rPr>
                        <m:t>T</m:t>
                      </m:r>
                    </m:e>
                  </m:acc>
                </m:e>
                <m:sub>
                  <m:r>
                    <w:rPr>
                      <w:rFonts w:ascii="Cambria Math" w:eastAsia="Calibri" w:hAnsi="Cambria Math" w:cs="Times New Roman"/>
                    </w:rPr>
                    <m:t>bot</m:t>
                  </m:r>
                </m:sub>
              </m:sSub>
            </m:den>
          </m:f>
        </m:oMath>
      </m:oMathPara>
    </w:p>
    <w:p w14:paraId="50CC8DC7" w14:textId="754E6878" w:rsidR="007B7C54" w:rsidRPr="008F5202" w:rsidRDefault="007B7C54" w:rsidP="008F5202">
      <w:pPr>
        <w:pStyle w:val="Caption"/>
      </w:pPr>
      <w:r w:rsidRPr="008F5202">
        <w:t xml:space="preserve">Equation </w:t>
      </w:r>
      <w:r w:rsidR="000978FD" w:rsidRPr="008F5202">
        <w:fldChar w:fldCharType="begin"/>
      </w:r>
      <w:r w:rsidR="000978FD" w:rsidRPr="008F5202">
        <w:instrText xml:space="preserve"> STYLEREF 1 \s </w:instrText>
      </w:r>
      <w:r w:rsidR="000978FD" w:rsidRPr="008F5202">
        <w:fldChar w:fldCharType="separate"/>
      </w:r>
      <w:r w:rsidR="00AF1AFB">
        <w:rPr>
          <w:noProof/>
        </w:rPr>
        <w:t>5</w:t>
      </w:r>
      <w:r w:rsidR="000978FD" w:rsidRPr="008F5202">
        <w:fldChar w:fldCharType="end"/>
      </w:r>
      <w:r w:rsidR="000978FD" w:rsidRPr="008F5202">
        <w:t>.</w:t>
      </w:r>
      <w:r w:rsidR="000978FD" w:rsidRPr="008F5202">
        <w:fldChar w:fldCharType="begin"/>
      </w:r>
      <w:r w:rsidR="000978FD" w:rsidRPr="008F5202">
        <w:instrText xml:space="preserve"> SEQ Equation \* ARABIC \s 1 </w:instrText>
      </w:r>
      <w:r w:rsidR="000978FD" w:rsidRPr="008F5202">
        <w:fldChar w:fldCharType="separate"/>
      </w:r>
      <w:r w:rsidR="00AF1AFB">
        <w:rPr>
          <w:noProof/>
        </w:rPr>
        <w:t>3</w:t>
      </w:r>
      <w:r w:rsidR="000978FD" w:rsidRPr="008F5202">
        <w:fldChar w:fldCharType="end"/>
      </w:r>
    </w:p>
    <w:p w14:paraId="060C82B3" w14:textId="5F1B170F" w:rsidR="007B7C54" w:rsidRPr="007B7C54" w:rsidRDefault="007B7C54" w:rsidP="000978FD">
      <w:pPr>
        <w:spacing w:line="360" w:lineRule="auto"/>
        <w:jc w:val="both"/>
        <w:rPr>
          <w:rFonts w:ascii="Times New Roman" w:hAnsi="Times New Roman" w:cs="Times New Roman"/>
          <w:iCs/>
        </w:rPr>
      </w:pPr>
      <m:oMathPara>
        <m:oMath>
          <m:nary>
            <m:naryPr>
              <m:chr m:val="∑"/>
              <m:grow m:val="1"/>
              <m:subHide m:val="1"/>
              <m:supHide m:val="1"/>
              <m:ctrlPr>
                <w:rPr>
                  <w:rFonts w:ascii="Cambria Math" w:eastAsia="Calibri" w:hAnsi="Cambria Math" w:cs="Times New Roman"/>
                  <w:i/>
                  <w:iCs/>
                </w:rPr>
              </m:ctrlPr>
            </m:naryPr>
            <m:sub/>
            <m:sup/>
            <m:e>
              <m:sSub>
                <m:sSubPr>
                  <m:ctrlPr>
                    <w:rPr>
                      <w:rFonts w:ascii="Cambria Math" w:eastAsia="Calibri" w:hAnsi="Cambria Math" w:cs="Times New Roman"/>
                      <w:i/>
                      <w:iCs/>
                    </w:rPr>
                  </m:ctrlPr>
                </m:sSubPr>
                <m:e>
                  <m:r>
                    <w:rPr>
                      <w:rFonts w:ascii="Cambria Math" w:eastAsia="Calibri" w:hAnsi="Cambria Math" w:cs="Times New Roman"/>
                    </w:rPr>
                    <m:t>q</m:t>
                  </m:r>
                </m:e>
                <m:sub>
                  <m:r>
                    <w:rPr>
                      <w:rFonts w:ascii="Cambria Math" w:eastAsia="Calibri" w:hAnsi="Cambria Math" w:cs="Times New Roman"/>
                    </w:rPr>
                    <m:t>loss</m:t>
                  </m:r>
                </m:sub>
              </m:sSub>
            </m:e>
          </m:nary>
          <m:r>
            <w:rPr>
              <w:rFonts w:ascii="Cambria Math" w:eastAsia="Calibri" w:hAnsi="Cambria Math" w:cs="Times New Roman"/>
            </w:rPr>
            <m:t>=</m:t>
          </m:r>
          <m:f>
            <m:fPr>
              <m:ctrlPr>
                <w:rPr>
                  <w:rFonts w:ascii="Cambria Math" w:eastAsia="Calibri" w:hAnsi="Cambria Math" w:cs="Times New Roman"/>
                  <w:i/>
                  <w:iCs/>
                </w:rPr>
              </m:ctrlPr>
            </m:fPr>
            <m:num>
              <m:sSub>
                <m:sSubPr>
                  <m:ctrlPr>
                    <w:rPr>
                      <w:rFonts w:ascii="Cambria Math" w:eastAsia="Calibri" w:hAnsi="Cambria Math" w:cs="Times New Roman"/>
                      <w:i/>
                      <w:iCs/>
                    </w:rPr>
                  </m:ctrlPr>
                </m:sSubPr>
                <m:e>
                  <m:r>
                    <w:rPr>
                      <w:rFonts w:ascii="Cambria Math" w:eastAsia="Calibri" w:hAnsi="Cambria Math" w:cs="Times New Roman"/>
                    </w:rPr>
                    <m:t>k</m:t>
                  </m:r>
                </m:e>
                <m:sub>
                  <m:r>
                    <w:rPr>
                      <w:rFonts w:ascii="Cambria Math" w:eastAsia="Calibri" w:hAnsi="Cambria Math" w:cs="Times New Roman"/>
                    </w:rPr>
                    <m:t>ins</m:t>
                  </m:r>
                </m:sub>
              </m:sSub>
            </m:num>
            <m:den>
              <m:sSub>
                <m:sSubPr>
                  <m:ctrlPr>
                    <w:rPr>
                      <w:rFonts w:ascii="Cambria Math" w:eastAsia="Calibri" w:hAnsi="Cambria Math" w:cs="Times New Roman"/>
                      <w:i/>
                      <w:iCs/>
                    </w:rPr>
                  </m:ctrlPr>
                </m:sSubPr>
                <m:e>
                  <m:r>
                    <w:rPr>
                      <w:rFonts w:ascii="Cambria Math" w:eastAsia="Calibri" w:hAnsi="Cambria Math" w:cs="Times New Roman"/>
                    </w:rPr>
                    <m:t>t</m:t>
                  </m:r>
                </m:e>
                <m:sub>
                  <m:r>
                    <w:rPr>
                      <w:rFonts w:ascii="Cambria Math" w:eastAsia="Calibri" w:hAnsi="Cambria Math" w:cs="Times New Roman"/>
                    </w:rPr>
                    <m:t>ins</m:t>
                  </m:r>
                </m:sub>
              </m:sSub>
            </m:den>
          </m:f>
          <m:d>
            <m:dPr>
              <m:begChr m:val="["/>
              <m:endChr m:val="]"/>
              <m:ctrlPr>
                <w:rPr>
                  <w:rFonts w:ascii="Cambria Math" w:eastAsia="Calibri" w:hAnsi="Cambria Math" w:cs="Times New Roman"/>
                  <w:i/>
                  <w:iCs/>
                </w:rPr>
              </m:ctrlPr>
            </m:dPr>
            <m:e>
              <m:r>
                <w:rPr>
                  <w:rFonts w:ascii="Cambria Math" w:eastAsia="Calibri" w:hAnsi="Cambria Math" w:cs="Times New Roman"/>
                </w:rPr>
                <m:t>A</m:t>
              </m:r>
              <m:d>
                <m:dPr>
                  <m:ctrlPr>
                    <w:rPr>
                      <w:rFonts w:ascii="Cambria Math" w:eastAsia="Calibri" w:hAnsi="Cambria Math" w:cs="Times New Roman"/>
                      <w:i/>
                      <w:iCs/>
                    </w:rPr>
                  </m:ctrlPr>
                </m:dPr>
                <m:e>
                  <m:sSub>
                    <m:sSubPr>
                      <m:ctrlPr>
                        <w:rPr>
                          <w:rFonts w:ascii="Cambria Math" w:eastAsia="Calibri" w:hAnsi="Cambria Math" w:cs="Times New Roman"/>
                          <w:i/>
                          <w:iCs/>
                        </w:rPr>
                      </m:ctrlPr>
                    </m:sSubPr>
                    <m:e>
                      <m:r>
                        <w:rPr>
                          <w:rFonts w:ascii="Cambria Math" w:eastAsia="Calibri" w:hAnsi="Cambria Math" w:cs="Times New Roman"/>
                        </w:rPr>
                        <m:t>T</m:t>
                      </m:r>
                    </m:e>
                    <m:sub>
                      <m:r>
                        <w:rPr>
                          <w:rFonts w:ascii="Cambria Math" w:eastAsia="Calibri" w:hAnsi="Cambria Math" w:cs="Times New Roman"/>
                        </w:rPr>
                        <m:t>Top,in</m:t>
                      </m:r>
                    </m:sub>
                  </m:sSub>
                  <m:r>
                    <w:rPr>
                      <w:rFonts w:ascii="Cambria Math" w:eastAsia="Calibri"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T</m:t>
                      </m:r>
                    </m:e>
                    <m:sub>
                      <m:r>
                        <w:rPr>
                          <w:rFonts w:ascii="Cambria Math" w:eastAsia="Calibri" w:hAnsi="Cambria Math" w:cs="Times New Roman"/>
                        </w:rPr>
                        <m:t>Top,out</m:t>
                      </m:r>
                    </m:sub>
                  </m:sSub>
                </m:e>
              </m:d>
              <m:r>
                <w:rPr>
                  <w:rFonts w:ascii="Cambria Math" w:eastAsia="Calibri" w:hAnsi="Cambria Math" w:cs="Times New Roman"/>
                </w:rPr>
                <m:t>+4b∆z</m:t>
              </m:r>
              <m:d>
                <m:dPr>
                  <m:ctrlPr>
                    <w:rPr>
                      <w:rFonts w:ascii="Cambria Math" w:eastAsia="Calibri" w:hAnsi="Cambria Math" w:cs="Times New Roman"/>
                      <w:i/>
                      <w:iCs/>
                    </w:rPr>
                  </m:ctrlPr>
                </m:dPr>
                <m:e>
                  <m:sSub>
                    <m:sSubPr>
                      <m:ctrlPr>
                        <w:rPr>
                          <w:rFonts w:ascii="Cambria Math" w:eastAsia="Calibri" w:hAnsi="Cambria Math" w:cs="Times New Roman"/>
                          <w:i/>
                          <w:iCs/>
                        </w:rPr>
                      </m:ctrlPr>
                    </m:sSubPr>
                    <m:e>
                      <m:r>
                        <w:rPr>
                          <w:rFonts w:ascii="Cambria Math" w:eastAsia="Calibri" w:hAnsi="Cambria Math" w:cs="Times New Roman"/>
                        </w:rPr>
                        <m:t>T</m:t>
                      </m:r>
                    </m:e>
                    <m:sub>
                      <m:r>
                        <w:rPr>
                          <w:rFonts w:ascii="Cambria Math" w:eastAsia="Calibri" w:hAnsi="Cambria Math" w:cs="Times New Roman"/>
                        </w:rPr>
                        <m:t>side,in</m:t>
                      </m:r>
                    </m:sub>
                  </m:sSub>
                  <m:r>
                    <w:rPr>
                      <w:rFonts w:ascii="Cambria Math" w:eastAsia="Calibri"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T</m:t>
                      </m:r>
                    </m:e>
                    <m:sub>
                      <m:r>
                        <w:rPr>
                          <w:rFonts w:ascii="Cambria Math" w:eastAsia="Calibri" w:hAnsi="Cambria Math" w:cs="Times New Roman"/>
                        </w:rPr>
                        <m:t>side,out</m:t>
                      </m:r>
                    </m:sub>
                  </m:sSub>
                </m:e>
              </m:d>
            </m:e>
          </m:d>
        </m:oMath>
      </m:oMathPara>
    </w:p>
    <w:p w14:paraId="51DB1323" w14:textId="1CF8390D" w:rsidR="007B7C54" w:rsidRPr="007B7C54" w:rsidRDefault="007B7C54" w:rsidP="007B7C54">
      <w:pPr>
        <w:spacing w:line="360" w:lineRule="auto"/>
        <w:jc w:val="both"/>
        <w:rPr>
          <w:rFonts w:ascii="Times New Roman" w:eastAsia="Calibri" w:hAnsi="Times New Roman" w:cs="Times New Roman"/>
        </w:rPr>
      </w:pPr>
      <w:r w:rsidRPr="007B7C54">
        <w:rPr>
          <w:rFonts w:ascii="Times New Roman" w:hAnsi="Times New Roman" w:cs="Times New Roman"/>
          <w:iCs/>
        </w:rPr>
        <w:t>where, “</w:t>
      </w:r>
      <w:r w:rsidRPr="007B7C54">
        <w:rPr>
          <w:rFonts w:ascii="Times New Roman" w:hAnsi="Times New Roman" w:cs="Times New Roman"/>
          <w:i/>
        </w:rPr>
        <w:t>A</w:t>
      </w:r>
      <w:r w:rsidRPr="007B7C54">
        <w:rPr>
          <w:rFonts w:ascii="Times New Roman" w:hAnsi="Times New Roman" w:cs="Times New Roman"/>
          <w:iCs/>
        </w:rPr>
        <w:t>” is the lattice base area, “</w:t>
      </w:r>
      <m:oMath>
        <m:r>
          <w:rPr>
            <w:rFonts w:ascii="Cambria Math" w:hAnsi="Cambria Math" w:cs="Times New Roman"/>
          </w:rPr>
          <m:t>∆z</m:t>
        </m:r>
      </m:oMath>
      <w:r w:rsidRPr="007B7C54">
        <w:rPr>
          <w:rFonts w:ascii="Times New Roman" w:hAnsi="Times New Roman" w:cs="Times New Roman"/>
          <w:iCs/>
        </w:rPr>
        <w:t>” is the thickness of single unit cell of lattice and “</w:t>
      </w:r>
      <w:r w:rsidRPr="007B7C54">
        <w:rPr>
          <w:rFonts w:ascii="Times New Roman" w:hAnsi="Times New Roman" w:cs="Times New Roman"/>
          <w:i/>
        </w:rPr>
        <w:t>b</w:t>
      </w:r>
      <w:r w:rsidRPr="007B7C54">
        <w:rPr>
          <w:rFonts w:ascii="Times New Roman" w:hAnsi="Times New Roman" w:cs="Times New Roman"/>
          <w:iCs/>
        </w:rPr>
        <w:t xml:space="preserve">” is the edge length of square cross-sectioned lattice (Fig. </w:t>
      </w:r>
      <w:r w:rsidR="00297625" w:rsidRPr="008F5202">
        <w:rPr>
          <w:rFonts w:ascii="Times New Roman" w:hAnsi="Times New Roman" w:cs="Times New Roman"/>
          <w:iCs/>
        </w:rPr>
        <w:t>5.</w:t>
      </w:r>
      <w:r w:rsidRPr="007B7C54">
        <w:rPr>
          <w:rFonts w:ascii="Times New Roman" w:hAnsi="Times New Roman" w:cs="Times New Roman"/>
          <w:iCs/>
        </w:rPr>
        <w:t xml:space="preserve">2). </w:t>
      </w:r>
      <w:r w:rsidRPr="007B7C54">
        <w:rPr>
          <w:rFonts w:ascii="Times New Roman" w:eastAsia="Calibri" w:hAnsi="Times New Roman" w:cs="Times New Roman"/>
        </w:rPr>
        <w:t xml:space="preserve">The stray heat loss venues </w:t>
      </w:r>
      <w:r w:rsidRPr="007B7C54">
        <w:rPr>
          <w:rFonts w:ascii="Times New Roman" w:eastAsia="Calibri" w:hAnsi="Times New Roman" w:cs="Times New Roman"/>
        </w:rPr>
        <w:lastRenderedPageBreak/>
        <w:t xml:space="preserve">involved the top wall insulation and the four side wall insulations. Thin thermocouples were secured at the inner and outer skins of the insulation to calculate the stray heat loss, with the knowledge of the thermal conductivity of the insulation material (Eq. </w:t>
      </w:r>
      <w:r w:rsidR="008700FD" w:rsidRPr="008F5202">
        <w:rPr>
          <w:rFonts w:ascii="Times New Roman" w:eastAsia="Calibri" w:hAnsi="Times New Roman" w:cs="Times New Roman"/>
        </w:rPr>
        <w:t>5.</w:t>
      </w:r>
      <w:r w:rsidRPr="007B7C54">
        <w:rPr>
          <w:rFonts w:ascii="Times New Roman" w:eastAsia="Calibri" w:hAnsi="Times New Roman" w:cs="Times New Roman"/>
        </w:rPr>
        <w:t xml:space="preserve">3). This accounting of the heat loss ensured that the reported effective thermal conductivity is only a contribution of the unit cell topology, solid- and fluid-phase thermal conductivities, and lattices’ effective porosity. </w:t>
      </w:r>
    </w:p>
    <w:p w14:paraId="4E95C489" w14:textId="0B128A8B" w:rsidR="007B7C54" w:rsidRPr="008F5202" w:rsidRDefault="007B7C54" w:rsidP="00BC1969">
      <w:pPr>
        <w:pStyle w:val="Heading3"/>
        <w:rPr>
          <w:rFonts w:eastAsia="Calibri"/>
        </w:rPr>
      </w:pPr>
      <w:bookmarkStart w:id="215" w:name="_Toc177758197"/>
      <w:r w:rsidRPr="008F5202">
        <w:rPr>
          <w:rFonts w:eastAsia="Calibri"/>
        </w:rPr>
        <w:t>Forced convection setup with air as working fluid, and heat transfer coefficient calculation procedure</w:t>
      </w:r>
      <w:bookmarkEnd w:id="215"/>
    </w:p>
    <w:p w14:paraId="62A1905D" w14:textId="79103C49" w:rsidR="007B7C54" w:rsidRPr="007B7C54" w:rsidRDefault="007B7C54" w:rsidP="00BC1969">
      <w:pPr>
        <w:spacing w:line="360" w:lineRule="auto"/>
        <w:ind w:firstLine="360"/>
        <w:jc w:val="both"/>
        <w:rPr>
          <w:rFonts w:ascii="Times New Roman" w:eastAsia="Calibri" w:hAnsi="Times New Roman" w:cs="Times New Roman"/>
        </w:rPr>
      </w:pPr>
      <w:r w:rsidRPr="007B7C54">
        <w:rPr>
          <w:rFonts w:ascii="Times New Roman" w:eastAsia="Calibri" w:hAnsi="Times New Roman" w:cs="Times New Roman"/>
        </w:rPr>
        <w:t xml:space="preserve">Figure </w:t>
      </w:r>
      <w:r w:rsidR="00297625" w:rsidRPr="008F5202">
        <w:rPr>
          <w:rFonts w:ascii="Times New Roman" w:eastAsia="Calibri" w:hAnsi="Times New Roman" w:cs="Times New Roman"/>
        </w:rPr>
        <w:t>5.</w:t>
      </w:r>
      <w:r w:rsidRPr="007B7C54">
        <w:rPr>
          <w:rFonts w:ascii="Times New Roman" w:eastAsia="Calibri" w:hAnsi="Times New Roman" w:cs="Times New Roman"/>
        </w:rPr>
        <w:t xml:space="preserve">4 shows the schematic of the experimental facility used in the present study where air was the working fluid under forced convection scenario. Air was drawn from a compressed air tank maintained at ~ 1MPa. A pressure regulator was installed downstream of the compressor to adjust the mass flow rate to a desired value. Air was then directed to an orifice plate for flow metering. Differential pressure across the orifice plate static air pressure upstream of the orifice plate and air temperature were measured using Dwyer 477AV-2 (0-10 kPa), Dwyer DPG-002 (0-100 kPa) and fast response T-type thermocouple, respectively. These pressure and temperature measurements were then fed into an in-house MATLAB code to determine the mass flow rate. The metered flow was then passed through a control valve regulating the flow into the test section. The transition of the flow from circular pipe to square duct was executed with the help of a trapezoidal shaped diffuser. </w:t>
      </w:r>
    </w:p>
    <w:p w14:paraId="6B2C1C65" w14:textId="77777777" w:rsidR="007B7C54" w:rsidRPr="007B7C54" w:rsidRDefault="007B7C54" w:rsidP="00BC1969">
      <w:pPr>
        <w:spacing w:line="360" w:lineRule="auto"/>
        <w:ind w:firstLine="360"/>
        <w:contextualSpacing/>
        <w:jc w:val="both"/>
        <w:rPr>
          <w:rFonts w:ascii="Times New Roman" w:eastAsia="Calibri" w:hAnsi="Times New Roman" w:cs="Times New Roman"/>
          <w:noProof/>
        </w:rPr>
      </w:pPr>
    </w:p>
    <w:p w14:paraId="164A3C04" w14:textId="4C4CB08F" w:rsidR="007B7C54" w:rsidRPr="007B7C54" w:rsidRDefault="007B7C54" w:rsidP="00BC1969">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Figure </w:t>
      </w:r>
      <w:r w:rsidR="00297625"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4 also shows the schematic of the heat transfer test section. The sandwich panel was heated with patch heaters attached to both the top and bottom walls using thermally conductive silicone compound (CHEMPLEX ® 1381 DE). Rubber foam thermal insulation with thermal conductivity of 0.037 (W/mK) and thickness of 3.2 mm was pasted on the surface of the heaters. T-type thermocouples were used to measure the temperature inside each thermocouple slot which was very close to the solid-fluid interface and this temperature was treated as the representative wall temperature in the convective heat transfer coefficient calculations. A constant heat flux type thermal boundary condition was created with the help of the patch heaters mentioned above, where the heating power was controlled with variable transformers having voltage indicators. </w:t>
      </w:r>
    </w:p>
    <w:p w14:paraId="38ED1987" w14:textId="77777777" w:rsidR="007B7C54" w:rsidRPr="007B7C54" w:rsidRDefault="007B7C54" w:rsidP="00BC1969">
      <w:pPr>
        <w:spacing w:line="360" w:lineRule="auto"/>
        <w:ind w:firstLine="360"/>
        <w:jc w:val="both"/>
        <w:rPr>
          <w:rFonts w:ascii="Times New Roman" w:eastAsia="Calibri" w:hAnsi="Times New Roman" w:cs="Times New Roman"/>
        </w:rPr>
      </w:pPr>
    </w:p>
    <w:p w14:paraId="713FC68B" w14:textId="77777777" w:rsidR="000978FD" w:rsidRPr="008F5202" w:rsidRDefault="000978FD" w:rsidP="000978FD">
      <w:pPr>
        <w:keepNext/>
        <w:spacing w:line="360" w:lineRule="auto"/>
        <w:ind w:firstLine="360"/>
        <w:jc w:val="both"/>
        <w:rPr>
          <w:rFonts w:ascii="Times New Roman" w:hAnsi="Times New Roman" w:cs="Times New Roman"/>
        </w:rPr>
      </w:pPr>
      <w:r w:rsidRPr="008F5202">
        <w:rPr>
          <w:rFonts w:ascii="Times New Roman" w:eastAsia="Calibri" w:hAnsi="Times New Roman" w:cs="Times New Roman"/>
          <w:noProof/>
        </w:rPr>
        <w:drawing>
          <wp:inline distT="0" distB="0" distL="0" distR="0" wp14:anchorId="0A05DD19" wp14:editId="5DEF1031">
            <wp:extent cx="5243154" cy="1818167"/>
            <wp:effectExtent l="0" t="0" r="0" b="0"/>
            <wp:docPr id="11975228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56340" cy="1822740"/>
                    </a:xfrm>
                    <a:prstGeom prst="rect">
                      <a:avLst/>
                    </a:prstGeom>
                    <a:noFill/>
                  </pic:spPr>
                </pic:pic>
              </a:graphicData>
            </a:graphic>
          </wp:inline>
        </w:drawing>
      </w:r>
    </w:p>
    <w:p w14:paraId="452A24DE" w14:textId="2B404367" w:rsidR="007B7C54" w:rsidRPr="007B7C54" w:rsidRDefault="000978FD" w:rsidP="008F5202">
      <w:pPr>
        <w:pStyle w:val="Caption"/>
        <w:rPr>
          <w:rFonts w:eastAsia="Calibri"/>
        </w:rPr>
      </w:pPr>
      <w:bookmarkStart w:id="216" w:name="_Toc177755233"/>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5</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4</w:t>
      </w:r>
      <w:r w:rsidR="003763D2" w:rsidRPr="008F5202">
        <w:fldChar w:fldCharType="end"/>
      </w:r>
      <w:r w:rsidRPr="008F5202">
        <w:t xml:space="preserve"> </w:t>
      </w:r>
      <w:r w:rsidRPr="008F5202">
        <w:t>(a) Schematic of the experimental setup (not drawn to scale), (b) zoom-in view of heat transfer section, (c) additively manufactured sandwich-type Octet panel in SS316L</w:t>
      </w:r>
      <w:bookmarkEnd w:id="216"/>
    </w:p>
    <w:p w14:paraId="7CD529F1" w14:textId="77777777" w:rsidR="007B7C54" w:rsidRPr="007B7C54" w:rsidRDefault="007B7C54" w:rsidP="00BC1969">
      <w:pPr>
        <w:spacing w:line="360" w:lineRule="auto"/>
        <w:ind w:firstLine="360"/>
        <w:jc w:val="both"/>
        <w:rPr>
          <w:rFonts w:ascii="Times New Roman" w:eastAsia="Calibri" w:hAnsi="Times New Roman" w:cs="Times New Roman"/>
        </w:rPr>
      </w:pPr>
      <w:r w:rsidRPr="007B7C54">
        <w:rPr>
          <w:rFonts w:ascii="Times New Roman" w:eastAsia="Calibri" w:hAnsi="Times New Roman" w:cs="Times New Roman"/>
        </w:rPr>
        <w:t xml:space="preserve">The sandwich panel featuring an array of Octet unit cells had top and bottom walls of 15 cm x 25 cm dimension and thickness was 1 cm (excluding the top and bottom wall thicknesses). Hence, the flow channel had high aspect ratio (width/height) of 15. It is generally challenging to achieve a uniform hydrodynamically developed flow at the entrance of the test section with such a high aspect ratio. To address this, a ~ 33 cm long plexiglass duct was installed between the heat transfer test section and the trapezoidal diffuser. </w:t>
      </w:r>
    </w:p>
    <w:p w14:paraId="18B705D4" w14:textId="77777777" w:rsidR="007B7C54" w:rsidRPr="007B7C54" w:rsidRDefault="007B7C54" w:rsidP="00BC1969">
      <w:pPr>
        <w:spacing w:line="360" w:lineRule="auto"/>
        <w:ind w:firstLine="360"/>
        <w:jc w:val="both"/>
        <w:rPr>
          <w:rFonts w:ascii="Times New Roman" w:eastAsia="Calibri" w:hAnsi="Times New Roman" w:cs="Times New Roman"/>
        </w:rPr>
      </w:pPr>
    </w:p>
    <w:p w14:paraId="4067527C" w14:textId="65D8B4D3" w:rsidR="007B7C54" w:rsidRPr="007B7C54" w:rsidRDefault="007B7C54" w:rsidP="00BC1969">
      <w:pPr>
        <w:spacing w:line="360" w:lineRule="auto"/>
        <w:ind w:firstLine="360"/>
        <w:contextualSpacing/>
        <w:jc w:val="both"/>
        <w:rPr>
          <w:rFonts w:ascii="Times New Roman" w:eastAsia="Calibri" w:hAnsi="Times New Roman" w:cs="Times New Roman"/>
        </w:rPr>
      </w:pPr>
      <w:r w:rsidRPr="007B7C54">
        <w:rPr>
          <w:rFonts w:ascii="Times New Roman" w:eastAsia="Calibri" w:hAnsi="Times New Roman" w:cs="Times New Roman"/>
        </w:rPr>
        <w:t xml:space="preserve">The samples used in this part were made by reticulating Octet unit cell in span where the sample was one unit cell thick. The sample was additively manufactured from Stainless Steel 316L and SS420 using binder jetting technology. The bed size of the 3D printer limited the maximum size of the lattice which can be printed in one run. Therefore, the sandwich panel shown in Fig. </w:t>
      </w:r>
      <w:r w:rsidR="00297625" w:rsidRPr="008F5202">
        <w:rPr>
          <w:rFonts w:ascii="Times New Roman" w:eastAsia="Calibri" w:hAnsi="Times New Roman" w:cs="Times New Roman"/>
        </w:rPr>
        <w:t>5.</w:t>
      </w:r>
      <w:r w:rsidRPr="007B7C54">
        <w:rPr>
          <w:rFonts w:ascii="Times New Roman" w:eastAsia="Calibri" w:hAnsi="Times New Roman" w:cs="Times New Roman"/>
        </w:rPr>
        <w:t xml:space="preserve">4 was obtained by 3D printing different smaller sections and then joining them together. For the SS316 panel, all the parts were joined together using tungsten inert gas (TIG) welding. TIG welding works by creating a very high-temperature plasma that melts and joins the panel parts together creating a seamless SS316 panel. The additively manufactured SS420 lattice panel parts were joined together by </w:t>
      </w:r>
      <w:r w:rsidRPr="007B7C54">
        <w:rPr>
          <w:rFonts w:ascii="Times New Roman" w:eastAsia="Calibri" w:hAnsi="Times New Roman" w:cs="Times New Roman"/>
        </w:rPr>
        <w:lastRenderedPageBreak/>
        <w:t xml:space="preserve">soldering. Since SS420 material is infiltrated with bronze, tin metal can easily bond to the SS420 panel parts. </w:t>
      </w:r>
    </w:p>
    <w:p w14:paraId="56D428ED" w14:textId="77777777" w:rsidR="007B7C54" w:rsidRPr="007B7C54" w:rsidRDefault="007B7C54" w:rsidP="00BC1969">
      <w:pPr>
        <w:spacing w:line="360" w:lineRule="auto"/>
        <w:contextualSpacing/>
        <w:jc w:val="both"/>
        <w:rPr>
          <w:rFonts w:ascii="Times New Roman" w:eastAsia="Calibri" w:hAnsi="Times New Roman" w:cs="Times New Roman"/>
          <w:noProof/>
        </w:rPr>
      </w:pPr>
    </w:p>
    <w:p w14:paraId="503BB364" w14:textId="181C2BDD" w:rsidR="007B7C54" w:rsidRPr="007B7C54" w:rsidRDefault="007B7C54" w:rsidP="000978FD">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The steady-state heat transfer experimental procedure included heating both top and bottom panels via the glued patch heaters. The experimental procedure included firstly heating the top and bottom plates and allowing them to reach a primary steady-state in absence of air flow. This step was followed by allowing desired airflow through the test section and allowing the setup to reach a second steady-state. </w:t>
      </w:r>
      <w:r w:rsidRPr="007B7C54">
        <w:rPr>
          <w:rFonts w:ascii="Times New Roman" w:hAnsi="Times New Roman" w:cs="Times New Roman"/>
          <w:noProof/>
        </w:rPr>
        <w:t xml:space="preserve">At this stage, the measurements of flow inlet temperature, wall temperature at discrete locations, and temperature drop across the insulation were carried out. </w:t>
      </w:r>
      <w:r w:rsidRPr="007B7C54">
        <w:rPr>
          <w:rFonts w:ascii="Times New Roman" w:eastAsia="Calibri" w:hAnsi="Times New Roman" w:cs="Times New Roman"/>
          <w:noProof/>
        </w:rPr>
        <w:t xml:space="preserve">Note that the panel was 15 cm wide and 25 cm long, and a representative wall temperature would only be found by measuring local wall temperatures at several discrete locations on both the top and bottom walls. </w:t>
      </w:r>
    </w:p>
    <w:p w14:paraId="3886E36D" w14:textId="06A236C7" w:rsidR="007B7C54" w:rsidRPr="007B7C54" w:rsidRDefault="007B7C54" w:rsidP="000978FD">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An array of 10 equi-spaced thermocouple slots were incorporated (in the AM phase itself) along the streamwise length of the samples with a depth of W/2 and W/6 into the span of both endwalls sandwiching the lattice section, where W is the width of the panel obtained after joining the smaller AM parts as described above. Under the assumption that the temperature distribution would be symmetric about the channel centerline in the streamwise direction, the representative wall temperature at a particular streamwise location was then obtained by calculating the area-averaged temperature based on the two measurements carried at the span of W/2 (centerline) and W/6. A trendline for streamwise variation of wall temperature was obtained for both top and bottom walls, to get a continuous variation </w:t>
      </w:r>
      <m:oMath>
        <m:sSub>
          <m:sSubPr>
            <m:ctrlPr>
              <w:rPr>
                <w:rFonts w:ascii="Cambria Math" w:eastAsia="Calibri" w:hAnsi="Cambria Math" w:cs="Times New Roman"/>
                <w:i/>
                <w:noProof/>
              </w:rPr>
            </m:ctrlPr>
          </m:sSubPr>
          <m:e>
            <m:r>
              <w:rPr>
                <w:rFonts w:ascii="Cambria Math" w:eastAsia="Calibri" w:hAnsi="Cambria Math" w:cs="Times New Roman"/>
                <w:noProof/>
              </w:rPr>
              <m:t>T</m:t>
            </m:r>
          </m:e>
          <m:sub>
            <m:r>
              <w:rPr>
                <w:rFonts w:ascii="Cambria Math" w:eastAsia="Calibri" w:hAnsi="Cambria Math" w:cs="Times New Roman"/>
                <w:noProof/>
              </w:rPr>
              <m:t>w</m:t>
            </m:r>
          </m:sub>
        </m:sSub>
        <m:d>
          <m:dPr>
            <m:ctrlPr>
              <w:rPr>
                <w:rFonts w:ascii="Cambria Math" w:eastAsia="Calibri" w:hAnsi="Cambria Math" w:cs="Times New Roman"/>
                <w:i/>
                <w:noProof/>
              </w:rPr>
            </m:ctrlPr>
          </m:dPr>
          <m:e>
            <m:r>
              <w:rPr>
                <w:rFonts w:ascii="Cambria Math" w:eastAsia="Calibri" w:hAnsi="Cambria Math" w:cs="Times New Roman"/>
                <w:noProof/>
              </w:rPr>
              <m:t>x</m:t>
            </m:r>
          </m:e>
        </m:d>
      </m:oMath>
      <w:r w:rsidRPr="007B7C54">
        <w:rPr>
          <w:rFonts w:ascii="Times New Roman" w:eastAsia="Calibri" w:hAnsi="Times New Roman" w:cs="Times New Roman"/>
          <w:noProof/>
        </w:rPr>
        <w:t xml:space="preserve"> from the discrete measurements. Convective heat transfer coefficient at these discrete locations along the streamwise direction is given as,</w:t>
      </w:r>
    </w:p>
    <w:p w14:paraId="76DD3AB9" w14:textId="6EE6040B" w:rsidR="000978FD" w:rsidRPr="008F5202" w:rsidRDefault="000978FD" w:rsidP="008F5202">
      <w:pPr>
        <w:pStyle w:val="Caption"/>
      </w:pPr>
      <w:r w:rsidRPr="008F5202">
        <w:t xml:space="preserve">Equation </w:t>
      </w:r>
      <w:r w:rsidRPr="008F5202">
        <w:fldChar w:fldCharType="begin"/>
      </w:r>
      <w:r w:rsidRPr="008F5202">
        <w:instrText xml:space="preserve"> STYLEREF 1 \s </w:instrText>
      </w:r>
      <w:r w:rsidRPr="008F5202">
        <w:fldChar w:fldCharType="separate"/>
      </w:r>
      <w:r w:rsidR="00AF1AFB">
        <w:rPr>
          <w:noProof/>
        </w:rPr>
        <w:t>5</w:t>
      </w:r>
      <w:r w:rsidRPr="008F5202">
        <w:fldChar w:fldCharType="end"/>
      </w:r>
      <w:r w:rsidRPr="008F5202">
        <w:t>.</w:t>
      </w:r>
      <w:r w:rsidRPr="008F5202">
        <w:fldChar w:fldCharType="begin"/>
      </w:r>
      <w:r w:rsidRPr="008F5202">
        <w:instrText xml:space="preserve"> SEQ Equation \* ARABIC \s 1 </w:instrText>
      </w:r>
      <w:r w:rsidRPr="008F5202">
        <w:fldChar w:fldCharType="separate"/>
      </w:r>
      <w:r w:rsidR="00AF1AFB">
        <w:rPr>
          <w:noProof/>
        </w:rPr>
        <w:t>4</w:t>
      </w:r>
      <w:r w:rsidRPr="008F5202">
        <w:fldChar w:fldCharType="end"/>
      </w:r>
    </w:p>
    <w:p w14:paraId="29CFA816" w14:textId="11DA9148" w:rsidR="007B7C54" w:rsidRPr="007B7C54" w:rsidRDefault="007B7C54" w:rsidP="00BC1969">
      <w:pPr>
        <w:spacing w:line="360" w:lineRule="auto"/>
        <w:ind w:firstLine="360"/>
        <w:contextualSpacing/>
        <w:jc w:val="both"/>
        <w:rPr>
          <w:rFonts w:ascii="Times New Roman" w:hAnsi="Times New Roman" w:cs="Times New Roman"/>
          <w:noProof/>
        </w:rPr>
      </w:pPr>
      <m:oMathPara>
        <m:oMath>
          <m:r>
            <w:rPr>
              <w:rFonts w:ascii="Cambria Math" w:eastAsia="Calibri" w:hAnsi="Cambria Math" w:cs="Times New Roman"/>
              <w:noProof/>
            </w:rPr>
            <m:t>h</m:t>
          </m:r>
          <m:d>
            <m:dPr>
              <m:ctrlPr>
                <w:rPr>
                  <w:rFonts w:ascii="Cambria Math" w:eastAsia="Calibri" w:hAnsi="Cambria Math" w:cs="Times New Roman"/>
                  <w:i/>
                  <w:noProof/>
                </w:rPr>
              </m:ctrlPr>
            </m:dPr>
            <m:e>
              <m:r>
                <w:rPr>
                  <w:rFonts w:ascii="Cambria Math" w:eastAsia="Calibri" w:hAnsi="Cambria Math" w:cs="Times New Roman"/>
                  <w:noProof/>
                </w:rPr>
                <m:t>x</m:t>
              </m:r>
            </m:e>
          </m:d>
          <m:r>
            <w:rPr>
              <w:rFonts w:ascii="Cambria Math" w:eastAsia="Calibri" w:hAnsi="Cambria Math" w:cs="Times New Roman"/>
              <w:noProof/>
            </w:rPr>
            <m:t>=</m:t>
          </m:r>
          <m:f>
            <m:fPr>
              <m:ctrlPr>
                <w:rPr>
                  <w:rFonts w:ascii="Cambria Math" w:eastAsia="Calibri" w:hAnsi="Cambria Math" w:cs="Times New Roman"/>
                  <w:i/>
                  <w:noProof/>
                </w:rPr>
              </m:ctrlPr>
            </m:fPr>
            <m:num>
              <m:sSub>
                <m:sSubPr>
                  <m:ctrlPr>
                    <w:rPr>
                      <w:rFonts w:ascii="Cambria Math" w:eastAsia="Calibri" w:hAnsi="Cambria Math" w:cs="Times New Roman"/>
                      <w:i/>
                      <w:noProof/>
                    </w:rPr>
                  </m:ctrlPr>
                </m:sSubPr>
                <m:e>
                  <m:r>
                    <w:rPr>
                      <w:rFonts w:ascii="Cambria Math" w:eastAsia="Calibri" w:hAnsi="Cambria Math" w:cs="Times New Roman"/>
                      <w:noProof/>
                    </w:rPr>
                    <m:t>q"</m:t>
                  </m:r>
                </m:e>
                <m:sub>
                  <m:r>
                    <w:rPr>
                      <w:rFonts w:ascii="Cambria Math" w:eastAsia="Calibri" w:hAnsi="Cambria Math" w:cs="Times New Roman"/>
                      <w:noProof/>
                    </w:rPr>
                    <m:t>conv</m:t>
                  </m:r>
                </m:sub>
              </m:sSub>
            </m:num>
            <m:den>
              <m:sSub>
                <m:sSubPr>
                  <m:ctrlPr>
                    <w:rPr>
                      <w:rFonts w:ascii="Cambria Math" w:eastAsia="Calibri" w:hAnsi="Cambria Math" w:cs="Times New Roman"/>
                      <w:i/>
                      <w:noProof/>
                    </w:rPr>
                  </m:ctrlPr>
                </m:sSubPr>
                <m:e>
                  <m:r>
                    <w:rPr>
                      <w:rFonts w:ascii="Cambria Math" w:eastAsia="Calibri" w:hAnsi="Cambria Math" w:cs="Times New Roman"/>
                      <w:noProof/>
                    </w:rPr>
                    <m:t>T</m:t>
                  </m:r>
                </m:e>
                <m:sub>
                  <m:r>
                    <w:rPr>
                      <w:rFonts w:ascii="Cambria Math" w:eastAsia="Calibri" w:hAnsi="Cambria Math" w:cs="Times New Roman"/>
                      <w:noProof/>
                    </w:rPr>
                    <m:t>w</m:t>
                  </m:r>
                </m:sub>
              </m:sSub>
              <m:d>
                <m:dPr>
                  <m:ctrlPr>
                    <w:rPr>
                      <w:rFonts w:ascii="Cambria Math" w:eastAsia="Calibri" w:hAnsi="Cambria Math" w:cs="Times New Roman"/>
                      <w:i/>
                      <w:noProof/>
                    </w:rPr>
                  </m:ctrlPr>
                </m:dPr>
                <m:e>
                  <m:r>
                    <w:rPr>
                      <w:rFonts w:ascii="Cambria Math" w:eastAsia="Calibri" w:hAnsi="Cambria Math" w:cs="Times New Roman"/>
                      <w:noProof/>
                    </w:rPr>
                    <m:t>x</m:t>
                  </m:r>
                </m:e>
              </m:d>
              <m:r>
                <w:rPr>
                  <w:rFonts w:ascii="Cambria Math" w:eastAsia="Calibri" w:hAnsi="Cambria Math" w:cs="Times New Roman"/>
                  <w:noProof/>
                </w:rPr>
                <m:t>-</m:t>
              </m:r>
              <m:sSub>
                <m:sSubPr>
                  <m:ctrlPr>
                    <w:rPr>
                      <w:rFonts w:ascii="Cambria Math" w:eastAsia="Calibri" w:hAnsi="Cambria Math" w:cs="Times New Roman"/>
                      <w:i/>
                      <w:noProof/>
                    </w:rPr>
                  </m:ctrlPr>
                </m:sSubPr>
                <m:e>
                  <m:r>
                    <w:rPr>
                      <w:rFonts w:ascii="Cambria Math" w:eastAsia="Calibri" w:hAnsi="Cambria Math" w:cs="Times New Roman"/>
                      <w:noProof/>
                    </w:rPr>
                    <m:t>T</m:t>
                  </m:r>
                </m:e>
                <m:sub>
                  <m:r>
                    <w:rPr>
                      <w:rFonts w:ascii="Cambria Math" w:eastAsia="Calibri" w:hAnsi="Cambria Math" w:cs="Times New Roman"/>
                      <w:noProof/>
                    </w:rPr>
                    <m:t>f</m:t>
                  </m:r>
                </m:sub>
              </m:sSub>
              <m:r>
                <w:rPr>
                  <w:rFonts w:ascii="Cambria Math" w:eastAsia="Calibri" w:hAnsi="Cambria Math" w:cs="Times New Roman"/>
                  <w:noProof/>
                </w:rPr>
                <m:t>(x)</m:t>
              </m:r>
            </m:den>
          </m:f>
          <m:r>
            <w:rPr>
              <w:rFonts w:ascii="Cambria Math" w:eastAsia="Calibri" w:hAnsi="Cambria Math" w:cs="Times New Roman"/>
              <w:noProof/>
            </w:rPr>
            <m:t xml:space="preserve"> </m:t>
          </m:r>
        </m:oMath>
      </m:oMathPara>
    </w:p>
    <w:p w14:paraId="4F5C0468" w14:textId="0D626C0F" w:rsidR="007B7C54" w:rsidRPr="007B7C54" w:rsidRDefault="007B7C54" w:rsidP="00BC1969">
      <w:pPr>
        <w:spacing w:line="360" w:lineRule="auto"/>
        <w:contextualSpacing/>
        <w:jc w:val="both"/>
        <w:rPr>
          <w:rFonts w:ascii="Times New Roman" w:hAnsi="Times New Roman" w:cs="Times New Roman"/>
          <w:noProof/>
        </w:rPr>
      </w:pPr>
      <w:r w:rsidRPr="007B7C54">
        <w:rPr>
          <w:rFonts w:ascii="Times New Roman" w:hAnsi="Times New Roman" w:cs="Times New Roman"/>
          <w:noProof/>
        </w:rPr>
        <w:t xml:space="preserve">The local fluid temperature </w:t>
      </w:r>
      <m:oMath>
        <m:sSub>
          <m:sSubPr>
            <m:ctrlPr>
              <w:rPr>
                <w:rFonts w:ascii="Cambria Math" w:eastAsia="Calibri" w:hAnsi="Cambria Math" w:cs="Times New Roman"/>
                <w:i/>
                <w:noProof/>
              </w:rPr>
            </m:ctrlPr>
          </m:sSubPr>
          <m:e>
            <m:r>
              <w:rPr>
                <w:rFonts w:ascii="Cambria Math" w:eastAsia="Calibri" w:hAnsi="Cambria Math" w:cs="Times New Roman"/>
                <w:noProof/>
              </w:rPr>
              <m:t>T</m:t>
            </m:r>
          </m:e>
          <m:sub>
            <m:r>
              <w:rPr>
                <w:rFonts w:ascii="Cambria Math" w:eastAsia="Calibri" w:hAnsi="Cambria Math" w:cs="Times New Roman"/>
                <w:noProof/>
              </w:rPr>
              <m:t>f</m:t>
            </m:r>
          </m:sub>
        </m:sSub>
        <m:r>
          <w:rPr>
            <w:rFonts w:ascii="Cambria Math" w:eastAsia="Calibri" w:hAnsi="Cambria Math" w:cs="Times New Roman"/>
            <w:noProof/>
          </w:rPr>
          <m:t>(x)</m:t>
        </m:r>
      </m:oMath>
      <w:r w:rsidRPr="007B7C54">
        <w:rPr>
          <w:rFonts w:ascii="Times New Roman" w:hAnsi="Times New Roman" w:cs="Times New Roman"/>
          <w:noProof/>
        </w:rPr>
        <w:t xml:space="preserve"> was determined by linear interpolation between inlet and outlet air temperature measurements. The linear interpolation is justified due to the constant </w:t>
      </w:r>
      <w:r w:rsidRPr="007B7C54">
        <w:rPr>
          <w:rFonts w:ascii="Times New Roman" w:hAnsi="Times New Roman" w:cs="Times New Roman"/>
          <w:noProof/>
        </w:rPr>
        <w:lastRenderedPageBreak/>
        <w:t>heat flux boundary condition on the two opposite walls of the channel. The local convective heat transfer coefficient (</w:t>
      </w:r>
      <m:oMath>
        <m:r>
          <w:rPr>
            <w:rFonts w:ascii="Cambria Math" w:eastAsia="Calibri" w:hAnsi="Cambria Math" w:cs="Times New Roman"/>
            <w:noProof/>
          </w:rPr>
          <m:t>h</m:t>
        </m:r>
        <m:d>
          <m:dPr>
            <m:ctrlPr>
              <w:rPr>
                <w:rFonts w:ascii="Cambria Math" w:eastAsia="Calibri" w:hAnsi="Cambria Math" w:cs="Times New Roman"/>
                <w:i/>
                <w:noProof/>
              </w:rPr>
            </m:ctrlPr>
          </m:dPr>
          <m:e>
            <m:r>
              <w:rPr>
                <w:rFonts w:ascii="Cambria Math" w:eastAsia="Calibri" w:hAnsi="Cambria Math" w:cs="Times New Roman"/>
                <w:noProof/>
              </w:rPr>
              <m:t>x</m:t>
            </m:r>
          </m:e>
        </m:d>
      </m:oMath>
      <w:r w:rsidRPr="007B7C54">
        <w:rPr>
          <w:rFonts w:ascii="Times New Roman" w:hAnsi="Times New Roman" w:cs="Times New Roman"/>
          <w:noProof/>
        </w:rPr>
        <w:t>) obtained from above procedure was then used to calculate a representative heat transfer coefficient for each row of unit cells in the streamwise direction. In this paper, we have presented convective heat transfer coefficient for air-based experiments in the periodic heat transfer regime.</w:t>
      </w:r>
    </w:p>
    <w:p w14:paraId="66A4C240" w14:textId="652670CC" w:rsidR="007B7C54" w:rsidRPr="008F5202" w:rsidRDefault="007B7C54" w:rsidP="00BC1969">
      <w:pPr>
        <w:pStyle w:val="Heading3"/>
        <w:rPr>
          <w:rFonts w:eastAsia="Calibri"/>
        </w:rPr>
      </w:pPr>
      <w:bookmarkStart w:id="217" w:name="_Toc177758198"/>
      <w:r w:rsidRPr="008F5202">
        <w:rPr>
          <w:rFonts w:eastAsia="Calibri"/>
        </w:rPr>
        <w:t>Particle heat transfer test facility and heat transfer coefficient calculation procedure</w:t>
      </w:r>
      <w:bookmarkEnd w:id="217"/>
    </w:p>
    <w:p w14:paraId="444DCC95" w14:textId="11014836" w:rsidR="007B7C54" w:rsidRPr="007B7C54" w:rsidRDefault="007B7C54" w:rsidP="00BC1969">
      <w:pPr>
        <w:spacing w:line="360" w:lineRule="auto"/>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The heat transfer test section described in Fig. </w:t>
      </w:r>
      <w:r w:rsidR="00297625"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4 above was used in the experiments for determination of convective heat transfer coefficient with particles as working fluid. Unlike air-based convection experiments, the particles which carry heat from the test section had to be transported back into the system. To this end, a bucket elevator-system was designed, developed, and built for these experiments. Bucket elevator works by rotating a set of  buckets attached to a chain or a belt, and by doing so, the buckets scoop the particles from the bottom of the elevator casing and discharge them at the top. </w:t>
      </w:r>
    </w:p>
    <w:p w14:paraId="5EB764DA" w14:textId="5836F05F" w:rsidR="007B7C54" w:rsidRPr="008F5202" w:rsidRDefault="007B7C54" w:rsidP="000978FD">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The actual assembled test facility, assembly CAD model, instrumented heat transfer test section, and schematic representation of heat transfer scenario involving falling particles are shown in Fig. </w:t>
      </w:r>
      <w:r w:rsidR="00297625"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5. Particles are first stored at room temperature in the top hopper while the top and bottom walls of the sandwich panel were being electrically heated with a set of patch heaters. The particles were held until the panel walls reached a temperature of ~100⁰C. A gate valve was installed right downstream of the heat transfer section, which facilitated the on/off type flow of particles across the heat transfer test section. Once the desired panel wall temperatures were achieved, the gate valve was flipped and the elevator was started at the same time, to allow the transport of the spent particles back into the top hopper via a series of equi-spaced buckets. </w:t>
      </w:r>
    </w:p>
    <w:p w14:paraId="0BE29D8F" w14:textId="77777777" w:rsidR="000978FD" w:rsidRPr="008F5202" w:rsidRDefault="000978FD" w:rsidP="000978FD">
      <w:pPr>
        <w:keepNext/>
        <w:spacing w:line="360" w:lineRule="auto"/>
        <w:ind w:firstLine="360"/>
        <w:contextualSpacing/>
        <w:jc w:val="both"/>
        <w:rPr>
          <w:rFonts w:ascii="Times New Roman" w:hAnsi="Times New Roman" w:cs="Times New Roman"/>
        </w:rPr>
      </w:pPr>
      <w:r w:rsidRPr="008F5202">
        <w:rPr>
          <w:rFonts w:ascii="Times New Roman" w:eastAsia="Calibri" w:hAnsi="Times New Roman" w:cs="Times New Roman"/>
          <w:noProof/>
        </w:rPr>
        <w:lastRenderedPageBreak/>
        <w:drawing>
          <wp:inline distT="0" distB="0" distL="0" distR="0" wp14:anchorId="275838C9" wp14:editId="64ED1753">
            <wp:extent cx="5263116" cy="2293888"/>
            <wp:effectExtent l="0" t="0" r="0" b="0"/>
            <wp:docPr id="7264102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68006" cy="2296019"/>
                    </a:xfrm>
                    <a:prstGeom prst="rect">
                      <a:avLst/>
                    </a:prstGeom>
                    <a:noFill/>
                  </pic:spPr>
                </pic:pic>
              </a:graphicData>
            </a:graphic>
          </wp:inline>
        </w:drawing>
      </w:r>
    </w:p>
    <w:p w14:paraId="10B65DE7" w14:textId="3B125831" w:rsidR="000978FD" w:rsidRPr="007B7C54" w:rsidRDefault="000978FD" w:rsidP="008F5202">
      <w:pPr>
        <w:pStyle w:val="Caption"/>
        <w:rPr>
          <w:rFonts w:eastAsia="Calibri"/>
          <w:noProof/>
        </w:rPr>
      </w:pPr>
      <w:bookmarkStart w:id="218" w:name="_Toc177755234"/>
      <w:r w:rsidRPr="008F5202">
        <w:t xml:space="preserve">Figure </w:t>
      </w:r>
      <w:r w:rsidR="003763D2" w:rsidRPr="008F5202">
        <w:fldChar w:fldCharType="begin"/>
      </w:r>
      <w:r w:rsidR="003763D2" w:rsidRPr="008F5202">
        <w:instrText xml:space="preserve"> STYLEREF 1 \s </w:instrText>
      </w:r>
      <w:r w:rsidR="003763D2" w:rsidRPr="008F5202">
        <w:fldChar w:fldCharType="separate"/>
      </w:r>
      <w:r w:rsidR="00AF1AFB">
        <w:rPr>
          <w:noProof/>
        </w:rPr>
        <w:t>5</w:t>
      </w:r>
      <w:r w:rsidR="003763D2" w:rsidRPr="008F5202">
        <w:fldChar w:fldCharType="end"/>
      </w:r>
      <w:r w:rsidR="003763D2" w:rsidRPr="008F5202">
        <w:t>.</w:t>
      </w:r>
      <w:r w:rsidR="003763D2" w:rsidRPr="008F5202">
        <w:fldChar w:fldCharType="begin"/>
      </w:r>
      <w:r w:rsidR="003763D2" w:rsidRPr="008F5202">
        <w:instrText xml:space="preserve"> SEQ Figure \* ARABIC \s 1 </w:instrText>
      </w:r>
      <w:r w:rsidR="003763D2" w:rsidRPr="008F5202">
        <w:fldChar w:fldCharType="separate"/>
      </w:r>
      <w:r w:rsidR="00AF1AFB">
        <w:rPr>
          <w:noProof/>
        </w:rPr>
        <w:t>5</w:t>
      </w:r>
      <w:r w:rsidR="003763D2" w:rsidRPr="008F5202">
        <w:fldChar w:fldCharType="end"/>
      </w:r>
      <w:r w:rsidRPr="008F5202">
        <w:t xml:space="preserve"> </w:t>
      </w:r>
      <w:r w:rsidRPr="008F5202">
        <w:t>Particle heat transfer test facility</w:t>
      </w:r>
      <w:bookmarkEnd w:id="218"/>
    </w:p>
    <w:p w14:paraId="1FD5AA04" w14:textId="358741C2" w:rsidR="007B7C54" w:rsidRPr="007B7C54" w:rsidRDefault="007B7C54" w:rsidP="000978FD">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It should be noted that particle heat transfer experiments are different from the air-based experiments in the sense that the working fluid was recirculated and fed back into the heat transfer section. Due to convection, particles carry away some heat from the heated walls and the same batch of particles is transported back into the hopper above the test section via the bucket elevator. During the transport in the buckets, the particles loose some heat to the laboratory ambient, however, in our initial testing and the design of heat transfer experiments, we observed that the particle temperatures continue to keep increasing as they are recirculated for a prolonged duration. </w:t>
      </w:r>
      <w:bookmarkStart w:id="219" w:name="_Hlk127946939"/>
      <w:r w:rsidRPr="007B7C54">
        <w:rPr>
          <w:rFonts w:ascii="Times New Roman" w:eastAsia="Calibri" w:hAnsi="Times New Roman" w:cs="Times New Roman"/>
          <w:noProof/>
        </w:rPr>
        <w:t>Further, it was decided that bucket-elevator-based experiments should not be allowed to run for very long periods of time, as particles can get destroyed/crushed during the transport, which may inherently change the particle size distribution with time, and a satisfactory steady state could never be achieved, both in the sense of heat transfer and the working fluid rhealogical properties.</w:t>
      </w:r>
      <w:bookmarkEnd w:id="219"/>
      <w:r w:rsidRPr="007B7C54">
        <w:rPr>
          <w:rFonts w:ascii="Times New Roman" w:eastAsia="Calibri" w:hAnsi="Times New Roman" w:cs="Times New Roman"/>
          <w:noProof/>
        </w:rPr>
        <w:t xml:space="preserve"> </w:t>
      </w:r>
      <w:bookmarkStart w:id="220" w:name="_Hlk127947049"/>
      <w:r w:rsidRPr="007B7C54">
        <w:rPr>
          <w:rFonts w:ascii="Times New Roman" w:eastAsia="Calibri" w:hAnsi="Times New Roman" w:cs="Times New Roman"/>
          <w:noProof/>
        </w:rPr>
        <w:t>Furthermore, for each set of experiments, fresh batch of particles were used to ensure that the rheological properties of the particles are same, and that the morphed or destroyed particles are not used.</w:t>
      </w:r>
      <w:bookmarkEnd w:id="220"/>
    </w:p>
    <w:p w14:paraId="7CAE2553" w14:textId="51F7292B" w:rsidR="007B7C54" w:rsidRPr="007B7C54" w:rsidRDefault="007B7C54" w:rsidP="000978FD">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To address the above aspect, a novel quasi-steady state heat transfer methodology was devised exclusively for this part of the investigation, which could effectively provide local convective heat transfer coefficient where heat transfer was facilitated through falling particles. In this approach, firstly the hopper is filled with desired type of particles where </w:t>
      </w:r>
      <w:r w:rsidRPr="007B7C54">
        <w:rPr>
          <w:rFonts w:ascii="Times New Roman" w:eastAsia="Calibri" w:hAnsi="Times New Roman" w:cs="Times New Roman"/>
          <w:noProof/>
        </w:rPr>
        <w:lastRenderedPageBreak/>
        <w:t>the total mass of particles was decided such that a packed bed flow could be achieved at the heat transfer test section. Once the hopper was charged with particles, the heating process was started where all the eight patch heaters occupying the entire 150 x 250 mm</w:t>
      </w:r>
      <w:r w:rsidRPr="007B7C54">
        <w:rPr>
          <w:rFonts w:ascii="Times New Roman" w:eastAsia="Calibri" w:hAnsi="Times New Roman" w:cs="Times New Roman"/>
          <w:noProof/>
          <w:vertAlign w:val="superscript"/>
        </w:rPr>
        <w:t>2</w:t>
      </w:r>
      <w:r w:rsidRPr="007B7C54">
        <w:rPr>
          <w:rFonts w:ascii="Times New Roman" w:eastAsia="Calibri" w:hAnsi="Times New Roman" w:cs="Times New Roman"/>
          <w:noProof/>
        </w:rPr>
        <w:t xml:space="preserve"> panel on both left and right sides of sandwiched panel were heated. Once the steady-state heat transfer condition was achieved, the particle flow through the Octet panel was initiated by opening the gate valve installed at the bottom of the heat exchanger to 100%. Note that this facility also allows a fine control over the particle flow rate through the gate valve while still maintaining a packed moving bed through the Octet panel. In this study, the maximum possible particle mass flow rate was studied, hence 100% opening of the gate valve was set. Prior to the particle flow start, the data acquisition system was initiated which involved over 20 thermocouple measurements across the heat transfer test section, including a pair of temperature measurements for particle inlet and outlet. Once the particles started to flow through the Octet panel, the walls of the panel started to cool down rapidly to a local minima. At that point onwards, the particle and the wall temperatures continued to slowly increase for the remainder of the transient experiment. The reason behind this phenomena is explained above. In the heat transfer coefficient calculation, the wall and particle temperatures during this slow heat ramp up period were taken into consideration and the local instantaneous convective heat transfer coefficient was determined through the following eqation: </w:t>
      </w:r>
    </w:p>
    <w:p w14:paraId="4EDBF7C8" w14:textId="66092D6F" w:rsidR="000978FD" w:rsidRPr="008F5202" w:rsidRDefault="000978FD" w:rsidP="008F5202">
      <w:pPr>
        <w:pStyle w:val="Caption"/>
      </w:pPr>
      <w:r w:rsidRPr="008F5202">
        <w:t xml:space="preserve">Equation </w:t>
      </w:r>
      <w:r w:rsidRPr="008F5202">
        <w:fldChar w:fldCharType="begin"/>
      </w:r>
      <w:r w:rsidRPr="008F5202">
        <w:instrText xml:space="preserve"> STYLEREF 1 \s </w:instrText>
      </w:r>
      <w:r w:rsidRPr="008F5202">
        <w:fldChar w:fldCharType="separate"/>
      </w:r>
      <w:r w:rsidR="00AF1AFB">
        <w:rPr>
          <w:noProof/>
        </w:rPr>
        <w:t>5</w:t>
      </w:r>
      <w:r w:rsidRPr="008F5202">
        <w:fldChar w:fldCharType="end"/>
      </w:r>
      <w:r w:rsidRPr="008F5202">
        <w:t>.</w:t>
      </w:r>
      <w:r w:rsidRPr="008F5202">
        <w:fldChar w:fldCharType="begin"/>
      </w:r>
      <w:r w:rsidRPr="008F5202">
        <w:instrText xml:space="preserve"> SEQ Equation \* ARABIC \s 1 </w:instrText>
      </w:r>
      <w:r w:rsidRPr="008F5202">
        <w:fldChar w:fldCharType="separate"/>
      </w:r>
      <w:r w:rsidR="00AF1AFB">
        <w:rPr>
          <w:noProof/>
        </w:rPr>
        <w:t>5</w:t>
      </w:r>
      <w:r w:rsidRPr="008F5202">
        <w:fldChar w:fldCharType="end"/>
      </w:r>
    </w:p>
    <w:p w14:paraId="4D0C7A52" w14:textId="6C714F2C" w:rsidR="007B7C54" w:rsidRPr="007B7C54" w:rsidRDefault="007B7C54" w:rsidP="00BC1969">
      <w:pPr>
        <w:spacing w:line="360" w:lineRule="auto"/>
        <w:contextualSpacing/>
        <w:jc w:val="both"/>
        <w:rPr>
          <w:rFonts w:ascii="Times New Roman" w:hAnsi="Times New Roman" w:cs="Times New Roman"/>
          <w:noProof/>
        </w:rPr>
      </w:pPr>
      <m:oMathPara>
        <m:oMath>
          <m:r>
            <w:rPr>
              <w:rFonts w:ascii="Cambria Math" w:eastAsia="Calibri" w:hAnsi="Cambria Math" w:cs="Times New Roman"/>
              <w:noProof/>
            </w:rPr>
            <m:t>h</m:t>
          </m:r>
          <m:d>
            <m:dPr>
              <m:ctrlPr>
                <w:rPr>
                  <w:rFonts w:ascii="Cambria Math" w:eastAsia="Calibri" w:hAnsi="Cambria Math" w:cs="Times New Roman"/>
                  <w:i/>
                  <w:noProof/>
                </w:rPr>
              </m:ctrlPr>
            </m:dPr>
            <m:e>
              <m:r>
                <w:rPr>
                  <w:rFonts w:ascii="Cambria Math" w:eastAsia="Calibri" w:hAnsi="Cambria Math" w:cs="Times New Roman"/>
                  <w:noProof/>
                </w:rPr>
                <m:t>x,t</m:t>
              </m:r>
            </m:e>
          </m:d>
          <m:r>
            <w:rPr>
              <w:rFonts w:ascii="Cambria Math" w:eastAsia="Calibri" w:hAnsi="Cambria Math" w:cs="Times New Roman"/>
              <w:noProof/>
            </w:rPr>
            <m:t>=</m:t>
          </m:r>
          <m:f>
            <m:fPr>
              <m:ctrlPr>
                <w:rPr>
                  <w:rFonts w:ascii="Cambria Math" w:eastAsia="Calibri" w:hAnsi="Cambria Math" w:cs="Times New Roman"/>
                  <w:i/>
                  <w:noProof/>
                </w:rPr>
              </m:ctrlPr>
            </m:fPr>
            <m:num>
              <m:sSub>
                <m:sSubPr>
                  <m:ctrlPr>
                    <w:rPr>
                      <w:rFonts w:ascii="Cambria Math" w:eastAsia="Calibri" w:hAnsi="Cambria Math" w:cs="Times New Roman"/>
                      <w:i/>
                      <w:noProof/>
                    </w:rPr>
                  </m:ctrlPr>
                </m:sSubPr>
                <m:e>
                  <m:r>
                    <w:rPr>
                      <w:rFonts w:ascii="Cambria Math" w:eastAsia="Calibri" w:hAnsi="Cambria Math" w:cs="Times New Roman"/>
                      <w:noProof/>
                    </w:rPr>
                    <m:t>q"</m:t>
                  </m:r>
                </m:e>
                <m:sub>
                  <m:r>
                    <w:rPr>
                      <w:rFonts w:ascii="Cambria Math" w:eastAsia="Calibri" w:hAnsi="Cambria Math" w:cs="Times New Roman"/>
                      <w:noProof/>
                    </w:rPr>
                    <m:t>conv</m:t>
                  </m:r>
                </m:sub>
              </m:sSub>
              <m:r>
                <w:rPr>
                  <w:rFonts w:ascii="Cambria Math" w:eastAsia="Calibri" w:hAnsi="Cambria Math" w:cs="Times New Roman"/>
                  <w:noProof/>
                </w:rPr>
                <m:t>(t)</m:t>
              </m:r>
            </m:num>
            <m:den>
              <m:sSub>
                <m:sSubPr>
                  <m:ctrlPr>
                    <w:rPr>
                      <w:rFonts w:ascii="Cambria Math" w:eastAsia="Calibri" w:hAnsi="Cambria Math" w:cs="Times New Roman"/>
                      <w:i/>
                      <w:noProof/>
                    </w:rPr>
                  </m:ctrlPr>
                </m:sSubPr>
                <m:e>
                  <m:r>
                    <w:rPr>
                      <w:rFonts w:ascii="Cambria Math" w:eastAsia="Calibri" w:hAnsi="Cambria Math" w:cs="Times New Roman"/>
                      <w:noProof/>
                    </w:rPr>
                    <m:t>T</m:t>
                  </m:r>
                </m:e>
                <m:sub>
                  <m:r>
                    <w:rPr>
                      <w:rFonts w:ascii="Cambria Math" w:eastAsia="Calibri" w:hAnsi="Cambria Math" w:cs="Times New Roman"/>
                      <w:noProof/>
                    </w:rPr>
                    <m:t>w</m:t>
                  </m:r>
                </m:sub>
              </m:sSub>
              <m:d>
                <m:dPr>
                  <m:ctrlPr>
                    <w:rPr>
                      <w:rFonts w:ascii="Cambria Math" w:eastAsia="Calibri" w:hAnsi="Cambria Math" w:cs="Times New Roman"/>
                      <w:i/>
                      <w:noProof/>
                    </w:rPr>
                  </m:ctrlPr>
                </m:dPr>
                <m:e>
                  <m:r>
                    <w:rPr>
                      <w:rFonts w:ascii="Cambria Math" w:eastAsia="Calibri" w:hAnsi="Cambria Math" w:cs="Times New Roman"/>
                      <w:noProof/>
                    </w:rPr>
                    <m:t>x,t</m:t>
                  </m:r>
                </m:e>
              </m:d>
              <m:r>
                <w:rPr>
                  <w:rFonts w:ascii="Cambria Math" w:eastAsia="Calibri" w:hAnsi="Cambria Math" w:cs="Times New Roman"/>
                  <w:noProof/>
                </w:rPr>
                <m:t>-</m:t>
              </m:r>
              <m:sSub>
                <m:sSubPr>
                  <m:ctrlPr>
                    <w:rPr>
                      <w:rFonts w:ascii="Cambria Math" w:eastAsia="Calibri" w:hAnsi="Cambria Math" w:cs="Times New Roman"/>
                      <w:i/>
                      <w:noProof/>
                    </w:rPr>
                  </m:ctrlPr>
                </m:sSubPr>
                <m:e>
                  <m:r>
                    <w:rPr>
                      <w:rFonts w:ascii="Cambria Math" w:eastAsia="Calibri" w:hAnsi="Cambria Math" w:cs="Times New Roman"/>
                      <w:noProof/>
                    </w:rPr>
                    <m:t>T</m:t>
                  </m:r>
                </m:e>
                <m:sub>
                  <m:r>
                    <w:rPr>
                      <w:rFonts w:ascii="Cambria Math" w:eastAsia="Calibri" w:hAnsi="Cambria Math" w:cs="Times New Roman"/>
                      <w:noProof/>
                    </w:rPr>
                    <m:t>f</m:t>
                  </m:r>
                </m:sub>
              </m:sSub>
              <m:r>
                <w:rPr>
                  <w:rFonts w:ascii="Cambria Math" w:eastAsia="Calibri" w:hAnsi="Cambria Math" w:cs="Times New Roman"/>
                  <w:noProof/>
                </w:rPr>
                <m:t>(x,t)</m:t>
              </m:r>
            </m:den>
          </m:f>
        </m:oMath>
      </m:oMathPara>
    </w:p>
    <w:p w14:paraId="6C786F13" w14:textId="11F33CE7" w:rsidR="007B7C54" w:rsidRPr="007B7C54" w:rsidRDefault="007B7C54" w:rsidP="000978FD">
      <w:pPr>
        <w:spacing w:line="360" w:lineRule="auto"/>
        <w:contextualSpacing/>
        <w:jc w:val="both"/>
        <w:rPr>
          <w:rFonts w:ascii="Times New Roman" w:hAnsi="Times New Roman" w:cs="Times New Roman"/>
          <w:noProof/>
        </w:rPr>
      </w:pPr>
      <w:r w:rsidRPr="007B7C54">
        <w:rPr>
          <w:rFonts w:ascii="Times New Roman" w:hAnsi="Times New Roman" w:cs="Times New Roman"/>
          <w:noProof/>
        </w:rPr>
        <w:t xml:space="preserve">where, </w:t>
      </w:r>
      <m:oMath>
        <m:sSub>
          <m:sSubPr>
            <m:ctrlPr>
              <w:rPr>
                <w:rFonts w:ascii="Cambria Math" w:eastAsia="Calibri" w:hAnsi="Cambria Math" w:cs="Times New Roman"/>
                <w:i/>
                <w:noProof/>
              </w:rPr>
            </m:ctrlPr>
          </m:sSubPr>
          <m:e>
            <m:r>
              <w:rPr>
                <w:rFonts w:ascii="Cambria Math" w:eastAsia="Calibri" w:hAnsi="Cambria Math" w:cs="Times New Roman"/>
                <w:noProof/>
              </w:rPr>
              <m:t>q"</m:t>
            </m:r>
          </m:e>
          <m:sub>
            <m:r>
              <w:rPr>
                <w:rFonts w:ascii="Cambria Math" w:eastAsia="Calibri" w:hAnsi="Cambria Math" w:cs="Times New Roman"/>
                <w:noProof/>
              </w:rPr>
              <m:t>conv</m:t>
            </m:r>
          </m:sub>
        </m:sSub>
        <m:r>
          <w:rPr>
            <w:rFonts w:ascii="Cambria Math" w:eastAsia="Calibri" w:hAnsi="Cambria Math" w:cs="Times New Roman"/>
            <w:noProof/>
          </w:rPr>
          <m:t>(t)</m:t>
        </m:r>
      </m:oMath>
      <w:r w:rsidRPr="007B7C54">
        <w:rPr>
          <w:rFonts w:ascii="Times New Roman" w:hAnsi="Times New Roman" w:cs="Times New Roman"/>
          <w:noProof/>
        </w:rPr>
        <w:t xml:space="preserve"> is the heat convected away from the walls via the particles in motion and this was obtained by subtracting the local heat losses from the backside of the eight patch heaters occupying and supplying constant heat flux on the left and right sides of the panel. The instantaneous local particle temperature </w:t>
      </w:r>
      <m:oMath>
        <m:sSub>
          <m:sSubPr>
            <m:ctrlPr>
              <w:rPr>
                <w:rFonts w:ascii="Cambria Math" w:eastAsia="Calibri" w:hAnsi="Cambria Math" w:cs="Times New Roman"/>
                <w:i/>
                <w:noProof/>
              </w:rPr>
            </m:ctrlPr>
          </m:sSubPr>
          <m:e>
            <m:r>
              <w:rPr>
                <w:rFonts w:ascii="Cambria Math" w:eastAsia="Calibri" w:hAnsi="Cambria Math" w:cs="Times New Roman"/>
                <w:noProof/>
              </w:rPr>
              <m:t>T</m:t>
            </m:r>
          </m:e>
          <m:sub>
            <m:r>
              <w:rPr>
                <w:rFonts w:ascii="Cambria Math" w:eastAsia="Calibri" w:hAnsi="Cambria Math" w:cs="Times New Roman"/>
                <w:noProof/>
              </w:rPr>
              <m:t>f</m:t>
            </m:r>
          </m:sub>
        </m:sSub>
        <m:r>
          <w:rPr>
            <w:rFonts w:ascii="Cambria Math" w:eastAsia="Calibri" w:hAnsi="Cambria Math" w:cs="Times New Roman"/>
            <w:noProof/>
          </w:rPr>
          <m:t>(x,t)</m:t>
        </m:r>
      </m:oMath>
      <w:r w:rsidRPr="007B7C54">
        <w:rPr>
          <w:rFonts w:ascii="Times New Roman" w:hAnsi="Times New Roman" w:cs="Times New Roman"/>
          <w:noProof/>
        </w:rPr>
        <w:t xml:space="preserve"> was determined by linear interpolation between inlet and outlet particle temperature measurements, a procedure similar to the one followed for air-based experiments described above. Note that the temperature drop across the insulation material was measured at multiple locations along </w:t>
      </w:r>
      <w:r w:rsidRPr="007B7C54">
        <w:rPr>
          <w:rFonts w:ascii="Times New Roman" w:hAnsi="Times New Roman" w:cs="Times New Roman"/>
          <w:noProof/>
        </w:rPr>
        <w:lastRenderedPageBreak/>
        <w:t xml:space="preserve">the streamwise length and also recorded along with the wall temperature at the same fequency throughout the transient operation. The heat loss however was minimal compared to the total heat supplied. </w:t>
      </w:r>
    </w:p>
    <w:p w14:paraId="2FA79843" w14:textId="3B741B12" w:rsidR="007B7C54" w:rsidRPr="007B7C54" w:rsidRDefault="007B7C54" w:rsidP="000978FD">
      <w:pPr>
        <w:pStyle w:val="Heading2"/>
        <w:rPr>
          <w:rFonts w:eastAsia="Calibri"/>
        </w:rPr>
      </w:pPr>
      <w:bookmarkStart w:id="221" w:name="_Toc177758199"/>
      <w:r w:rsidRPr="008F5202">
        <w:rPr>
          <w:rFonts w:eastAsia="Calibri"/>
        </w:rPr>
        <w:t>P</w:t>
      </w:r>
      <w:r w:rsidR="00BC1969" w:rsidRPr="008F5202">
        <w:rPr>
          <w:rFonts w:eastAsia="Calibri"/>
        </w:rPr>
        <w:t>article size distribution and particle packing in AM lattice parts</w:t>
      </w:r>
      <w:bookmarkEnd w:id="221"/>
    </w:p>
    <w:p w14:paraId="6697BC0B" w14:textId="47412C47" w:rsidR="007B7C54" w:rsidRPr="007B7C54" w:rsidRDefault="007B7C54" w:rsidP="003763D2">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The particles used in the experiment were made from sintered bauxite. Three different particle batches were tested: CARBOBEAD-CP 40/100 with a mean particle diameter of 266 µm, CARBOBEAD-CP 30/60 with a mean particle diameter of 397 µm, and CARBOBEAD HSP 20/40 with a mean particle diameter of 966 µm. Particle size analysis was performed using Anton Paar PSA 1190 LD particle size analyzer. </w:t>
      </w:r>
    </w:p>
    <w:p w14:paraId="12B783F7" w14:textId="77777777" w:rsidR="003763D2" w:rsidRPr="008F5202" w:rsidRDefault="003763D2" w:rsidP="003763D2">
      <w:pPr>
        <w:keepNext/>
        <w:spacing w:line="360" w:lineRule="auto"/>
        <w:ind w:firstLine="360"/>
        <w:contextualSpacing/>
        <w:jc w:val="both"/>
        <w:rPr>
          <w:rFonts w:ascii="Times New Roman" w:hAnsi="Times New Roman" w:cs="Times New Roman"/>
        </w:rPr>
      </w:pPr>
      <w:r w:rsidRPr="008F5202">
        <w:rPr>
          <w:rFonts w:ascii="Times New Roman" w:eastAsia="Calibri" w:hAnsi="Times New Roman" w:cs="Times New Roman"/>
          <w:noProof/>
        </w:rPr>
        <w:drawing>
          <wp:inline distT="0" distB="0" distL="0" distR="0" wp14:anchorId="1E72CB0A" wp14:editId="4C949F41">
            <wp:extent cx="2627630" cy="2286000"/>
            <wp:effectExtent l="0" t="0" r="1270" b="0"/>
            <wp:docPr id="1070712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27630" cy="2286000"/>
                    </a:xfrm>
                    <a:prstGeom prst="rect">
                      <a:avLst/>
                    </a:prstGeom>
                    <a:noFill/>
                  </pic:spPr>
                </pic:pic>
              </a:graphicData>
            </a:graphic>
          </wp:inline>
        </w:drawing>
      </w:r>
    </w:p>
    <w:p w14:paraId="7164126E" w14:textId="31B9A44E" w:rsidR="007B7C54" w:rsidRPr="007B7C54" w:rsidRDefault="003763D2" w:rsidP="008F5202">
      <w:pPr>
        <w:pStyle w:val="Caption"/>
        <w:rPr>
          <w:rFonts w:eastAsia="Calibri"/>
          <w:noProof/>
        </w:rPr>
      </w:pPr>
      <w:bookmarkStart w:id="222" w:name="_Toc177755235"/>
      <w:r w:rsidRPr="008F5202">
        <w:t xml:space="preserve">Figure </w:t>
      </w:r>
      <w:r w:rsidRPr="008F5202">
        <w:fldChar w:fldCharType="begin"/>
      </w:r>
      <w:r w:rsidRPr="008F5202">
        <w:instrText xml:space="preserve"> STYLEREF 1 \s </w:instrText>
      </w:r>
      <w:r w:rsidRPr="008F5202">
        <w:fldChar w:fldCharType="separate"/>
      </w:r>
      <w:r w:rsidR="00AF1AFB">
        <w:rPr>
          <w:noProof/>
        </w:rPr>
        <w:t>5</w:t>
      </w:r>
      <w:r w:rsidRPr="008F5202">
        <w:fldChar w:fldCharType="end"/>
      </w:r>
      <w:r w:rsidRPr="008F5202">
        <w:t>.</w:t>
      </w:r>
      <w:r w:rsidRPr="008F5202">
        <w:fldChar w:fldCharType="begin"/>
      </w:r>
      <w:r w:rsidRPr="008F5202">
        <w:instrText xml:space="preserve"> SEQ Figure \* ARABIC \s 1 </w:instrText>
      </w:r>
      <w:r w:rsidRPr="008F5202">
        <w:fldChar w:fldCharType="separate"/>
      </w:r>
      <w:r w:rsidR="00AF1AFB">
        <w:rPr>
          <w:noProof/>
        </w:rPr>
        <w:t>6</w:t>
      </w:r>
      <w:r w:rsidRPr="008F5202">
        <w:fldChar w:fldCharType="end"/>
      </w:r>
      <w:r w:rsidRPr="008F5202">
        <w:t xml:space="preserve"> </w:t>
      </w:r>
      <w:r w:rsidRPr="008F5202">
        <w:t>Particle heat transfer test facility</w:t>
      </w:r>
      <w:bookmarkEnd w:id="222"/>
    </w:p>
    <w:p w14:paraId="2CD3A202" w14:textId="4ADC7BA3" w:rsidR="007B7C54" w:rsidRPr="007B7C54" w:rsidRDefault="007B7C54" w:rsidP="00BC1969">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The particle size distribution is shown in Fig. 6. For other thermo-physical and spectral properties of these particles, the readers are reffered to </w:t>
      </w:r>
      <w:r w:rsidR="00C544AE" w:rsidRPr="008F5202">
        <w:rPr>
          <w:rFonts w:ascii="Times New Roman" w:eastAsia="Calibri" w:hAnsi="Times New Roman" w:cs="Times New Roman"/>
          <w:noProof/>
        </w:rPr>
        <w:t>[5</w:t>
      </w:r>
      <w:r w:rsidRPr="008F5202">
        <w:rPr>
          <w:rFonts w:ascii="Times New Roman" w:eastAsia="Calibri" w:hAnsi="Times New Roman" w:cs="Times New Roman"/>
          <w:noProof/>
        </w:rPr>
        <w:t>.8,</w:t>
      </w:r>
      <w:r w:rsidR="00C544AE" w:rsidRPr="008F5202">
        <w:rPr>
          <w:rFonts w:ascii="Times New Roman" w:eastAsia="Calibri" w:hAnsi="Times New Roman" w:cs="Times New Roman"/>
          <w:noProof/>
        </w:rPr>
        <w:t>5</w:t>
      </w:r>
      <w:r w:rsidRPr="008F5202">
        <w:rPr>
          <w:rFonts w:ascii="Times New Roman" w:eastAsia="Calibri" w:hAnsi="Times New Roman" w:cs="Times New Roman"/>
          <w:noProof/>
        </w:rPr>
        <w:t>.23,</w:t>
      </w:r>
      <w:r w:rsidR="00C544AE" w:rsidRPr="008F5202">
        <w:rPr>
          <w:rFonts w:ascii="Times New Roman" w:eastAsia="Calibri" w:hAnsi="Times New Roman" w:cs="Times New Roman"/>
          <w:noProof/>
        </w:rPr>
        <w:t>5</w:t>
      </w:r>
      <w:r w:rsidRPr="008F5202">
        <w:rPr>
          <w:rFonts w:ascii="Times New Roman" w:eastAsia="Calibri" w:hAnsi="Times New Roman" w:cs="Times New Roman"/>
          <w:noProof/>
        </w:rPr>
        <w:t>.24]</w:t>
      </w:r>
      <w:r w:rsidRPr="007B7C54">
        <w:rPr>
          <w:rFonts w:ascii="Times New Roman" w:eastAsia="Calibri" w:hAnsi="Times New Roman" w:cs="Times New Roman"/>
          <w:noProof/>
        </w:rPr>
        <w:t>.</w:t>
      </w:r>
    </w:p>
    <w:p w14:paraId="2EE1C86A" w14:textId="47FEEBA0" w:rsidR="007B7C54" w:rsidRPr="007B7C54" w:rsidRDefault="007B7C54" w:rsidP="00BC1969">
      <w:pPr>
        <w:pStyle w:val="Heading2"/>
        <w:rPr>
          <w:rFonts w:eastAsia="Calibri"/>
        </w:rPr>
      </w:pPr>
      <w:bookmarkStart w:id="223" w:name="_Toc177758200"/>
      <w:r w:rsidRPr="008F5202">
        <w:rPr>
          <w:rFonts w:eastAsia="Calibri"/>
        </w:rPr>
        <w:t>U</w:t>
      </w:r>
      <w:r w:rsidR="00BC1969" w:rsidRPr="008F5202">
        <w:rPr>
          <w:rFonts w:eastAsia="Calibri"/>
        </w:rPr>
        <w:t>ncertainty analysis</w:t>
      </w:r>
      <w:bookmarkEnd w:id="223"/>
    </w:p>
    <w:p w14:paraId="6C588A6E" w14:textId="523D7233" w:rsidR="007B7C54" w:rsidRPr="007B7C54" w:rsidRDefault="007B7C54" w:rsidP="00BC1969">
      <w:pPr>
        <w:spacing w:line="360" w:lineRule="auto"/>
        <w:ind w:firstLine="360"/>
        <w:jc w:val="both"/>
        <w:rPr>
          <w:rFonts w:ascii="Times New Roman" w:eastAsia="Calibri" w:hAnsi="Times New Roman" w:cs="Times New Roman"/>
          <w:iCs/>
          <w:noProof/>
        </w:rPr>
      </w:pPr>
      <w:bookmarkStart w:id="224" w:name="_Hlk127944883"/>
      <w:r w:rsidRPr="007B7C54">
        <w:rPr>
          <w:rFonts w:ascii="Times New Roman" w:eastAsia="Calibri" w:hAnsi="Times New Roman" w:cs="Times New Roman"/>
          <w:iCs/>
          <w:noProof/>
        </w:rPr>
        <w:t>The uncertainty analysis for each of the reported quantities was carried our using the sequential perturbation method prescribed by Moffat</w:t>
      </w:r>
      <w:r w:rsidRPr="008F5202">
        <w:rPr>
          <w:rFonts w:ascii="Times New Roman" w:eastAsia="Calibri" w:hAnsi="Times New Roman" w:cs="Times New Roman"/>
          <w:iCs/>
          <w:noProof/>
        </w:rPr>
        <w:t xml:space="preserve"> </w:t>
      </w:r>
      <w:r w:rsidR="00C544AE" w:rsidRPr="008F5202">
        <w:rPr>
          <w:rFonts w:ascii="Times New Roman" w:eastAsia="Calibri" w:hAnsi="Times New Roman" w:cs="Times New Roman"/>
          <w:iCs/>
          <w:noProof/>
        </w:rPr>
        <w:t>[5</w:t>
      </w:r>
      <w:r w:rsidRPr="008F5202">
        <w:rPr>
          <w:rFonts w:ascii="Times New Roman" w:eastAsia="Calibri" w:hAnsi="Times New Roman" w:cs="Times New Roman"/>
          <w:iCs/>
          <w:noProof/>
        </w:rPr>
        <w:t>.25].</w:t>
      </w:r>
      <w:r w:rsidRPr="007B7C54">
        <w:rPr>
          <w:rFonts w:ascii="Times New Roman" w:eastAsia="Calibri" w:hAnsi="Times New Roman" w:cs="Times New Roman"/>
          <w:iCs/>
          <w:noProof/>
        </w:rPr>
        <w:t xml:space="preserve"> The uncertainty in the reported fiber diameters was ~3% which is a direct contribution of the device used for the measurement. The uncertainty for a typically value of reported values of effective thermal conductivity was ~3%. The uncertainty in typical values of Nusselt number and air flow Reynolds number is ~3% and ~4%, respectively. </w:t>
      </w:r>
      <w:bookmarkEnd w:id="224"/>
    </w:p>
    <w:p w14:paraId="380540B2" w14:textId="60516FB8" w:rsidR="007B7C54" w:rsidRPr="007B7C54" w:rsidRDefault="00BC1969" w:rsidP="00BC1969">
      <w:pPr>
        <w:pStyle w:val="Heading2"/>
        <w:rPr>
          <w:rFonts w:eastAsia="Calibri"/>
        </w:rPr>
      </w:pPr>
      <w:bookmarkStart w:id="225" w:name="_Toc177758201"/>
      <w:r w:rsidRPr="008F5202">
        <w:rPr>
          <w:rFonts w:eastAsia="Calibri"/>
        </w:rPr>
        <w:lastRenderedPageBreak/>
        <w:t>Results and discussion</w:t>
      </w:r>
      <w:bookmarkEnd w:id="225"/>
    </w:p>
    <w:p w14:paraId="727737C4" w14:textId="31F1E8C8" w:rsidR="007B7C54" w:rsidRPr="007B7C54" w:rsidRDefault="007B7C54" w:rsidP="00BC1969">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In this section, we are presenting experimental results on effective thermal conductivity and convective heat transfer coefficient for air and particles as working fluids. </w:t>
      </w:r>
    </w:p>
    <w:p w14:paraId="2DF00F0D" w14:textId="7C5DB998" w:rsidR="007B7C54" w:rsidRPr="008F5202" w:rsidRDefault="007B7C54" w:rsidP="00BC1969">
      <w:pPr>
        <w:pStyle w:val="Heading3"/>
        <w:rPr>
          <w:rFonts w:eastAsia="Calibri"/>
        </w:rPr>
      </w:pPr>
      <w:bookmarkStart w:id="226" w:name="_Toc177758202"/>
      <w:r w:rsidRPr="008F5202">
        <w:rPr>
          <w:rFonts w:eastAsia="Calibri"/>
        </w:rPr>
        <w:t>5Effective Thermal Conductivity (</w:t>
      </w:r>
      <w:r w:rsidRPr="008F5202">
        <w:rPr>
          <w:rFonts w:eastAsia="Calibri"/>
          <w:iCs/>
        </w:rPr>
        <w:t>k</w:t>
      </w:r>
      <w:r w:rsidRPr="008F5202">
        <w:rPr>
          <w:rFonts w:eastAsia="Calibri"/>
          <w:vertAlign w:val="subscript"/>
        </w:rPr>
        <w:t>eff</w:t>
      </w:r>
      <w:r w:rsidRPr="008F5202">
        <w:rPr>
          <w:rFonts w:eastAsia="Calibri"/>
        </w:rPr>
        <w:t>)</w:t>
      </w:r>
      <w:bookmarkEnd w:id="226"/>
    </w:p>
    <w:p w14:paraId="1EEEEDC6" w14:textId="287C048B" w:rsidR="007B7C54" w:rsidRPr="007B7C54" w:rsidRDefault="007B7C54" w:rsidP="00BC1969">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Effective thermal conductivity experiments were carried out for three cases, a) packed bed of particles (without lattice), b) lattice with void space occupied by air, c) lattice with void space occupied by particles. Each configuration was tested at three different heat flux levels to ensure that the reported </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eff</w:t>
      </w:r>
      <w:r w:rsidRPr="007B7C54">
        <w:rPr>
          <w:rFonts w:ascii="Times New Roman" w:eastAsia="Calibri" w:hAnsi="Times New Roman" w:cs="Times New Roman"/>
          <w:noProof/>
        </w:rPr>
        <w:t xml:space="preserve"> values were independent of the heating conditions. Note that the wall temperatures at these three different heat flux levels was ranging between 20-50</w:t>
      </w:r>
      <m:oMath>
        <m:r>
          <w:rPr>
            <w:rFonts w:ascii="Cambria Math" w:eastAsia="Calibri" w:hAnsi="Cambria Math" w:cs="Times New Roman"/>
            <w:noProof/>
          </w:rPr>
          <m:t>℃</m:t>
        </m:r>
      </m:oMath>
      <w:r w:rsidRPr="007B7C54">
        <w:rPr>
          <w:rFonts w:ascii="Times New Roman" w:eastAsia="Calibri" w:hAnsi="Times New Roman" w:cs="Times New Roman"/>
          <w:noProof/>
        </w:rPr>
        <w:t xml:space="preserve">, hence radiation effects and other solid-phase thermo-physical property changes can be ignored.  The packed bed </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 xml:space="preserve">eff </w:t>
      </w:r>
      <w:r w:rsidRPr="007B7C54">
        <w:rPr>
          <w:rFonts w:ascii="Times New Roman" w:eastAsia="Calibri" w:hAnsi="Times New Roman" w:cs="Times New Roman"/>
          <w:noProof/>
        </w:rPr>
        <w:t xml:space="preserve">was similar for all particles with diameters varying between 266-966 </w:t>
      </w:r>
      <w:r w:rsidRPr="007B7C54">
        <w:rPr>
          <w:rFonts w:ascii="Times New Roman" w:eastAsia="Calibri" w:hAnsi="Times New Roman" w:cs="Times New Roman"/>
          <w:i/>
          <w:iCs/>
          <w:noProof/>
        </w:rPr>
        <w:sym w:font="Symbol" w:char="F06D"/>
      </w:r>
      <w:r w:rsidRPr="007B7C54">
        <w:rPr>
          <w:rFonts w:ascii="Times New Roman" w:eastAsia="Calibri" w:hAnsi="Times New Roman" w:cs="Times New Roman"/>
          <w:noProof/>
        </w:rPr>
        <w:t xml:space="preserve">m with an averaged value of ~ 0.4 W/mK. </w:t>
      </w:r>
    </w:p>
    <w:p w14:paraId="44F841C8" w14:textId="6E3805C0" w:rsidR="007B7C54" w:rsidRPr="007B7C54" w:rsidRDefault="007B7C54" w:rsidP="00BC1969">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The second set of experiments were conducted on Octet lattice with void space occupied by air. Figure </w:t>
      </w:r>
      <w:r w:rsidR="00297625"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7 shows the </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eff</w:t>
      </w:r>
      <w:r w:rsidRPr="007B7C54">
        <w:rPr>
          <w:rFonts w:ascii="Times New Roman" w:eastAsia="Calibri" w:hAnsi="Times New Roman" w:cs="Times New Roman"/>
          <w:noProof/>
        </w:rPr>
        <w:t xml:space="preserve"> values for the samples printed in SS316L and SS420 as shown in Fig. </w:t>
      </w:r>
      <w:r w:rsidR="00297625"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2. The thermal conductivity of solid-phase was measured to be ~13 W/mK and ~20.8 W/mK for SS316L and SS420 materials, respectively. It was found that </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eff</w:t>
      </w:r>
      <w:r w:rsidRPr="007B7C54">
        <w:rPr>
          <w:rFonts w:ascii="Times New Roman" w:eastAsia="Calibri" w:hAnsi="Times New Roman" w:cs="Times New Roman"/>
          <w:noProof/>
        </w:rPr>
        <w:t xml:space="preserve"> was a strong function of solid-phase intrinsic thermal conductivity and the lattice porosity. A suitable normalization of </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eff</w:t>
      </w:r>
      <w:r w:rsidRPr="007B7C54">
        <w:rPr>
          <w:rFonts w:ascii="Times New Roman" w:eastAsia="Calibri" w:hAnsi="Times New Roman" w:cs="Times New Roman"/>
          <w:noProof/>
        </w:rPr>
        <w:t>/</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s</w:t>
      </w:r>
      <w:r w:rsidRPr="007B7C54">
        <w:rPr>
          <w:rFonts w:ascii="Times New Roman" w:eastAsia="Calibri" w:hAnsi="Times New Roman" w:cs="Times New Roman"/>
          <w:noProof/>
        </w:rPr>
        <w:t xml:space="preserve"> collapses different </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s</w:t>
      </w:r>
      <w:r w:rsidRPr="007B7C54">
        <w:rPr>
          <w:rFonts w:ascii="Times New Roman" w:eastAsia="Calibri" w:hAnsi="Times New Roman" w:cs="Times New Roman"/>
          <w:noProof/>
        </w:rPr>
        <w:softHyphen/>
        <w:t xml:space="preserve"> samples onto one curve. A comparison is shown for </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eff</w:t>
      </w:r>
      <w:r w:rsidRPr="007B7C54">
        <w:rPr>
          <w:rFonts w:ascii="Times New Roman" w:eastAsia="Calibri" w:hAnsi="Times New Roman" w:cs="Times New Roman"/>
          <w:noProof/>
        </w:rPr>
        <w:t>/</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s</w:t>
      </w:r>
      <w:r w:rsidRPr="007B7C54">
        <w:rPr>
          <w:rFonts w:ascii="Times New Roman" w:eastAsia="Calibri" w:hAnsi="Times New Roman" w:cs="Times New Roman"/>
          <w:noProof/>
        </w:rPr>
        <w:t xml:space="preserve"> versus </w:t>
      </w:r>
      <w:r w:rsidRPr="007B7C54">
        <w:rPr>
          <w:rFonts w:ascii="Times New Roman" w:eastAsia="Calibri" w:hAnsi="Times New Roman" w:cs="Times New Roman"/>
          <w:i/>
          <w:iCs/>
          <w:noProof/>
        </w:rPr>
        <w:t>ε</w:t>
      </w:r>
      <w:r w:rsidRPr="007B7C54">
        <w:rPr>
          <w:rFonts w:ascii="Times New Roman" w:eastAsia="Calibri" w:hAnsi="Times New Roman" w:cs="Times New Roman"/>
          <w:noProof/>
        </w:rPr>
        <w:t xml:space="preserve"> with the generalized correlation prescribed recently by Kaur et al. </w:t>
      </w:r>
      <w:r w:rsidR="00C544AE" w:rsidRPr="008F5202">
        <w:rPr>
          <w:rFonts w:ascii="Times New Roman" w:eastAsia="Calibri" w:hAnsi="Times New Roman" w:cs="Times New Roman"/>
          <w:noProof/>
        </w:rPr>
        <w:t>[5</w:t>
      </w:r>
      <w:r w:rsidR="00BC1969" w:rsidRPr="008F5202">
        <w:rPr>
          <w:rFonts w:ascii="Times New Roman" w:eastAsia="Calibri" w:hAnsi="Times New Roman" w:cs="Times New Roman"/>
          <w:noProof/>
        </w:rPr>
        <w:t xml:space="preserve">.22] </w:t>
      </w:r>
      <w:r w:rsidRPr="007B7C54">
        <w:rPr>
          <w:rFonts w:ascii="Times New Roman" w:eastAsia="Calibri" w:hAnsi="Times New Roman" w:cs="Times New Roman"/>
          <w:noProof/>
        </w:rPr>
        <w:t xml:space="preserve">for porous media with porosities greater than 0.8. The comparison was found acceptable for this porosity range.  </w:t>
      </w:r>
    </w:p>
    <w:p w14:paraId="03006C81" w14:textId="498E8B53" w:rsidR="007B7C54" w:rsidRPr="007B7C54" w:rsidRDefault="007B7C54" w:rsidP="00BC1969">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The third set of </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eff</w:t>
      </w:r>
      <w:r w:rsidRPr="007B7C54">
        <w:rPr>
          <w:rFonts w:ascii="Times New Roman" w:eastAsia="Calibri" w:hAnsi="Times New Roman" w:cs="Times New Roman"/>
          <w:noProof/>
        </w:rPr>
        <w:t xml:space="preserve"> experiments were conducted on lattices with void space being occupied by the particles with diameters varying from 266 – 966 </w:t>
      </w:r>
      <w:r w:rsidRPr="007B7C54">
        <w:rPr>
          <w:rFonts w:ascii="Times New Roman" w:eastAsia="Calibri" w:hAnsi="Times New Roman" w:cs="Times New Roman"/>
          <w:i/>
          <w:iCs/>
          <w:noProof/>
        </w:rPr>
        <w:sym w:font="Symbol" w:char="F06D"/>
      </w:r>
      <w:r w:rsidRPr="007B7C54">
        <w:rPr>
          <w:rFonts w:ascii="Times New Roman" w:eastAsia="Calibri" w:hAnsi="Times New Roman" w:cs="Times New Roman"/>
          <w:noProof/>
        </w:rPr>
        <w:t xml:space="preserve">m (Fig. </w:t>
      </w:r>
      <w:r w:rsidR="00297625"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8). There was a clear decreasing trend in the </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eff</w:t>
      </w:r>
      <w:r w:rsidRPr="007B7C54">
        <w:rPr>
          <w:rFonts w:ascii="Times New Roman" w:eastAsia="Calibri" w:hAnsi="Times New Roman" w:cs="Times New Roman"/>
          <w:noProof/>
        </w:rPr>
        <w:t xml:space="preserve"> value with increasing lattice porosity, which is again consistent for the case when void space was occupied by air, indicating that particles do not alter the dominant impact of fibers and their intrinsic thermal conductivity values, even though particles are nearly 16 times more thermally conductive than air.</w:t>
      </w:r>
    </w:p>
    <w:p w14:paraId="0DDB5351" w14:textId="77777777" w:rsidR="003763D2" w:rsidRPr="008F5202" w:rsidRDefault="003763D2" w:rsidP="003763D2">
      <w:pPr>
        <w:keepNext/>
        <w:spacing w:line="360" w:lineRule="auto"/>
        <w:contextualSpacing/>
        <w:jc w:val="both"/>
        <w:rPr>
          <w:rFonts w:ascii="Times New Roman" w:hAnsi="Times New Roman" w:cs="Times New Roman"/>
        </w:rPr>
      </w:pPr>
      <w:r w:rsidRPr="008F5202">
        <w:rPr>
          <w:rFonts w:ascii="Times New Roman" w:eastAsia="Calibri" w:hAnsi="Times New Roman" w:cs="Times New Roman"/>
          <w:noProof/>
        </w:rPr>
        <w:lastRenderedPageBreak/>
        <w:drawing>
          <wp:inline distT="0" distB="0" distL="0" distR="0" wp14:anchorId="2766E2BF" wp14:editId="13EF9CF9">
            <wp:extent cx="2707005" cy="2084705"/>
            <wp:effectExtent l="0" t="0" r="0" b="0"/>
            <wp:docPr id="12948686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707005" cy="2084705"/>
                    </a:xfrm>
                    <a:prstGeom prst="rect">
                      <a:avLst/>
                    </a:prstGeom>
                    <a:noFill/>
                  </pic:spPr>
                </pic:pic>
              </a:graphicData>
            </a:graphic>
          </wp:inline>
        </w:drawing>
      </w:r>
    </w:p>
    <w:p w14:paraId="120B2FFA" w14:textId="4F647AA6" w:rsidR="007B7C54" w:rsidRPr="007B7C54" w:rsidRDefault="003763D2" w:rsidP="008F5202">
      <w:pPr>
        <w:pStyle w:val="Caption"/>
        <w:rPr>
          <w:rFonts w:eastAsia="Calibri"/>
          <w:noProof/>
        </w:rPr>
      </w:pPr>
      <w:bookmarkStart w:id="227" w:name="_Toc177755236"/>
      <w:r w:rsidRPr="008F5202">
        <w:t xml:space="preserve">Figure </w:t>
      </w:r>
      <w:r w:rsidRPr="008F5202">
        <w:fldChar w:fldCharType="begin"/>
      </w:r>
      <w:r w:rsidRPr="008F5202">
        <w:instrText xml:space="preserve"> STYLEREF 1 \s </w:instrText>
      </w:r>
      <w:r w:rsidRPr="008F5202">
        <w:fldChar w:fldCharType="separate"/>
      </w:r>
      <w:r w:rsidR="00AF1AFB">
        <w:rPr>
          <w:noProof/>
        </w:rPr>
        <w:t>5</w:t>
      </w:r>
      <w:r w:rsidRPr="008F5202">
        <w:fldChar w:fldCharType="end"/>
      </w:r>
      <w:r w:rsidRPr="008F5202">
        <w:t>.</w:t>
      </w:r>
      <w:r w:rsidRPr="008F5202">
        <w:fldChar w:fldCharType="begin"/>
      </w:r>
      <w:r w:rsidRPr="008F5202">
        <w:instrText xml:space="preserve"> SEQ Figure \* ARABIC \s 1 </w:instrText>
      </w:r>
      <w:r w:rsidRPr="008F5202">
        <w:fldChar w:fldCharType="separate"/>
      </w:r>
      <w:r w:rsidR="00AF1AFB">
        <w:rPr>
          <w:noProof/>
        </w:rPr>
        <w:t>7</w:t>
      </w:r>
      <w:r w:rsidRPr="008F5202">
        <w:fldChar w:fldCharType="end"/>
      </w:r>
      <w:r w:rsidRPr="008F5202">
        <w:t xml:space="preserve"> </w:t>
      </w:r>
      <w:r w:rsidRPr="008F5202">
        <w:t>Effective thermal conductivity of Octet lattice (void space occupied by air)</w:t>
      </w:r>
      <w:bookmarkEnd w:id="227"/>
    </w:p>
    <w:p w14:paraId="523C3FFE" w14:textId="65D114CF" w:rsidR="007B7C54" w:rsidRPr="008F5202" w:rsidRDefault="007B7C54" w:rsidP="00BC1969">
      <w:pPr>
        <w:spacing w:line="360" w:lineRule="auto"/>
        <w:ind w:firstLine="360"/>
        <w:contextualSpacing/>
        <w:jc w:val="both"/>
        <w:rPr>
          <w:rFonts w:ascii="Times New Roman" w:hAnsi="Times New Roman" w:cs="Times New Roman"/>
          <w:noProof/>
        </w:rPr>
      </w:pPr>
      <w:r w:rsidRPr="007B7C54">
        <w:rPr>
          <w:rFonts w:ascii="Times New Roman" w:eastAsia="Calibri" w:hAnsi="Times New Roman" w:cs="Times New Roman"/>
          <w:noProof/>
        </w:rPr>
        <w:t xml:space="preserve">Figure </w:t>
      </w:r>
      <w:r w:rsidR="00297625"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8 also presents the relative enhancement in </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eff</w:t>
      </w:r>
      <w:r w:rsidRPr="007B7C54">
        <w:rPr>
          <w:rFonts w:ascii="Times New Roman" w:eastAsia="Calibri" w:hAnsi="Times New Roman" w:cs="Times New Roman"/>
          <w:noProof/>
        </w:rPr>
        <w:t xml:space="preserve"> values (</w:t>
      </w:r>
      <m:oMath>
        <m:r>
          <w:rPr>
            <w:rFonts w:ascii="Cambria Math" w:eastAsia="Calibri" w:hAnsi="Cambria Math" w:cs="Times New Roman"/>
            <w:noProof/>
          </w:rPr>
          <m:t>η=</m:t>
        </m:r>
        <m:f>
          <m:fPr>
            <m:type m:val="lin"/>
            <m:ctrlPr>
              <w:rPr>
                <w:rFonts w:ascii="Cambria Math" w:eastAsia="Calibri" w:hAnsi="Cambria Math" w:cs="Times New Roman"/>
                <w:i/>
                <w:noProof/>
              </w:rPr>
            </m:ctrlPr>
          </m:fPr>
          <m:num>
            <m:sSub>
              <m:sSubPr>
                <m:ctrlPr>
                  <w:rPr>
                    <w:rFonts w:ascii="Cambria Math" w:eastAsia="Calibri" w:hAnsi="Cambria Math" w:cs="Times New Roman"/>
                    <w:i/>
                    <w:noProof/>
                  </w:rPr>
                </m:ctrlPr>
              </m:sSubPr>
              <m:e>
                <m:d>
                  <m:dPr>
                    <m:ctrlPr>
                      <w:rPr>
                        <w:rFonts w:ascii="Cambria Math" w:eastAsia="Calibri" w:hAnsi="Cambria Math" w:cs="Times New Roman"/>
                        <w:i/>
                        <w:noProof/>
                      </w:rPr>
                    </m:ctrlPr>
                  </m:dPr>
                  <m:e>
                    <m:sSub>
                      <m:sSubPr>
                        <m:ctrlPr>
                          <w:rPr>
                            <w:rFonts w:ascii="Cambria Math" w:eastAsia="Calibri" w:hAnsi="Cambria Math" w:cs="Times New Roman"/>
                            <w:i/>
                            <w:noProof/>
                          </w:rPr>
                        </m:ctrlPr>
                      </m:sSubPr>
                      <m:e>
                        <m:r>
                          <w:rPr>
                            <w:rFonts w:ascii="Cambria Math" w:eastAsia="Calibri" w:hAnsi="Cambria Math" w:cs="Times New Roman"/>
                            <w:noProof/>
                          </w:rPr>
                          <m:t>k</m:t>
                        </m:r>
                      </m:e>
                      <m:sub>
                        <m:r>
                          <w:rPr>
                            <w:rFonts w:ascii="Cambria Math" w:eastAsia="Calibri" w:hAnsi="Cambria Math" w:cs="Times New Roman"/>
                            <w:noProof/>
                          </w:rPr>
                          <m:t>eff</m:t>
                        </m:r>
                      </m:sub>
                    </m:sSub>
                  </m:e>
                </m:d>
              </m:e>
              <m:sub>
                <m:r>
                  <w:rPr>
                    <w:rFonts w:ascii="Cambria Math" w:eastAsia="Calibri" w:hAnsi="Cambria Math" w:cs="Times New Roman"/>
                    <w:noProof/>
                  </w:rPr>
                  <m:t>void→particles</m:t>
                </m:r>
              </m:sub>
            </m:sSub>
          </m:num>
          <m:den>
            <m:sSub>
              <m:sSubPr>
                <m:ctrlPr>
                  <w:rPr>
                    <w:rFonts w:ascii="Cambria Math" w:eastAsia="Calibri" w:hAnsi="Cambria Math" w:cs="Times New Roman"/>
                    <w:i/>
                    <w:noProof/>
                  </w:rPr>
                </m:ctrlPr>
              </m:sSubPr>
              <m:e>
                <m:d>
                  <m:dPr>
                    <m:ctrlPr>
                      <w:rPr>
                        <w:rFonts w:ascii="Cambria Math" w:eastAsia="Calibri" w:hAnsi="Cambria Math" w:cs="Times New Roman"/>
                        <w:i/>
                        <w:noProof/>
                      </w:rPr>
                    </m:ctrlPr>
                  </m:dPr>
                  <m:e>
                    <m:sSub>
                      <m:sSubPr>
                        <m:ctrlPr>
                          <w:rPr>
                            <w:rFonts w:ascii="Cambria Math" w:eastAsia="Calibri" w:hAnsi="Cambria Math" w:cs="Times New Roman"/>
                            <w:i/>
                            <w:noProof/>
                          </w:rPr>
                        </m:ctrlPr>
                      </m:sSubPr>
                      <m:e>
                        <m:r>
                          <w:rPr>
                            <w:rFonts w:ascii="Cambria Math" w:eastAsia="Calibri" w:hAnsi="Cambria Math" w:cs="Times New Roman"/>
                            <w:noProof/>
                          </w:rPr>
                          <m:t>k</m:t>
                        </m:r>
                      </m:e>
                      <m:sub>
                        <m:r>
                          <w:rPr>
                            <w:rFonts w:ascii="Cambria Math" w:eastAsia="Calibri" w:hAnsi="Cambria Math" w:cs="Times New Roman"/>
                            <w:noProof/>
                          </w:rPr>
                          <m:t>eff</m:t>
                        </m:r>
                      </m:sub>
                    </m:sSub>
                  </m:e>
                </m:d>
              </m:e>
              <m:sub>
                <m:r>
                  <w:rPr>
                    <w:rFonts w:ascii="Cambria Math" w:eastAsia="Calibri" w:hAnsi="Cambria Math" w:cs="Times New Roman"/>
                    <w:noProof/>
                  </w:rPr>
                  <m:t>packed bed</m:t>
                </m:r>
              </m:sub>
            </m:sSub>
          </m:den>
        </m:f>
      </m:oMath>
      <w:r w:rsidRPr="007B7C54">
        <w:rPr>
          <w:rFonts w:ascii="Times New Roman" w:eastAsia="Calibri" w:hAnsi="Times New Roman" w:cs="Times New Roman"/>
          <w:noProof/>
        </w:rPr>
        <w:t xml:space="preserve">) for the lattice when particles were packed in void space in reference to a packed bed of particles. This enhancement in </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eff</w:t>
      </w:r>
      <w:r w:rsidRPr="007B7C54">
        <w:rPr>
          <w:rFonts w:ascii="Times New Roman" w:eastAsia="Calibri" w:hAnsi="Times New Roman" w:cs="Times New Roman"/>
          <w:noProof/>
        </w:rPr>
        <w:t xml:space="preserve"> is one mode which implicitly affects the overall thermal transport between the hot and cold sides. Further, a rapid decline in </w:t>
      </w:r>
      <w:r w:rsidRPr="007B7C54">
        <w:rPr>
          <w:rFonts w:ascii="Times New Roman" w:eastAsia="Calibri" w:hAnsi="Times New Roman" w:cs="Times New Roman"/>
          <w:i/>
          <w:iCs/>
          <w:noProof/>
        </w:rPr>
        <w:t>η</w:t>
      </w:r>
      <w:r w:rsidRPr="007B7C54">
        <w:rPr>
          <w:rFonts w:ascii="Times New Roman" w:hAnsi="Times New Roman" w:cs="Times New Roman"/>
          <w:noProof/>
        </w:rPr>
        <w:t xml:space="preserve"> was observed with increasing lattice porosity. The enhancement levels were similar for different particle sizes for the three lattice porosities and varied from 2-4 times compared to the particle packed bed configurations (absence of lattice) for SS316L, while </w:t>
      </w:r>
      <w:r w:rsidRPr="007B7C54">
        <w:rPr>
          <w:rFonts w:ascii="Times New Roman" w:eastAsia="Calibri" w:hAnsi="Times New Roman" w:cs="Times New Roman"/>
          <w:i/>
          <w:iCs/>
          <w:noProof/>
        </w:rPr>
        <w:t xml:space="preserve">η </w:t>
      </w:r>
      <w:r w:rsidRPr="007B7C54">
        <w:rPr>
          <w:rFonts w:ascii="Times New Roman" w:eastAsia="Calibri" w:hAnsi="Times New Roman" w:cs="Times New Roman"/>
          <w:noProof/>
        </w:rPr>
        <w:t>for SS420 was found to vary between 4-8 for three different particle sizes occupying the void space</w:t>
      </w:r>
      <w:r w:rsidRPr="007B7C54">
        <w:rPr>
          <w:rFonts w:ascii="Times New Roman" w:hAnsi="Times New Roman" w:cs="Times New Roman"/>
          <w:noProof/>
        </w:rPr>
        <w:t xml:space="preserve">. </w:t>
      </w:r>
    </w:p>
    <w:p w14:paraId="77F24211" w14:textId="77777777" w:rsidR="003763D2" w:rsidRPr="008F5202" w:rsidRDefault="003763D2" w:rsidP="003763D2">
      <w:pPr>
        <w:keepNext/>
        <w:spacing w:line="360" w:lineRule="auto"/>
        <w:ind w:firstLine="360"/>
        <w:contextualSpacing/>
        <w:jc w:val="both"/>
        <w:rPr>
          <w:rFonts w:ascii="Times New Roman" w:hAnsi="Times New Roman" w:cs="Times New Roman"/>
        </w:rPr>
      </w:pPr>
      <w:r w:rsidRPr="008F5202">
        <w:rPr>
          <w:rFonts w:ascii="Times New Roman" w:eastAsia="Calibri" w:hAnsi="Times New Roman" w:cs="Times New Roman"/>
          <w:noProof/>
        </w:rPr>
        <w:lastRenderedPageBreak/>
        <w:drawing>
          <wp:inline distT="0" distB="0" distL="0" distR="0" wp14:anchorId="12187CED" wp14:editId="1F3F68DA">
            <wp:extent cx="5932170" cy="1823085"/>
            <wp:effectExtent l="0" t="0" r="0" b="5715"/>
            <wp:docPr id="12202234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32170" cy="1823085"/>
                    </a:xfrm>
                    <a:prstGeom prst="rect">
                      <a:avLst/>
                    </a:prstGeom>
                    <a:noFill/>
                  </pic:spPr>
                </pic:pic>
              </a:graphicData>
            </a:graphic>
          </wp:inline>
        </w:drawing>
      </w:r>
    </w:p>
    <w:p w14:paraId="560AF618" w14:textId="539DE9F8" w:rsidR="003763D2" w:rsidRPr="007B7C54" w:rsidRDefault="003763D2" w:rsidP="008F5202">
      <w:pPr>
        <w:pStyle w:val="Caption"/>
        <w:rPr>
          <w:rFonts w:eastAsia="Calibri"/>
          <w:noProof/>
        </w:rPr>
      </w:pPr>
      <w:bookmarkStart w:id="228" w:name="_Toc177755237"/>
      <w:r w:rsidRPr="008F5202">
        <w:t xml:space="preserve">Figure </w:t>
      </w:r>
      <w:r w:rsidRPr="008F5202">
        <w:fldChar w:fldCharType="begin"/>
      </w:r>
      <w:r w:rsidRPr="008F5202">
        <w:instrText xml:space="preserve"> STYLEREF 1 \s </w:instrText>
      </w:r>
      <w:r w:rsidRPr="008F5202">
        <w:fldChar w:fldCharType="separate"/>
      </w:r>
      <w:r w:rsidR="00AF1AFB">
        <w:rPr>
          <w:noProof/>
        </w:rPr>
        <w:t>5</w:t>
      </w:r>
      <w:r w:rsidRPr="008F5202">
        <w:fldChar w:fldCharType="end"/>
      </w:r>
      <w:r w:rsidRPr="008F5202">
        <w:t>.</w:t>
      </w:r>
      <w:r w:rsidRPr="008F5202">
        <w:fldChar w:fldCharType="begin"/>
      </w:r>
      <w:r w:rsidRPr="008F5202">
        <w:instrText xml:space="preserve"> SEQ Figure \* ARABIC \s 1 </w:instrText>
      </w:r>
      <w:r w:rsidRPr="008F5202">
        <w:fldChar w:fldCharType="separate"/>
      </w:r>
      <w:r w:rsidR="00AF1AFB">
        <w:rPr>
          <w:noProof/>
        </w:rPr>
        <w:t>8</w:t>
      </w:r>
      <w:r w:rsidRPr="008F5202">
        <w:fldChar w:fldCharType="end"/>
      </w:r>
      <w:r w:rsidRPr="008F5202">
        <w:t xml:space="preserve"> </w:t>
      </w:r>
      <w:r w:rsidRPr="008F5202">
        <w:rPr>
          <w:rFonts w:eastAsia="Calibri"/>
        </w:rPr>
        <w:t xml:space="preserve">Effective thermal conductivity of Octet lattice (void space occupied by particles) and </w:t>
      </w:r>
      <w:r w:rsidRPr="008F5202">
        <w:rPr>
          <w:rFonts w:eastAsia="Calibri"/>
          <w:i/>
        </w:rPr>
        <w:t>k</w:t>
      </w:r>
      <w:r w:rsidRPr="008F5202">
        <w:rPr>
          <w:rFonts w:eastAsia="Calibri"/>
          <w:vertAlign w:val="subscript"/>
        </w:rPr>
        <w:t>eff</w:t>
      </w:r>
      <w:r w:rsidRPr="008F5202">
        <w:rPr>
          <w:rFonts w:eastAsia="Calibri"/>
        </w:rPr>
        <w:t xml:space="preserve"> enhancement factor (</w:t>
      </w:r>
      <w:r w:rsidRPr="008F5202">
        <w:rPr>
          <w:rFonts w:eastAsia="Calibri"/>
          <w:i/>
        </w:rPr>
        <w:t>η</w:t>
      </w:r>
      <w:r w:rsidRPr="008F5202">
        <w:rPr>
          <w:rFonts w:eastAsia="Calibri"/>
        </w:rPr>
        <w:t>) with respect to packed bed of particles</w:t>
      </w:r>
      <w:bookmarkEnd w:id="228"/>
    </w:p>
    <w:p w14:paraId="5E4D16E6" w14:textId="33F713AD" w:rsidR="007B7C54" w:rsidRPr="008F5202" w:rsidRDefault="007B7C54" w:rsidP="00BC1969">
      <w:pPr>
        <w:pStyle w:val="Heading3"/>
        <w:rPr>
          <w:rFonts w:eastAsia="Calibri"/>
        </w:rPr>
      </w:pPr>
      <w:bookmarkStart w:id="229" w:name="_Toc177758203"/>
      <w:r w:rsidRPr="008F5202">
        <w:rPr>
          <w:rFonts w:eastAsia="Calibri"/>
        </w:rPr>
        <w:t>Forced convection with air as working fluid</w:t>
      </w:r>
      <w:bookmarkEnd w:id="229"/>
    </w:p>
    <w:p w14:paraId="4E7456E3" w14:textId="586DD483" w:rsidR="007B7C54" w:rsidRPr="007B7C54" w:rsidRDefault="007B7C54" w:rsidP="00BC1969">
      <w:pPr>
        <w:spacing w:line="360" w:lineRule="auto"/>
        <w:ind w:firstLine="360"/>
        <w:contextualSpacing/>
        <w:jc w:val="both"/>
        <w:rPr>
          <w:rFonts w:ascii="Times New Roman" w:eastAsia="Calibri" w:hAnsi="Times New Roman" w:cs="Times New Roman"/>
          <w:noProof/>
        </w:rPr>
      </w:pPr>
      <w:bookmarkStart w:id="230" w:name="_Hlk107385136"/>
      <w:r w:rsidRPr="007B7C54">
        <w:rPr>
          <w:rFonts w:ascii="Times New Roman" w:eastAsia="Calibri" w:hAnsi="Times New Roman" w:cs="Times New Roman"/>
          <w:noProof/>
        </w:rPr>
        <w:t xml:space="preserve">This sub-section presents steady-state experimental results on local convective heat transfer coefficient offered by Octet unit cells when packed between two parallel plates (integrally manufactured) with air as the convective agent (Fig. </w:t>
      </w:r>
      <w:r w:rsidR="00297625"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9). </w:t>
      </w:r>
      <w:bookmarkEnd w:id="230"/>
      <w:r w:rsidRPr="007B7C54">
        <w:rPr>
          <w:rFonts w:ascii="Times New Roman" w:eastAsia="Calibri" w:hAnsi="Times New Roman" w:cs="Times New Roman"/>
          <w:noProof/>
        </w:rPr>
        <w:t xml:space="preserve">The panel is shown in Fig. </w:t>
      </w:r>
      <w:r w:rsidR="00297625"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4 and was formed by joining smaller pieces together as the maximum printable size was limited by the manufacturing method. The heat transfer development with increasing streamwise distance from the inlet section was presented by the authors in </w:t>
      </w:r>
      <w:r w:rsidRPr="007B7C54">
        <w:rPr>
          <w:rFonts w:ascii="Times New Roman" w:eastAsia="Calibri" w:hAnsi="Times New Roman" w:cs="Times New Roman"/>
        </w:rPr>
        <w:t>[</w:t>
      </w:r>
      <w:r w:rsidR="00C544AE" w:rsidRPr="008F5202">
        <w:rPr>
          <w:rFonts w:ascii="Times New Roman" w:eastAsia="Calibri" w:hAnsi="Times New Roman" w:cs="Times New Roman"/>
        </w:rPr>
        <w:t>5.</w:t>
      </w:r>
      <w:r w:rsidRPr="007B7C54">
        <w:rPr>
          <w:rFonts w:ascii="Times New Roman" w:eastAsia="Calibri" w:hAnsi="Times New Roman" w:cs="Times New Roman"/>
        </w:rPr>
        <w:t>26]</w:t>
      </w:r>
      <w:r w:rsidRPr="007B7C54">
        <w:rPr>
          <w:rFonts w:ascii="Times New Roman" w:eastAsia="Calibri" w:hAnsi="Times New Roman" w:cs="Times New Roman"/>
          <w:noProof/>
        </w:rPr>
        <w:t xml:space="preserve">, where a periodic heat transfer (when unit cell-based </w:t>
      </w:r>
      <w:r w:rsidRPr="007B7C54">
        <w:rPr>
          <w:rFonts w:ascii="Times New Roman" w:eastAsia="Calibri" w:hAnsi="Times New Roman" w:cs="Times New Roman"/>
          <w:i/>
          <w:iCs/>
          <w:noProof/>
        </w:rPr>
        <w:t>h</w:t>
      </w:r>
      <w:r w:rsidRPr="007B7C54">
        <w:rPr>
          <w:rFonts w:ascii="Times New Roman" w:eastAsia="Calibri" w:hAnsi="Times New Roman" w:cs="Times New Roman"/>
          <w:noProof/>
        </w:rPr>
        <w:t xml:space="preserve"> does not change with increasing distance) was observed after 40% of the channel length. Figure </w:t>
      </w:r>
      <w:r w:rsidR="00297625"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9 shows the </w:t>
      </w:r>
      <w:r w:rsidRPr="007B7C54">
        <w:rPr>
          <w:rFonts w:ascii="Times New Roman" w:eastAsia="Calibri" w:hAnsi="Times New Roman" w:cs="Times New Roman"/>
          <w:i/>
          <w:iCs/>
          <w:noProof/>
        </w:rPr>
        <w:t>h</w:t>
      </w:r>
      <w:r w:rsidRPr="007B7C54">
        <w:rPr>
          <w:rFonts w:ascii="Times New Roman" w:eastAsia="Calibri" w:hAnsi="Times New Roman" w:cs="Times New Roman"/>
          <w:noProof/>
        </w:rPr>
        <w:t xml:space="preserve"> values for the two panels made from SS316L and SS420 in this perioidic heat transfer regime. Note that these values are conservative in nature and are presented to allow a direct comparison between two different plates and for heat exchangers made from Octet unit cells which are sufficiently larger in size. In practical scenarios, designers should leverage the high heat transfer values obtained in the developing flow regime as shown by Aider et al. </w:t>
      </w:r>
      <w:r w:rsidRPr="007B7C54">
        <w:rPr>
          <w:rFonts w:ascii="Times New Roman" w:eastAsia="Calibri" w:hAnsi="Times New Roman" w:cs="Times New Roman"/>
        </w:rPr>
        <w:t>[</w:t>
      </w:r>
      <w:r w:rsidR="00C544AE" w:rsidRPr="008F5202">
        <w:rPr>
          <w:rFonts w:ascii="Times New Roman" w:eastAsia="Calibri" w:hAnsi="Times New Roman" w:cs="Times New Roman"/>
        </w:rPr>
        <w:t>5.</w:t>
      </w:r>
      <w:r w:rsidRPr="007B7C54">
        <w:rPr>
          <w:rFonts w:ascii="Times New Roman" w:eastAsia="Calibri" w:hAnsi="Times New Roman" w:cs="Times New Roman"/>
        </w:rPr>
        <w:t>26]</w:t>
      </w:r>
      <w:r w:rsidRPr="007B7C54">
        <w:rPr>
          <w:rFonts w:ascii="Times New Roman" w:eastAsia="Calibri" w:hAnsi="Times New Roman" w:cs="Times New Roman"/>
          <w:noProof/>
        </w:rPr>
        <w:t>. Similar to prior heat transfer quantity (</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eff</w:t>
      </w:r>
      <w:r w:rsidRPr="007B7C54">
        <w:rPr>
          <w:rFonts w:ascii="Times New Roman" w:eastAsia="Calibri" w:hAnsi="Times New Roman" w:cs="Times New Roman"/>
          <w:noProof/>
        </w:rPr>
        <w:t xml:space="preserve">), SS420 sample had higher heat transfer compared to SS316L sample, due to the conjugate heat transfer effects which depend on the solid-phase intrinsic thermal conductivity. Both the </w:t>
      </w:r>
      <w:r w:rsidRPr="007B7C54">
        <w:rPr>
          <w:rFonts w:ascii="Times New Roman" w:eastAsia="Calibri" w:hAnsi="Times New Roman" w:cs="Times New Roman"/>
          <w:i/>
          <w:iCs/>
          <w:noProof/>
        </w:rPr>
        <w:t>h</w:t>
      </w:r>
      <w:r w:rsidRPr="007B7C54">
        <w:rPr>
          <w:rFonts w:ascii="Times New Roman" w:eastAsia="Calibri" w:hAnsi="Times New Roman" w:cs="Times New Roman"/>
          <w:noProof/>
        </w:rPr>
        <w:t xml:space="preserve"> trends demonstrated a power law dependence on the working fluid flow velocity. Cooling designers can use these trends in the design of heat exchangers which are based on air. </w:t>
      </w:r>
    </w:p>
    <w:p w14:paraId="60361A6E" w14:textId="77777777" w:rsidR="007B7C54" w:rsidRPr="007B7C54" w:rsidRDefault="007B7C54" w:rsidP="00BC1969">
      <w:pPr>
        <w:spacing w:line="360" w:lineRule="auto"/>
        <w:ind w:firstLine="360"/>
        <w:contextualSpacing/>
        <w:jc w:val="both"/>
        <w:rPr>
          <w:rFonts w:ascii="Times New Roman" w:eastAsia="Calibri" w:hAnsi="Times New Roman" w:cs="Times New Roman"/>
          <w:noProof/>
        </w:rPr>
      </w:pPr>
    </w:p>
    <w:p w14:paraId="414B7B0C" w14:textId="77777777" w:rsidR="003763D2" w:rsidRPr="008F5202" w:rsidRDefault="003763D2" w:rsidP="003763D2">
      <w:pPr>
        <w:keepNext/>
        <w:spacing w:line="360" w:lineRule="auto"/>
        <w:contextualSpacing/>
        <w:rPr>
          <w:rFonts w:ascii="Times New Roman" w:hAnsi="Times New Roman" w:cs="Times New Roman"/>
        </w:rPr>
      </w:pPr>
      <w:r w:rsidRPr="008F5202">
        <w:rPr>
          <w:rFonts w:ascii="Times New Roman" w:eastAsia="Calibri" w:hAnsi="Times New Roman" w:cs="Times New Roman"/>
          <w:noProof/>
        </w:rPr>
        <w:lastRenderedPageBreak/>
        <w:drawing>
          <wp:inline distT="0" distB="0" distL="0" distR="0" wp14:anchorId="0B4EDD09" wp14:editId="1CDCD2D1">
            <wp:extent cx="2225040" cy="2030095"/>
            <wp:effectExtent l="0" t="0" r="3810" b="8255"/>
            <wp:docPr id="12416131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25040" cy="2030095"/>
                    </a:xfrm>
                    <a:prstGeom prst="rect">
                      <a:avLst/>
                    </a:prstGeom>
                    <a:noFill/>
                  </pic:spPr>
                </pic:pic>
              </a:graphicData>
            </a:graphic>
          </wp:inline>
        </w:drawing>
      </w:r>
    </w:p>
    <w:p w14:paraId="328804DA" w14:textId="79C413B0" w:rsidR="007B7C54" w:rsidRPr="007B7C54" w:rsidRDefault="003763D2" w:rsidP="008F5202">
      <w:pPr>
        <w:pStyle w:val="Caption"/>
        <w:rPr>
          <w:rFonts w:eastAsia="Calibri"/>
        </w:rPr>
      </w:pPr>
      <w:bookmarkStart w:id="231" w:name="_Toc177755238"/>
      <w:r w:rsidRPr="008F5202">
        <w:t xml:space="preserve">Figure </w:t>
      </w:r>
      <w:r w:rsidRPr="008F5202">
        <w:fldChar w:fldCharType="begin"/>
      </w:r>
      <w:r w:rsidRPr="008F5202">
        <w:instrText xml:space="preserve"> STYLEREF 1 \s </w:instrText>
      </w:r>
      <w:r w:rsidRPr="008F5202">
        <w:fldChar w:fldCharType="separate"/>
      </w:r>
      <w:r w:rsidR="00AF1AFB">
        <w:rPr>
          <w:noProof/>
        </w:rPr>
        <w:t>5</w:t>
      </w:r>
      <w:r w:rsidRPr="008F5202">
        <w:fldChar w:fldCharType="end"/>
      </w:r>
      <w:r w:rsidRPr="008F5202">
        <w:t>.</w:t>
      </w:r>
      <w:r w:rsidRPr="008F5202">
        <w:fldChar w:fldCharType="begin"/>
      </w:r>
      <w:r w:rsidRPr="008F5202">
        <w:instrText xml:space="preserve"> SEQ Figure \* ARABIC \s 1 </w:instrText>
      </w:r>
      <w:r w:rsidRPr="008F5202">
        <w:fldChar w:fldCharType="separate"/>
      </w:r>
      <w:r w:rsidR="00AF1AFB">
        <w:rPr>
          <w:noProof/>
        </w:rPr>
        <w:t>9</w:t>
      </w:r>
      <w:r w:rsidRPr="008F5202">
        <w:fldChar w:fldCharType="end"/>
      </w:r>
      <w:r w:rsidRPr="008F5202">
        <w:t xml:space="preserve"> </w:t>
      </w:r>
      <w:r w:rsidRPr="008F5202">
        <w:t>Heat transfer coefficient in the periodic regime, variation presented with respect to average air flow velocity (measured at the inlet of the porous section) [channel diameter-based Reynolds numbers varied between 3,000 and 13,000 for SS316L and SS420 samples]</w:t>
      </w:r>
      <w:bookmarkEnd w:id="231"/>
    </w:p>
    <w:p w14:paraId="4CEFC427" w14:textId="0E825B67" w:rsidR="007B7C54" w:rsidRPr="008F5202" w:rsidRDefault="007B7C54" w:rsidP="00BC1969">
      <w:pPr>
        <w:pStyle w:val="Heading3"/>
        <w:rPr>
          <w:rFonts w:eastAsia="Calibri"/>
        </w:rPr>
      </w:pPr>
      <w:bookmarkStart w:id="232" w:name="_Toc177758204"/>
      <w:r w:rsidRPr="008F5202">
        <w:rPr>
          <w:rFonts w:eastAsia="Calibri"/>
        </w:rPr>
        <w:t>Forced convection with particle as working fluid</w:t>
      </w:r>
      <w:bookmarkEnd w:id="232"/>
    </w:p>
    <w:p w14:paraId="5F9A6800" w14:textId="795B4526" w:rsidR="007B7C54" w:rsidRPr="007B7C54" w:rsidRDefault="007B7C54" w:rsidP="00BC1969">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Our preliminary flow visualization experiments carried out on particles flowing through Octet lattice revealed that the particle flow behviour around the fiber and endwall was similar to that of airflow. Similar flow stagnation and separation characteristics were observed for particles flowing through Octet unit cell, which was found to be similar to that of airflow, as shown in our prior publications </w:t>
      </w:r>
      <w:r w:rsidRPr="007B7C54">
        <w:rPr>
          <w:rFonts w:ascii="Times New Roman" w:eastAsia="Calibri" w:hAnsi="Times New Roman" w:cs="Times New Roman"/>
        </w:rPr>
        <w:t>[</w:t>
      </w:r>
      <w:r w:rsidR="00C544AE" w:rsidRPr="008F5202">
        <w:rPr>
          <w:rFonts w:ascii="Times New Roman" w:eastAsia="Calibri" w:hAnsi="Times New Roman" w:cs="Times New Roman"/>
        </w:rPr>
        <w:t>5.</w:t>
      </w:r>
      <w:r w:rsidRPr="007B7C54">
        <w:rPr>
          <w:rFonts w:ascii="Times New Roman" w:eastAsia="Calibri" w:hAnsi="Times New Roman" w:cs="Times New Roman"/>
        </w:rPr>
        <w:t>17–</w:t>
      </w:r>
      <w:r w:rsidR="00C544AE" w:rsidRPr="008F5202">
        <w:rPr>
          <w:rFonts w:ascii="Times New Roman" w:eastAsia="Calibri" w:hAnsi="Times New Roman" w:cs="Times New Roman"/>
        </w:rPr>
        <w:t>5.</w:t>
      </w:r>
      <w:r w:rsidRPr="007B7C54">
        <w:rPr>
          <w:rFonts w:ascii="Times New Roman" w:eastAsia="Calibri" w:hAnsi="Times New Roman" w:cs="Times New Roman"/>
        </w:rPr>
        <w:t>19,</w:t>
      </w:r>
      <w:r w:rsidR="00C544AE" w:rsidRPr="008F5202">
        <w:rPr>
          <w:rFonts w:ascii="Times New Roman" w:eastAsia="Calibri" w:hAnsi="Times New Roman" w:cs="Times New Roman"/>
        </w:rPr>
        <w:t>5.</w:t>
      </w:r>
      <w:r w:rsidRPr="007B7C54">
        <w:rPr>
          <w:rFonts w:ascii="Times New Roman" w:eastAsia="Calibri" w:hAnsi="Times New Roman" w:cs="Times New Roman"/>
        </w:rPr>
        <w:t>27]</w:t>
      </w:r>
      <w:r w:rsidRPr="007B7C54">
        <w:rPr>
          <w:rFonts w:ascii="Times New Roman" w:eastAsia="Calibri" w:hAnsi="Times New Roman" w:cs="Times New Roman"/>
          <w:noProof/>
        </w:rPr>
        <w:t xml:space="preserve">. </w:t>
      </w:r>
    </w:p>
    <w:p w14:paraId="7FFFF088" w14:textId="13FD6F03" w:rsidR="007B7C54" w:rsidRPr="007B7C54" w:rsidRDefault="007B7C54" w:rsidP="00BC1969">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However, it should be noted that particles moving through porous media, despite having similar flow characteristics as that of air or water flow through them, will not necessarily impart similar heat dissipation qualititatively. The stagnation zone observed in particle flow results in particle trapping resulting in lower particle refresh rate, which contributes to reduced heat transfer. Particle flow around the circular fibers in turn enhances heat transfer due to higher local particle speeds. </w:t>
      </w:r>
    </w:p>
    <w:p w14:paraId="6BFF3FBF" w14:textId="49373DF8" w:rsidR="007B7C54" w:rsidRPr="007B7C54" w:rsidRDefault="007B7C54" w:rsidP="00BC1969">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To characterize the heat transfer for particles, a novel quasi-steady state heat transfer technique was used to determine time-dependent local convective heat transfer coefficient by carrying out measurements for over 30 minutes during the slow heat ramp-up phase of the experiment as described in Figure </w:t>
      </w:r>
      <w:r w:rsidR="008700FD"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10 shows the transient heat transfer coefficient calculated at different streamwise locations for the three particle diameters flowing through </w:t>
      </w:r>
      <w:r w:rsidRPr="007B7C54">
        <w:rPr>
          <w:rFonts w:ascii="Times New Roman" w:eastAsia="Calibri" w:hAnsi="Times New Roman" w:cs="Times New Roman"/>
          <w:noProof/>
        </w:rPr>
        <w:lastRenderedPageBreak/>
        <w:t>Octet panel made with SS316L. Similar transient behavior was observed for SS420 panel as well and was presented in</w:t>
      </w:r>
      <w:r w:rsidR="00BC1969" w:rsidRPr="008F5202">
        <w:rPr>
          <w:rFonts w:ascii="Times New Roman" w:eastAsia="Calibri" w:hAnsi="Times New Roman" w:cs="Times New Roman"/>
          <w:noProof/>
        </w:rPr>
        <w:t xml:space="preserve"> </w:t>
      </w:r>
      <w:r w:rsidR="00C544AE" w:rsidRPr="008F5202">
        <w:rPr>
          <w:rFonts w:ascii="Times New Roman" w:eastAsia="Calibri" w:hAnsi="Times New Roman" w:cs="Times New Roman"/>
          <w:noProof/>
        </w:rPr>
        <w:t>[5</w:t>
      </w:r>
      <w:r w:rsidR="00BC1969" w:rsidRPr="008F5202">
        <w:rPr>
          <w:rFonts w:ascii="Times New Roman" w:eastAsia="Calibri" w:hAnsi="Times New Roman" w:cs="Times New Roman"/>
          <w:noProof/>
        </w:rPr>
        <w:t>.26]</w:t>
      </w:r>
      <w:r w:rsidRPr="007B7C54">
        <w:rPr>
          <w:rFonts w:ascii="Times New Roman" w:eastAsia="Calibri" w:hAnsi="Times New Roman" w:cs="Times New Roman"/>
          <w:noProof/>
        </w:rPr>
        <w:t xml:space="preserve">. The results in Fig. </w:t>
      </w:r>
      <w:r w:rsidR="008700FD"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10 are presented over a time-period in which the system was considered to be in quasi-steady state, and it should be noted that both the wall temperatures at different streamwise locations as well as the particle inlet and outlet temperatures were steadily increasing with time. However, their cummulative effect resulted in a time-independent behavior in </w:t>
      </w:r>
      <w:r w:rsidRPr="007B7C54">
        <w:rPr>
          <w:rFonts w:ascii="Times New Roman" w:eastAsia="Calibri" w:hAnsi="Times New Roman" w:cs="Times New Roman"/>
          <w:i/>
          <w:iCs/>
          <w:noProof/>
        </w:rPr>
        <w:t>h</w:t>
      </w:r>
      <w:r w:rsidRPr="007B7C54">
        <w:rPr>
          <w:rFonts w:ascii="Times New Roman" w:eastAsia="Calibri" w:hAnsi="Times New Roman" w:cs="Times New Roman"/>
          <w:noProof/>
        </w:rPr>
        <w:t xml:space="preserve"> which is both expected and desired behavior in heat transfer experiments. The time-averaging of the presented </w:t>
      </w:r>
      <w:r w:rsidRPr="007B7C54">
        <w:rPr>
          <w:rFonts w:ascii="Times New Roman" w:eastAsia="Calibri" w:hAnsi="Times New Roman" w:cs="Times New Roman"/>
          <w:i/>
          <w:iCs/>
          <w:noProof/>
        </w:rPr>
        <w:t>h</w:t>
      </w:r>
      <w:r w:rsidRPr="007B7C54">
        <w:rPr>
          <w:rFonts w:ascii="Times New Roman" w:eastAsia="Calibri" w:hAnsi="Times New Roman" w:cs="Times New Roman"/>
          <w:noProof/>
        </w:rPr>
        <w:t xml:space="preserve"> values in Fig. </w:t>
      </w:r>
      <w:r w:rsidR="008700FD"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11 was carried out for the phase in which time-independent behavior in </w:t>
      </w:r>
      <w:r w:rsidRPr="007B7C54">
        <w:rPr>
          <w:rFonts w:ascii="Times New Roman" w:eastAsia="Calibri" w:hAnsi="Times New Roman" w:cs="Times New Roman"/>
          <w:i/>
          <w:iCs/>
          <w:noProof/>
        </w:rPr>
        <w:t>h</w:t>
      </w:r>
      <w:r w:rsidRPr="007B7C54">
        <w:rPr>
          <w:rFonts w:ascii="Times New Roman" w:eastAsia="Calibri" w:hAnsi="Times New Roman" w:cs="Times New Roman"/>
          <w:noProof/>
        </w:rPr>
        <w:t xml:space="preserve"> was observed. Figure </w:t>
      </w:r>
      <w:r w:rsidR="008700FD"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11 presents the time-averaged </w:t>
      </w:r>
      <w:r w:rsidRPr="007B7C54">
        <w:rPr>
          <w:rFonts w:ascii="Times New Roman" w:eastAsia="Calibri" w:hAnsi="Times New Roman" w:cs="Times New Roman"/>
          <w:i/>
          <w:iCs/>
          <w:noProof/>
        </w:rPr>
        <w:t>h</w:t>
      </w:r>
      <w:r w:rsidRPr="007B7C54">
        <w:rPr>
          <w:rFonts w:ascii="Times New Roman" w:eastAsia="Calibri" w:hAnsi="Times New Roman" w:cs="Times New Roman"/>
          <w:noProof/>
        </w:rPr>
        <w:t xml:space="preserve"> values in the periodic heat transfer regime for both Octet panels made from SS316L and SS420 </w:t>
      </w:r>
      <w:r w:rsidR="00C544AE" w:rsidRPr="008F5202">
        <w:rPr>
          <w:rFonts w:ascii="Times New Roman" w:eastAsia="Calibri" w:hAnsi="Times New Roman" w:cs="Times New Roman"/>
          <w:noProof/>
        </w:rPr>
        <w:t>[5</w:t>
      </w:r>
      <w:r w:rsidR="00BC1969" w:rsidRPr="008F5202">
        <w:rPr>
          <w:rFonts w:ascii="Times New Roman" w:eastAsia="Calibri" w:hAnsi="Times New Roman" w:cs="Times New Roman"/>
          <w:noProof/>
        </w:rPr>
        <w:t>.26]</w:t>
      </w:r>
      <w:r w:rsidRPr="007B7C54">
        <w:rPr>
          <w:rFonts w:ascii="Times New Roman" w:eastAsia="Calibri" w:hAnsi="Times New Roman" w:cs="Times New Roman"/>
          <w:noProof/>
        </w:rPr>
        <w:t>, as a function of particle diameter. The particle flow rates for CARBOBEAD-CP 40/100 (</w:t>
      </w:r>
      <w:r w:rsidRPr="007B7C54">
        <w:rPr>
          <w:rFonts w:ascii="Times New Roman" w:eastAsia="Calibri" w:hAnsi="Times New Roman" w:cs="Times New Roman"/>
          <w:i/>
          <w:iCs/>
          <w:noProof/>
        </w:rPr>
        <w:t>d</w:t>
      </w:r>
      <w:r w:rsidRPr="007B7C54">
        <w:rPr>
          <w:rFonts w:ascii="Times New Roman" w:eastAsia="Calibri" w:hAnsi="Times New Roman" w:cs="Times New Roman"/>
          <w:noProof/>
          <w:vertAlign w:val="subscript"/>
        </w:rPr>
        <w:t>p</w:t>
      </w:r>
      <w:r w:rsidRPr="007B7C54">
        <w:rPr>
          <w:rFonts w:ascii="Times New Roman" w:eastAsia="Calibri" w:hAnsi="Times New Roman" w:cs="Times New Roman"/>
          <w:noProof/>
        </w:rPr>
        <w:t xml:space="preserve">- 266 </w:t>
      </w:r>
      <w:r w:rsidRPr="007B7C54">
        <w:rPr>
          <w:rFonts w:ascii="Times New Roman" w:eastAsia="Calibri" w:hAnsi="Times New Roman" w:cs="Times New Roman"/>
          <w:i/>
          <w:iCs/>
          <w:noProof/>
        </w:rPr>
        <w:t>µ</w:t>
      </w:r>
      <w:r w:rsidRPr="007B7C54">
        <w:rPr>
          <w:rFonts w:ascii="Times New Roman" w:eastAsia="Calibri" w:hAnsi="Times New Roman" w:cs="Times New Roman"/>
          <w:noProof/>
        </w:rPr>
        <w:t>m), CARBOBEAD-CP 30/60 (</w:t>
      </w:r>
      <w:r w:rsidRPr="007B7C54">
        <w:rPr>
          <w:rFonts w:ascii="Times New Roman" w:eastAsia="Calibri" w:hAnsi="Times New Roman" w:cs="Times New Roman"/>
          <w:i/>
          <w:iCs/>
          <w:noProof/>
        </w:rPr>
        <w:t>d</w:t>
      </w:r>
      <w:r w:rsidRPr="007B7C54">
        <w:rPr>
          <w:rFonts w:ascii="Times New Roman" w:eastAsia="Calibri" w:hAnsi="Times New Roman" w:cs="Times New Roman"/>
          <w:noProof/>
          <w:vertAlign w:val="subscript"/>
        </w:rPr>
        <w:t>p</w:t>
      </w:r>
      <w:r w:rsidRPr="007B7C54">
        <w:rPr>
          <w:rFonts w:ascii="Times New Roman" w:eastAsia="Calibri" w:hAnsi="Times New Roman" w:cs="Times New Roman"/>
          <w:noProof/>
        </w:rPr>
        <w:t xml:space="preserve">- 397 </w:t>
      </w:r>
      <w:r w:rsidRPr="007B7C54">
        <w:rPr>
          <w:rFonts w:ascii="Times New Roman" w:eastAsia="Calibri" w:hAnsi="Times New Roman" w:cs="Times New Roman"/>
          <w:i/>
          <w:iCs/>
          <w:noProof/>
        </w:rPr>
        <w:t>µ</w:t>
      </w:r>
      <w:r w:rsidRPr="007B7C54">
        <w:rPr>
          <w:rFonts w:ascii="Times New Roman" w:eastAsia="Calibri" w:hAnsi="Times New Roman" w:cs="Times New Roman"/>
          <w:noProof/>
        </w:rPr>
        <w:t>m), and CARBOBEAD HSP 20/40 (</w:t>
      </w:r>
      <w:r w:rsidRPr="007B7C54">
        <w:rPr>
          <w:rFonts w:ascii="Times New Roman" w:eastAsia="Calibri" w:hAnsi="Times New Roman" w:cs="Times New Roman"/>
          <w:i/>
          <w:iCs/>
          <w:noProof/>
        </w:rPr>
        <w:t>d</w:t>
      </w:r>
      <w:r w:rsidRPr="007B7C54">
        <w:rPr>
          <w:rFonts w:ascii="Times New Roman" w:eastAsia="Calibri" w:hAnsi="Times New Roman" w:cs="Times New Roman"/>
          <w:noProof/>
          <w:vertAlign w:val="subscript"/>
        </w:rPr>
        <w:t>p</w:t>
      </w:r>
      <w:r w:rsidRPr="007B7C54">
        <w:rPr>
          <w:rFonts w:ascii="Times New Roman" w:eastAsia="Calibri" w:hAnsi="Times New Roman" w:cs="Times New Roman"/>
          <w:noProof/>
        </w:rPr>
        <w:t xml:space="preserve">- 966 </w:t>
      </w:r>
      <w:r w:rsidRPr="007B7C54">
        <w:rPr>
          <w:rFonts w:ascii="Times New Roman" w:eastAsia="Calibri" w:hAnsi="Times New Roman" w:cs="Times New Roman"/>
          <w:i/>
          <w:iCs/>
          <w:noProof/>
        </w:rPr>
        <w:t>µ</w:t>
      </w:r>
      <w:r w:rsidRPr="007B7C54">
        <w:rPr>
          <w:rFonts w:ascii="Times New Roman" w:eastAsia="Calibri" w:hAnsi="Times New Roman" w:cs="Times New Roman"/>
          <w:noProof/>
        </w:rPr>
        <w:t xml:space="preserve">m) were 95.25 g/s, 116.94 g/s, 139.65 g/s, respectively. Note that the flow rates of particles were similar for both SS316L and SS420 panels since they were of similar porosities. </w:t>
      </w:r>
    </w:p>
    <w:p w14:paraId="3A3D8390" w14:textId="77777777" w:rsidR="007B7C54" w:rsidRPr="007B7C54" w:rsidRDefault="007B7C54" w:rsidP="00BC1969">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The convective heat transfer coefficient was found to be decreasing with increasing particle size. The difference between SS316L and SS420 was found to be minimal for particle heat transfer in contrast with air-based heat transfer. This is attributed to high heat carrying capacity of particles in comparison with air – this is an interesting finding, since material choice in CSP heat exchangers is critical due to the necessity of bonding hot and cold sides together. Diffusion bonding method is a popular method for bonding hot and cold sides together and this technology is demonstrated for SS316L material. For near-term CSP goals, it is recommended that SS316L-based enhanced heat transfer concepts could be explored further, due to concept scalability and reliability. </w:t>
      </w:r>
    </w:p>
    <w:p w14:paraId="64ED0AD8" w14:textId="77777777" w:rsidR="007B7C54" w:rsidRPr="007B7C54" w:rsidRDefault="007B7C54" w:rsidP="00BC1969">
      <w:pPr>
        <w:spacing w:line="360" w:lineRule="auto"/>
        <w:ind w:firstLine="360"/>
        <w:contextualSpacing/>
        <w:jc w:val="both"/>
        <w:rPr>
          <w:rFonts w:ascii="Times New Roman" w:eastAsia="Calibri" w:hAnsi="Times New Roman" w:cs="Times New Roman"/>
          <w:noProof/>
        </w:rPr>
      </w:pPr>
    </w:p>
    <w:p w14:paraId="0F0B1ECA" w14:textId="77777777" w:rsidR="003763D2" w:rsidRPr="008F5202" w:rsidRDefault="003763D2" w:rsidP="003763D2">
      <w:pPr>
        <w:keepNext/>
        <w:spacing w:line="360" w:lineRule="auto"/>
        <w:ind w:firstLine="360"/>
        <w:contextualSpacing/>
        <w:jc w:val="both"/>
        <w:rPr>
          <w:rFonts w:ascii="Times New Roman" w:hAnsi="Times New Roman" w:cs="Times New Roman"/>
        </w:rPr>
      </w:pPr>
      <w:r w:rsidRPr="008F5202">
        <w:rPr>
          <w:rFonts w:ascii="Times New Roman" w:eastAsia="Calibri" w:hAnsi="Times New Roman" w:cs="Times New Roman"/>
          <w:noProof/>
        </w:rPr>
        <w:lastRenderedPageBreak/>
        <w:drawing>
          <wp:inline distT="0" distB="0" distL="0" distR="0" wp14:anchorId="3785E301" wp14:editId="76CFC2E0">
            <wp:extent cx="3348121" cy="6943060"/>
            <wp:effectExtent l="0" t="0" r="5080" b="0"/>
            <wp:docPr id="4847648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350950" cy="6948926"/>
                    </a:xfrm>
                    <a:prstGeom prst="rect">
                      <a:avLst/>
                    </a:prstGeom>
                    <a:noFill/>
                  </pic:spPr>
                </pic:pic>
              </a:graphicData>
            </a:graphic>
          </wp:inline>
        </w:drawing>
      </w:r>
    </w:p>
    <w:p w14:paraId="68BBD32F" w14:textId="0AD12ABF" w:rsidR="007B7C54" w:rsidRPr="007B7C54" w:rsidRDefault="003763D2" w:rsidP="008F5202">
      <w:pPr>
        <w:pStyle w:val="Caption"/>
        <w:rPr>
          <w:rFonts w:eastAsia="Calibri"/>
          <w:noProof/>
        </w:rPr>
      </w:pPr>
      <w:bookmarkStart w:id="233" w:name="_Toc177755239"/>
      <w:r w:rsidRPr="008F5202">
        <w:t xml:space="preserve">Figure </w:t>
      </w:r>
      <w:r w:rsidRPr="008F5202">
        <w:fldChar w:fldCharType="begin"/>
      </w:r>
      <w:r w:rsidRPr="008F5202">
        <w:instrText xml:space="preserve"> STYLEREF 1 \s </w:instrText>
      </w:r>
      <w:r w:rsidRPr="008F5202">
        <w:fldChar w:fldCharType="separate"/>
      </w:r>
      <w:r w:rsidR="00AF1AFB">
        <w:rPr>
          <w:noProof/>
        </w:rPr>
        <w:t>5</w:t>
      </w:r>
      <w:r w:rsidRPr="008F5202">
        <w:fldChar w:fldCharType="end"/>
      </w:r>
      <w:r w:rsidRPr="008F5202">
        <w:t>.</w:t>
      </w:r>
      <w:r w:rsidRPr="008F5202">
        <w:fldChar w:fldCharType="begin"/>
      </w:r>
      <w:r w:rsidRPr="008F5202">
        <w:instrText xml:space="preserve"> SEQ Figure \* ARABIC \s 1 </w:instrText>
      </w:r>
      <w:r w:rsidRPr="008F5202">
        <w:fldChar w:fldCharType="separate"/>
      </w:r>
      <w:r w:rsidR="00AF1AFB">
        <w:rPr>
          <w:noProof/>
        </w:rPr>
        <w:t>10</w:t>
      </w:r>
      <w:r w:rsidRPr="008F5202">
        <w:fldChar w:fldCharType="end"/>
      </w:r>
      <w:r w:rsidRPr="008F5202">
        <w:t xml:space="preserve"> </w:t>
      </w:r>
      <w:r w:rsidRPr="008F5202">
        <w:t>Transient convective heat transfer coefficient at five different locations in the streamwise direction for three particle types (Octet panel porosity of 0.88, SS316L), (a) CP 40/100, (b) CP 30/60, (c) HSP 20/40</w:t>
      </w:r>
      <w:bookmarkEnd w:id="233"/>
    </w:p>
    <w:p w14:paraId="08A19CDA" w14:textId="77777777" w:rsidR="007B7C54" w:rsidRPr="007B7C54" w:rsidRDefault="007B7C54" w:rsidP="00BC1969">
      <w:pPr>
        <w:spacing w:line="360" w:lineRule="auto"/>
        <w:ind w:firstLine="360"/>
        <w:contextualSpacing/>
        <w:jc w:val="both"/>
        <w:rPr>
          <w:rFonts w:ascii="Times New Roman" w:eastAsia="Calibri" w:hAnsi="Times New Roman" w:cs="Times New Roman"/>
          <w:noProof/>
        </w:rPr>
      </w:pPr>
    </w:p>
    <w:p w14:paraId="3309F93C" w14:textId="77777777" w:rsidR="003763D2" w:rsidRPr="008F5202" w:rsidRDefault="003763D2" w:rsidP="003763D2">
      <w:pPr>
        <w:keepNext/>
        <w:spacing w:line="360" w:lineRule="auto"/>
        <w:ind w:firstLine="360"/>
        <w:contextualSpacing/>
        <w:jc w:val="both"/>
        <w:rPr>
          <w:rFonts w:ascii="Times New Roman" w:hAnsi="Times New Roman" w:cs="Times New Roman"/>
        </w:rPr>
      </w:pPr>
      <w:r w:rsidRPr="008F5202">
        <w:rPr>
          <w:rFonts w:ascii="Times New Roman" w:eastAsia="Calibri" w:hAnsi="Times New Roman" w:cs="Times New Roman"/>
          <w:noProof/>
        </w:rPr>
        <w:drawing>
          <wp:inline distT="0" distB="0" distL="0" distR="0" wp14:anchorId="0FAD05AD" wp14:editId="425C7442">
            <wp:extent cx="2451100" cy="2170430"/>
            <wp:effectExtent l="0" t="0" r="6350" b="1270"/>
            <wp:docPr id="14474380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451100" cy="2170430"/>
                    </a:xfrm>
                    <a:prstGeom prst="rect">
                      <a:avLst/>
                    </a:prstGeom>
                    <a:noFill/>
                  </pic:spPr>
                </pic:pic>
              </a:graphicData>
            </a:graphic>
          </wp:inline>
        </w:drawing>
      </w:r>
    </w:p>
    <w:p w14:paraId="30B6A4E4" w14:textId="2399BC7F" w:rsidR="007B7C54" w:rsidRPr="007B7C54" w:rsidRDefault="003763D2" w:rsidP="008F5202">
      <w:pPr>
        <w:pStyle w:val="Caption"/>
        <w:rPr>
          <w:rFonts w:eastAsia="Calibri"/>
          <w:noProof/>
        </w:rPr>
      </w:pPr>
      <w:bookmarkStart w:id="234" w:name="_Toc177755240"/>
      <w:r w:rsidRPr="008F5202">
        <w:t xml:space="preserve">Figure </w:t>
      </w:r>
      <w:r w:rsidRPr="008F5202">
        <w:fldChar w:fldCharType="begin"/>
      </w:r>
      <w:r w:rsidRPr="008F5202">
        <w:instrText xml:space="preserve"> STYLEREF 1 \s </w:instrText>
      </w:r>
      <w:r w:rsidRPr="008F5202">
        <w:fldChar w:fldCharType="separate"/>
      </w:r>
      <w:r w:rsidR="00AF1AFB">
        <w:rPr>
          <w:noProof/>
        </w:rPr>
        <w:t>5</w:t>
      </w:r>
      <w:r w:rsidRPr="008F5202">
        <w:fldChar w:fldCharType="end"/>
      </w:r>
      <w:r w:rsidRPr="008F5202">
        <w:t>.</w:t>
      </w:r>
      <w:r w:rsidRPr="008F5202">
        <w:fldChar w:fldCharType="begin"/>
      </w:r>
      <w:r w:rsidRPr="008F5202">
        <w:instrText xml:space="preserve"> SEQ Figure \* ARABIC \s 1 </w:instrText>
      </w:r>
      <w:r w:rsidRPr="008F5202">
        <w:fldChar w:fldCharType="separate"/>
      </w:r>
      <w:r w:rsidR="00AF1AFB">
        <w:rPr>
          <w:noProof/>
        </w:rPr>
        <w:t>11</w:t>
      </w:r>
      <w:r w:rsidRPr="008F5202">
        <w:fldChar w:fldCharType="end"/>
      </w:r>
      <w:r w:rsidRPr="008F5202">
        <w:t xml:space="preserve"> </w:t>
      </w:r>
      <w:r w:rsidRPr="008F5202">
        <w:t>Time-averaged heat transfer coefficient in the periodic heat transfer regime, variation presented with respect to particle diameter</w:t>
      </w:r>
      <w:bookmarkEnd w:id="234"/>
    </w:p>
    <w:p w14:paraId="162B7502" w14:textId="34551021" w:rsidR="007B7C54" w:rsidRPr="008F5202" w:rsidRDefault="007B7C54" w:rsidP="003763D2">
      <w:pPr>
        <w:spacing w:line="360" w:lineRule="auto"/>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Note that the particle heat transfer results presented in Fig. </w:t>
      </w:r>
      <w:r w:rsidR="008700FD"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11 are for channels with distance between parallel plates equal to 10 mm. In order to demonstrate the efficacy of the Octet-lattice in reference to the state-of-the-art parallel plate with absence of any enhanced heat transfer concept, separate experiments were conducted for parallel plates in the test facility shown in Fig. </w:t>
      </w:r>
      <w:r w:rsidR="008700FD"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5. The distance between the two parallel plates was kept the same as </w:t>
      </w:r>
      <w:r w:rsidR="008700FD"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10 mm. For brevity, comparison plots are presented for SS316L case only, where parallel plates were also built from SS316L. Figure </w:t>
      </w:r>
      <w:r w:rsidR="008700FD"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12 presents a developing heat transfer behavior for lattice and parallel plate configurations for the flow of three particles through them. The particle heat transfer experiments carried out for parallel plates covered a wide range of particle flow rates. For each streamwise location, a relationship was established for </w:t>
      </w:r>
      <w:r w:rsidRPr="007B7C54">
        <w:rPr>
          <w:rFonts w:ascii="Times New Roman" w:eastAsia="Calibri" w:hAnsi="Times New Roman" w:cs="Times New Roman"/>
          <w:i/>
          <w:iCs/>
          <w:noProof/>
        </w:rPr>
        <w:t xml:space="preserve">h </w:t>
      </w:r>
      <w:r w:rsidRPr="007B7C54">
        <w:rPr>
          <w:rFonts w:ascii="Times New Roman" w:eastAsia="Calibri" w:hAnsi="Times New Roman" w:cs="Times New Roman"/>
          <w:noProof/>
        </w:rPr>
        <w:t>and the average flow velocity of particles (</w:t>
      </w:r>
      <w:r w:rsidRPr="007B7C54">
        <w:rPr>
          <w:rFonts w:ascii="Times New Roman" w:eastAsia="Calibri" w:hAnsi="Times New Roman" w:cs="Times New Roman"/>
          <w:i/>
          <w:iCs/>
          <w:noProof/>
        </w:rPr>
        <w:t>u</w:t>
      </w:r>
      <w:r w:rsidRPr="007B7C54">
        <w:rPr>
          <w:rFonts w:ascii="Times New Roman" w:eastAsia="Calibri" w:hAnsi="Times New Roman" w:cs="Times New Roman"/>
          <w:noProof/>
        </w:rPr>
        <w:t xml:space="preserve">). The parallel plate heat transfer data presented in Fig. </w:t>
      </w:r>
      <w:r w:rsidR="008700FD" w:rsidRPr="008F5202">
        <w:rPr>
          <w:rFonts w:ascii="Times New Roman" w:eastAsia="Calibri" w:hAnsi="Times New Roman" w:cs="Times New Roman"/>
          <w:noProof/>
        </w:rPr>
        <w:t>5.</w:t>
      </w:r>
      <w:r w:rsidRPr="007B7C54">
        <w:rPr>
          <w:rFonts w:ascii="Times New Roman" w:eastAsia="Calibri" w:hAnsi="Times New Roman" w:cs="Times New Roman"/>
          <w:noProof/>
        </w:rPr>
        <w:t xml:space="preserve">12 was obtained for the mass flow rates that were observed for the Octet panel particle experiments. Hence, a fair comparison between Octet panel versus parallel plate could be carried out where the distance between parallel plates in the two configurations as well as the mass flow rate were the same. A clear effect of particle diameter was observed on heat transfer for both lattice and parallel plate configurations. An interesting finding of this study is that in the entrance region, parallel plate configurations exhibited higher heat transfer in comparison to the Octet panels. In the </w:t>
      </w:r>
      <w:r w:rsidRPr="007B7C54">
        <w:rPr>
          <w:rFonts w:ascii="Times New Roman" w:eastAsia="Calibri" w:hAnsi="Times New Roman" w:cs="Times New Roman"/>
          <w:noProof/>
        </w:rPr>
        <w:lastRenderedPageBreak/>
        <w:t xml:space="preserve">periodic heat transfer regime, the gain in heat transfer due to Octet panel could be observed. For the largest particle size, the Octet and plane channel exhibited similar heat transfer, however, for the other two smaller particle sizes, nearly 30-40% gain in convective heat transfer was observed for the Octet panel. </w:t>
      </w:r>
    </w:p>
    <w:p w14:paraId="38B58F99" w14:textId="77777777" w:rsidR="003763D2" w:rsidRPr="008F5202" w:rsidRDefault="003763D2" w:rsidP="003763D2">
      <w:pPr>
        <w:keepNext/>
        <w:spacing w:line="360" w:lineRule="auto"/>
        <w:contextualSpacing/>
        <w:jc w:val="both"/>
        <w:rPr>
          <w:rFonts w:ascii="Times New Roman" w:hAnsi="Times New Roman" w:cs="Times New Roman"/>
        </w:rPr>
      </w:pPr>
      <w:r w:rsidRPr="008F5202">
        <w:rPr>
          <w:rFonts w:ascii="Times New Roman" w:eastAsia="Calibri" w:hAnsi="Times New Roman" w:cs="Times New Roman"/>
          <w:noProof/>
        </w:rPr>
        <w:drawing>
          <wp:inline distT="0" distB="0" distL="0" distR="0" wp14:anchorId="66EC453B" wp14:editId="74C8F672">
            <wp:extent cx="5401310" cy="2688590"/>
            <wp:effectExtent l="0" t="0" r="8890" b="0"/>
            <wp:docPr id="13360689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401310" cy="2688590"/>
                    </a:xfrm>
                    <a:prstGeom prst="rect">
                      <a:avLst/>
                    </a:prstGeom>
                    <a:noFill/>
                  </pic:spPr>
                </pic:pic>
              </a:graphicData>
            </a:graphic>
          </wp:inline>
        </w:drawing>
      </w:r>
    </w:p>
    <w:p w14:paraId="4E748DBC" w14:textId="2F75FB23" w:rsidR="003763D2" w:rsidRPr="007B7C54" w:rsidRDefault="003763D2" w:rsidP="008F5202">
      <w:pPr>
        <w:pStyle w:val="Caption"/>
        <w:rPr>
          <w:rFonts w:eastAsia="Calibri"/>
          <w:noProof/>
        </w:rPr>
      </w:pPr>
      <w:bookmarkStart w:id="235" w:name="_Toc177755241"/>
      <w:r w:rsidRPr="008F5202">
        <w:t xml:space="preserve">Figure </w:t>
      </w:r>
      <w:r w:rsidRPr="008F5202">
        <w:fldChar w:fldCharType="begin"/>
      </w:r>
      <w:r w:rsidRPr="008F5202">
        <w:instrText xml:space="preserve"> STYLEREF 1 \s </w:instrText>
      </w:r>
      <w:r w:rsidRPr="008F5202">
        <w:fldChar w:fldCharType="separate"/>
      </w:r>
      <w:r w:rsidR="00AF1AFB">
        <w:rPr>
          <w:noProof/>
        </w:rPr>
        <w:t>5</w:t>
      </w:r>
      <w:r w:rsidRPr="008F5202">
        <w:fldChar w:fldCharType="end"/>
      </w:r>
      <w:r w:rsidRPr="008F5202">
        <w:t>.</w:t>
      </w:r>
      <w:r w:rsidRPr="008F5202">
        <w:fldChar w:fldCharType="begin"/>
      </w:r>
      <w:r w:rsidRPr="008F5202">
        <w:instrText xml:space="preserve"> SEQ Figure \* ARABIC \s 1 </w:instrText>
      </w:r>
      <w:r w:rsidRPr="008F5202">
        <w:fldChar w:fldCharType="separate"/>
      </w:r>
      <w:r w:rsidR="00AF1AFB">
        <w:rPr>
          <w:noProof/>
        </w:rPr>
        <w:t>12</w:t>
      </w:r>
      <w:r w:rsidRPr="008F5202">
        <w:fldChar w:fldCharType="end"/>
      </w:r>
      <w:r w:rsidRPr="008F5202">
        <w:t xml:space="preserve"> </w:t>
      </w:r>
      <w:r w:rsidRPr="008F5202">
        <w:t>(a) Time-averaged convective heat transfer coefficient variation with streamwise location, (b) enhancement factor of heat transfer coefficient with respect to streamwise location</w:t>
      </w:r>
      <w:bookmarkEnd w:id="235"/>
    </w:p>
    <w:p w14:paraId="2610F0C5" w14:textId="0E4C54D1" w:rsidR="007B7C54" w:rsidRPr="008F5202" w:rsidRDefault="007B7C54" w:rsidP="00BC1969">
      <w:pPr>
        <w:pStyle w:val="Heading2"/>
        <w:rPr>
          <w:rFonts w:eastAsia="Calibri"/>
        </w:rPr>
      </w:pPr>
      <w:bookmarkStart w:id="236" w:name="_Toc177758205"/>
      <w:r w:rsidRPr="008F5202">
        <w:rPr>
          <w:rFonts w:eastAsia="Calibri"/>
        </w:rPr>
        <w:t>C</w:t>
      </w:r>
      <w:r w:rsidR="00BC1969" w:rsidRPr="008F5202">
        <w:rPr>
          <w:rFonts w:eastAsia="Calibri"/>
        </w:rPr>
        <w:t>onclusions</w:t>
      </w:r>
      <w:bookmarkEnd w:id="236"/>
    </w:p>
    <w:p w14:paraId="3645AF68" w14:textId="35374D4C" w:rsidR="007B7C54" w:rsidRPr="007B7C54" w:rsidRDefault="007B7C54" w:rsidP="00BC1969">
      <w:pPr>
        <w:spacing w:line="360" w:lineRule="auto"/>
        <w:ind w:firstLine="360"/>
        <w:contextualSpacing/>
        <w:jc w:val="both"/>
        <w:rPr>
          <w:rFonts w:ascii="Times New Roman" w:eastAsia="Calibri" w:hAnsi="Times New Roman" w:cs="Times New Roman"/>
          <w:noProof/>
        </w:rPr>
      </w:pPr>
      <w:bookmarkStart w:id="237" w:name="_Hlk127945166"/>
      <w:r w:rsidRPr="007B7C54">
        <w:rPr>
          <w:rFonts w:ascii="Times New Roman" w:eastAsia="Calibri" w:hAnsi="Times New Roman" w:cs="Times New Roman"/>
          <w:noProof/>
        </w:rPr>
        <w:t>An experimental investigation was carried out to evaluate the heat transfer performance of Octet-shaped unit cells for their capabiltiies to provide convective heat transfer enhancement with air and particles as the working fluids. Octet panels were manufactured via Binder jetting method using Stainless Steel 316L and SS420 materials. The effective thermal conductivity and averaged heat transfer coefficient was obtained experimentally for the cases where the void space was occupied by air and particles. The following major conclusions have been drawn from this work:</w:t>
      </w:r>
    </w:p>
    <w:p w14:paraId="2A66EB3F" w14:textId="77777777" w:rsidR="007B7C54" w:rsidRPr="007B7C54" w:rsidRDefault="007B7C54" w:rsidP="00BC1969">
      <w:pPr>
        <w:numPr>
          <w:ilvl w:val="0"/>
          <w:numId w:val="16"/>
        </w:numPr>
        <w:spacing w:after="160" w:line="360" w:lineRule="auto"/>
        <w:ind w:left="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Packing the void space of Octet lattice with particles results in thermal conductivity enhancements ranging from 2 to 4 and 4 to 8 times that of the packed bed of particles, for SS316L and SS420 materials. Maximum benefits were observed for the lowest lattice porosity. </w:t>
      </w:r>
    </w:p>
    <w:p w14:paraId="495B87C8" w14:textId="77777777" w:rsidR="007B7C54" w:rsidRPr="007B7C54" w:rsidRDefault="007B7C54" w:rsidP="00BC1969">
      <w:pPr>
        <w:numPr>
          <w:ilvl w:val="0"/>
          <w:numId w:val="16"/>
        </w:numPr>
        <w:spacing w:after="160" w:line="360" w:lineRule="auto"/>
        <w:ind w:left="360"/>
        <w:contextualSpacing/>
        <w:jc w:val="both"/>
        <w:rPr>
          <w:rFonts w:ascii="Times New Roman" w:eastAsia="Calibri" w:hAnsi="Times New Roman" w:cs="Times New Roman"/>
          <w:noProof/>
        </w:rPr>
      </w:pPr>
      <w:r w:rsidRPr="007B7C54">
        <w:rPr>
          <w:rFonts w:ascii="Times New Roman" w:eastAsia="Calibri" w:hAnsi="Times New Roman" w:cs="Times New Roman"/>
          <w:noProof/>
        </w:rPr>
        <w:lastRenderedPageBreak/>
        <w:t>For airflow velocities ranging from 3-12 m/s, the convective heat transfer coefficients in the periodic heat transfer region varied between 200-600 W/m</w:t>
      </w:r>
      <w:r w:rsidRPr="007B7C54">
        <w:rPr>
          <w:rFonts w:ascii="Times New Roman" w:eastAsia="Calibri" w:hAnsi="Times New Roman" w:cs="Times New Roman"/>
          <w:noProof/>
          <w:vertAlign w:val="superscript"/>
        </w:rPr>
        <w:t>2</w:t>
      </w:r>
      <w:r w:rsidRPr="007B7C54">
        <w:rPr>
          <w:rFonts w:ascii="Times New Roman" w:eastAsia="Calibri" w:hAnsi="Times New Roman" w:cs="Times New Roman"/>
          <w:noProof/>
        </w:rPr>
        <w:t xml:space="preserve">K for the two materials. </w:t>
      </w:r>
    </w:p>
    <w:p w14:paraId="5774F0D3" w14:textId="77777777" w:rsidR="007B7C54" w:rsidRPr="007B7C54" w:rsidRDefault="007B7C54" w:rsidP="00BC1969">
      <w:pPr>
        <w:numPr>
          <w:ilvl w:val="0"/>
          <w:numId w:val="16"/>
        </w:numPr>
        <w:spacing w:after="160" w:line="360" w:lineRule="auto"/>
        <w:ind w:left="360"/>
        <w:contextualSpacing/>
        <w:jc w:val="both"/>
        <w:rPr>
          <w:rFonts w:ascii="Times New Roman" w:eastAsia="Calibri" w:hAnsi="Times New Roman" w:cs="Times New Roman"/>
          <w:noProof/>
        </w:rPr>
      </w:pPr>
      <w:r w:rsidRPr="007B7C54">
        <w:rPr>
          <w:rFonts w:ascii="Times New Roman" w:eastAsia="Calibri" w:hAnsi="Times New Roman" w:cs="Times New Roman"/>
          <w:noProof/>
        </w:rPr>
        <w:t>For particle flow through Octet lattice of porosity 0.88, the convective heat transfer coefficient was ~400 W/m</w:t>
      </w:r>
      <w:r w:rsidRPr="007B7C54">
        <w:rPr>
          <w:rFonts w:ascii="Times New Roman" w:eastAsia="Calibri" w:hAnsi="Times New Roman" w:cs="Times New Roman"/>
          <w:noProof/>
          <w:vertAlign w:val="superscript"/>
        </w:rPr>
        <w:t>2</w:t>
      </w:r>
      <w:r w:rsidRPr="007B7C54">
        <w:rPr>
          <w:rFonts w:ascii="Times New Roman" w:eastAsia="Calibri" w:hAnsi="Times New Roman" w:cs="Times New Roman"/>
          <w:noProof/>
        </w:rPr>
        <w:t xml:space="preserve">K for CP 40/100 for both the solid-phase materials. </w:t>
      </w:r>
    </w:p>
    <w:p w14:paraId="27D4F062" w14:textId="6EB3D220" w:rsidR="007B7C54" w:rsidRPr="007B7C54" w:rsidRDefault="007B7C54" w:rsidP="00BC1969">
      <w:pPr>
        <w:numPr>
          <w:ilvl w:val="0"/>
          <w:numId w:val="16"/>
        </w:numPr>
        <w:spacing w:after="160" w:line="360" w:lineRule="auto"/>
        <w:ind w:left="360"/>
        <w:contextualSpacing/>
        <w:jc w:val="both"/>
        <w:rPr>
          <w:rFonts w:ascii="Times New Roman" w:eastAsia="Calibri" w:hAnsi="Times New Roman" w:cs="Times New Roman"/>
          <w:noProof/>
        </w:rPr>
      </w:pPr>
      <w:r w:rsidRPr="007B7C54">
        <w:rPr>
          <w:rFonts w:ascii="Times New Roman" w:eastAsia="Calibri" w:hAnsi="Times New Roman" w:cs="Times New Roman"/>
          <w:noProof/>
        </w:rPr>
        <w:t>When compared to parallel plate configuration, the SS316L Octet panel resulted in heat transfer coefficient enhancement of 40-50% for CP 40/100 and CP 30/60 particles, however, no enhancement was observed for the largest particle size (HSP 20/40).</w:t>
      </w:r>
    </w:p>
    <w:p w14:paraId="11544996" w14:textId="6B284F6D" w:rsidR="007B7C54" w:rsidRPr="007B7C54" w:rsidRDefault="007B7C54" w:rsidP="00BC1969">
      <w:pPr>
        <w:spacing w:line="360" w:lineRule="auto"/>
        <w:jc w:val="both"/>
        <w:rPr>
          <w:rFonts w:ascii="Times New Roman" w:eastAsia="Calibri" w:hAnsi="Times New Roman" w:cs="Times New Roman"/>
          <w:noProof/>
        </w:rPr>
      </w:pPr>
      <w:bookmarkStart w:id="238" w:name="_Hlk127945431"/>
      <w:r w:rsidRPr="007B7C54">
        <w:rPr>
          <w:rFonts w:ascii="Times New Roman" w:eastAsia="Calibri" w:hAnsi="Times New Roman" w:cs="Times New Roman"/>
          <w:noProof/>
        </w:rPr>
        <w:t>The enhancement levels obtained for the thermal transport quantities through incorporating lattice structures when compared to empty channel, is significant. Additive manufacturing or other manufacturing methods will have a promising role to play to increase the particle-to-sCO</w:t>
      </w:r>
      <w:r w:rsidRPr="007B7C54">
        <w:rPr>
          <w:rFonts w:ascii="Times New Roman" w:eastAsia="Calibri" w:hAnsi="Times New Roman" w:cs="Times New Roman"/>
          <w:noProof/>
          <w:vertAlign w:val="subscript"/>
        </w:rPr>
        <w:t>2</w:t>
      </w:r>
      <w:r w:rsidRPr="007B7C54">
        <w:rPr>
          <w:rFonts w:ascii="Times New Roman" w:eastAsia="Calibri" w:hAnsi="Times New Roman" w:cs="Times New Roman"/>
          <w:noProof/>
        </w:rPr>
        <w:t xml:space="preserve"> heat exchanger effectiveness, through inclusion of enhanced heat transfer concepts, such as porous media or pin fins. Future work will include a demonstration of enhanced overall heat transfer coefficeint of porous media enabled particle-to-sCO</w:t>
      </w:r>
      <w:r w:rsidRPr="007B7C54">
        <w:rPr>
          <w:rFonts w:ascii="Times New Roman" w:eastAsia="Calibri" w:hAnsi="Times New Roman" w:cs="Times New Roman"/>
          <w:noProof/>
          <w:vertAlign w:val="subscript"/>
        </w:rPr>
        <w:t>2</w:t>
      </w:r>
      <w:r w:rsidRPr="007B7C54">
        <w:rPr>
          <w:rFonts w:ascii="Times New Roman" w:eastAsia="Calibri" w:hAnsi="Times New Roman" w:cs="Times New Roman"/>
          <w:noProof/>
          <w:vertAlign w:val="subscript"/>
        </w:rPr>
        <w:softHyphen/>
        <w:t xml:space="preserve"> </w:t>
      </w:r>
      <w:r w:rsidRPr="007B7C54">
        <w:rPr>
          <w:rFonts w:ascii="Times New Roman" w:eastAsia="Calibri" w:hAnsi="Times New Roman" w:cs="Times New Roman"/>
          <w:noProof/>
        </w:rPr>
        <w:t xml:space="preserve">heat exchanger tested at CSP relevant conditions. </w:t>
      </w:r>
      <w:bookmarkEnd w:id="237"/>
      <w:bookmarkEnd w:id="238"/>
    </w:p>
    <w:p w14:paraId="7C18817F" w14:textId="047BED75" w:rsidR="007B7C54" w:rsidRPr="008F5202" w:rsidRDefault="007B7C54" w:rsidP="00BC1969">
      <w:pPr>
        <w:pStyle w:val="Heading2"/>
        <w:rPr>
          <w:rFonts w:eastAsia="Calibri"/>
        </w:rPr>
      </w:pPr>
      <w:bookmarkStart w:id="239" w:name="_Toc177758206"/>
      <w:r w:rsidRPr="008F5202">
        <w:rPr>
          <w:rFonts w:eastAsia="Calibri"/>
        </w:rPr>
        <w:t>Nomenclature</w:t>
      </w:r>
      <w:bookmarkEnd w:id="239"/>
    </w:p>
    <w:p w14:paraId="532CCFFC" w14:textId="77777777" w:rsidR="007B7C54" w:rsidRPr="007B7C54" w:rsidRDefault="007B7C54" w:rsidP="00BC1969">
      <w:pPr>
        <w:spacing w:line="360" w:lineRule="auto"/>
        <w:jc w:val="both"/>
        <w:rPr>
          <w:rFonts w:ascii="Times New Roman" w:hAnsi="Times New Roman" w:cs="Times New Roman"/>
        </w:rPr>
      </w:pPr>
      <m:oMath>
        <m:r>
          <w:rPr>
            <w:rFonts w:ascii="Cambria Math" w:eastAsia="Calibri" w:hAnsi="Cambria Math" w:cs="Times New Roman"/>
          </w:rPr>
          <m:t>A</m:t>
        </m:r>
      </m:oMath>
      <w:r w:rsidRPr="007B7C54">
        <w:rPr>
          <w:rFonts w:ascii="Times New Roman" w:hAnsi="Times New Roman" w:cs="Times New Roman"/>
        </w:rPr>
        <w:tab/>
        <w:t>base area of the lattice [m</w:t>
      </w:r>
      <w:r w:rsidRPr="007B7C54">
        <w:rPr>
          <w:rFonts w:ascii="Times New Roman" w:hAnsi="Times New Roman" w:cs="Times New Roman"/>
          <w:vertAlign w:val="superscript"/>
        </w:rPr>
        <w:t>2</w:t>
      </w:r>
      <w:r w:rsidRPr="007B7C54">
        <w:rPr>
          <w:rFonts w:ascii="Times New Roman" w:hAnsi="Times New Roman" w:cs="Times New Roman"/>
        </w:rPr>
        <w:t>]</w:t>
      </w:r>
    </w:p>
    <w:p w14:paraId="7933D148" w14:textId="77777777" w:rsidR="007B7C54" w:rsidRPr="007B7C54" w:rsidRDefault="007B7C54" w:rsidP="00BC1969">
      <w:pPr>
        <w:spacing w:line="360" w:lineRule="auto"/>
        <w:jc w:val="both"/>
        <w:rPr>
          <w:rFonts w:ascii="Times New Roman" w:hAnsi="Times New Roman" w:cs="Times New Roman"/>
          <w:iCs/>
        </w:rPr>
      </w:pPr>
      <w:r w:rsidRPr="007B7C54">
        <w:rPr>
          <w:rFonts w:ascii="Times New Roman" w:hAnsi="Times New Roman" w:cs="Times New Roman"/>
          <w:i/>
        </w:rPr>
        <w:t>b</w:t>
      </w:r>
      <w:r w:rsidRPr="007B7C54">
        <w:rPr>
          <w:rFonts w:ascii="Times New Roman" w:hAnsi="Times New Roman" w:cs="Times New Roman"/>
          <w:i/>
        </w:rPr>
        <w:tab/>
      </w:r>
      <w:r w:rsidRPr="007B7C54">
        <w:rPr>
          <w:rFonts w:ascii="Times New Roman" w:hAnsi="Times New Roman" w:cs="Times New Roman"/>
          <w:iCs/>
        </w:rPr>
        <w:t>width of the lattice [m]</w:t>
      </w:r>
    </w:p>
    <w:p w14:paraId="53F0B615" w14:textId="77777777" w:rsidR="007B7C54" w:rsidRPr="007B7C54" w:rsidRDefault="007B7C54" w:rsidP="00BC1969">
      <w:pPr>
        <w:spacing w:line="360" w:lineRule="auto"/>
        <w:jc w:val="both"/>
        <w:rPr>
          <w:rFonts w:ascii="Times New Roman" w:hAnsi="Times New Roman" w:cs="Times New Roman"/>
          <w:noProof/>
        </w:rPr>
      </w:pPr>
      <m:oMath>
        <m:r>
          <w:rPr>
            <w:rFonts w:ascii="Cambria Math" w:eastAsia="Calibri" w:hAnsi="Cambria Math" w:cs="Times New Roman"/>
            <w:noProof/>
          </w:rPr>
          <m:t>h</m:t>
        </m:r>
      </m:oMath>
      <w:r w:rsidRPr="007B7C54">
        <w:rPr>
          <w:rFonts w:ascii="Times New Roman" w:hAnsi="Times New Roman" w:cs="Times New Roman"/>
          <w:noProof/>
        </w:rPr>
        <w:tab/>
        <w:t>heat transfer coefficient [W/m</w:t>
      </w:r>
      <w:r w:rsidRPr="007B7C54">
        <w:rPr>
          <w:rFonts w:ascii="Times New Roman" w:hAnsi="Times New Roman" w:cs="Times New Roman"/>
          <w:noProof/>
          <w:vertAlign w:val="superscript"/>
        </w:rPr>
        <w:t>2</w:t>
      </w:r>
      <w:r w:rsidRPr="007B7C54">
        <w:rPr>
          <w:rFonts w:ascii="Times New Roman" w:hAnsi="Times New Roman" w:cs="Times New Roman"/>
          <w:noProof/>
        </w:rPr>
        <w:t>K]</w:t>
      </w:r>
    </w:p>
    <w:p w14:paraId="54863871" w14:textId="77777777" w:rsidR="007B7C54" w:rsidRPr="007B7C54" w:rsidRDefault="007B7C54" w:rsidP="00BC1969">
      <w:pPr>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p</m:t>
            </m:r>
          </m:sub>
        </m:sSub>
      </m:oMath>
      <w:r w:rsidRPr="007B7C54">
        <w:rPr>
          <w:rFonts w:ascii="Times New Roman" w:hAnsi="Times New Roman" w:cs="Times New Roman"/>
        </w:rPr>
        <w:tab/>
        <w:t>heat transfer coefficient due to convection by particles [W/m</w:t>
      </w:r>
      <w:r w:rsidRPr="007B7C54">
        <w:rPr>
          <w:rFonts w:ascii="Times New Roman" w:hAnsi="Times New Roman" w:cs="Times New Roman"/>
          <w:vertAlign w:val="superscript"/>
        </w:rPr>
        <w:t>2</w:t>
      </w:r>
      <w:r w:rsidRPr="007B7C54">
        <w:rPr>
          <w:rFonts w:ascii="Times New Roman" w:hAnsi="Times New Roman" w:cs="Times New Roman"/>
        </w:rPr>
        <w:t>K]</w:t>
      </w:r>
    </w:p>
    <w:p w14:paraId="3C3027B5" w14:textId="77777777" w:rsidR="007B7C54" w:rsidRPr="007B7C54" w:rsidRDefault="007B7C54" w:rsidP="00BC1969">
      <w:pPr>
        <w:spacing w:line="360" w:lineRule="auto"/>
        <w:jc w:val="both"/>
        <w:rPr>
          <w:rFonts w:ascii="Times New Roman" w:eastAsia="Calibri" w:hAnsi="Times New Roman" w:cs="Times New Roman"/>
          <w:i/>
          <w:iCs/>
          <w:vertAlign w:val="subscript"/>
        </w:rPr>
      </w:pPr>
      <m:oMath>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sC</m:t>
            </m:r>
            <m:sSub>
              <m:sSubPr>
                <m:ctrlPr>
                  <w:rPr>
                    <w:rFonts w:ascii="Cambria Math" w:eastAsia="Calibri" w:hAnsi="Cambria Math" w:cs="Times New Roman"/>
                    <w:i/>
                  </w:rPr>
                </m:ctrlPr>
              </m:sSubPr>
              <m:e>
                <m:r>
                  <w:rPr>
                    <w:rFonts w:ascii="Cambria Math" w:eastAsia="Calibri" w:hAnsi="Cambria Math" w:cs="Times New Roman"/>
                  </w:rPr>
                  <m:t>O</m:t>
                </m:r>
              </m:e>
              <m:sub>
                <m:r>
                  <w:rPr>
                    <w:rFonts w:ascii="Cambria Math" w:eastAsia="Calibri" w:hAnsi="Cambria Math" w:cs="Times New Roman"/>
                  </w:rPr>
                  <m:t>2</m:t>
                </m:r>
              </m:sub>
            </m:sSub>
          </m:sub>
        </m:sSub>
      </m:oMath>
      <w:r w:rsidRPr="007B7C54">
        <w:rPr>
          <w:rFonts w:ascii="Times New Roman" w:hAnsi="Times New Roman" w:cs="Times New Roman"/>
        </w:rPr>
        <w:tab/>
        <w:t xml:space="preserve">heat transfer coefficient due to convection by </w:t>
      </w:r>
      <w:r w:rsidRPr="007B7C54">
        <w:rPr>
          <w:rFonts w:ascii="Times New Roman" w:eastAsia="Calibri" w:hAnsi="Times New Roman" w:cs="Times New Roman"/>
          <w:i/>
          <w:iCs/>
        </w:rPr>
        <w:t>sCO</w:t>
      </w:r>
      <w:r w:rsidRPr="007B7C54">
        <w:rPr>
          <w:rFonts w:ascii="Times New Roman" w:eastAsia="Calibri" w:hAnsi="Times New Roman" w:cs="Times New Roman"/>
          <w:i/>
          <w:iCs/>
          <w:vertAlign w:val="subscript"/>
        </w:rPr>
        <w:t xml:space="preserve">2 </w:t>
      </w:r>
      <w:r w:rsidRPr="007B7C54">
        <w:rPr>
          <w:rFonts w:ascii="Times New Roman" w:hAnsi="Times New Roman" w:cs="Times New Roman"/>
        </w:rPr>
        <w:t>[W/m</w:t>
      </w:r>
      <w:r w:rsidRPr="007B7C54">
        <w:rPr>
          <w:rFonts w:ascii="Times New Roman" w:hAnsi="Times New Roman" w:cs="Times New Roman"/>
          <w:vertAlign w:val="superscript"/>
        </w:rPr>
        <w:t>2</w:t>
      </w:r>
      <w:r w:rsidRPr="007B7C54">
        <w:rPr>
          <w:rFonts w:ascii="Times New Roman" w:hAnsi="Times New Roman" w:cs="Times New Roman"/>
        </w:rPr>
        <w:t>K]</w:t>
      </w:r>
    </w:p>
    <w:p w14:paraId="1E7030BC" w14:textId="77777777" w:rsidR="007B7C54" w:rsidRPr="007B7C54" w:rsidRDefault="007B7C54" w:rsidP="00BC1969">
      <w:pPr>
        <w:spacing w:line="360" w:lineRule="auto"/>
        <w:jc w:val="both"/>
        <w:rPr>
          <w:rFonts w:ascii="Times New Roman" w:eastAsia="Calibri" w:hAnsi="Times New Roman" w:cs="Times New Roman"/>
        </w:rPr>
      </w:pPr>
      <w:r w:rsidRPr="007B7C54">
        <w:rPr>
          <w:rFonts w:ascii="Times New Roman" w:eastAsia="Calibri" w:hAnsi="Times New Roman" w:cs="Times New Roman"/>
          <w:i/>
          <w:iCs/>
        </w:rPr>
        <w:t>k</w:t>
      </w:r>
      <w:r w:rsidRPr="007B7C54">
        <w:rPr>
          <w:rFonts w:ascii="Times New Roman" w:eastAsia="Calibri" w:hAnsi="Times New Roman" w:cs="Times New Roman"/>
          <w:vertAlign w:val="subscript"/>
        </w:rPr>
        <w:t>eff</w:t>
      </w:r>
      <w:r w:rsidRPr="007B7C54">
        <w:rPr>
          <w:rFonts w:ascii="Times New Roman" w:eastAsia="Calibri" w:hAnsi="Times New Roman" w:cs="Times New Roman"/>
          <w:vertAlign w:val="subscript"/>
        </w:rPr>
        <w:tab/>
      </w:r>
      <w:r w:rsidRPr="007B7C54">
        <w:rPr>
          <w:rFonts w:ascii="Times New Roman" w:eastAsia="Calibri" w:hAnsi="Times New Roman" w:cs="Times New Roman"/>
        </w:rPr>
        <w:t xml:space="preserve">effective thermal conductivity </w:t>
      </w:r>
      <w:r w:rsidRPr="007B7C54">
        <w:rPr>
          <w:rFonts w:ascii="Times New Roman" w:hAnsi="Times New Roman" w:cs="Times New Roman"/>
        </w:rPr>
        <w:t>[W/mK]</w:t>
      </w:r>
    </w:p>
    <w:p w14:paraId="510A57F0" w14:textId="77777777" w:rsidR="007B7C54" w:rsidRPr="007B7C54" w:rsidRDefault="007B7C54" w:rsidP="00BC1969">
      <w:pPr>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k</m:t>
            </m:r>
          </m:e>
          <m:sub>
            <m:r>
              <w:rPr>
                <w:rFonts w:ascii="Cambria Math" w:eastAsia="Calibri" w:hAnsi="Cambria Math" w:cs="Times New Roman"/>
              </w:rPr>
              <m:t>HX</m:t>
            </m:r>
          </m:sub>
        </m:sSub>
      </m:oMath>
      <w:r w:rsidRPr="007B7C54">
        <w:rPr>
          <w:rFonts w:ascii="Times New Roman" w:hAnsi="Times New Roman" w:cs="Times New Roman"/>
        </w:rPr>
        <w:tab/>
        <w:t>thermal conductivity of the contacting channel wall [W/mK]</w:t>
      </w:r>
    </w:p>
    <w:p w14:paraId="14DC8282" w14:textId="77777777" w:rsidR="007B7C54" w:rsidRPr="007B7C54" w:rsidRDefault="007B7C54" w:rsidP="00BC1969">
      <w:pPr>
        <w:spacing w:line="360" w:lineRule="auto"/>
        <w:jc w:val="both"/>
        <w:rPr>
          <w:rFonts w:ascii="Times New Roman" w:hAnsi="Times New Roman" w:cs="Times New Roman"/>
          <w:iCs/>
        </w:rPr>
      </w:pPr>
      <m:oMath>
        <m:sSub>
          <m:sSubPr>
            <m:ctrlPr>
              <w:rPr>
                <w:rFonts w:ascii="Cambria Math" w:eastAsia="Calibri" w:hAnsi="Cambria Math" w:cs="Times New Roman"/>
                <w:i/>
                <w:iCs/>
              </w:rPr>
            </m:ctrlPr>
          </m:sSubPr>
          <m:e>
            <m:r>
              <w:rPr>
                <w:rFonts w:ascii="Cambria Math" w:eastAsia="Calibri" w:hAnsi="Cambria Math" w:cs="Times New Roman"/>
              </w:rPr>
              <m:t>k</m:t>
            </m:r>
          </m:e>
          <m:sub>
            <m:r>
              <w:rPr>
                <w:rFonts w:ascii="Cambria Math" w:eastAsia="Calibri" w:hAnsi="Cambria Math" w:cs="Times New Roman"/>
              </w:rPr>
              <m:t>ins</m:t>
            </m:r>
          </m:sub>
        </m:sSub>
      </m:oMath>
      <w:r w:rsidRPr="007B7C54">
        <w:rPr>
          <w:rFonts w:ascii="Times New Roman" w:hAnsi="Times New Roman" w:cs="Times New Roman"/>
          <w:iCs/>
        </w:rPr>
        <w:tab/>
        <w:t xml:space="preserve">thermal conductivity of the insulation </w:t>
      </w:r>
      <w:r w:rsidRPr="007B7C54">
        <w:rPr>
          <w:rFonts w:ascii="Times New Roman" w:hAnsi="Times New Roman" w:cs="Times New Roman"/>
        </w:rPr>
        <w:t>[W/mK]</w:t>
      </w:r>
    </w:p>
    <w:p w14:paraId="6A87736A" w14:textId="77777777" w:rsidR="007B7C54" w:rsidRPr="007B7C54" w:rsidRDefault="007B7C54" w:rsidP="00BC1969">
      <w:pPr>
        <w:spacing w:line="360" w:lineRule="auto"/>
        <w:jc w:val="both"/>
        <w:rPr>
          <w:rFonts w:ascii="Times New Roman" w:eastAsia="Calibri" w:hAnsi="Times New Roman" w:cs="Times New Roman"/>
          <w:noProof/>
        </w:rPr>
      </w:pP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s</w:t>
      </w:r>
      <w:r w:rsidRPr="007B7C54">
        <w:rPr>
          <w:rFonts w:ascii="Times New Roman" w:eastAsia="Calibri" w:hAnsi="Times New Roman" w:cs="Times New Roman"/>
          <w:noProof/>
          <w:vertAlign w:val="subscript"/>
        </w:rPr>
        <w:tab/>
      </w:r>
      <w:r w:rsidRPr="007B7C54">
        <w:rPr>
          <w:rFonts w:ascii="Times New Roman" w:eastAsia="Calibri" w:hAnsi="Times New Roman" w:cs="Times New Roman"/>
          <w:noProof/>
        </w:rPr>
        <w:t xml:space="preserve">solid-phase intrinsic thermal conductivity </w:t>
      </w:r>
      <w:r w:rsidRPr="007B7C54">
        <w:rPr>
          <w:rFonts w:ascii="Times New Roman" w:hAnsi="Times New Roman" w:cs="Times New Roman"/>
        </w:rPr>
        <w:t>[W/mK]</w:t>
      </w:r>
    </w:p>
    <w:p w14:paraId="6963A091" w14:textId="77777777" w:rsidR="007B7C54" w:rsidRPr="007B7C54" w:rsidRDefault="007B7C54" w:rsidP="00BC1969">
      <w:pPr>
        <w:spacing w:line="360" w:lineRule="auto"/>
        <w:jc w:val="both"/>
        <w:rPr>
          <w:rFonts w:ascii="Times New Roman" w:hAnsi="Times New Roman" w:cs="Times New Roman"/>
          <w:iCs/>
        </w:rPr>
      </w:pPr>
      <m:oMath>
        <m:sSub>
          <m:sSubPr>
            <m:ctrlPr>
              <w:rPr>
                <w:rFonts w:ascii="Cambria Math" w:eastAsia="Calibri" w:hAnsi="Cambria Math" w:cs="Times New Roman"/>
                <w:i/>
                <w:iCs/>
              </w:rPr>
            </m:ctrlPr>
          </m:sSubPr>
          <m:e>
            <m:r>
              <w:rPr>
                <w:rFonts w:ascii="Cambria Math" w:eastAsia="Calibri" w:hAnsi="Cambria Math" w:cs="Times New Roman"/>
              </w:rPr>
              <m:t>q</m:t>
            </m:r>
          </m:e>
          <m:sub>
            <m:r>
              <w:rPr>
                <w:rFonts w:ascii="Cambria Math" w:eastAsia="Calibri" w:hAnsi="Cambria Math" w:cs="Times New Roman"/>
              </w:rPr>
              <m:t>cond</m:t>
            </m:r>
          </m:sub>
        </m:sSub>
      </m:oMath>
      <w:r w:rsidRPr="007B7C54">
        <w:rPr>
          <w:rFonts w:ascii="Times New Roman" w:hAnsi="Times New Roman" w:cs="Times New Roman"/>
          <w:iCs/>
        </w:rPr>
        <w:tab/>
        <w:t>net heat conducted across the sample [W]</w:t>
      </w:r>
    </w:p>
    <w:p w14:paraId="2E13CC91" w14:textId="77777777" w:rsidR="007B7C54" w:rsidRPr="007B7C54" w:rsidRDefault="007B7C54" w:rsidP="00BC1969">
      <w:pPr>
        <w:spacing w:line="360" w:lineRule="auto"/>
        <w:jc w:val="both"/>
        <w:rPr>
          <w:rFonts w:ascii="Times New Roman" w:hAnsi="Times New Roman" w:cs="Times New Roman"/>
          <w:noProof/>
        </w:rPr>
      </w:pPr>
      <m:oMath>
        <m:sSub>
          <m:sSubPr>
            <m:ctrlPr>
              <w:rPr>
                <w:rFonts w:ascii="Cambria Math" w:eastAsia="Calibri" w:hAnsi="Cambria Math" w:cs="Times New Roman"/>
                <w:i/>
                <w:noProof/>
              </w:rPr>
            </m:ctrlPr>
          </m:sSubPr>
          <m:e>
            <m:r>
              <w:rPr>
                <w:rFonts w:ascii="Cambria Math" w:eastAsia="Calibri" w:hAnsi="Cambria Math" w:cs="Times New Roman"/>
                <w:noProof/>
              </w:rPr>
              <m:t>q"</m:t>
            </m:r>
          </m:e>
          <m:sub>
            <m:r>
              <w:rPr>
                <w:rFonts w:ascii="Cambria Math" w:eastAsia="Calibri" w:hAnsi="Cambria Math" w:cs="Times New Roman"/>
                <w:noProof/>
              </w:rPr>
              <m:t>conv</m:t>
            </m:r>
          </m:sub>
        </m:sSub>
      </m:oMath>
      <w:r w:rsidRPr="007B7C54">
        <w:rPr>
          <w:rFonts w:ascii="Times New Roman" w:hAnsi="Times New Roman" w:cs="Times New Roman"/>
          <w:noProof/>
        </w:rPr>
        <w:tab/>
        <w:t>net convected heat flux [W]</w:t>
      </w:r>
    </w:p>
    <w:p w14:paraId="489BB41C" w14:textId="77777777" w:rsidR="007B7C54" w:rsidRPr="007B7C54" w:rsidRDefault="007B7C54" w:rsidP="00BC1969">
      <w:pPr>
        <w:spacing w:line="360" w:lineRule="auto"/>
        <w:jc w:val="both"/>
        <w:rPr>
          <w:rFonts w:ascii="Times New Roman" w:hAnsi="Times New Roman" w:cs="Times New Roman"/>
          <w:iCs/>
        </w:rPr>
      </w:pPr>
      <m:oMath>
        <m:sSub>
          <m:sSubPr>
            <m:ctrlPr>
              <w:rPr>
                <w:rFonts w:ascii="Cambria Math" w:eastAsia="Calibri" w:hAnsi="Cambria Math" w:cs="Times New Roman"/>
                <w:i/>
                <w:iCs/>
              </w:rPr>
            </m:ctrlPr>
          </m:sSubPr>
          <m:e>
            <m:r>
              <w:rPr>
                <w:rFonts w:ascii="Cambria Math" w:eastAsia="Calibri" w:hAnsi="Cambria Math" w:cs="Times New Roman"/>
              </w:rPr>
              <m:t>q</m:t>
            </m:r>
          </m:e>
          <m:sub>
            <m:r>
              <w:rPr>
                <w:rFonts w:ascii="Cambria Math" w:eastAsia="Calibri" w:hAnsi="Cambria Math" w:cs="Times New Roman"/>
              </w:rPr>
              <m:t>loss</m:t>
            </m:r>
          </m:sub>
        </m:sSub>
      </m:oMath>
      <w:r w:rsidRPr="007B7C54">
        <w:rPr>
          <w:rFonts w:ascii="Times New Roman" w:hAnsi="Times New Roman" w:cs="Times New Roman"/>
          <w:iCs/>
        </w:rPr>
        <w:tab/>
        <w:t>stray heat losses [W]</w:t>
      </w:r>
    </w:p>
    <w:p w14:paraId="1859836C" w14:textId="77777777" w:rsidR="007B7C54" w:rsidRPr="007B7C54" w:rsidRDefault="007B7C54" w:rsidP="00BC1969">
      <w:pPr>
        <w:spacing w:line="360" w:lineRule="auto"/>
        <w:jc w:val="both"/>
        <w:rPr>
          <w:rFonts w:ascii="Times New Roman" w:hAnsi="Times New Roman" w:cs="Times New Roman"/>
          <w:iCs/>
        </w:rPr>
      </w:pPr>
      <m:oMath>
        <m:sSub>
          <m:sSubPr>
            <m:ctrlPr>
              <w:rPr>
                <w:rFonts w:ascii="Cambria Math" w:eastAsia="Calibri" w:hAnsi="Cambria Math" w:cs="Times New Roman"/>
                <w:i/>
                <w:iCs/>
              </w:rPr>
            </m:ctrlPr>
          </m:sSubPr>
          <m:e>
            <m:r>
              <w:rPr>
                <w:rFonts w:ascii="Cambria Math" w:eastAsia="Calibri" w:hAnsi="Cambria Math" w:cs="Times New Roman"/>
              </w:rPr>
              <m:t>q</m:t>
            </m:r>
          </m:e>
          <m:sub>
            <m:r>
              <w:rPr>
                <w:rFonts w:ascii="Cambria Math" w:eastAsia="Calibri" w:hAnsi="Cambria Math" w:cs="Times New Roman"/>
              </w:rPr>
              <m:t>total</m:t>
            </m:r>
          </m:sub>
        </m:sSub>
      </m:oMath>
      <w:r w:rsidRPr="007B7C54">
        <w:rPr>
          <w:rFonts w:ascii="Times New Roman" w:hAnsi="Times New Roman" w:cs="Times New Roman"/>
          <w:iCs/>
        </w:rPr>
        <w:tab/>
        <w:t>net heat supplied to the lattice [W]</w:t>
      </w:r>
    </w:p>
    <w:p w14:paraId="3D137344" w14:textId="77777777" w:rsidR="007B7C54" w:rsidRPr="007B7C54" w:rsidRDefault="007B7C54" w:rsidP="00BC1969">
      <w:pPr>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C</m:t>
            </m:r>
          </m:sub>
        </m:sSub>
      </m:oMath>
      <w:r w:rsidRPr="007B7C54">
        <w:rPr>
          <w:rFonts w:ascii="Times New Roman" w:hAnsi="Times New Roman" w:cs="Times New Roman"/>
        </w:rPr>
        <w:tab/>
        <w:t>particle contact resistance [m</w:t>
      </w:r>
      <w:r w:rsidRPr="007B7C54">
        <w:rPr>
          <w:rFonts w:ascii="Times New Roman" w:hAnsi="Times New Roman" w:cs="Times New Roman"/>
          <w:vertAlign w:val="superscript"/>
        </w:rPr>
        <w:t>2</w:t>
      </w:r>
      <w:r w:rsidRPr="007B7C54">
        <w:rPr>
          <w:rFonts w:ascii="Times New Roman" w:hAnsi="Times New Roman" w:cs="Times New Roman"/>
        </w:rPr>
        <w:t>K/W]</w:t>
      </w:r>
    </w:p>
    <w:p w14:paraId="2E39D7EA" w14:textId="77777777" w:rsidR="007B7C54" w:rsidRPr="007B7C54" w:rsidRDefault="007B7C54" w:rsidP="00BC1969">
      <w:pPr>
        <w:spacing w:line="360" w:lineRule="auto"/>
        <w:jc w:val="both"/>
        <w:rPr>
          <w:rFonts w:ascii="Times New Roman" w:hAnsi="Times New Roman" w:cs="Times New Roman"/>
          <w:iCs/>
        </w:rPr>
      </w:pPr>
      <m:oMath>
        <m:sSub>
          <m:sSubPr>
            <m:ctrlPr>
              <w:rPr>
                <w:rFonts w:ascii="Cambria Math" w:eastAsia="Calibri" w:hAnsi="Cambria Math" w:cs="Times New Roman"/>
                <w:i/>
                <w:iCs/>
              </w:rPr>
            </m:ctrlPr>
          </m:sSubPr>
          <m:e>
            <m:acc>
              <m:accPr>
                <m:chr m:val="̃"/>
                <m:ctrlPr>
                  <w:rPr>
                    <w:rFonts w:ascii="Cambria Math" w:eastAsia="Calibri" w:hAnsi="Cambria Math" w:cs="Times New Roman"/>
                    <w:i/>
                    <w:iCs/>
                  </w:rPr>
                </m:ctrlPr>
              </m:accPr>
              <m:e>
                <m:r>
                  <w:rPr>
                    <w:rFonts w:ascii="Cambria Math" w:eastAsia="Calibri" w:hAnsi="Cambria Math" w:cs="Times New Roman"/>
                  </w:rPr>
                  <m:t>T</m:t>
                </m:r>
              </m:e>
            </m:acc>
          </m:e>
          <m:sub>
            <m:r>
              <w:rPr>
                <w:rFonts w:ascii="Cambria Math" w:eastAsia="Calibri" w:hAnsi="Cambria Math" w:cs="Times New Roman"/>
              </w:rPr>
              <m:t>bot</m:t>
            </m:r>
          </m:sub>
        </m:sSub>
      </m:oMath>
      <w:r w:rsidRPr="007B7C54">
        <w:rPr>
          <w:rFonts w:ascii="Times New Roman" w:hAnsi="Times New Roman" w:cs="Times New Roman"/>
          <w:iCs/>
        </w:rPr>
        <w:tab/>
        <w:t>mean temperature at the bottom wall of the lattice [⁰C]</w:t>
      </w:r>
    </w:p>
    <w:p w14:paraId="7C1CE82C" w14:textId="77777777" w:rsidR="007B7C54" w:rsidRPr="007B7C54" w:rsidRDefault="007B7C54" w:rsidP="00BC1969">
      <w:pPr>
        <w:spacing w:line="360" w:lineRule="auto"/>
        <w:jc w:val="both"/>
        <w:rPr>
          <w:rFonts w:ascii="Times New Roman" w:hAnsi="Times New Roman" w:cs="Times New Roman"/>
          <w:noProof/>
        </w:rPr>
      </w:pPr>
      <m:oMath>
        <m:sSub>
          <m:sSubPr>
            <m:ctrlPr>
              <w:rPr>
                <w:rFonts w:ascii="Cambria Math" w:eastAsia="Calibri" w:hAnsi="Cambria Math" w:cs="Times New Roman"/>
                <w:i/>
                <w:noProof/>
              </w:rPr>
            </m:ctrlPr>
          </m:sSubPr>
          <m:e>
            <m:r>
              <w:rPr>
                <w:rFonts w:ascii="Cambria Math" w:eastAsia="Calibri" w:hAnsi="Cambria Math" w:cs="Times New Roman"/>
                <w:noProof/>
              </w:rPr>
              <m:t>T</m:t>
            </m:r>
          </m:e>
          <m:sub>
            <m:r>
              <w:rPr>
                <w:rFonts w:ascii="Cambria Math" w:eastAsia="Calibri" w:hAnsi="Cambria Math" w:cs="Times New Roman"/>
                <w:noProof/>
              </w:rPr>
              <m:t>f</m:t>
            </m:r>
          </m:sub>
        </m:sSub>
      </m:oMath>
      <w:r w:rsidRPr="007B7C54">
        <w:rPr>
          <w:rFonts w:ascii="Times New Roman" w:hAnsi="Times New Roman" w:cs="Times New Roman"/>
          <w:noProof/>
        </w:rPr>
        <w:tab/>
        <w:t>working fluid temperature</w:t>
      </w:r>
      <w:r w:rsidRPr="007B7C54">
        <w:rPr>
          <w:rFonts w:ascii="Times New Roman" w:hAnsi="Times New Roman" w:cs="Times New Roman"/>
          <w:noProof/>
        </w:rPr>
        <w:tab/>
      </w:r>
      <w:r w:rsidRPr="007B7C54">
        <w:rPr>
          <w:rFonts w:ascii="Times New Roman" w:hAnsi="Times New Roman" w:cs="Times New Roman"/>
          <w:iCs/>
        </w:rPr>
        <w:t>[⁰C]</w:t>
      </w:r>
    </w:p>
    <w:p w14:paraId="7C03DAB7" w14:textId="77777777" w:rsidR="007B7C54" w:rsidRPr="007B7C54" w:rsidRDefault="007B7C54" w:rsidP="00BC1969">
      <w:pPr>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HX</m:t>
            </m:r>
          </m:sub>
        </m:sSub>
      </m:oMath>
      <w:r w:rsidRPr="007B7C54">
        <w:rPr>
          <w:rFonts w:ascii="Times New Roman" w:hAnsi="Times New Roman" w:cs="Times New Roman"/>
        </w:rPr>
        <w:tab/>
        <w:t>thickness of the contacting channel wall</w:t>
      </w:r>
      <w:r w:rsidRPr="007B7C54">
        <w:rPr>
          <w:rFonts w:ascii="Times New Roman" w:hAnsi="Times New Roman" w:cs="Times New Roman"/>
          <w:iCs/>
        </w:rPr>
        <w:t xml:space="preserve"> [m]</w:t>
      </w:r>
    </w:p>
    <w:p w14:paraId="3AEA8CB3" w14:textId="77777777" w:rsidR="007B7C54" w:rsidRPr="007B7C54" w:rsidRDefault="007B7C54" w:rsidP="00BC1969">
      <w:pPr>
        <w:spacing w:line="360" w:lineRule="auto"/>
        <w:jc w:val="both"/>
        <w:rPr>
          <w:rFonts w:ascii="Times New Roman" w:hAnsi="Times New Roman" w:cs="Times New Roman"/>
          <w:iCs/>
        </w:rPr>
      </w:pPr>
      <m:oMath>
        <m:sSub>
          <m:sSubPr>
            <m:ctrlPr>
              <w:rPr>
                <w:rFonts w:ascii="Cambria Math" w:eastAsia="Calibri" w:hAnsi="Cambria Math" w:cs="Times New Roman"/>
                <w:i/>
                <w:iCs/>
              </w:rPr>
            </m:ctrlPr>
          </m:sSubPr>
          <m:e>
            <m:r>
              <w:rPr>
                <w:rFonts w:ascii="Cambria Math" w:eastAsia="Calibri" w:hAnsi="Cambria Math" w:cs="Times New Roman"/>
              </w:rPr>
              <m:t>t</m:t>
            </m:r>
          </m:e>
          <m:sub>
            <m:r>
              <w:rPr>
                <w:rFonts w:ascii="Cambria Math" w:eastAsia="Calibri" w:hAnsi="Cambria Math" w:cs="Times New Roman"/>
              </w:rPr>
              <m:t>ins</m:t>
            </m:r>
          </m:sub>
        </m:sSub>
      </m:oMath>
      <w:r w:rsidRPr="007B7C54">
        <w:rPr>
          <w:rFonts w:ascii="Times New Roman" w:hAnsi="Times New Roman" w:cs="Times New Roman"/>
          <w:iCs/>
        </w:rPr>
        <w:tab/>
        <w:t>thickness of the insulation [m]</w:t>
      </w:r>
    </w:p>
    <w:p w14:paraId="5324905C" w14:textId="77777777" w:rsidR="007B7C54" w:rsidRPr="007B7C54" w:rsidRDefault="007B7C54" w:rsidP="00BC1969">
      <w:pPr>
        <w:spacing w:line="360" w:lineRule="auto"/>
        <w:jc w:val="both"/>
        <w:rPr>
          <w:rFonts w:ascii="Times New Roman" w:hAnsi="Times New Roman" w:cs="Times New Roman"/>
          <w:iCs/>
        </w:rPr>
      </w:pPr>
      <m:oMath>
        <m:sSub>
          <m:sSubPr>
            <m:ctrlPr>
              <w:rPr>
                <w:rFonts w:ascii="Cambria Math" w:eastAsia="Calibri" w:hAnsi="Cambria Math" w:cs="Times New Roman"/>
                <w:i/>
                <w:iCs/>
              </w:rPr>
            </m:ctrlPr>
          </m:sSubPr>
          <m:e>
            <m:r>
              <w:rPr>
                <w:rFonts w:ascii="Cambria Math" w:eastAsia="Calibri" w:hAnsi="Cambria Math" w:cs="Times New Roman"/>
              </w:rPr>
              <m:t>T</m:t>
            </m:r>
          </m:e>
          <m:sub>
            <m:r>
              <w:rPr>
                <w:rFonts w:ascii="Cambria Math" w:eastAsia="Calibri" w:hAnsi="Cambria Math" w:cs="Times New Roman"/>
              </w:rPr>
              <m:t>side,in</m:t>
            </m:r>
          </m:sub>
        </m:sSub>
      </m:oMath>
      <w:r w:rsidRPr="007B7C54">
        <w:rPr>
          <w:rFonts w:ascii="Times New Roman" w:hAnsi="Times New Roman" w:cs="Times New Roman"/>
          <w:iCs/>
        </w:rPr>
        <w:tab/>
        <w:t>inner-side temperature of the insulation covering the side of lattice [⁰C]</w:t>
      </w:r>
    </w:p>
    <w:p w14:paraId="3CC2F163" w14:textId="77777777" w:rsidR="007B7C54" w:rsidRPr="007B7C54" w:rsidRDefault="007B7C54" w:rsidP="00BC1969">
      <w:pPr>
        <w:spacing w:line="360" w:lineRule="auto"/>
        <w:jc w:val="both"/>
        <w:rPr>
          <w:rFonts w:ascii="Times New Roman" w:hAnsi="Times New Roman" w:cs="Times New Roman"/>
          <w:iCs/>
        </w:rPr>
      </w:pPr>
      <m:oMath>
        <m:sSub>
          <m:sSubPr>
            <m:ctrlPr>
              <w:rPr>
                <w:rFonts w:ascii="Cambria Math" w:eastAsia="Calibri" w:hAnsi="Cambria Math" w:cs="Times New Roman"/>
                <w:i/>
                <w:iCs/>
              </w:rPr>
            </m:ctrlPr>
          </m:sSubPr>
          <m:e>
            <m:r>
              <w:rPr>
                <w:rFonts w:ascii="Cambria Math" w:eastAsia="Calibri" w:hAnsi="Cambria Math" w:cs="Times New Roman"/>
              </w:rPr>
              <m:t>T</m:t>
            </m:r>
          </m:e>
          <m:sub>
            <m:r>
              <w:rPr>
                <w:rFonts w:ascii="Cambria Math" w:eastAsia="Calibri" w:hAnsi="Cambria Math" w:cs="Times New Roman"/>
              </w:rPr>
              <m:t>side,out</m:t>
            </m:r>
          </m:sub>
        </m:sSub>
      </m:oMath>
      <w:r w:rsidRPr="007B7C54">
        <w:rPr>
          <w:rFonts w:ascii="Times New Roman" w:hAnsi="Times New Roman" w:cs="Times New Roman"/>
          <w:iCs/>
        </w:rPr>
        <w:tab/>
        <w:t>outer-side temperature of the insulation covering the side of lattice [⁰C]</w:t>
      </w:r>
    </w:p>
    <w:p w14:paraId="1DB3463F" w14:textId="77777777" w:rsidR="007B7C54" w:rsidRPr="007B7C54" w:rsidRDefault="007B7C54" w:rsidP="00BC1969">
      <w:pPr>
        <w:spacing w:line="360" w:lineRule="auto"/>
        <w:jc w:val="both"/>
        <w:rPr>
          <w:rFonts w:ascii="Times New Roman" w:hAnsi="Times New Roman" w:cs="Times New Roman"/>
          <w:iCs/>
        </w:rPr>
      </w:pPr>
      <m:oMath>
        <m:sSub>
          <m:sSubPr>
            <m:ctrlPr>
              <w:rPr>
                <w:rFonts w:ascii="Cambria Math" w:eastAsia="Calibri" w:hAnsi="Cambria Math" w:cs="Times New Roman"/>
                <w:i/>
                <w:iCs/>
              </w:rPr>
            </m:ctrlPr>
          </m:sSubPr>
          <m:e>
            <m:acc>
              <m:accPr>
                <m:chr m:val="̃"/>
                <m:ctrlPr>
                  <w:rPr>
                    <w:rFonts w:ascii="Cambria Math" w:eastAsia="Calibri" w:hAnsi="Cambria Math" w:cs="Times New Roman"/>
                    <w:i/>
                    <w:iCs/>
                  </w:rPr>
                </m:ctrlPr>
              </m:accPr>
              <m:e>
                <m:r>
                  <w:rPr>
                    <w:rFonts w:ascii="Cambria Math" w:eastAsia="Calibri" w:hAnsi="Cambria Math" w:cs="Times New Roman"/>
                  </w:rPr>
                  <m:t>T</m:t>
                </m:r>
              </m:e>
            </m:acc>
          </m:e>
          <m:sub>
            <m:r>
              <w:rPr>
                <w:rFonts w:ascii="Cambria Math" w:eastAsia="Calibri" w:hAnsi="Cambria Math" w:cs="Times New Roman"/>
              </w:rPr>
              <m:t>top</m:t>
            </m:r>
          </m:sub>
        </m:sSub>
      </m:oMath>
      <w:r w:rsidRPr="007B7C54">
        <w:rPr>
          <w:rFonts w:ascii="Times New Roman" w:hAnsi="Times New Roman" w:cs="Times New Roman"/>
          <w:iCs/>
        </w:rPr>
        <w:tab/>
        <w:t>mean temperature at the top wall of the lattice [⁰C]</w:t>
      </w:r>
    </w:p>
    <w:p w14:paraId="019AAC38" w14:textId="77777777" w:rsidR="007B7C54" w:rsidRPr="007B7C54" w:rsidRDefault="007B7C54" w:rsidP="00BC1969">
      <w:pPr>
        <w:spacing w:line="360" w:lineRule="auto"/>
        <w:jc w:val="both"/>
        <w:rPr>
          <w:rFonts w:ascii="Times New Roman" w:hAnsi="Times New Roman" w:cs="Times New Roman"/>
          <w:iCs/>
        </w:rPr>
      </w:pPr>
      <m:oMath>
        <m:sSub>
          <m:sSubPr>
            <m:ctrlPr>
              <w:rPr>
                <w:rFonts w:ascii="Cambria Math" w:eastAsia="Calibri" w:hAnsi="Cambria Math" w:cs="Times New Roman"/>
                <w:i/>
                <w:iCs/>
              </w:rPr>
            </m:ctrlPr>
          </m:sSubPr>
          <m:e>
            <m:r>
              <w:rPr>
                <w:rFonts w:ascii="Cambria Math" w:eastAsia="Calibri" w:hAnsi="Cambria Math" w:cs="Times New Roman"/>
              </w:rPr>
              <m:t>T</m:t>
            </m:r>
          </m:e>
          <m:sub>
            <m:r>
              <w:rPr>
                <w:rFonts w:ascii="Cambria Math" w:eastAsia="Calibri" w:hAnsi="Cambria Math" w:cs="Times New Roman"/>
              </w:rPr>
              <m:t>Top,in</m:t>
            </m:r>
          </m:sub>
        </m:sSub>
      </m:oMath>
      <w:r w:rsidRPr="007B7C54">
        <w:rPr>
          <w:rFonts w:ascii="Times New Roman" w:hAnsi="Times New Roman" w:cs="Times New Roman"/>
          <w:iCs/>
        </w:rPr>
        <w:tab/>
        <w:t>inner-side temperature of the insulation covering the top of lattice [⁰C]</w:t>
      </w:r>
    </w:p>
    <w:p w14:paraId="25CD7ED7" w14:textId="77777777" w:rsidR="007B7C54" w:rsidRPr="007B7C54" w:rsidRDefault="007B7C54" w:rsidP="00BC1969">
      <w:pPr>
        <w:spacing w:line="360" w:lineRule="auto"/>
        <w:jc w:val="both"/>
        <w:rPr>
          <w:rFonts w:ascii="Times New Roman" w:hAnsi="Times New Roman" w:cs="Times New Roman"/>
          <w:iCs/>
        </w:rPr>
      </w:pPr>
      <m:oMath>
        <m:sSub>
          <m:sSubPr>
            <m:ctrlPr>
              <w:rPr>
                <w:rFonts w:ascii="Cambria Math" w:eastAsia="Calibri" w:hAnsi="Cambria Math" w:cs="Times New Roman"/>
                <w:i/>
                <w:iCs/>
              </w:rPr>
            </m:ctrlPr>
          </m:sSubPr>
          <m:e>
            <m:r>
              <w:rPr>
                <w:rFonts w:ascii="Cambria Math" w:eastAsia="Calibri" w:hAnsi="Cambria Math" w:cs="Times New Roman"/>
              </w:rPr>
              <m:t>T</m:t>
            </m:r>
          </m:e>
          <m:sub>
            <m:r>
              <w:rPr>
                <w:rFonts w:ascii="Cambria Math" w:eastAsia="Calibri" w:hAnsi="Cambria Math" w:cs="Times New Roman"/>
              </w:rPr>
              <m:t>Top,out</m:t>
            </m:r>
          </m:sub>
        </m:sSub>
      </m:oMath>
      <w:r w:rsidRPr="007B7C54">
        <w:rPr>
          <w:rFonts w:ascii="Times New Roman" w:hAnsi="Times New Roman" w:cs="Times New Roman"/>
          <w:iCs/>
        </w:rPr>
        <w:tab/>
        <w:t>outer-side temperature of the insulation covering the top of lattice [⁰C]</w:t>
      </w:r>
    </w:p>
    <w:p w14:paraId="5787D52C" w14:textId="77777777" w:rsidR="007B7C54" w:rsidRPr="007B7C54" w:rsidRDefault="007B7C54" w:rsidP="00BC1969">
      <w:pPr>
        <w:spacing w:line="360" w:lineRule="auto"/>
        <w:jc w:val="both"/>
        <w:rPr>
          <w:rFonts w:ascii="Times New Roman" w:hAnsi="Times New Roman" w:cs="Times New Roman"/>
          <w:noProof/>
        </w:rPr>
      </w:pPr>
      <m:oMath>
        <m:sSub>
          <m:sSubPr>
            <m:ctrlPr>
              <w:rPr>
                <w:rFonts w:ascii="Cambria Math" w:eastAsia="Calibri" w:hAnsi="Cambria Math" w:cs="Times New Roman"/>
                <w:i/>
                <w:noProof/>
              </w:rPr>
            </m:ctrlPr>
          </m:sSubPr>
          <m:e>
            <m:r>
              <w:rPr>
                <w:rFonts w:ascii="Cambria Math" w:eastAsia="Calibri" w:hAnsi="Cambria Math" w:cs="Times New Roman"/>
                <w:noProof/>
              </w:rPr>
              <m:t>T</m:t>
            </m:r>
          </m:e>
          <m:sub>
            <m:r>
              <w:rPr>
                <w:rFonts w:ascii="Cambria Math" w:eastAsia="Calibri" w:hAnsi="Cambria Math" w:cs="Times New Roman"/>
                <w:noProof/>
              </w:rPr>
              <m:t>w</m:t>
            </m:r>
          </m:sub>
        </m:sSub>
      </m:oMath>
      <w:r w:rsidRPr="007B7C54">
        <w:rPr>
          <w:rFonts w:ascii="Times New Roman" w:hAnsi="Times New Roman" w:cs="Times New Roman"/>
          <w:noProof/>
        </w:rPr>
        <w:tab/>
        <w:t xml:space="preserve">wall temperature </w:t>
      </w:r>
      <w:r w:rsidRPr="007B7C54">
        <w:rPr>
          <w:rFonts w:ascii="Times New Roman" w:hAnsi="Times New Roman" w:cs="Times New Roman"/>
          <w:iCs/>
        </w:rPr>
        <w:t>[⁰C]</w:t>
      </w:r>
    </w:p>
    <w:bookmarkStart w:id="240" w:name="_Hlk119322351"/>
    <w:p w14:paraId="1109E0E0" w14:textId="77777777" w:rsidR="007B7C54" w:rsidRPr="007B7C54" w:rsidRDefault="007B7C54" w:rsidP="00BC1969">
      <w:pPr>
        <w:spacing w:line="360" w:lineRule="auto"/>
        <w:jc w:val="both"/>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U</m:t>
            </m:r>
          </m:e>
          <m:sub>
            <m:r>
              <w:rPr>
                <w:rFonts w:ascii="Cambria Math" w:eastAsia="Calibri" w:hAnsi="Cambria Math" w:cs="Times New Roman"/>
              </w:rPr>
              <m:t>HX</m:t>
            </m:r>
          </m:sub>
        </m:sSub>
      </m:oMath>
      <w:r w:rsidRPr="007B7C54">
        <w:rPr>
          <w:rFonts w:ascii="Times New Roman" w:hAnsi="Times New Roman" w:cs="Times New Roman"/>
        </w:rPr>
        <w:tab/>
        <w:t>overall heat transfer coefficient of heat exchanger [W/m</w:t>
      </w:r>
      <w:r w:rsidRPr="007B7C54">
        <w:rPr>
          <w:rFonts w:ascii="Times New Roman" w:hAnsi="Times New Roman" w:cs="Times New Roman"/>
          <w:vertAlign w:val="superscript"/>
        </w:rPr>
        <w:t>2</w:t>
      </w:r>
      <w:r w:rsidRPr="007B7C54">
        <w:rPr>
          <w:rFonts w:ascii="Times New Roman" w:hAnsi="Times New Roman" w:cs="Times New Roman"/>
        </w:rPr>
        <w:t>K]</w:t>
      </w:r>
    </w:p>
    <w:p w14:paraId="4304B21D" w14:textId="77777777" w:rsidR="007B7C54" w:rsidRPr="007B7C54" w:rsidRDefault="007B7C54" w:rsidP="00BC1969">
      <w:pPr>
        <w:spacing w:line="360" w:lineRule="auto"/>
        <w:jc w:val="both"/>
        <w:rPr>
          <w:rFonts w:ascii="Times New Roman" w:eastAsia="Calibri" w:hAnsi="Times New Roman" w:cs="Times New Roman"/>
          <w:noProof/>
        </w:rPr>
      </w:pPr>
      <w:r w:rsidRPr="007B7C54">
        <w:rPr>
          <w:rFonts w:ascii="Times New Roman" w:eastAsia="Calibri" w:hAnsi="Times New Roman" w:cs="Times New Roman"/>
          <w:noProof/>
        </w:rPr>
        <w:t>W</w:t>
      </w:r>
      <w:r w:rsidRPr="007B7C54">
        <w:rPr>
          <w:rFonts w:ascii="Times New Roman" w:eastAsia="Calibri" w:hAnsi="Times New Roman" w:cs="Times New Roman"/>
          <w:noProof/>
        </w:rPr>
        <w:tab/>
        <w:t>total width of the samples used in convective experiments [m]</w:t>
      </w:r>
    </w:p>
    <w:p w14:paraId="2631D9FA" w14:textId="77777777" w:rsidR="007B7C54" w:rsidRPr="007B7C54" w:rsidRDefault="007B7C54" w:rsidP="00BC1969">
      <w:pPr>
        <w:spacing w:line="360" w:lineRule="auto"/>
        <w:jc w:val="both"/>
        <w:rPr>
          <w:rFonts w:ascii="Times New Roman" w:eastAsia="Calibri" w:hAnsi="Times New Roman" w:cs="Times New Roman"/>
          <w:noProof/>
        </w:rPr>
      </w:pPr>
      <w:r w:rsidRPr="007B7C54">
        <w:rPr>
          <w:rFonts w:ascii="Times New Roman" w:eastAsia="Calibri" w:hAnsi="Times New Roman" w:cs="Times New Roman"/>
          <w:noProof/>
        </w:rPr>
        <w:t>x’</w:t>
      </w:r>
      <w:r w:rsidRPr="007B7C54">
        <w:rPr>
          <w:rFonts w:ascii="Times New Roman" w:eastAsia="Calibri" w:hAnsi="Times New Roman" w:cs="Times New Roman"/>
          <w:noProof/>
        </w:rPr>
        <w:tab/>
        <w:t>non-dimensional streamwise location (x/L)</w:t>
      </w:r>
    </w:p>
    <w:p w14:paraId="618424AF" w14:textId="77777777" w:rsidR="007B7C54" w:rsidRPr="007B7C54" w:rsidRDefault="007B7C54" w:rsidP="00BC1969">
      <w:pPr>
        <w:spacing w:line="360" w:lineRule="auto"/>
        <w:jc w:val="both"/>
        <w:rPr>
          <w:rFonts w:ascii="Times New Roman" w:hAnsi="Times New Roman" w:cs="Times New Roman"/>
        </w:rPr>
      </w:pPr>
      <m:oMath>
        <m:r>
          <w:rPr>
            <w:rFonts w:ascii="Cambria Math" w:eastAsia="Calibri" w:hAnsi="Cambria Math" w:cs="Times New Roman"/>
          </w:rPr>
          <m:t>∆T</m:t>
        </m:r>
      </m:oMath>
      <w:r w:rsidRPr="007B7C54">
        <w:rPr>
          <w:rFonts w:ascii="Times New Roman" w:hAnsi="Times New Roman" w:cs="Times New Roman"/>
        </w:rPr>
        <w:tab/>
        <w:t xml:space="preserve">temperature difference </w:t>
      </w:r>
      <w:r w:rsidRPr="007B7C54">
        <w:rPr>
          <w:rFonts w:ascii="Times New Roman" w:hAnsi="Times New Roman" w:cs="Times New Roman"/>
          <w:iCs/>
        </w:rPr>
        <w:t>[⁰C]</w:t>
      </w:r>
    </w:p>
    <w:p w14:paraId="42E782FD" w14:textId="1A4581CE" w:rsidR="007B7C54" w:rsidRPr="007B7C54" w:rsidRDefault="007B7C54" w:rsidP="00BC1969">
      <w:pPr>
        <w:spacing w:line="360" w:lineRule="auto"/>
        <w:jc w:val="both"/>
        <w:rPr>
          <w:rFonts w:ascii="Times New Roman" w:hAnsi="Times New Roman" w:cs="Times New Roman"/>
        </w:rPr>
      </w:pPr>
      <m:oMath>
        <m:r>
          <w:rPr>
            <w:rFonts w:ascii="Cambria Math" w:eastAsia="Calibri" w:hAnsi="Cambria Math" w:cs="Times New Roman"/>
          </w:rPr>
          <m:t>∆z</m:t>
        </m:r>
      </m:oMath>
      <w:r w:rsidRPr="007B7C54">
        <w:rPr>
          <w:rFonts w:ascii="Times New Roman" w:hAnsi="Times New Roman" w:cs="Times New Roman"/>
        </w:rPr>
        <w:tab/>
        <w:t>thickness of the lattice-section [m]</w:t>
      </w:r>
    </w:p>
    <w:p w14:paraId="4698ED44" w14:textId="77777777" w:rsidR="007B7C54" w:rsidRPr="008F5202" w:rsidRDefault="007B7C54" w:rsidP="00BC1969">
      <w:pPr>
        <w:pStyle w:val="Heading2"/>
        <w:rPr>
          <w:rFonts w:eastAsia="Calibri"/>
        </w:rPr>
      </w:pPr>
      <w:bookmarkStart w:id="241" w:name="_Toc177758207"/>
      <w:bookmarkEnd w:id="240"/>
      <w:r w:rsidRPr="008F5202">
        <w:rPr>
          <w:rFonts w:eastAsia="Calibri"/>
        </w:rPr>
        <w:t>Greek letters</w:t>
      </w:r>
      <w:bookmarkEnd w:id="241"/>
    </w:p>
    <w:p w14:paraId="73D31CDF" w14:textId="77777777" w:rsidR="007B7C54" w:rsidRPr="007B7C54" w:rsidRDefault="007B7C54" w:rsidP="00BC1969">
      <w:pPr>
        <w:spacing w:line="360" w:lineRule="auto"/>
        <w:jc w:val="both"/>
        <w:rPr>
          <w:rFonts w:ascii="Times New Roman" w:hAnsi="Times New Roman" w:cs="Times New Roman"/>
          <w:noProof/>
        </w:rPr>
      </w:pPr>
      <m:oMath>
        <m:r>
          <w:rPr>
            <w:rFonts w:ascii="Cambria Math" w:hAnsi="Cambria Math" w:cs="Times New Roman"/>
            <w:noProof/>
          </w:rPr>
          <m:t>ε</m:t>
        </m:r>
      </m:oMath>
      <w:r w:rsidRPr="007B7C54">
        <w:rPr>
          <w:rFonts w:ascii="Times New Roman" w:hAnsi="Times New Roman" w:cs="Times New Roman"/>
          <w:noProof/>
        </w:rPr>
        <w:tab/>
        <w:t>porosity</w:t>
      </w:r>
    </w:p>
    <w:p w14:paraId="050788AF" w14:textId="77777777" w:rsidR="007B7C54" w:rsidRPr="007B7C54" w:rsidRDefault="007B7C54" w:rsidP="00BC1969">
      <w:pPr>
        <w:spacing w:line="360" w:lineRule="auto"/>
        <w:ind w:left="720" w:hanging="720"/>
        <w:jc w:val="both"/>
        <w:rPr>
          <w:rFonts w:ascii="Times New Roman" w:eastAsia="Calibri" w:hAnsi="Times New Roman" w:cs="Times New Roman"/>
          <w:noProof/>
        </w:rPr>
      </w:pPr>
      <w:r w:rsidRPr="007B7C54">
        <w:rPr>
          <w:rFonts w:ascii="Times New Roman" w:eastAsia="Calibri" w:hAnsi="Times New Roman" w:cs="Times New Roman"/>
          <w:i/>
          <w:iCs/>
          <w:noProof/>
        </w:rPr>
        <w:t>η</w:t>
      </w:r>
      <w:r w:rsidRPr="007B7C54">
        <w:rPr>
          <w:rFonts w:ascii="Times New Roman" w:eastAsia="Calibri" w:hAnsi="Times New Roman" w:cs="Times New Roman"/>
          <w:i/>
          <w:iCs/>
          <w:noProof/>
        </w:rPr>
        <w:tab/>
      </w:r>
      <w:r w:rsidRPr="007B7C54">
        <w:rPr>
          <w:rFonts w:ascii="Times New Roman" w:eastAsia="Calibri" w:hAnsi="Times New Roman" w:cs="Times New Roman"/>
          <w:noProof/>
        </w:rPr>
        <w:t xml:space="preserve">relative </w:t>
      </w:r>
      <w:r w:rsidRPr="007B7C54">
        <w:rPr>
          <w:rFonts w:ascii="Times New Roman" w:eastAsia="Calibri" w:hAnsi="Times New Roman" w:cs="Times New Roman"/>
          <w:i/>
          <w:iCs/>
          <w:noProof/>
        </w:rPr>
        <w:t>k</w:t>
      </w:r>
      <w:r w:rsidRPr="007B7C54">
        <w:rPr>
          <w:rFonts w:ascii="Times New Roman" w:eastAsia="Calibri" w:hAnsi="Times New Roman" w:cs="Times New Roman"/>
          <w:noProof/>
          <w:vertAlign w:val="subscript"/>
        </w:rPr>
        <w:t xml:space="preserve">eff </w:t>
      </w:r>
      <w:r w:rsidRPr="007B7C54">
        <w:rPr>
          <w:rFonts w:ascii="Times New Roman" w:eastAsia="Calibri" w:hAnsi="Times New Roman" w:cs="Times New Roman"/>
          <w:noProof/>
        </w:rPr>
        <w:t>enhancement of particle-lattice combination configuration with respect to particles-</w:t>
      </w:r>
      <w:r w:rsidRPr="007B7C54">
        <w:rPr>
          <w:rFonts w:ascii="Times New Roman" w:eastAsia="Calibri" w:hAnsi="Times New Roman" w:cs="Times New Roman"/>
          <w:i/>
          <w:iCs/>
          <w:noProof/>
        </w:rPr>
        <w:t>only</w:t>
      </w:r>
      <w:r w:rsidRPr="007B7C54">
        <w:rPr>
          <w:rFonts w:ascii="Times New Roman" w:eastAsia="Calibri" w:hAnsi="Times New Roman" w:cs="Times New Roman"/>
          <w:noProof/>
        </w:rPr>
        <w:t xml:space="preserve"> packed bed</w:t>
      </w:r>
    </w:p>
    <w:p w14:paraId="0D1343D2" w14:textId="77777777" w:rsidR="007B7C54" w:rsidRPr="008F5202" w:rsidRDefault="007B7C54" w:rsidP="00BC1969">
      <w:pPr>
        <w:pStyle w:val="Heading2"/>
        <w:rPr>
          <w:rFonts w:eastAsia="Calibri"/>
        </w:rPr>
      </w:pPr>
      <w:bookmarkStart w:id="242" w:name="_Toc177758208"/>
      <w:r w:rsidRPr="008F5202">
        <w:rPr>
          <w:rFonts w:eastAsia="Calibri"/>
        </w:rPr>
        <w:t>Abbreviations</w:t>
      </w:r>
      <w:bookmarkEnd w:id="242"/>
    </w:p>
    <w:p w14:paraId="371D8324" w14:textId="77777777" w:rsidR="007B7C54" w:rsidRPr="007B7C54" w:rsidRDefault="007B7C54" w:rsidP="00BC1969">
      <w:pPr>
        <w:spacing w:line="360" w:lineRule="auto"/>
        <w:jc w:val="both"/>
        <w:rPr>
          <w:rFonts w:ascii="Times New Roman" w:hAnsi="Times New Roman" w:cs="Times New Roman"/>
          <w:noProof/>
        </w:rPr>
      </w:pPr>
      <w:r w:rsidRPr="007B7C54">
        <w:rPr>
          <w:rFonts w:ascii="Times New Roman" w:hAnsi="Times New Roman" w:cs="Times New Roman"/>
          <w:noProof/>
        </w:rPr>
        <w:t>AM</w:t>
      </w:r>
      <w:r w:rsidRPr="007B7C54">
        <w:rPr>
          <w:rFonts w:ascii="Times New Roman" w:hAnsi="Times New Roman" w:cs="Times New Roman"/>
          <w:noProof/>
        </w:rPr>
        <w:tab/>
        <w:t>additive manufacturing</w:t>
      </w:r>
    </w:p>
    <w:p w14:paraId="023CCA3C" w14:textId="77777777" w:rsidR="007B7C54" w:rsidRPr="007B7C54" w:rsidRDefault="007B7C54" w:rsidP="00BC1969">
      <w:pPr>
        <w:spacing w:line="360" w:lineRule="auto"/>
        <w:jc w:val="both"/>
        <w:rPr>
          <w:rFonts w:ascii="Times New Roman" w:eastAsia="Calibri" w:hAnsi="Times New Roman" w:cs="Times New Roman"/>
        </w:rPr>
      </w:pPr>
      <w:r w:rsidRPr="007B7C54">
        <w:rPr>
          <w:rFonts w:ascii="Times New Roman" w:eastAsia="Calibri" w:hAnsi="Times New Roman" w:cs="Times New Roman"/>
        </w:rPr>
        <w:t>CSP</w:t>
      </w:r>
      <w:r w:rsidRPr="007B7C54">
        <w:rPr>
          <w:rFonts w:ascii="Times New Roman" w:eastAsia="Calibri" w:hAnsi="Times New Roman" w:cs="Times New Roman"/>
        </w:rPr>
        <w:tab/>
        <w:t>concentrated solar power plant</w:t>
      </w:r>
    </w:p>
    <w:p w14:paraId="7126FE37" w14:textId="77777777" w:rsidR="007B7C54" w:rsidRPr="007B7C54" w:rsidRDefault="007B7C54" w:rsidP="00BC1969">
      <w:pPr>
        <w:spacing w:line="360" w:lineRule="auto"/>
        <w:jc w:val="both"/>
        <w:rPr>
          <w:rFonts w:ascii="Times New Roman" w:eastAsia="Calibri" w:hAnsi="Times New Roman" w:cs="Times New Roman"/>
        </w:rPr>
      </w:pPr>
      <w:r w:rsidRPr="007B7C54">
        <w:rPr>
          <w:rFonts w:ascii="Times New Roman" w:eastAsia="Calibri" w:hAnsi="Times New Roman" w:cs="Times New Roman"/>
        </w:rPr>
        <w:t>PCHE</w:t>
      </w:r>
      <w:r w:rsidRPr="007B7C54">
        <w:rPr>
          <w:rFonts w:ascii="Times New Roman" w:eastAsia="Calibri" w:hAnsi="Times New Roman" w:cs="Times New Roman"/>
        </w:rPr>
        <w:tab/>
        <w:t>printed circuit heat exchanger</w:t>
      </w:r>
    </w:p>
    <w:p w14:paraId="7FF37A71" w14:textId="77777777" w:rsidR="007B7C54" w:rsidRPr="007B7C54" w:rsidRDefault="007B7C54" w:rsidP="00BC1969">
      <w:pPr>
        <w:spacing w:line="360" w:lineRule="auto"/>
        <w:jc w:val="both"/>
        <w:rPr>
          <w:rFonts w:ascii="Times New Roman" w:eastAsia="Calibri" w:hAnsi="Times New Roman" w:cs="Times New Roman"/>
        </w:rPr>
      </w:pPr>
      <w:r w:rsidRPr="007B7C54">
        <w:rPr>
          <w:rFonts w:ascii="Times New Roman" w:eastAsia="Calibri" w:hAnsi="Times New Roman" w:cs="Times New Roman"/>
          <w:i/>
          <w:iCs/>
        </w:rPr>
        <w:t>sCO</w:t>
      </w:r>
      <w:r w:rsidRPr="007B7C54">
        <w:rPr>
          <w:rFonts w:ascii="Times New Roman" w:eastAsia="Calibri" w:hAnsi="Times New Roman" w:cs="Times New Roman"/>
          <w:i/>
          <w:iCs/>
          <w:vertAlign w:val="subscript"/>
        </w:rPr>
        <w:t>2</w:t>
      </w:r>
      <w:r w:rsidRPr="007B7C54">
        <w:rPr>
          <w:rFonts w:ascii="Times New Roman" w:eastAsia="Calibri" w:hAnsi="Times New Roman" w:cs="Times New Roman"/>
          <w:i/>
          <w:iCs/>
          <w:vertAlign w:val="subscript"/>
        </w:rPr>
        <w:tab/>
      </w:r>
      <w:r w:rsidRPr="007B7C54">
        <w:rPr>
          <w:rFonts w:ascii="Times New Roman" w:eastAsia="Calibri" w:hAnsi="Times New Roman" w:cs="Times New Roman"/>
        </w:rPr>
        <w:t>supercritical carbon dioxide</w:t>
      </w:r>
    </w:p>
    <w:p w14:paraId="3AAD3890" w14:textId="77777777" w:rsidR="007B7C54" w:rsidRPr="007B7C54" w:rsidRDefault="007B7C54" w:rsidP="00BC1969">
      <w:pPr>
        <w:spacing w:line="360" w:lineRule="auto"/>
        <w:jc w:val="both"/>
        <w:rPr>
          <w:rFonts w:ascii="Times New Roman" w:eastAsia="Calibri" w:hAnsi="Times New Roman" w:cs="Times New Roman"/>
        </w:rPr>
      </w:pPr>
      <w:r w:rsidRPr="007B7C54">
        <w:rPr>
          <w:rFonts w:ascii="Times New Roman" w:eastAsia="Calibri" w:hAnsi="Times New Roman" w:cs="Times New Roman"/>
        </w:rPr>
        <w:t>SS</w:t>
      </w:r>
      <w:r w:rsidRPr="007B7C54">
        <w:rPr>
          <w:rFonts w:ascii="Times New Roman" w:eastAsia="Calibri" w:hAnsi="Times New Roman" w:cs="Times New Roman"/>
        </w:rPr>
        <w:tab/>
        <w:t>stainless steel</w:t>
      </w:r>
    </w:p>
    <w:p w14:paraId="225FBB5D" w14:textId="77777777" w:rsidR="007B7C54" w:rsidRPr="007B7C54" w:rsidRDefault="007B7C54" w:rsidP="00BC1969">
      <w:pPr>
        <w:spacing w:line="360" w:lineRule="auto"/>
        <w:jc w:val="both"/>
        <w:rPr>
          <w:rFonts w:ascii="Times New Roman" w:hAnsi="Times New Roman" w:cs="Times New Roman"/>
          <w:iCs/>
        </w:rPr>
      </w:pPr>
      <w:r w:rsidRPr="007B7C54">
        <w:rPr>
          <w:rFonts w:ascii="Times New Roman" w:hAnsi="Times New Roman" w:cs="Times New Roman"/>
          <w:iCs/>
        </w:rPr>
        <w:t xml:space="preserve">TIG </w:t>
      </w:r>
      <w:r w:rsidRPr="007B7C54">
        <w:rPr>
          <w:rFonts w:ascii="Times New Roman" w:hAnsi="Times New Roman" w:cs="Times New Roman"/>
          <w:iCs/>
        </w:rPr>
        <w:tab/>
        <w:t>tungsten inert gas</w:t>
      </w:r>
    </w:p>
    <w:p w14:paraId="4DA3AA76" w14:textId="77777777" w:rsidR="007B7C54" w:rsidRPr="007B7C54" w:rsidRDefault="007B7C54" w:rsidP="00BC1969">
      <w:pPr>
        <w:spacing w:line="360" w:lineRule="auto"/>
        <w:jc w:val="both"/>
        <w:rPr>
          <w:rFonts w:ascii="Times New Roman" w:eastAsia="Calibri" w:hAnsi="Times New Roman" w:cs="Times New Roman"/>
          <w:b/>
          <w:bCs/>
        </w:rPr>
      </w:pPr>
      <w:r w:rsidRPr="007B7C54">
        <w:rPr>
          <w:rFonts w:ascii="Times New Roman" w:eastAsia="Calibri" w:hAnsi="Times New Roman" w:cs="Times New Roman"/>
          <w:b/>
          <w:bCs/>
        </w:rPr>
        <w:tab/>
      </w:r>
    </w:p>
    <w:p w14:paraId="2012752A" w14:textId="7A40929D" w:rsidR="007B7C54" w:rsidRPr="007B7C54" w:rsidRDefault="007B7C54" w:rsidP="00BC1969">
      <w:pPr>
        <w:pStyle w:val="Heading2"/>
        <w:rPr>
          <w:rFonts w:eastAsia="Calibri"/>
        </w:rPr>
      </w:pPr>
      <w:bookmarkStart w:id="243" w:name="_Toc177758209"/>
      <w:r w:rsidRPr="008F5202">
        <w:rPr>
          <w:rFonts w:eastAsia="Calibri"/>
        </w:rPr>
        <w:lastRenderedPageBreak/>
        <w:t>A</w:t>
      </w:r>
      <w:r w:rsidR="00BC1969" w:rsidRPr="008F5202">
        <w:rPr>
          <w:rFonts w:eastAsia="Calibri"/>
        </w:rPr>
        <w:t>cknowledgments</w:t>
      </w:r>
      <w:bookmarkEnd w:id="243"/>
      <w:r w:rsidR="00BC1969" w:rsidRPr="008F5202">
        <w:rPr>
          <w:rFonts w:eastAsia="Calibri"/>
        </w:rPr>
        <w:t xml:space="preserve"> </w:t>
      </w:r>
    </w:p>
    <w:p w14:paraId="7F25A066" w14:textId="77777777" w:rsidR="007B7C54" w:rsidRPr="007B7C54" w:rsidRDefault="007B7C54" w:rsidP="00BC1969">
      <w:pPr>
        <w:spacing w:line="360" w:lineRule="auto"/>
        <w:ind w:firstLine="360"/>
        <w:contextualSpacing/>
        <w:jc w:val="both"/>
        <w:rPr>
          <w:rFonts w:ascii="Times New Roman" w:eastAsia="Calibri" w:hAnsi="Times New Roman" w:cs="Times New Roman"/>
          <w:noProof/>
        </w:rPr>
      </w:pPr>
      <w:r w:rsidRPr="007B7C54">
        <w:rPr>
          <w:rFonts w:ascii="Times New Roman" w:eastAsia="Calibri" w:hAnsi="Times New Roman" w:cs="Times New Roman"/>
          <w:noProof/>
        </w:rPr>
        <w:t xml:space="preserve">This material is based upon work supported by the U.S. Department of Energy's Office of Energy Efficiency and Renewable Energy (EERE) under the Solar Energy Technologies Office Award Number DE-EE0009377. This report was prepared as an account of work sponsored by an agency of the United States Government. Neither the United States Government nor any agency thereof, nor any of their employees, makes any warranty, express or implied, or assumes any legal liability or responsibility for the accuracy, completeness, or usefulness of any information, apparatus, product, or process disclosed, or represents that its use would not infringe privately owned rights. Reference herein to any specific commercial product, process, or service by trade name, trademark, manufacturer, or otherwise does not necessarily constitute or imply its endorsement, recommendation, or favoring by the United States Government or any agency thereof. The views and opinions of authors expressed herein do not necessarily state or reflect those of the United States Government or any agency thereof. </w:t>
      </w:r>
    </w:p>
    <w:p w14:paraId="5B930C1B" w14:textId="1BD0B0CF" w:rsidR="007B7C54" w:rsidRPr="008F5202" w:rsidRDefault="00BC1969" w:rsidP="00BC1969">
      <w:pPr>
        <w:pStyle w:val="Heading2"/>
      </w:pPr>
      <w:bookmarkStart w:id="244" w:name="_Toc177758210"/>
      <w:r w:rsidRPr="008F5202">
        <w:t>References</w:t>
      </w:r>
      <w:bookmarkEnd w:id="244"/>
    </w:p>
    <w:p w14:paraId="15E86643" w14:textId="51F2E3A3"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1]</w:t>
      </w:r>
      <w:r w:rsidR="00BC1969" w:rsidRPr="00BC1969">
        <w:rPr>
          <w:rFonts w:ascii="Times New Roman" w:eastAsia="Calibri" w:hAnsi="Times New Roman" w:cs="Times New Roman"/>
        </w:rPr>
        <w:tab/>
        <w:t>Turchi, C. S., Ma, Z., Neises, T. W., and Wagner, M. J., 2013, "Thermodynamic Study of Advanced Supercritical Carbon Dioxide Power Cycles for Concentrating Solar Power Systems." ASME. </w:t>
      </w:r>
      <w:r w:rsidR="00BC1969" w:rsidRPr="00BC1969">
        <w:rPr>
          <w:rFonts w:ascii="Times New Roman" w:eastAsia="Calibri" w:hAnsi="Times New Roman" w:cs="Times New Roman"/>
          <w:i/>
          <w:iCs/>
        </w:rPr>
        <w:t>J. Sol. Energy Eng</w:t>
      </w:r>
      <w:r w:rsidR="00BC1969" w:rsidRPr="00BC1969">
        <w:rPr>
          <w:rFonts w:ascii="Times New Roman" w:eastAsia="Calibri" w:hAnsi="Times New Roman" w:cs="Times New Roman"/>
        </w:rPr>
        <w:t xml:space="preserve">. Vol. 135(4), pp. 041007. </w:t>
      </w:r>
    </w:p>
    <w:p w14:paraId="0FA7E080" w14:textId="3909CC5A" w:rsidR="00BC1969" w:rsidRPr="00BC1969" w:rsidRDefault="00BC1969" w:rsidP="00AF1AFB">
      <w:pPr>
        <w:spacing w:line="360" w:lineRule="auto"/>
        <w:rPr>
          <w:rFonts w:ascii="Times New Roman" w:eastAsia="Calibri" w:hAnsi="Times New Roman" w:cs="Times New Roman"/>
        </w:rPr>
      </w:pPr>
      <w:hyperlink r:id="rId117" w:history="1">
        <w:r w:rsidRPr="00BC1969">
          <w:rPr>
            <w:rFonts w:ascii="Times New Roman" w:eastAsia="Calibri" w:hAnsi="Times New Roman" w:cs="Times New Roman"/>
          </w:rPr>
          <w:t>https://doi.org/10.1115/1.4024030</w:t>
        </w:r>
      </w:hyperlink>
    </w:p>
    <w:p w14:paraId="365C3EE8" w14:textId="0899B7CD"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2]</w:t>
      </w:r>
      <w:r w:rsidR="00BC1969" w:rsidRPr="00BC1969">
        <w:rPr>
          <w:rFonts w:ascii="Times New Roman" w:eastAsia="Calibri" w:hAnsi="Times New Roman" w:cs="Times New Roman"/>
        </w:rPr>
        <w:tab/>
        <w:t>Mehos, M., Turchi, C., Vidal, J., Wagner, M., Ma, Z., Ho, C., Kolb, W., Andraka, C. and Kruizenga, A., 2017. </w:t>
      </w:r>
      <w:r w:rsidR="00BC1969" w:rsidRPr="00BC1969">
        <w:rPr>
          <w:rFonts w:ascii="Times New Roman" w:eastAsia="Calibri" w:hAnsi="Times New Roman" w:cs="Times New Roman"/>
          <w:i/>
          <w:iCs/>
        </w:rPr>
        <w:t>Concentrating solar power Gen3 demonstration roadmap</w:t>
      </w:r>
      <w:r w:rsidR="00BC1969" w:rsidRPr="00BC1969">
        <w:rPr>
          <w:rFonts w:ascii="Times New Roman" w:eastAsia="Calibri" w:hAnsi="Times New Roman" w:cs="Times New Roman"/>
        </w:rPr>
        <w:t xml:space="preserve"> (No. NREL/TP-5500-67464). National Renewable Energy Lab.(NREL), Golden, CO (United States). </w:t>
      </w:r>
    </w:p>
    <w:p w14:paraId="0BE60ACC" w14:textId="12C9DA35" w:rsidR="00BC1969" w:rsidRPr="00BC1969" w:rsidRDefault="00BC1969" w:rsidP="00AF1AFB">
      <w:pPr>
        <w:spacing w:line="360" w:lineRule="auto"/>
        <w:rPr>
          <w:rFonts w:ascii="Times New Roman" w:eastAsia="Calibri" w:hAnsi="Times New Roman" w:cs="Times New Roman"/>
        </w:rPr>
      </w:pPr>
      <w:hyperlink r:id="rId118" w:history="1">
        <w:r w:rsidRPr="00BC1969">
          <w:rPr>
            <w:rFonts w:ascii="Times New Roman" w:eastAsia="Calibri" w:hAnsi="Times New Roman" w:cs="Times New Roman"/>
          </w:rPr>
          <w:t>https://doi.org/10.2172/1338899</w:t>
        </w:r>
      </w:hyperlink>
    </w:p>
    <w:p w14:paraId="1338F6A6" w14:textId="332038E1"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3]</w:t>
      </w:r>
      <w:r w:rsidR="00BC1969" w:rsidRPr="00BC1969">
        <w:rPr>
          <w:rFonts w:ascii="Times New Roman" w:eastAsia="Calibri" w:hAnsi="Times New Roman" w:cs="Times New Roman"/>
        </w:rPr>
        <w:tab/>
        <w:t xml:space="preserve">G. Wilson, S. Sahoo, P. Sabharwal, H. Bindra, 2019, “Chapter Seven - Packed Bed Thermal Storage for LWRs”, H. Bindra, S. Revankar (Eds.), Storage Hybrid. Nucl. Energy, Academic Press, Cambridge, MA, pp. 229–248. </w:t>
      </w:r>
    </w:p>
    <w:p w14:paraId="0B5AFD2C" w14:textId="6DD35C96" w:rsidR="00BC1969" w:rsidRPr="00BC1969" w:rsidRDefault="00BC1969" w:rsidP="00AF1AFB">
      <w:pPr>
        <w:spacing w:line="360" w:lineRule="auto"/>
        <w:rPr>
          <w:rFonts w:ascii="Times New Roman" w:eastAsia="Calibri" w:hAnsi="Times New Roman" w:cs="Times New Roman"/>
        </w:rPr>
      </w:pPr>
      <w:hyperlink r:id="rId119" w:history="1">
        <w:r w:rsidRPr="00BC1969">
          <w:rPr>
            <w:rFonts w:ascii="Times New Roman" w:eastAsia="Calibri" w:hAnsi="Times New Roman" w:cs="Times New Roman"/>
          </w:rPr>
          <w:t>https://doi.org/10.1016/B978-0-12-813975-2.00007-7</w:t>
        </w:r>
      </w:hyperlink>
    </w:p>
    <w:p w14:paraId="3CAF43AC" w14:textId="191DF11D"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lastRenderedPageBreak/>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4]</w:t>
      </w:r>
      <w:r w:rsidR="00BC1969" w:rsidRPr="00BC1969">
        <w:rPr>
          <w:rFonts w:ascii="Times New Roman" w:eastAsia="Calibri" w:hAnsi="Times New Roman" w:cs="Times New Roman"/>
        </w:rPr>
        <w:tab/>
        <w:t>Zhu, Q., Tan, X., Barari, B., Caccia, M., Strayer, A.R., Pishahang, M., Sandhage, K.H. and Henry, A., 2021. Design of a 2 MW ZrC/W-based molten-salt-to-sCO2 PCHE for concentrated solar power. </w:t>
      </w:r>
      <w:r w:rsidR="00BC1969" w:rsidRPr="00BC1969">
        <w:rPr>
          <w:rFonts w:ascii="Times New Roman" w:eastAsia="Calibri" w:hAnsi="Times New Roman" w:cs="Times New Roman"/>
          <w:i/>
          <w:iCs/>
        </w:rPr>
        <w:t>Applied Energy</w:t>
      </w:r>
      <w:r w:rsidR="00BC1969" w:rsidRPr="00BC1969">
        <w:rPr>
          <w:rFonts w:ascii="Times New Roman" w:eastAsia="Calibri" w:hAnsi="Times New Roman" w:cs="Times New Roman"/>
        </w:rPr>
        <w:t xml:space="preserve">, Vol. </w:t>
      </w:r>
      <w:r w:rsidR="00BC1969" w:rsidRPr="00BC1969">
        <w:rPr>
          <w:rFonts w:ascii="Times New Roman" w:eastAsia="Calibri" w:hAnsi="Times New Roman" w:cs="Times New Roman"/>
          <w:i/>
          <w:iCs/>
        </w:rPr>
        <w:t>300</w:t>
      </w:r>
      <w:r w:rsidR="00BC1969" w:rsidRPr="00BC1969">
        <w:rPr>
          <w:rFonts w:ascii="Times New Roman" w:eastAsia="Calibri" w:hAnsi="Times New Roman" w:cs="Times New Roman"/>
        </w:rPr>
        <w:t xml:space="preserve">, p.117313. </w:t>
      </w:r>
    </w:p>
    <w:p w14:paraId="2AC3EA4A" w14:textId="23CF9A61" w:rsidR="00BC1969" w:rsidRPr="00BC1969" w:rsidRDefault="00BC1969" w:rsidP="00AF1AFB">
      <w:pPr>
        <w:spacing w:line="360" w:lineRule="auto"/>
        <w:rPr>
          <w:rFonts w:ascii="Times New Roman" w:eastAsia="Calibri" w:hAnsi="Times New Roman" w:cs="Times New Roman"/>
        </w:rPr>
      </w:pPr>
      <w:hyperlink r:id="rId120" w:history="1">
        <w:r w:rsidRPr="00BC1969">
          <w:rPr>
            <w:rFonts w:ascii="Times New Roman" w:eastAsia="Calibri" w:hAnsi="Times New Roman" w:cs="Times New Roman"/>
          </w:rPr>
          <w:t>https://doi.org/10.1016/j.apenergy.2021.117313</w:t>
        </w:r>
      </w:hyperlink>
    </w:p>
    <w:p w14:paraId="38FFD354" w14:textId="1D6CB79F"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5]</w:t>
      </w:r>
      <w:r w:rsidR="00BC1969" w:rsidRPr="00BC1969">
        <w:rPr>
          <w:rFonts w:ascii="Times New Roman" w:eastAsia="Calibri" w:hAnsi="Times New Roman" w:cs="Times New Roman"/>
        </w:rPr>
        <w:tab/>
        <w:t>Ho, C.K., 2016. A review of high-temperature particle receivers for concentrating solar power. </w:t>
      </w:r>
      <w:r w:rsidR="00BC1969" w:rsidRPr="00BC1969">
        <w:rPr>
          <w:rFonts w:ascii="Times New Roman" w:eastAsia="Calibri" w:hAnsi="Times New Roman" w:cs="Times New Roman"/>
          <w:i/>
          <w:iCs/>
        </w:rPr>
        <w:t>Applied Thermal Engineering</w:t>
      </w:r>
      <w:r w:rsidR="00BC1969" w:rsidRPr="00BC1969">
        <w:rPr>
          <w:rFonts w:ascii="Times New Roman" w:eastAsia="Calibri" w:hAnsi="Times New Roman" w:cs="Times New Roman"/>
        </w:rPr>
        <w:t xml:space="preserve">, Vol. </w:t>
      </w:r>
      <w:r w:rsidR="00BC1969" w:rsidRPr="00BC1969">
        <w:rPr>
          <w:rFonts w:ascii="Times New Roman" w:eastAsia="Calibri" w:hAnsi="Times New Roman" w:cs="Times New Roman"/>
          <w:i/>
          <w:iCs/>
        </w:rPr>
        <w:t>109</w:t>
      </w:r>
      <w:r w:rsidR="00BC1969" w:rsidRPr="00BC1969">
        <w:rPr>
          <w:rFonts w:ascii="Times New Roman" w:eastAsia="Calibri" w:hAnsi="Times New Roman" w:cs="Times New Roman"/>
        </w:rPr>
        <w:t>, pp.958-969.</w:t>
      </w:r>
    </w:p>
    <w:p w14:paraId="495B0B11" w14:textId="4C166111" w:rsidR="00BC1969" w:rsidRPr="00BC1969" w:rsidRDefault="00BC1969" w:rsidP="00AF1AFB">
      <w:pPr>
        <w:spacing w:line="360" w:lineRule="auto"/>
        <w:rPr>
          <w:rFonts w:ascii="Times New Roman" w:eastAsia="Calibri" w:hAnsi="Times New Roman" w:cs="Times New Roman"/>
        </w:rPr>
      </w:pPr>
      <w:hyperlink r:id="rId121" w:history="1">
        <w:r w:rsidRPr="00BC1969">
          <w:rPr>
            <w:rFonts w:ascii="Times New Roman" w:eastAsia="Calibri" w:hAnsi="Times New Roman" w:cs="Times New Roman"/>
          </w:rPr>
          <w:t>https://doi.org/10.1016/j.applthermaleng.2016.04.103</w:t>
        </w:r>
      </w:hyperlink>
    </w:p>
    <w:p w14:paraId="44C464F1" w14:textId="4D794630"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6]</w:t>
      </w:r>
      <w:r w:rsidR="00BC1969" w:rsidRPr="00BC1969">
        <w:rPr>
          <w:rFonts w:ascii="Times New Roman" w:eastAsia="Calibri" w:hAnsi="Times New Roman" w:cs="Times New Roman"/>
        </w:rPr>
        <w:tab/>
        <w:t>Martinek, J., and Ma, Z., 2015, "Granular Flow and Heat-Transfer Study in a Near-Blackbody Enclosed Particle Receiver." ASME. </w:t>
      </w:r>
      <w:r w:rsidR="00BC1969" w:rsidRPr="00BC1969">
        <w:rPr>
          <w:rFonts w:ascii="Times New Roman" w:eastAsia="Calibri" w:hAnsi="Times New Roman" w:cs="Times New Roman"/>
          <w:i/>
          <w:iCs/>
        </w:rPr>
        <w:t>J. Sol. Energy Eng</w:t>
      </w:r>
      <w:r w:rsidR="00BC1969" w:rsidRPr="00BC1969">
        <w:rPr>
          <w:rFonts w:ascii="Times New Roman" w:eastAsia="Calibri" w:hAnsi="Times New Roman" w:cs="Times New Roman"/>
        </w:rPr>
        <w:t>., Vol. 137(5), pp. 051008.</w:t>
      </w:r>
    </w:p>
    <w:p w14:paraId="3D613C41" w14:textId="5E2EBD23" w:rsidR="00BC1969" w:rsidRPr="00BC1969" w:rsidRDefault="00BC1969" w:rsidP="00AF1AFB">
      <w:pPr>
        <w:spacing w:line="360" w:lineRule="auto"/>
        <w:rPr>
          <w:rFonts w:ascii="Times New Roman" w:eastAsia="Calibri" w:hAnsi="Times New Roman" w:cs="Times New Roman"/>
        </w:rPr>
      </w:pPr>
      <w:hyperlink r:id="rId122" w:history="1">
        <w:r w:rsidRPr="00BC1969">
          <w:rPr>
            <w:rFonts w:ascii="Times New Roman" w:eastAsia="Calibri" w:hAnsi="Times New Roman" w:cs="Times New Roman"/>
          </w:rPr>
          <w:t>https://doi.org/10.1115/1.4030970</w:t>
        </w:r>
      </w:hyperlink>
    </w:p>
    <w:p w14:paraId="5651671F" w14:textId="0431D016"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7]</w:t>
      </w:r>
      <w:r w:rsidR="00BC1969" w:rsidRPr="00BC1969">
        <w:rPr>
          <w:rFonts w:ascii="Times New Roman" w:eastAsia="Calibri" w:hAnsi="Times New Roman" w:cs="Times New Roman"/>
        </w:rPr>
        <w:tab/>
        <w:t>Besarati, S. M., Yogi Goswami, D., and Stefanakos, E. K., 2015, "Development of a Solar Receiver Based on Compact Heat Exchanger Technology for Supercritical Carbon Dioxide Power Cycles." ASME. </w:t>
      </w:r>
      <w:r w:rsidR="00BC1969" w:rsidRPr="00BC1969">
        <w:rPr>
          <w:rFonts w:ascii="Times New Roman" w:eastAsia="Calibri" w:hAnsi="Times New Roman" w:cs="Times New Roman"/>
          <w:i/>
          <w:iCs/>
        </w:rPr>
        <w:t>J. Sol. Energy Eng</w:t>
      </w:r>
      <w:r w:rsidR="00BC1969" w:rsidRPr="00BC1969">
        <w:rPr>
          <w:rFonts w:ascii="Times New Roman" w:eastAsia="Calibri" w:hAnsi="Times New Roman" w:cs="Times New Roman"/>
        </w:rPr>
        <w:t xml:space="preserve">., Vol. 137(3), pp. 031018. </w:t>
      </w:r>
    </w:p>
    <w:p w14:paraId="0BEE047B" w14:textId="190724AC" w:rsidR="00BC1969" w:rsidRPr="00BC1969" w:rsidRDefault="00BC1969" w:rsidP="00AF1AFB">
      <w:pPr>
        <w:spacing w:line="360" w:lineRule="auto"/>
        <w:rPr>
          <w:rFonts w:ascii="Times New Roman" w:eastAsia="Calibri" w:hAnsi="Times New Roman" w:cs="Times New Roman"/>
        </w:rPr>
      </w:pPr>
      <w:hyperlink r:id="rId123" w:history="1">
        <w:r w:rsidRPr="00BC1969">
          <w:rPr>
            <w:rFonts w:ascii="Times New Roman" w:eastAsia="Calibri" w:hAnsi="Times New Roman" w:cs="Times New Roman"/>
          </w:rPr>
          <w:t>https://doi.org/10.1115/1.4029861</w:t>
        </w:r>
      </w:hyperlink>
    </w:p>
    <w:p w14:paraId="452E8B98" w14:textId="11E1FB5B"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8]</w:t>
      </w:r>
      <w:r w:rsidR="00BC1969" w:rsidRPr="00BC1969">
        <w:rPr>
          <w:rFonts w:ascii="Times New Roman" w:eastAsia="Calibri" w:hAnsi="Times New Roman" w:cs="Times New Roman"/>
        </w:rPr>
        <w:tab/>
        <w:t>Siegel, N. P., Gross, M. D., and Coury, R., 2015, "The Development of Direct Absorption and Storage Media for Falling Particle Solar Central Receivers." ASME. </w:t>
      </w:r>
      <w:r w:rsidR="00BC1969" w:rsidRPr="00BC1969">
        <w:rPr>
          <w:rFonts w:ascii="Times New Roman" w:eastAsia="Calibri" w:hAnsi="Times New Roman" w:cs="Times New Roman"/>
          <w:i/>
          <w:iCs/>
        </w:rPr>
        <w:t>J. Sol. Energy Eng</w:t>
      </w:r>
      <w:r w:rsidR="00BC1969" w:rsidRPr="00BC1969">
        <w:rPr>
          <w:rFonts w:ascii="Times New Roman" w:eastAsia="Calibri" w:hAnsi="Times New Roman" w:cs="Times New Roman"/>
        </w:rPr>
        <w:t>., Vol. 137(4), pp. 041003.</w:t>
      </w:r>
    </w:p>
    <w:p w14:paraId="25AE26CE" w14:textId="787E8EF2" w:rsidR="00BC1969" w:rsidRPr="00BC1969" w:rsidRDefault="00BC1969" w:rsidP="00AF1AFB">
      <w:pPr>
        <w:spacing w:line="360" w:lineRule="auto"/>
        <w:rPr>
          <w:rFonts w:ascii="Times New Roman" w:eastAsia="Calibri" w:hAnsi="Times New Roman" w:cs="Times New Roman"/>
        </w:rPr>
      </w:pPr>
      <w:hyperlink r:id="rId124" w:history="1">
        <w:r w:rsidRPr="00BC1969">
          <w:rPr>
            <w:rFonts w:ascii="Times New Roman" w:eastAsia="Calibri" w:hAnsi="Times New Roman" w:cs="Times New Roman"/>
          </w:rPr>
          <w:t>https://doi.org/10.1115/1.4030069</w:t>
        </w:r>
      </w:hyperlink>
    </w:p>
    <w:p w14:paraId="2513657C" w14:textId="01A9B0A7"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9]</w:t>
      </w:r>
      <w:r w:rsidR="00BC1969" w:rsidRPr="00BC1969">
        <w:rPr>
          <w:rFonts w:ascii="Times New Roman" w:eastAsia="Calibri" w:hAnsi="Times New Roman" w:cs="Times New Roman"/>
        </w:rPr>
        <w:tab/>
        <w:t>Wu, W., Trebing, D., Amsbeck, L., Buck, R., and Pitz-Paal, R., 2015, "Prototype Testing of a Centrifugal Particle Receiver for High-Temperature Concentrating Solar Applications." ASME. </w:t>
      </w:r>
      <w:r w:rsidR="00BC1969" w:rsidRPr="00BC1969">
        <w:rPr>
          <w:rFonts w:ascii="Times New Roman" w:eastAsia="Calibri" w:hAnsi="Times New Roman" w:cs="Times New Roman"/>
          <w:i/>
          <w:iCs/>
        </w:rPr>
        <w:t>J. Sol. Energy Eng</w:t>
      </w:r>
      <w:r w:rsidR="00BC1969" w:rsidRPr="00BC1969">
        <w:rPr>
          <w:rFonts w:ascii="Times New Roman" w:eastAsia="Calibri" w:hAnsi="Times New Roman" w:cs="Times New Roman"/>
        </w:rPr>
        <w:t>., Vol. 137(4), pp. 041011.</w:t>
      </w:r>
    </w:p>
    <w:p w14:paraId="742905CF" w14:textId="491CF8D1" w:rsidR="00BC1969" w:rsidRPr="00BC1969" w:rsidRDefault="00BC1969" w:rsidP="00AF1AFB">
      <w:pPr>
        <w:spacing w:line="360" w:lineRule="auto"/>
        <w:rPr>
          <w:rFonts w:ascii="Times New Roman" w:eastAsia="Calibri" w:hAnsi="Times New Roman" w:cs="Times New Roman"/>
        </w:rPr>
      </w:pPr>
      <w:hyperlink r:id="rId125" w:history="1">
        <w:r w:rsidRPr="00BC1969">
          <w:rPr>
            <w:rFonts w:ascii="Times New Roman" w:eastAsia="Calibri" w:hAnsi="Times New Roman" w:cs="Times New Roman"/>
          </w:rPr>
          <w:t>https://doi.org/10.1115/1.4030657</w:t>
        </w:r>
      </w:hyperlink>
    </w:p>
    <w:p w14:paraId="64D0C624" w14:textId="7762D58B"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10]</w:t>
      </w:r>
      <w:r w:rsidR="00BC1969" w:rsidRPr="00BC1969">
        <w:rPr>
          <w:rFonts w:ascii="Times New Roman" w:eastAsia="Calibri" w:hAnsi="Times New Roman" w:cs="Times New Roman"/>
        </w:rPr>
        <w:tab/>
        <w:t>Siegel, N. P., Ho, C. K., Khalsa, S. S., and Kolb, G. J., 2010, "Development and Evaluation of a Prototype Solid Particle Receiver: On-Sun Testing and Model Validation." ASME. </w:t>
      </w:r>
      <w:r w:rsidR="00BC1969" w:rsidRPr="00BC1969">
        <w:rPr>
          <w:rFonts w:ascii="Times New Roman" w:eastAsia="Calibri" w:hAnsi="Times New Roman" w:cs="Times New Roman"/>
          <w:i/>
          <w:iCs/>
        </w:rPr>
        <w:t>J. Sol. Energy Eng</w:t>
      </w:r>
      <w:r w:rsidR="00BC1969" w:rsidRPr="00BC1969">
        <w:rPr>
          <w:rFonts w:ascii="Times New Roman" w:eastAsia="Calibri" w:hAnsi="Times New Roman" w:cs="Times New Roman"/>
        </w:rPr>
        <w:t>., Vol. 132(2), pp. 021008.</w:t>
      </w:r>
    </w:p>
    <w:p w14:paraId="384E3B4E" w14:textId="5B77277C" w:rsidR="00BC1969" w:rsidRPr="00BC1969" w:rsidRDefault="00BC1969" w:rsidP="00AF1AFB">
      <w:pPr>
        <w:spacing w:line="360" w:lineRule="auto"/>
        <w:rPr>
          <w:rFonts w:ascii="Times New Roman" w:eastAsia="Calibri" w:hAnsi="Times New Roman" w:cs="Times New Roman"/>
        </w:rPr>
      </w:pPr>
      <w:hyperlink r:id="rId126" w:history="1">
        <w:r w:rsidRPr="00BC1969">
          <w:rPr>
            <w:rFonts w:ascii="Times New Roman" w:eastAsia="Calibri" w:hAnsi="Times New Roman" w:cs="Times New Roman"/>
          </w:rPr>
          <w:t>https://doi.org/10.1115/1.4001146</w:t>
        </w:r>
      </w:hyperlink>
    </w:p>
    <w:p w14:paraId="2C45EC37" w14:textId="16F5718B"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11]</w:t>
      </w:r>
      <w:r w:rsidR="00BC1969" w:rsidRPr="00BC1969">
        <w:rPr>
          <w:rFonts w:ascii="Times New Roman" w:eastAsia="Calibri" w:hAnsi="Times New Roman" w:cs="Times New Roman"/>
        </w:rPr>
        <w:tab/>
        <w:t>Pouransari, H., and Mani, A., 2016, "Effects of Preferential Concentration on Heat Transfer in Particle-Based Solar Receivers." ASME. </w:t>
      </w:r>
      <w:r w:rsidR="00BC1969" w:rsidRPr="00BC1969">
        <w:rPr>
          <w:rFonts w:ascii="Times New Roman" w:eastAsia="Calibri" w:hAnsi="Times New Roman" w:cs="Times New Roman"/>
          <w:i/>
          <w:iCs/>
        </w:rPr>
        <w:t>J. Sol. Energy Eng</w:t>
      </w:r>
      <w:r w:rsidR="00BC1969" w:rsidRPr="00BC1969">
        <w:rPr>
          <w:rFonts w:ascii="Times New Roman" w:eastAsia="Calibri" w:hAnsi="Times New Roman" w:cs="Times New Roman"/>
        </w:rPr>
        <w:t>., Vol. 139(2), pp. 021008.</w:t>
      </w:r>
    </w:p>
    <w:p w14:paraId="1183BB65" w14:textId="051D7EE9" w:rsidR="00BC1969" w:rsidRPr="00BC1969" w:rsidRDefault="00BC1969" w:rsidP="00AF1AFB">
      <w:pPr>
        <w:spacing w:line="360" w:lineRule="auto"/>
        <w:rPr>
          <w:rFonts w:ascii="Times New Roman" w:eastAsia="Calibri" w:hAnsi="Times New Roman" w:cs="Times New Roman"/>
        </w:rPr>
      </w:pPr>
      <w:hyperlink r:id="rId127" w:history="1">
        <w:r w:rsidRPr="00BC1969">
          <w:rPr>
            <w:rFonts w:ascii="Times New Roman" w:eastAsia="Calibri" w:hAnsi="Times New Roman" w:cs="Times New Roman"/>
          </w:rPr>
          <w:t>https://doi.org/10.1115/1.4035163</w:t>
        </w:r>
      </w:hyperlink>
    </w:p>
    <w:p w14:paraId="05B8DB20" w14:textId="7CDFEB5B"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12]</w:t>
      </w:r>
      <w:r w:rsidR="00BC1969" w:rsidRPr="00BC1969">
        <w:rPr>
          <w:rFonts w:ascii="Times New Roman" w:eastAsia="Calibri" w:hAnsi="Times New Roman" w:cs="Times New Roman"/>
        </w:rPr>
        <w:tab/>
        <w:t>Ho, C. K., Christian, J. M., Romano, D., Yellowhair, J., Siegel, N., Savoldi, L., and Zanino, R., 2016, "Characterization of Particle Flow in a Free-Falling Solar Particle Receiver." ASME. </w:t>
      </w:r>
      <w:r w:rsidR="00BC1969" w:rsidRPr="00BC1969">
        <w:rPr>
          <w:rFonts w:ascii="Times New Roman" w:eastAsia="Calibri" w:hAnsi="Times New Roman" w:cs="Times New Roman"/>
          <w:i/>
          <w:iCs/>
        </w:rPr>
        <w:t>J. Sol. Energy Eng</w:t>
      </w:r>
      <w:r w:rsidR="00BC1969" w:rsidRPr="00BC1969">
        <w:rPr>
          <w:rFonts w:ascii="Times New Roman" w:eastAsia="Calibri" w:hAnsi="Times New Roman" w:cs="Times New Roman"/>
        </w:rPr>
        <w:t>., Vol. 139(2), pp. 021011.</w:t>
      </w:r>
    </w:p>
    <w:p w14:paraId="1FBB0E67" w14:textId="5A6FBA61" w:rsidR="00BC1969" w:rsidRPr="00BC1969" w:rsidRDefault="00BC1969" w:rsidP="00AF1AFB">
      <w:pPr>
        <w:spacing w:line="360" w:lineRule="auto"/>
        <w:rPr>
          <w:rFonts w:ascii="Times New Roman" w:eastAsia="Calibri" w:hAnsi="Times New Roman" w:cs="Times New Roman"/>
        </w:rPr>
      </w:pPr>
      <w:hyperlink r:id="rId128" w:history="1">
        <w:r w:rsidRPr="00BC1969">
          <w:rPr>
            <w:rFonts w:ascii="Times New Roman" w:eastAsia="Calibri" w:hAnsi="Times New Roman" w:cs="Times New Roman"/>
          </w:rPr>
          <w:t>https://doi.org/10.1115/1.4035258</w:t>
        </w:r>
      </w:hyperlink>
    </w:p>
    <w:p w14:paraId="66244C99" w14:textId="17D78670"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13]</w:t>
      </w:r>
      <w:r w:rsidR="00BC1969" w:rsidRPr="00BC1969">
        <w:rPr>
          <w:rFonts w:ascii="Times New Roman" w:eastAsia="Calibri" w:hAnsi="Times New Roman" w:cs="Times New Roman"/>
        </w:rPr>
        <w:tab/>
        <w:t>Hertel, J.D. and Zunft, S., 2022. Experimental validation of a continuum model for local heat transfer in shell-and-tube moving-bed heat exchangers. </w:t>
      </w:r>
      <w:r w:rsidR="00BC1969" w:rsidRPr="00BC1969">
        <w:rPr>
          <w:rFonts w:ascii="Times New Roman" w:eastAsia="Calibri" w:hAnsi="Times New Roman" w:cs="Times New Roman"/>
          <w:i/>
          <w:iCs/>
        </w:rPr>
        <w:t>Applied Thermal Engineering</w:t>
      </w:r>
      <w:r w:rsidR="00BC1969" w:rsidRPr="00BC1969">
        <w:rPr>
          <w:rFonts w:ascii="Times New Roman" w:eastAsia="Calibri" w:hAnsi="Times New Roman" w:cs="Times New Roman"/>
        </w:rPr>
        <w:t>, </w:t>
      </w:r>
      <w:r w:rsidR="00BC1969" w:rsidRPr="00BC1969">
        <w:rPr>
          <w:rFonts w:ascii="Times New Roman" w:eastAsia="Calibri" w:hAnsi="Times New Roman" w:cs="Times New Roman"/>
          <w:i/>
          <w:iCs/>
        </w:rPr>
        <w:t>206</w:t>
      </w:r>
      <w:r w:rsidR="00BC1969" w:rsidRPr="00BC1969">
        <w:rPr>
          <w:rFonts w:ascii="Times New Roman" w:eastAsia="Calibri" w:hAnsi="Times New Roman" w:cs="Times New Roman"/>
        </w:rPr>
        <w:t>, p.118092.</w:t>
      </w:r>
    </w:p>
    <w:p w14:paraId="199B78DA" w14:textId="4A1E8229" w:rsidR="00BC1969" w:rsidRPr="00BC1969" w:rsidRDefault="00BC1969" w:rsidP="00AF1AFB">
      <w:pPr>
        <w:spacing w:line="360" w:lineRule="auto"/>
        <w:rPr>
          <w:rFonts w:ascii="Times New Roman" w:eastAsia="Calibri" w:hAnsi="Times New Roman" w:cs="Times New Roman"/>
        </w:rPr>
      </w:pPr>
      <w:hyperlink r:id="rId129" w:history="1">
        <w:r w:rsidRPr="00BC1969">
          <w:rPr>
            <w:rFonts w:ascii="Times New Roman" w:eastAsia="Calibri" w:hAnsi="Times New Roman" w:cs="Times New Roman"/>
          </w:rPr>
          <w:t>https://doi.org/10.1016/j.applthermaleng.2022.118092</w:t>
        </w:r>
      </w:hyperlink>
    </w:p>
    <w:p w14:paraId="7C7812EA" w14:textId="28F7D529"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14]</w:t>
      </w:r>
      <w:r w:rsidR="00BC1969" w:rsidRPr="00BC1969">
        <w:rPr>
          <w:rFonts w:ascii="Times New Roman" w:eastAsia="Calibri" w:hAnsi="Times New Roman" w:cs="Times New Roman"/>
        </w:rPr>
        <w:tab/>
        <w:t>Tian, X., Guo, Z., Jia, H., Yang, J. and Wang, Q., 2021. Numerical investigation of a new type tube for shell-and-tube moving packed bed heat exchanger. </w:t>
      </w:r>
      <w:r w:rsidR="00BC1969" w:rsidRPr="00BC1969">
        <w:rPr>
          <w:rFonts w:ascii="Times New Roman" w:eastAsia="Calibri" w:hAnsi="Times New Roman" w:cs="Times New Roman"/>
          <w:i/>
          <w:iCs/>
        </w:rPr>
        <w:t>Powder Technology</w:t>
      </w:r>
      <w:r w:rsidR="00BC1969" w:rsidRPr="00BC1969">
        <w:rPr>
          <w:rFonts w:ascii="Times New Roman" w:eastAsia="Calibri" w:hAnsi="Times New Roman" w:cs="Times New Roman"/>
        </w:rPr>
        <w:t>, </w:t>
      </w:r>
      <w:r w:rsidR="00BC1969" w:rsidRPr="00BC1969">
        <w:rPr>
          <w:rFonts w:ascii="Times New Roman" w:eastAsia="Calibri" w:hAnsi="Times New Roman" w:cs="Times New Roman"/>
          <w:i/>
          <w:iCs/>
        </w:rPr>
        <w:t>394</w:t>
      </w:r>
      <w:r w:rsidR="00BC1969" w:rsidRPr="00BC1969">
        <w:rPr>
          <w:rFonts w:ascii="Times New Roman" w:eastAsia="Calibri" w:hAnsi="Times New Roman" w:cs="Times New Roman"/>
        </w:rPr>
        <w:t>, pp.584-596.</w:t>
      </w:r>
    </w:p>
    <w:p w14:paraId="257AA567" w14:textId="7804DDBA" w:rsidR="00BC1969" w:rsidRPr="00BC1969" w:rsidRDefault="00BC1969" w:rsidP="00AF1AFB">
      <w:pPr>
        <w:spacing w:line="360" w:lineRule="auto"/>
        <w:rPr>
          <w:rFonts w:ascii="Times New Roman" w:eastAsia="Calibri" w:hAnsi="Times New Roman" w:cs="Times New Roman"/>
        </w:rPr>
      </w:pPr>
      <w:hyperlink r:id="rId130" w:history="1">
        <w:r w:rsidRPr="00BC1969">
          <w:rPr>
            <w:rFonts w:ascii="Times New Roman" w:eastAsia="Calibri" w:hAnsi="Times New Roman" w:cs="Times New Roman"/>
          </w:rPr>
          <w:t>https://doi.org/10.1016/j.powtec.2021.08.080</w:t>
        </w:r>
      </w:hyperlink>
    </w:p>
    <w:p w14:paraId="6D2826C6" w14:textId="4C870FEA"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15]</w:t>
      </w:r>
      <w:r w:rsidR="00BC1969" w:rsidRPr="00BC1969">
        <w:rPr>
          <w:rFonts w:ascii="Times New Roman" w:eastAsia="Calibri" w:hAnsi="Times New Roman" w:cs="Times New Roman"/>
        </w:rPr>
        <w:tab/>
        <w:t>Maskalunas, J., Nellis, G. and Anderson, M., 2022. The heat transfer coefficient associated with a moving packed bed of silica particles flowing through parallel plates. </w:t>
      </w:r>
      <w:r w:rsidR="00BC1969" w:rsidRPr="00BC1969">
        <w:rPr>
          <w:rFonts w:ascii="Times New Roman" w:eastAsia="Calibri" w:hAnsi="Times New Roman" w:cs="Times New Roman"/>
          <w:i/>
          <w:iCs/>
        </w:rPr>
        <w:t>Solar Energy</w:t>
      </w:r>
      <w:r w:rsidR="00BC1969" w:rsidRPr="00BC1969">
        <w:rPr>
          <w:rFonts w:ascii="Times New Roman" w:eastAsia="Calibri" w:hAnsi="Times New Roman" w:cs="Times New Roman"/>
        </w:rPr>
        <w:t>, </w:t>
      </w:r>
      <w:r w:rsidR="00BC1969" w:rsidRPr="00BC1969">
        <w:rPr>
          <w:rFonts w:ascii="Times New Roman" w:eastAsia="Calibri" w:hAnsi="Times New Roman" w:cs="Times New Roman"/>
          <w:i/>
          <w:iCs/>
        </w:rPr>
        <w:t>234</w:t>
      </w:r>
      <w:r w:rsidR="00BC1969" w:rsidRPr="00BC1969">
        <w:rPr>
          <w:rFonts w:ascii="Times New Roman" w:eastAsia="Calibri" w:hAnsi="Times New Roman" w:cs="Times New Roman"/>
        </w:rPr>
        <w:t>, pp.294-303.</w:t>
      </w:r>
    </w:p>
    <w:p w14:paraId="38646946" w14:textId="3CD66B2E" w:rsidR="00BC1969" w:rsidRPr="00BC1969" w:rsidRDefault="00BC1969" w:rsidP="00AF1AFB">
      <w:pPr>
        <w:spacing w:line="360" w:lineRule="auto"/>
        <w:rPr>
          <w:rFonts w:ascii="Times New Roman" w:eastAsia="Calibri" w:hAnsi="Times New Roman" w:cs="Times New Roman"/>
        </w:rPr>
      </w:pPr>
      <w:hyperlink r:id="rId131" w:history="1">
        <w:r w:rsidRPr="00BC1969">
          <w:rPr>
            <w:rFonts w:ascii="Times New Roman" w:eastAsia="Calibri" w:hAnsi="Times New Roman" w:cs="Times New Roman"/>
          </w:rPr>
          <w:t>https://doi.org/10.1016/j.solener.2022.01.052</w:t>
        </w:r>
      </w:hyperlink>
    </w:p>
    <w:p w14:paraId="7F277945" w14:textId="155540AC"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16]</w:t>
      </w:r>
      <w:r w:rsidR="00BC1969" w:rsidRPr="00BC1969">
        <w:rPr>
          <w:rFonts w:ascii="Times New Roman" w:eastAsia="Calibri" w:hAnsi="Times New Roman" w:cs="Times New Roman"/>
        </w:rPr>
        <w:tab/>
        <w:t>Ho, C. K., Carlson, M., Albrecht, K. J., Ma, Z., Jeter, S., and Nguyen, C. M., 2019, "Evaluation of Alternative Designs for a High Temperature Particle-to-sCO</w:t>
      </w:r>
      <w:r w:rsidR="00BC1969" w:rsidRPr="00BC1969">
        <w:rPr>
          <w:rFonts w:ascii="Times New Roman" w:eastAsia="Calibri" w:hAnsi="Times New Roman" w:cs="Times New Roman"/>
          <w:vertAlign w:val="subscript"/>
        </w:rPr>
        <w:t>2</w:t>
      </w:r>
      <w:r w:rsidR="00BC1969" w:rsidRPr="00BC1969">
        <w:rPr>
          <w:rFonts w:ascii="Times New Roman" w:eastAsia="Calibri" w:hAnsi="Times New Roman" w:cs="Times New Roman"/>
        </w:rPr>
        <w:t> Heat Exchanger." ASME. </w:t>
      </w:r>
      <w:r w:rsidR="00BC1969" w:rsidRPr="00BC1969">
        <w:rPr>
          <w:rFonts w:ascii="Times New Roman" w:eastAsia="Calibri" w:hAnsi="Times New Roman" w:cs="Times New Roman"/>
          <w:i/>
          <w:iCs/>
        </w:rPr>
        <w:t>J. Sol. Energy Eng</w:t>
      </w:r>
      <w:r w:rsidR="00BC1969" w:rsidRPr="00BC1969">
        <w:rPr>
          <w:rFonts w:ascii="Times New Roman" w:eastAsia="Calibri" w:hAnsi="Times New Roman" w:cs="Times New Roman"/>
        </w:rPr>
        <w:t>., Vol. 141(2), pp. 021001.</w:t>
      </w:r>
    </w:p>
    <w:p w14:paraId="286439EA" w14:textId="47B8266D" w:rsidR="00BC1969" w:rsidRPr="00BC1969" w:rsidRDefault="00BC1969" w:rsidP="00AF1AFB">
      <w:pPr>
        <w:spacing w:line="360" w:lineRule="auto"/>
        <w:rPr>
          <w:rFonts w:ascii="Times New Roman" w:eastAsia="Calibri" w:hAnsi="Times New Roman" w:cs="Times New Roman"/>
        </w:rPr>
      </w:pPr>
      <w:hyperlink r:id="rId132" w:history="1">
        <w:r w:rsidRPr="00BC1969">
          <w:rPr>
            <w:rFonts w:ascii="Times New Roman" w:eastAsia="Calibri" w:hAnsi="Times New Roman" w:cs="Times New Roman"/>
          </w:rPr>
          <w:t>https://doi.org/10.1115/1.4042225</w:t>
        </w:r>
      </w:hyperlink>
    </w:p>
    <w:p w14:paraId="280E8493" w14:textId="1E11A6E3"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17]</w:t>
      </w:r>
      <w:r w:rsidR="00BC1969" w:rsidRPr="00BC1969">
        <w:rPr>
          <w:rFonts w:ascii="Times New Roman" w:eastAsia="Calibri" w:hAnsi="Times New Roman" w:cs="Times New Roman"/>
        </w:rPr>
        <w:tab/>
        <w:t>Kaur, I. and Singh, P., 2020. Flow and thermal transport through unit cell topologies of cubic and octahedron families. </w:t>
      </w:r>
      <w:r w:rsidR="00BC1969" w:rsidRPr="00BC1969">
        <w:rPr>
          <w:rFonts w:ascii="Times New Roman" w:eastAsia="Calibri" w:hAnsi="Times New Roman" w:cs="Times New Roman"/>
          <w:i/>
          <w:iCs/>
        </w:rPr>
        <w:t>International Journal of Heat and Mass Transfer</w:t>
      </w:r>
      <w:r w:rsidR="00BC1969" w:rsidRPr="00BC1969">
        <w:rPr>
          <w:rFonts w:ascii="Times New Roman" w:eastAsia="Calibri" w:hAnsi="Times New Roman" w:cs="Times New Roman"/>
        </w:rPr>
        <w:t>, </w:t>
      </w:r>
      <w:r w:rsidR="00BC1969" w:rsidRPr="00BC1969">
        <w:rPr>
          <w:rFonts w:ascii="Times New Roman" w:eastAsia="Calibri" w:hAnsi="Times New Roman" w:cs="Times New Roman"/>
          <w:i/>
          <w:iCs/>
        </w:rPr>
        <w:t>158</w:t>
      </w:r>
      <w:r w:rsidR="00BC1969" w:rsidRPr="00BC1969">
        <w:rPr>
          <w:rFonts w:ascii="Times New Roman" w:eastAsia="Calibri" w:hAnsi="Times New Roman" w:cs="Times New Roman"/>
        </w:rPr>
        <w:t>, p.119784.</w:t>
      </w:r>
    </w:p>
    <w:p w14:paraId="5000C894" w14:textId="683B7903" w:rsidR="00BC1969" w:rsidRPr="00BC1969" w:rsidRDefault="00BC1969" w:rsidP="00AF1AFB">
      <w:pPr>
        <w:spacing w:line="360" w:lineRule="auto"/>
        <w:rPr>
          <w:rFonts w:ascii="Times New Roman" w:eastAsia="Calibri" w:hAnsi="Times New Roman" w:cs="Times New Roman"/>
        </w:rPr>
      </w:pPr>
      <w:hyperlink r:id="rId133" w:history="1">
        <w:r w:rsidRPr="00BC1969">
          <w:rPr>
            <w:rFonts w:ascii="Times New Roman" w:eastAsia="Calibri" w:hAnsi="Times New Roman" w:cs="Times New Roman"/>
          </w:rPr>
          <w:t>https://doi.org/10.1016/j.ijheatmasstransfer.2020.119784</w:t>
        </w:r>
      </w:hyperlink>
    </w:p>
    <w:p w14:paraId="491BB30D" w14:textId="69C23FF2"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18]</w:t>
      </w:r>
      <w:r w:rsidR="00BC1969" w:rsidRPr="00BC1969">
        <w:rPr>
          <w:rFonts w:ascii="Times New Roman" w:eastAsia="Calibri" w:hAnsi="Times New Roman" w:cs="Times New Roman"/>
        </w:rPr>
        <w:tab/>
        <w:t>Kaur, I. and Singh, P., 2021. Endwall heat transfer characteristics of octahedron family lattice-frame materials. </w:t>
      </w:r>
      <w:r w:rsidR="00BC1969" w:rsidRPr="00BC1969">
        <w:rPr>
          <w:rFonts w:ascii="Times New Roman" w:eastAsia="Calibri" w:hAnsi="Times New Roman" w:cs="Times New Roman"/>
          <w:i/>
          <w:iCs/>
        </w:rPr>
        <w:t>International Communications in Heat and Mass Transfer</w:t>
      </w:r>
      <w:r w:rsidR="00BC1969" w:rsidRPr="00BC1969">
        <w:rPr>
          <w:rFonts w:ascii="Times New Roman" w:eastAsia="Calibri" w:hAnsi="Times New Roman" w:cs="Times New Roman"/>
        </w:rPr>
        <w:t>, </w:t>
      </w:r>
      <w:r w:rsidR="00BC1969" w:rsidRPr="00BC1969">
        <w:rPr>
          <w:rFonts w:ascii="Times New Roman" w:eastAsia="Calibri" w:hAnsi="Times New Roman" w:cs="Times New Roman"/>
          <w:i/>
          <w:iCs/>
        </w:rPr>
        <w:t>127</w:t>
      </w:r>
      <w:r w:rsidR="00BC1969" w:rsidRPr="00BC1969">
        <w:rPr>
          <w:rFonts w:ascii="Times New Roman" w:eastAsia="Calibri" w:hAnsi="Times New Roman" w:cs="Times New Roman"/>
        </w:rPr>
        <w:t>, p.105522.</w:t>
      </w:r>
    </w:p>
    <w:p w14:paraId="46B0D908" w14:textId="709E7EBF" w:rsidR="00BC1969" w:rsidRPr="00BC1969" w:rsidRDefault="00BC1969" w:rsidP="00AF1AFB">
      <w:pPr>
        <w:spacing w:line="360" w:lineRule="auto"/>
        <w:rPr>
          <w:rFonts w:ascii="Times New Roman" w:eastAsia="Calibri" w:hAnsi="Times New Roman" w:cs="Times New Roman"/>
        </w:rPr>
      </w:pPr>
      <w:hyperlink r:id="rId134" w:history="1">
        <w:r w:rsidRPr="00BC1969">
          <w:rPr>
            <w:rFonts w:ascii="Times New Roman" w:eastAsia="Calibri" w:hAnsi="Times New Roman" w:cs="Times New Roman"/>
          </w:rPr>
          <w:t>https://doi.org/10.1016/j.icheatmasstransfer.2021.105522</w:t>
        </w:r>
      </w:hyperlink>
    </w:p>
    <w:p w14:paraId="0982E38C" w14:textId="3BBA023D"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lastRenderedPageBreak/>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19]</w:t>
      </w:r>
      <w:r w:rsidR="00BC1969" w:rsidRPr="00BC1969">
        <w:rPr>
          <w:rFonts w:ascii="Times New Roman" w:eastAsia="Calibri" w:hAnsi="Times New Roman" w:cs="Times New Roman"/>
        </w:rPr>
        <w:tab/>
        <w:t>Kaur, I. and Singh, P., 2021. Numerical investigation on conjugate heat transfer in octet-shape-based single unit cell thick metal foam. </w:t>
      </w:r>
      <w:r w:rsidR="00BC1969" w:rsidRPr="00BC1969">
        <w:rPr>
          <w:rFonts w:ascii="Times New Roman" w:eastAsia="Calibri" w:hAnsi="Times New Roman" w:cs="Times New Roman"/>
          <w:i/>
          <w:iCs/>
        </w:rPr>
        <w:t>International Communications in Heat and Mass Transfer</w:t>
      </w:r>
      <w:r w:rsidR="00BC1969" w:rsidRPr="00BC1969">
        <w:rPr>
          <w:rFonts w:ascii="Times New Roman" w:eastAsia="Calibri" w:hAnsi="Times New Roman" w:cs="Times New Roman"/>
        </w:rPr>
        <w:t>, </w:t>
      </w:r>
      <w:r w:rsidR="00BC1969" w:rsidRPr="00BC1969">
        <w:rPr>
          <w:rFonts w:ascii="Times New Roman" w:eastAsia="Calibri" w:hAnsi="Times New Roman" w:cs="Times New Roman"/>
          <w:i/>
          <w:iCs/>
        </w:rPr>
        <w:t>121</w:t>
      </w:r>
      <w:r w:rsidR="00BC1969" w:rsidRPr="00BC1969">
        <w:rPr>
          <w:rFonts w:ascii="Times New Roman" w:eastAsia="Calibri" w:hAnsi="Times New Roman" w:cs="Times New Roman"/>
        </w:rPr>
        <w:t>, p.105090.</w:t>
      </w:r>
    </w:p>
    <w:p w14:paraId="7D602AF4" w14:textId="18C05EB1" w:rsidR="00BC1969" w:rsidRPr="00BC1969" w:rsidRDefault="00BC1969" w:rsidP="00AF1AFB">
      <w:pPr>
        <w:spacing w:line="360" w:lineRule="auto"/>
        <w:rPr>
          <w:rFonts w:ascii="Times New Roman" w:eastAsia="Calibri" w:hAnsi="Times New Roman" w:cs="Times New Roman"/>
        </w:rPr>
      </w:pPr>
      <w:hyperlink r:id="rId135" w:history="1">
        <w:r w:rsidRPr="00BC1969">
          <w:rPr>
            <w:rFonts w:ascii="Times New Roman" w:eastAsia="Calibri" w:hAnsi="Times New Roman" w:cs="Times New Roman"/>
          </w:rPr>
          <w:t>https://doi.org/10.1016/j.icheatmasstransfer.2020.105090</w:t>
        </w:r>
      </w:hyperlink>
    </w:p>
    <w:p w14:paraId="6D5CBC36" w14:textId="6CE1C28E"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20]</w:t>
      </w:r>
      <w:r w:rsidR="00BC1969" w:rsidRPr="00BC1969">
        <w:rPr>
          <w:rFonts w:ascii="Times New Roman" w:eastAsia="Calibri" w:hAnsi="Times New Roman" w:cs="Times New Roman"/>
        </w:rPr>
        <w:tab/>
        <w:t>Kaur, I., Aider, Y., Nithyanandam, K. and Singh, P., 2022. Thermal-hydraulic performance of additively manufactured lattices for gas turbine blade trailing edge cooling. </w:t>
      </w:r>
      <w:r w:rsidR="00BC1969" w:rsidRPr="00BC1969">
        <w:rPr>
          <w:rFonts w:ascii="Times New Roman" w:eastAsia="Calibri" w:hAnsi="Times New Roman" w:cs="Times New Roman"/>
          <w:i/>
          <w:iCs/>
        </w:rPr>
        <w:t>Applied Thermal Engineering</w:t>
      </w:r>
      <w:r w:rsidR="00BC1969" w:rsidRPr="00BC1969">
        <w:rPr>
          <w:rFonts w:ascii="Times New Roman" w:eastAsia="Calibri" w:hAnsi="Times New Roman" w:cs="Times New Roman"/>
        </w:rPr>
        <w:t>, </w:t>
      </w:r>
      <w:r w:rsidR="00BC1969" w:rsidRPr="00BC1969">
        <w:rPr>
          <w:rFonts w:ascii="Times New Roman" w:eastAsia="Calibri" w:hAnsi="Times New Roman" w:cs="Times New Roman"/>
          <w:i/>
          <w:iCs/>
        </w:rPr>
        <w:t>211</w:t>
      </w:r>
      <w:r w:rsidR="00BC1969" w:rsidRPr="00BC1969">
        <w:rPr>
          <w:rFonts w:ascii="Times New Roman" w:eastAsia="Calibri" w:hAnsi="Times New Roman" w:cs="Times New Roman"/>
        </w:rPr>
        <w:t>, p.118461.</w:t>
      </w:r>
    </w:p>
    <w:p w14:paraId="19AD6146" w14:textId="61D18125" w:rsidR="00BC1969" w:rsidRPr="00BC1969" w:rsidRDefault="00BC1969" w:rsidP="00AF1AFB">
      <w:pPr>
        <w:spacing w:line="360" w:lineRule="auto"/>
        <w:rPr>
          <w:rFonts w:ascii="Times New Roman" w:eastAsia="Calibri" w:hAnsi="Times New Roman" w:cs="Times New Roman"/>
        </w:rPr>
      </w:pPr>
      <w:hyperlink r:id="rId136" w:history="1">
        <w:r w:rsidRPr="00BC1969">
          <w:rPr>
            <w:rFonts w:ascii="Times New Roman" w:eastAsia="Calibri" w:hAnsi="Times New Roman" w:cs="Times New Roman"/>
          </w:rPr>
          <w:t>https://doi.org/10.1016/j.applthermaleng.2022.118461</w:t>
        </w:r>
      </w:hyperlink>
    </w:p>
    <w:p w14:paraId="2B79856F" w14:textId="751A0EC0" w:rsidR="00BC1969" w:rsidRPr="00BC1969" w:rsidRDefault="00C544AE" w:rsidP="00AF1AFB">
      <w:pPr>
        <w:spacing w:line="360" w:lineRule="auto"/>
        <w:rPr>
          <w:rFonts w:ascii="Times New Roman" w:eastAsia="Calibri" w:hAnsi="Times New Roman" w:cs="Times New Roman"/>
        </w:rPr>
      </w:pPr>
      <w:r w:rsidRPr="00AF1AFB">
        <w:rPr>
          <w:rFonts w:ascii="Times New Roman" w:eastAsia="Calibri" w:hAnsi="Times New Roman" w:cs="Times New Roman"/>
        </w:rPr>
        <w:t>[5</w:t>
      </w:r>
      <w:r w:rsidR="00BC1969" w:rsidRPr="00AF1AFB">
        <w:rPr>
          <w:rFonts w:ascii="Times New Roman" w:eastAsia="Calibri" w:hAnsi="Times New Roman" w:cs="Times New Roman"/>
        </w:rPr>
        <w:t>.</w:t>
      </w:r>
      <w:r w:rsidR="00BC1969" w:rsidRPr="00BC1969">
        <w:rPr>
          <w:rFonts w:ascii="Times New Roman" w:eastAsia="Calibri" w:hAnsi="Times New Roman" w:cs="Times New Roman"/>
        </w:rPr>
        <w:t>21]</w:t>
      </w:r>
      <w:r w:rsidR="00BC1969" w:rsidRPr="00BC1969">
        <w:rPr>
          <w:rFonts w:ascii="Times New Roman" w:eastAsia="Calibri" w:hAnsi="Times New Roman" w:cs="Times New Roman"/>
        </w:rPr>
        <w:tab/>
        <w:t>Aider, Y., Kaur, I., Cho, H. and Singh, P., 2022. Periodic heat transfer characteristics of additively manufactured lattices. </w:t>
      </w:r>
      <w:r w:rsidR="00BC1969" w:rsidRPr="00BC1969">
        <w:rPr>
          <w:rFonts w:ascii="Times New Roman" w:eastAsia="Calibri" w:hAnsi="Times New Roman" w:cs="Times New Roman"/>
          <w:i/>
          <w:iCs/>
        </w:rPr>
        <w:t>International Journal of Heat and Mass Transfer</w:t>
      </w:r>
      <w:r w:rsidR="00BC1969" w:rsidRPr="00BC1969">
        <w:rPr>
          <w:rFonts w:ascii="Times New Roman" w:eastAsia="Calibri" w:hAnsi="Times New Roman" w:cs="Times New Roman"/>
        </w:rPr>
        <w:t>, </w:t>
      </w:r>
      <w:r w:rsidR="00BC1969" w:rsidRPr="00BC1969">
        <w:rPr>
          <w:rFonts w:ascii="Times New Roman" w:eastAsia="Calibri" w:hAnsi="Times New Roman" w:cs="Times New Roman"/>
          <w:i/>
          <w:iCs/>
        </w:rPr>
        <w:t>189</w:t>
      </w:r>
      <w:r w:rsidR="00BC1969" w:rsidRPr="00BC1969">
        <w:rPr>
          <w:rFonts w:ascii="Times New Roman" w:eastAsia="Calibri" w:hAnsi="Times New Roman" w:cs="Times New Roman"/>
        </w:rPr>
        <w:t>, p.122692.</w:t>
      </w:r>
    </w:p>
    <w:p w14:paraId="7000C658" w14:textId="6562AB9C" w:rsidR="00BC1969" w:rsidRPr="00BC1969" w:rsidRDefault="00BC1969" w:rsidP="00AF1AFB">
      <w:pPr>
        <w:spacing w:line="360" w:lineRule="auto"/>
        <w:rPr>
          <w:rFonts w:ascii="Times New Roman" w:eastAsia="Calibri" w:hAnsi="Times New Roman" w:cs="Times New Roman"/>
        </w:rPr>
      </w:pPr>
      <w:hyperlink r:id="rId137" w:history="1">
        <w:r w:rsidRPr="00BC1969">
          <w:rPr>
            <w:rFonts w:ascii="Times New Roman" w:eastAsia="Calibri" w:hAnsi="Times New Roman" w:cs="Times New Roman"/>
          </w:rPr>
          <w:t>https://doi.org/10.1016/j.ijheatmasstransfer.2022.122692</w:t>
        </w:r>
      </w:hyperlink>
    </w:p>
    <w:p w14:paraId="68C601B2" w14:textId="77777777" w:rsidR="00BC1969" w:rsidRPr="00BC1969" w:rsidRDefault="00BC1969" w:rsidP="00AF1AFB">
      <w:pPr>
        <w:spacing w:line="360" w:lineRule="auto"/>
        <w:rPr>
          <w:rFonts w:ascii="Times New Roman" w:eastAsia="Calibri" w:hAnsi="Times New Roman" w:cs="Times New Roman"/>
        </w:rPr>
      </w:pPr>
      <w:r w:rsidRPr="00BC1969">
        <w:rPr>
          <w:rFonts w:ascii="Times New Roman" w:eastAsia="Calibri" w:hAnsi="Times New Roman" w:cs="Times New Roman"/>
        </w:rPr>
        <w:t>[22]</w:t>
      </w:r>
      <w:r w:rsidRPr="00BC1969">
        <w:rPr>
          <w:rFonts w:ascii="Times New Roman" w:eastAsia="Calibri" w:hAnsi="Times New Roman" w:cs="Times New Roman"/>
        </w:rPr>
        <w:tab/>
        <w:t>Kaur, I., Mahajan, R.L. and Singh, P., 2023. Generalized correlation for effective thermal conductivity of high porosity architectured materials and metal foams. </w:t>
      </w:r>
      <w:r w:rsidRPr="00BC1969">
        <w:rPr>
          <w:rFonts w:ascii="Times New Roman" w:eastAsia="Calibri" w:hAnsi="Times New Roman" w:cs="Times New Roman"/>
          <w:i/>
          <w:iCs/>
        </w:rPr>
        <w:t>International Journal of Heat and Mass Transfer</w:t>
      </w:r>
      <w:r w:rsidRPr="00BC1969">
        <w:rPr>
          <w:rFonts w:ascii="Times New Roman" w:eastAsia="Calibri" w:hAnsi="Times New Roman" w:cs="Times New Roman"/>
        </w:rPr>
        <w:t>, </w:t>
      </w:r>
      <w:r w:rsidRPr="00BC1969">
        <w:rPr>
          <w:rFonts w:ascii="Times New Roman" w:eastAsia="Calibri" w:hAnsi="Times New Roman" w:cs="Times New Roman"/>
          <w:i/>
          <w:iCs/>
        </w:rPr>
        <w:t>200</w:t>
      </w:r>
      <w:r w:rsidRPr="00BC1969">
        <w:rPr>
          <w:rFonts w:ascii="Times New Roman" w:eastAsia="Calibri" w:hAnsi="Times New Roman" w:cs="Times New Roman"/>
        </w:rPr>
        <w:t>, p.123512.</w:t>
      </w:r>
    </w:p>
    <w:p w14:paraId="0F3C00E1" w14:textId="627F8706" w:rsidR="00BC1969" w:rsidRPr="00BC1969" w:rsidRDefault="00BC1969" w:rsidP="00AF1AFB">
      <w:pPr>
        <w:spacing w:line="360" w:lineRule="auto"/>
        <w:rPr>
          <w:rFonts w:ascii="Times New Roman" w:eastAsia="Calibri" w:hAnsi="Times New Roman" w:cs="Times New Roman"/>
        </w:rPr>
      </w:pPr>
      <w:hyperlink r:id="rId138" w:history="1">
        <w:r w:rsidRPr="00BC1969">
          <w:rPr>
            <w:rFonts w:ascii="Times New Roman" w:eastAsia="Calibri" w:hAnsi="Times New Roman" w:cs="Times New Roman"/>
          </w:rPr>
          <w:t>https://doi.org/10.1016/j.ijheatmasstransfer.2022.123512</w:t>
        </w:r>
      </w:hyperlink>
    </w:p>
    <w:p w14:paraId="0BFA6AD8" w14:textId="77777777" w:rsidR="00BC1969" w:rsidRPr="00BC1969" w:rsidRDefault="00BC1969" w:rsidP="00AF1AFB">
      <w:pPr>
        <w:spacing w:line="360" w:lineRule="auto"/>
        <w:rPr>
          <w:rFonts w:ascii="Times New Roman" w:eastAsia="Calibri" w:hAnsi="Times New Roman" w:cs="Times New Roman"/>
        </w:rPr>
      </w:pPr>
      <w:r w:rsidRPr="00BC1969">
        <w:rPr>
          <w:rFonts w:ascii="Times New Roman" w:eastAsia="Calibri" w:hAnsi="Times New Roman" w:cs="Times New Roman"/>
        </w:rPr>
        <w:t>[23]</w:t>
      </w:r>
      <w:r w:rsidRPr="00BC1969">
        <w:rPr>
          <w:rFonts w:ascii="Times New Roman" w:eastAsia="Calibri" w:hAnsi="Times New Roman" w:cs="Times New Roman"/>
        </w:rPr>
        <w:tab/>
        <w:t>Chung, K.M., Zeng, J., Adapa, S.R., Feng, T., Bagepalli, M.V., Loutzenhiser, P.G., Albrecht, K.J., Ho, C.K. and Chen, R., 2021. Measurement and analysis of thermal conductivity of ceramic particle beds for solar thermal energy storage. </w:t>
      </w:r>
      <w:r w:rsidRPr="00BC1969">
        <w:rPr>
          <w:rFonts w:ascii="Times New Roman" w:eastAsia="Calibri" w:hAnsi="Times New Roman" w:cs="Times New Roman"/>
          <w:i/>
          <w:iCs/>
        </w:rPr>
        <w:t>Solar Energy Materials and Solar Cells</w:t>
      </w:r>
      <w:r w:rsidRPr="00BC1969">
        <w:rPr>
          <w:rFonts w:ascii="Times New Roman" w:eastAsia="Calibri" w:hAnsi="Times New Roman" w:cs="Times New Roman"/>
        </w:rPr>
        <w:t>, </w:t>
      </w:r>
      <w:r w:rsidRPr="00BC1969">
        <w:rPr>
          <w:rFonts w:ascii="Times New Roman" w:eastAsia="Calibri" w:hAnsi="Times New Roman" w:cs="Times New Roman"/>
          <w:i/>
          <w:iCs/>
        </w:rPr>
        <w:t>230</w:t>
      </w:r>
      <w:r w:rsidRPr="00BC1969">
        <w:rPr>
          <w:rFonts w:ascii="Times New Roman" w:eastAsia="Calibri" w:hAnsi="Times New Roman" w:cs="Times New Roman"/>
        </w:rPr>
        <w:t>, p.111271.</w:t>
      </w:r>
    </w:p>
    <w:p w14:paraId="20E18F4D" w14:textId="3188D745" w:rsidR="00BC1969" w:rsidRPr="00BC1969" w:rsidRDefault="00BC1969" w:rsidP="00AF1AFB">
      <w:pPr>
        <w:spacing w:line="360" w:lineRule="auto"/>
        <w:rPr>
          <w:rFonts w:ascii="Times New Roman" w:eastAsia="Calibri" w:hAnsi="Times New Roman" w:cs="Times New Roman"/>
        </w:rPr>
      </w:pPr>
      <w:hyperlink r:id="rId139" w:history="1">
        <w:r w:rsidRPr="00BC1969">
          <w:rPr>
            <w:rFonts w:ascii="Times New Roman" w:eastAsia="Calibri" w:hAnsi="Times New Roman" w:cs="Times New Roman"/>
          </w:rPr>
          <w:t>https://doi.org/10.1016/j.solmat.2021.111271</w:t>
        </w:r>
      </w:hyperlink>
    </w:p>
    <w:p w14:paraId="0843449C" w14:textId="77777777" w:rsidR="00BC1969" w:rsidRPr="00BC1969" w:rsidRDefault="00BC1969" w:rsidP="00AF1AFB">
      <w:pPr>
        <w:spacing w:line="360" w:lineRule="auto"/>
        <w:rPr>
          <w:rFonts w:ascii="Times New Roman" w:eastAsia="Calibri" w:hAnsi="Times New Roman" w:cs="Times New Roman"/>
        </w:rPr>
      </w:pPr>
      <w:r w:rsidRPr="00BC1969">
        <w:rPr>
          <w:rFonts w:ascii="Times New Roman" w:eastAsia="Calibri" w:hAnsi="Times New Roman" w:cs="Times New Roman"/>
        </w:rPr>
        <w:t>[24]</w:t>
      </w:r>
      <w:r w:rsidRPr="00BC1969">
        <w:rPr>
          <w:rFonts w:ascii="Times New Roman" w:eastAsia="Calibri" w:hAnsi="Times New Roman" w:cs="Times New Roman"/>
        </w:rPr>
        <w:tab/>
        <w:t>Chen, C., Yang, C., Ranjan, D., Loutzenhiser, P.G. and Zhang, Z.M., 2020. Spectral radiative properties of ceramic particles for concentrated solar thermal energy storage applications. </w:t>
      </w:r>
      <w:r w:rsidRPr="00BC1969">
        <w:rPr>
          <w:rFonts w:ascii="Times New Roman" w:eastAsia="Calibri" w:hAnsi="Times New Roman" w:cs="Times New Roman"/>
          <w:i/>
          <w:iCs/>
        </w:rPr>
        <w:t>International Journal of Thermophysics</w:t>
      </w:r>
      <w:r w:rsidRPr="00BC1969">
        <w:rPr>
          <w:rFonts w:ascii="Times New Roman" w:eastAsia="Calibri" w:hAnsi="Times New Roman" w:cs="Times New Roman"/>
        </w:rPr>
        <w:t>, </w:t>
      </w:r>
      <w:r w:rsidRPr="00BC1969">
        <w:rPr>
          <w:rFonts w:ascii="Times New Roman" w:eastAsia="Calibri" w:hAnsi="Times New Roman" w:cs="Times New Roman"/>
          <w:i/>
          <w:iCs/>
        </w:rPr>
        <w:t>41</w:t>
      </w:r>
      <w:r w:rsidRPr="00BC1969">
        <w:rPr>
          <w:rFonts w:ascii="Times New Roman" w:eastAsia="Calibri" w:hAnsi="Times New Roman" w:cs="Times New Roman"/>
        </w:rPr>
        <w:t>, pp.1-25.</w:t>
      </w:r>
    </w:p>
    <w:p w14:paraId="17ABBAAA" w14:textId="3824323D" w:rsidR="00BC1969" w:rsidRPr="00BC1969" w:rsidRDefault="00BC1969" w:rsidP="00AF1AFB">
      <w:pPr>
        <w:spacing w:line="360" w:lineRule="auto"/>
        <w:rPr>
          <w:rFonts w:ascii="Times New Roman" w:eastAsia="Calibri" w:hAnsi="Times New Roman" w:cs="Times New Roman"/>
        </w:rPr>
      </w:pPr>
      <w:hyperlink r:id="rId140" w:history="1">
        <w:r w:rsidRPr="00BC1969">
          <w:rPr>
            <w:rFonts w:ascii="Times New Roman" w:eastAsia="Calibri" w:hAnsi="Times New Roman" w:cs="Times New Roman"/>
          </w:rPr>
          <w:t>https://doi.org/10.1007/s10765-020-02733-5</w:t>
        </w:r>
      </w:hyperlink>
    </w:p>
    <w:p w14:paraId="3224C2C2" w14:textId="77777777" w:rsidR="00BC1969" w:rsidRPr="00BC1969" w:rsidRDefault="00BC1969" w:rsidP="00AF1AFB">
      <w:pPr>
        <w:spacing w:line="360" w:lineRule="auto"/>
        <w:rPr>
          <w:rFonts w:ascii="Times New Roman" w:eastAsia="Calibri" w:hAnsi="Times New Roman" w:cs="Times New Roman"/>
        </w:rPr>
      </w:pPr>
      <w:r w:rsidRPr="00BC1969">
        <w:rPr>
          <w:rFonts w:ascii="Times New Roman" w:eastAsia="Calibri" w:hAnsi="Times New Roman" w:cs="Times New Roman"/>
        </w:rPr>
        <w:t>[25]</w:t>
      </w:r>
      <w:r w:rsidRPr="00BC1969">
        <w:rPr>
          <w:rFonts w:ascii="Times New Roman" w:eastAsia="Calibri" w:hAnsi="Times New Roman" w:cs="Times New Roman"/>
        </w:rPr>
        <w:tab/>
        <w:t>Moffat, R.J., 1988. Describing the uncertainties in experimental results. </w:t>
      </w:r>
      <w:r w:rsidRPr="00BC1969">
        <w:rPr>
          <w:rFonts w:ascii="Times New Roman" w:eastAsia="Calibri" w:hAnsi="Times New Roman" w:cs="Times New Roman"/>
          <w:i/>
          <w:iCs/>
        </w:rPr>
        <w:t>Experimental thermal and fluid science</w:t>
      </w:r>
      <w:r w:rsidRPr="00BC1969">
        <w:rPr>
          <w:rFonts w:ascii="Times New Roman" w:eastAsia="Calibri" w:hAnsi="Times New Roman" w:cs="Times New Roman"/>
        </w:rPr>
        <w:t>, </w:t>
      </w:r>
      <w:r w:rsidRPr="00BC1969">
        <w:rPr>
          <w:rFonts w:ascii="Times New Roman" w:eastAsia="Calibri" w:hAnsi="Times New Roman" w:cs="Times New Roman"/>
          <w:i/>
          <w:iCs/>
        </w:rPr>
        <w:t>1</w:t>
      </w:r>
      <w:r w:rsidRPr="00BC1969">
        <w:rPr>
          <w:rFonts w:ascii="Times New Roman" w:eastAsia="Calibri" w:hAnsi="Times New Roman" w:cs="Times New Roman"/>
        </w:rPr>
        <w:t>(1), pp.3-17.</w:t>
      </w:r>
    </w:p>
    <w:p w14:paraId="47504C64" w14:textId="4F898B64" w:rsidR="00BC1969" w:rsidRPr="00BC1969" w:rsidRDefault="00BC1969" w:rsidP="00AF1AFB">
      <w:pPr>
        <w:spacing w:line="360" w:lineRule="auto"/>
        <w:rPr>
          <w:rFonts w:ascii="Times New Roman" w:eastAsia="Calibri" w:hAnsi="Times New Roman" w:cs="Times New Roman"/>
        </w:rPr>
      </w:pPr>
      <w:hyperlink r:id="rId141" w:history="1">
        <w:r w:rsidRPr="00BC1969">
          <w:rPr>
            <w:rFonts w:ascii="Times New Roman" w:eastAsia="Calibri" w:hAnsi="Times New Roman" w:cs="Times New Roman"/>
          </w:rPr>
          <w:t>https://doi.org/10.1016/0894-1777(88)90043-X</w:t>
        </w:r>
      </w:hyperlink>
    </w:p>
    <w:p w14:paraId="6E8F6FD8" w14:textId="77777777" w:rsidR="00BC1969" w:rsidRPr="00BC1969" w:rsidRDefault="00BC1969" w:rsidP="00AF1AFB">
      <w:pPr>
        <w:spacing w:line="360" w:lineRule="auto"/>
        <w:rPr>
          <w:rFonts w:ascii="Times New Roman" w:eastAsia="Calibri" w:hAnsi="Times New Roman" w:cs="Times New Roman"/>
        </w:rPr>
      </w:pPr>
      <w:r w:rsidRPr="00BC1969">
        <w:rPr>
          <w:rFonts w:ascii="Times New Roman" w:eastAsia="Calibri" w:hAnsi="Times New Roman" w:cs="Times New Roman"/>
        </w:rPr>
        <w:t>[26]</w:t>
      </w:r>
      <w:r w:rsidRPr="00BC1969">
        <w:rPr>
          <w:rFonts w:ascii="Times New Roman" w:eastAsia="Calibri" w:hAnsi="Times New Roman" w:cs="Times New Roman"/>
        </w:rPr>
        <w:tab/>
        <w:t xml:space="preserve">Aider, Y, Cho, H, &amp; Singh, P. "Convective Heat Transfer Potential of Particles/Airflow Through Single Cell Thick Additively Manufactured Octet-Shaped </w:t>
      </w:r>
      <w:r w:rsidRPr="00BC1969">
        <w:rPr>
          <w:rFonts w:ascii="Times New Roman" w:eastAsia="Calibri" w:hAnsi="Times New Roman" w:cs="Times New Roman"/>
        </w:rPr>
        <w:lastRenderedPageBreak/>
        <w:t>Lattice Frame Material." </w:t>
      </w:r>
      <w:r w:rsidRPr="00BC1969">
        <w:rPr>
          <w:rFonts w:ascii="Times New Roman" w:eastAsia="Calibri" w:hAnsi="Times New Roman" w:cs="Times New Roman"/>
          <w:i/>
          <w:iCs/>
        </w:rPr>
        <w:t>Proceedings of the ASME 2022 Heat Transfer Summer Conference collocated with the ASME 2022 16th International Conference on Energy Sustainability</w:t>
      </w:r>
      <w:r w:rsidRPr="00BC1969">
        <w:rPr>
          <w:rFonts w:ascii="Times New Roman" w:eastAsia="Calibri" w:hAnsi="Times New Roman" w:cs="Times New Roman"/>
        </w:rPr>
        <w:t>. </w:t>
      </w:r>
      <w:r w:rsidRPr="00BC1969">
        <w:rPr>
          <w:rFonts w:ascii="Times New Roman" w:eastAsia="Calibri" w:hAnsi="Times New Roman" w:cs="Times New Roman"/>
          <w:i/>
          <w:iCs/>
        </w:rPr>
        <w:t>ASME 2022 Heat Transfer Summer Conference</w:t>
      </w:r>
      <w:r w:rsidRPr="00BC1969">
        <w:rPr>
          <w:rFonts w:ascii="Times New Roman" w:eastAsia="Calibri" w:hAnsi="Times New Roman" w:cs="Times New Roman"/>
        </w:rPr>
        <w:t>. Philadelphia, Pennsylvania, USA. July 11–13, 2022. V001T06A004. ASME. </w:t>
      </w:r>
    </w:p>
    <w:p w14:paraId="0FC2914E" w14:textId="47DF17D2" w:rsidR="00BC1969" w:rsidRPr="00BC1969" w:rsidRDefault="00BC1969" w:rsidP="00AF1AFB">
      <w:pPr>
        <w:spacing w:line="360" w:lineRule="auto"/>
        <w:rPr>
          <w:rFonts w:ascii="Times New Roman" w:eastAsia="Calibri" w:hAnsi="Times New Roman" w:cs="Times New Roman"/>
        </w:rPr>
      </w:pPr>
      <w:hyperlink r:id="rId142" w:history="1">
        <w:r w:rsidRPr="00BC1969">
          <w:rPr>
            <w:rFonts w:ascii="Times New Roman" w:eastAsia="Calibri" w:hAnsi="Times New Roman" w:cs="Times New Roman"/>
          </w:rPr>
          <w:t>https://doi.org/10.1115/HT2022-81856</w:t>
        </w:r>
      </w:hyperlink>
    </w:p>
    <w:p w14:paraId="364D1D1A" w14:textId="77777777" w:rsidR="00BC1969" w:rsidRPr="00BC1969" w:rsidRDefault="00BC1969" w:rsidP="00AF1AFB">
      <w:pPr>
        <w:spacing w:line="360" w:lineRule="auto"/>
        <w:rPr>
          <w:rFonts w:ascii="Times New Roman" w:eastAsia="Calibri" w:hAnsi="Times New Roman" w:cs="Times New Roman"/>
        </w:rPr>
      </w:pPr>
      <w:r w:rsidRPr="00BC1969">
        <w:rPr>
          <w:rFonts w:ascii="Times New Roman" w:eastAsia="Calibri" w:hAnsi="Times New Roman" w:cs="Times New Roman"/>
        </w:rPr>
        <w:t>[27]</w:t>
      </w:r>
      <w:r w:rsidRPr="00BC1969">
        <w:rPr>
          <w:rFonts w:ascii="Times New Roman" w:eastAsia="Calibri" w:hAnsi="Times New Roman" w:cs="Times New Roman"/>
        </w:rPr>
        <w:tab/>
        <w:t>Kaur, I., and Singh, P., 2022, "Direct Pore-Scale Simulations of Fully Periodic Unit Cells of Different Regular Lattices." ASME. </w:t>
      </w:r>
      <w:r w:rsidRPr="00BC1969">
        <w:rPr>
          <w:rFonts w:ascii="Times New Roman" w:eastAsia="Calibri" w:hAnsi="Times New Roman" w:cs="Times New Roman"/>
          <w:i/>
          <w:iCs/>
        </w:rPr>
        <w:t>J. Heat Transfer</w:t>
      </w:r>
      <w:r w:rsidRPr="00BC1969">
        <w:rPr>
          <w:rFonts w:ascii="Times New Roman" w:eastAsia="Calibri" w:hAnsi="Times New Roman" w:cs="Times New Roman"/>
        </w:rPr>
        <w:t>, Vol. 144(2), pp. 022702.</w:t>
      </w:r>
    </w:p>
    <w:p w14:paraId="500D1CFC" w14:textId="49C33DE0" w:rsidR="00B44E75" w:rsidRDefault="00BC1969" w:rsidP="00BC1969">
      <w:pPr>
        <w:spacing w:line="360" w:lineRule="auto"/>
        <w:rPr>
          <w:rFonts w:ascii="Times New Roman" w:eastAsia="Calibri" w:hAnsi="Times New Roman" w:cs="Times New Roman"/>
        </w:rPr>
      </w:pPr>
      <w:hyperlink r:id="rId143" w:history="1">
        <w:r w:rsidRPr="00BC1969">
          <w:rPr>
            <w:rFonts w:ascii="Times New Roman" w:eastAsia="Calibri" w:hAnsi="Times New Roman" w:cs="Times New Roman"/>
          </w:rPr>
          <w:t>https://doi.org/10.1115/1.4053204</w:t>
        </w:r>
      </w:hyperlink>
      <w:r w:rsidR="00B44E75">
        <w:rPr>
          <w:rFonts w:ascii="Times New Roman" w:eastAsia="Calibri" w:hAnsi="Times New Roman" w:cs="Times New Roman"/>
        </w:rPr>
        <w:br w:type="page"/>
      </w:r>
    </w:p>
    <w:p w14:paraId="15AAE4C8" w14:textId="77777777" w:rsidR="00B44E75" w:rsidRDefault="00B44E75" w:rsidP="00B44E75">
      <w:pPr>
        <w:pStyle w:val="Heading1"/>
        <w:rPr>
          <w:rFonts w:eastAsia="Calibri"/>
        </w:rPr>
      </w:pPr>
      <w:bookmarkStart w:id="245" w:name="_Toc177758211"/>
      <w:r>
        <w:rPr>
          <w:rFonts w:eastAsia="Calibri"/>
        </w:rPr>
        <w:lastRenderedPageBreak/>
        <w:t>:</w:t>
      </w:r>
      <w:r>
        <w:rPr>
          <w:rFonts w:eastAsia="Calibri"/>
        </w:rPr>
        <w:br/>
        <w:t>Conclusions and Recommendations for future work</w:t>
      </w:r>
      <w:bookmarkStart w:id="246" w:name="_Toc420995913"/>
      <w:bookmarkStart w:id="247" w:name="_Toc422997500"/>
      <w:bookmarkStart w:id="248" w:name="_Toc427156485"/>
      <w:bookmarkEnd w:id="245"/>
    </w:p>
    <w:p w14:paraId="1F73851E" w14:textId="77777777" w:rsidR="00B44E75" w:rsidRPr="00B44E75" w:rsidRDefault="00B44E75" w:rsidP="00B44E75">
      <w:pPr>
        <w:spacing w:line="360" w:lineRule="auto"/>
        <w:jc w:val="both"/>
        <w:rPr>
          <w:rFonts w:ascii="Times New Roman" w:eastAsia="Calibri" w:hAnsi="Times New Roman" w:cs="Times New Roman"/>
        </w:rPr>
      </w:pPr>
      <w:r w:rsidRPr="00B44E75">
        <w:rPr>
          <w:rFonts w:ascii="Times New Roman" w:eastAsia="Calibri" w:hAnsi="Times New Roman" w:cs="Times New Roman"/>
        </w:rPr>
        <w:t>This research investigated the feasibility of using stainless steel lattice structures, fabricated via binder jetting additive manufacturing, to enhance the heat transfer performance of moving packed bed heat exchangers for third-generation concentrating solar power (CSP) systems. The study began by evaluating the heat transfer coefficient and thermal-hydraulic performance of Octet, FD-Cube, TKD, and Cube lattice structures using air as the working fluid. Experiments were conducted for Reynolds numbers ranging from 5,000 to 22,500 under two heating conditions: both endwalls heated and only the bottom wall heated. The results showed that Octet, FD-Cube, and TKD provided similar heat transfer coefficients, while Cube yielded the lowest values. However, FD-Cube incurred the highest pressure drop, followed by Octet, TKD, and Cube. At a given pumping power, Cube exhibited the best overall thermal-hydraulic performance, especially at high airflow rates.</w:t>
      </w:r>
    </w:p>
    <w:p w14:paraId="2DC69EF3" w14:textId="77777777" w:rsidR="00B44E75" w:rsidRPr="00B44E75" w:rsidRDefault="00B44E75" w:rsidP="00B44E75">
      <w:pPr>
        <w:spacing w:line="360" w:lineRule="auto"/>
        <w:jc w:val="both"/>
        <w:rPr>
          <w:rFonts w:ascii="Times New Roman" w:eastAsia="Calibri" w:hAnsi="Times New Roman" w:cs="Times New Roman"/>
        </w:rPr>
      </w:pPr>
      <w:r w:rsidRPr="00B44E75">
        <w:rPr>
          <w:rFonts w:ascii="Times New Roman" w:eastAsia="Calibri" w:hAnsi="Times New Roman" w:cs="Times New Roman"/>
        </w:rPr>
        <w:t>The investigation then focused on the Octet topology, assessing its flowability with particles using experiments and discrete element method (DEM) simulations. Three Octet lattice porosities (0.75, 0.80, and 0.88) and three particle size distributions (CP 40/100, CP 30/60, and HSP 20/40) were studied. The results demonstrated that particle mass flow rate increased with lattice porosity and decreased with particle size. DEM simulations successfully captured key experimental flow features, including void zones downstream of fibers, stagnation areas upstream of junctions, and wavy particle motion around fibers. The simulations also revealed particle accumulation zones on fiber-fiber and fiber-wall junctions, which could lead to non-uniform heat transfer. Based on these findings, the Octet lattice was selected for further study due to its potential for high heat transfer with gravity-driven particle flow.</w:t>
      </w:r>
    </w:p>
    <w:p w14:paraId="2CB6A80B" w14:textId="37CC9BF5" w:rsidR="00B44E75" w:rsidRDefault="00B44E75" w:rsidP="00B44E75">
      <w:pPr>
        <w:spacing w:line="360" w:lineRule="auto"/>
        <w:jc w:val="both"/>
        <w:rPr>
          <w:rFonts w:ascii="Times New Roman" w:eastAsia="Calibri" w:hAnsi="Times New Roman" w:cs="Times New Roman"/>
        </w:rPr>
      </w:pPr>
      <w:r w:rsidRPr="00B44E75">
        <w:rPr>
          <w:rFonts w:ascii="Times New Roman" w:eastAsia="Calibri" w:hAnsi="Times New Roman" w:cs="Times New Roman"/>
        </w:rPr>
        <w:t xml:space="preserve">The final phase of the research measured the heat transfer performance of Octet lattice panels with a porosity of 0.88, manufactured from SS316L and SS420 via binder jetting. </w:t>
      </w:r>
      <w:r w:rsidRPr="00B44E75">
        <w:rPr>
          <w:rFonts w:ascii="Times New Roman" w:eastAsia="Calibri" w:hAnsi="Times New Roman" w:cs="Times New Roman"/>
        </w:rPr>
        <w:lastRenderedPageBreak/>
        <w:t>Experiments were conducted with falling packed beds of various particle sizes. Packing the Octet void space with particles enhanced the effective thermal conductivity by factors of 2-4 and 4-8 compared to particle packed beds alone for SS316L and SS420, respectively. For airflow velocities of 3-12 m/s, the convective heat transfer coefficients in the periodic heat transfer region ranged from 200-600 W/m2K. With CP 40/100 particles flowing through the 0.88 porosity Octet lattice, the convective coefficient was approximately 400 W/m2K for both materials. Compared to parallel plate configurations, the SS316L Octet panel enhanced the heat transfer coefficient by 40-50% for smaller particles (CP 40/100 and CP 30/60), although no enhancement was observed for the largest particles (HSP 20/40).</w:t>
      </w:r>
    </w:p>
    <w:p w14:paraId="658C8AAE" w14:textId="40B25632" w:rsidR="00AE125E" w:rsidRPr="00B44E75" w:rsidRDefault="00B44E75" w:rsidP="00B44E75">
      <w:pPr>
        <w:spacing w:line="360" w:lineRule="auto"/>
        <w:jc w:val="both"/>
        <w:rPr>
          <w:rFonts w:ascii="Times New Roman" w:eastAsia="Calibri" w:hAnsi="Times New Roman" w:cs="Times New Roman"/>
        </w:rPr>
      </w:pPr>
      <w:r w:rsidRPr="00B44E75">
        <w:rPr>
          <w:rFonts w:ascii="Times New Roman" w:eastAsia="Calibri" w:hAnsi="Times New Roman" w:cs="Times New Roman"/>
        </w:rPr>
        <w:t>This</w:t>
      </w:r>
      <w:r w:rsidRPr="00B44E75">
        <w:rPr>
          <w:rFonts w:ascii="Times New Roman" w:eastAsia="Calibri" w:hAnsi="Times New Roman" w:cs="Times New Roman"/>
        </w:rPr>
        <w:t xml:space="preserve"> research demonstrated the significant potential of additively manufactured Octet lattice structures with a porosity of 0.88 to enhance heat transfer in moving packed bed heat exchangers for CSP applications. The lattice structures increased thermal conductivity, convective heat transfer coefficients, and overall heat exchanger effectiveness compared to traditional designs. The findings suggest that additive manufacturing can play a crucial role in integrating advanced heat transfer enhancement features, such as lattice structures, into next-generation CSP systems. Future work will focus on demonstrating these enhancements in a full-scale particle-to-supercritical CO2 heat exchanger tested under CSP-relevant conditions.</w:t>
      </w:r>
      <w:bookmarkEnd w:id="246"/>
      <w:bookmarkEnd w:id="247"/>
      <w:bookmarkEnd w:id="248"/>
    </w:p>
    <w:sectPr w:rsidR="00AE125E" w:rsidRPr="00B44E75"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B71431" w14:textId="77777777" w:rsidR="00896818" w:rsidRDefault="00896818">
      <w:r>
        <w:separator/>
      </w:r>
    </w:p>
  </w:endnote>
  <w:endnote w:type="continuationSeparator" w:id="0">
    <w:p w14:paraId="3402E547" w14:textId="77777777" w:rsidR="00896818" w:rsidRDefault="00896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B6297" w14:textId="77777777" w:rsidR="00CF64CA" w:rsidRDefault="00CF64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2852F761"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11E91B3C" w14:textId="77777777" w:rsidR="00683F5B" w:rsidRDefault="00683F5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2331E" w14:textId="77777777" w:rsidR="00CF64CA" w:rsidRDefault="00CF64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24221" w14:textId="77777777" w:rsidR="00896818" w:rsidRDefault="00896818">
      <w:r>
        <w:separator/>
      </w:r>
    </w:p>
  </w:footnote>
  <w:footnote w:type="continuationSeparator" w:id="0">
    <w:p w14:paraId="66B67D9D" w14:textId="77777777" w:rsidR="00896818" w:rsidRDefault="00896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1CB1E"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EA02" w14:textId="77777777" w:rsidR="00683F5B" w:rsidRDefault="00683F5B">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6EDE7" w14:textId="77777777" w:rsidR="00CF64CA" w:rsidRDefault="00CF64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16B9C"/>
    <w:multiLevelType w:val="hybridMultilevel"/>
    <w:tmpl w:val="5F942B9C"/>
    <w:lvl w:ilvl="0" w:tplc="469C409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3C59B6"/>
    <w:multiLevelType w:val="hybridMultilevel"/>
    <w:tmpl w:val="D390C05A"/>
    <w:lvl w:ilvl="0" w:tplc="651AF8A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5" w15:restartNumberingAfterBreak="0">
    <w:nsid w:val="082E0B27"/>
    <w:multiLevelType w:val="hybridMultilevel"/>
    <w:tmpl w:val="3EB0570E"/>
    <w:lvl w:ilvl="0" w:tplc="D4B83712">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95F37F2"/>
    <w:multiLevelType w:val="hybridMultilevel"/>
    <w:tmpl w:val="298E8F64"/>
    <w:lvl w:ilvl="0" w:tplc="59C8D438">
      <w:start w:val="9"/>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BFA21F6"/>
    <w:multiLevelType w:val="hybridMultilevel"/>
    <w:tmpl w:val="CF0A27A2"/>
    <w:lvl w:ilvl="0" w:tplc="6B8AE7D0">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0440B3E"/>
    <w:multiLevelType w:val="multilevel"/>
    <w:tmpl w:val="D53E2364"/>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3" w15:restartNumberingAfterBreak="0">
    <w:nsid w:val="22E60848"/>
    <w:multiLevelType w:val="hybridMultilevel"/>
    <w:tmpl w:val="6F408436"/>
    <w:lvl w:ilvl="0" w:tplc="7BE0E5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563499C"/>
    <w:multiLevelType w:val="hybridMultilevel"/>
    <w:tmpl w:val="8D78A54C"/>
    <w:lvl w:ilvl="0" w:tplc="5B4844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19245F1"/>
    <w:multiLevelType w:val="multilevel"/>
    <w:tmpl w:val="088C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CD41A3"/>
    <w:multiLevelType w:val="multilevel"/>
    <w:tmpl w:val="5A7E2DF0"/>
    <w:lvl w:ilvl="0">
      <w:start w:val="1"/>
      <w:numFmt w:val="cardinalText"/>
      <w:pStyle w:val="Heading1"/>
      <w:suff w:val="space"/>
      <w:lvlText w:val="Chapter %1"/>
      <w:lvlJc w:val="left"/>
      <w:pPr>
        <w:ind w:left="693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4CA923F7"/>
    <w:multiLevelType w:val="hybridMultilevel"/>
    <w:tmpl w:val="FFC6F15C"/>
    <w:lvl w:ilvl="0" w:tplc="08FAAA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6DA2042"/>
    <w:multiLevelType w:val="hybridMultilevel"/>
    <w:tmpl w:val="C2D85E46"/>
    <w:lvl w:ilvl="0" w:tplc="A77821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4BE0BDC"/>
    <w:multiLevelType w:val="multilevel"/>
    <w:tmpl w:val="EA4048D4"/>
    <w:lvl w:ilvl="0">
      <w:start w:val="1"/>
      <w:numFmt w:val="decimal"/>
      <w:lvlText w:val="%1."/>
      <w:lvlJc w:val="left"/>
      <w:pPr>
        <w:ind w:left="720" w:hanging="360"/>
      </w:pPr>
      <w:rPr>
        <w:rFonts w:hint="default"/>
        <w:b/>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D1C149E"/>
    <w:multiLevelType w:val="hybridMultilevel"/>
    <w:tmpl w:val="5E00A484"/>
    <w:lvl w:ilvl="0" w:tplc="0D4EA9DE">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60636473">
    <w:abstractNumId w:val="2"/>
  </w:num>
  <w:num w:numId="2" w16cid:durableId="1252930986">
    <w:abstractNumId w:val="12"/>
  </w:num>
  <w:num w:numId="3" w16cid:durableId="693926243">
    <w:abstractNumId w:val="6"/>
  </w:num>
  <w:num w:numId="4" w16cid:durableId="1951428856">
    <w:abstractNumId w:val="21"/>
  </w:num>
  <w:num w:numId="5" w16cid:durableId="1818261765">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4434331">
    <w:abstractNumId w:val="13"/>
  </w:num>
  <w:num w:numId="7" w16cid:durableId="1926766901">
    <w:abstractNumId w:val="1"/>
  </w:num>
  <w:num w:numId="8" w16cid:durableId="703869610">
    <w:abstractNumId w:val="22"/>
  </w:num>
  <w:num w:numId="9" w16cid:durableId="1916624664">
    <w:abstractNumId w:val="18"/>
  </w:num>
  <w:num w:numId="10" w16cid:durableId="1210267850">
    <w:abstractNumId w:val="8"/>
  </w:num>
  <w:num w:numId="11" w16cid:durableId="671760300">
    <w:abstractNumId w:val="7"/>
  </w:num>
  <w:num w:numId="12" w16cid:durableId="828860023">
    <w:abstractNumId w:val="5"/>
  </w:num>
  <w:num w:numId="13" w16cid:durableId="1091699432">
    <w:abstractNumId w:val="29"/>
  </w:num>
  <w:num w:numId="14" w16cid:durableId="1939289966">
    <w:abstractNumId w:val="20"/>
  </w:num>
  <w:num w:numId="15" w16cid:durableId="1700742350">
    <w:abstractNumId w:val="28"/>
  </w:num>
  <w:num w:numId="16" w16cid:durableId="1175534068">
    <w:abstractNumId w:val="24"/>
  </w:num>
  <w:num w:numId="17" w16cid:durableId="15992864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864864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14A3E"/>
    <w:rsid w:val="000166A9"/>
    <w:rsid w:val="0002037F"/>
    <w:rsid w:val="000223A6"/>
    <w:rsid w:val="00032057"/>
    <w:rsid w:val="00056B97"/>
    <w:rsid w:val="00057004"/>
    <w:rsid w:val="00071FB8"/>
    <w:rsid w:val="00075787"/>
    <w:rsid w:val="00076308"/>
    <w:rsid w:val="00076A95"/>
    <w:rsid w:val="000873DB"/>
    <w:rsid w:val="000877B0"/>
    <w:rsid w:val="000957C1"/>
    <w:rsid w:val="0009736F"/>
    <w:rsid w:val="000978FD"/>
    <w:rsid w:val="000B0A40"/>
    <w:rsid w:val="000B5C42"/>
    <w:rsid w:val="000E4268"/>
    <w:rsid w:val="0010217F"/>
    <w:rsid w:val="00112F00"/>
    <w:rsid w:val="0014045E"/>
    <w:rsid w:val="001610F0"/>
    <w:rsid w:val="001669A7"/>
    <w:rsid w:val="001731F9"/>
    <w:rsid w:val="00173751"/>
    <w:rsid w:val="00177D09"/>
    <w:rsid w:val="00181D41"/>
    <w:rsid w:val="001854FB"/>
    <w:rsid w:val="00191DD7"/>
    <w:rsid w:val="00193642"/>
    <w:rsid w:val="001A0A3B"/>
    <w:rsid w:val="001A0D20"/>
    <w:rsid w:val="001B15C3"/>
    <w:rsid w:val="001B6B5F"/>
    <w:rsid w:val="001C39F6"/>
    <w:rsid w:val="001C66FE"/>
    <w:rsid w:val="001D4908"/>
    <w:rsid w:val="001D6904"/>
    <w:rsid w:val="001F522F"/>
    <w:rsid w:val="002055FA"/>
    <w:rsid w:val="00206090"/>
    <w:rsid w:val="00207219"/>
    <w:rsid w:val="00224712"/>
    <w:rsid w:val="00230F46"/>
    <w:rsid w:val="00236E6D"/>
    <w:rsid w:val="0023726B"/>
    <w:rsid w:val="00240998"/>
    <w:rsid w:val="00241927"/>
    <w:rsid w:val="002429E5"/>
    <w:rsid w:val="00243412"/>
    <w:rsid w:val="00263E1A"/>
    <w:rsid w:val="0026401C"/>
    <w:rsid w:val="00280CEF"/>
    <w:rsid w:val="00281763"/>
    <w:rsid w:val="00284FAE"/>
    <w:rsid w:val="002870B9"/>
    <w:rsid w:val="0028757A"/>
    <w:rsid w:val="00297625"/>
    <w:rsid w:val="002B4638"/>
    <w:rsid w:val="002B757E"/>
    <w:rsid w:val="002D1FE4"/>
    <w:rsid w:val="002D470F"/>
    <w:rsid w:val="002E2492"/>
    <w:rsid w:val="002E7758"/>
    <w:rsid w:val="002F15D8"/>
    <w:rsid w:val="00304BD0"/>
    <w:rsid w:val="00307D77"/>
    <w:rsid w:val="00311F1A"/>
    <w:rsid w:val="00313E9E"/>
    <w:rsid w:val="003150D5"/>
    <w:rsid w:val="00320F78"/>
    <w:rsid w:val="0035155B"/>
    <w:rsid w:val="00352528"/>
    <w:rsid w:val="0035768F"/>
    <w:rsid w:val="00360CC8"/>
    <w:rsid w:val="003763D2"/>
    <w:rsid w:val="0038177C"/>
    <w:rsid w:val="0038325D"/>
    <w:rsid w:val="003836EB"/>
    <w:rsid w:val="00387024"/>
    <w:rsid w:val="00393205"/>
    <w:rsid w:val="0039365D"/>
    <w:rsid w:val="00393D90"/>
    <w:rsid w:val="003963D3"/>
    <w:rsid w:val="003C1575"/>
    <w:rsid w:val="003C42BC"/>
    <w:rsid w:val="003D07F7"/>
    <w:rsid w:val="003D5275"/>
    <w:rsid w:val="003D63DF"/>
    <w:rsid w:val="003D737F"/>
    <w:rsid w:val="003E2944"/>
    <w:rsid w:val="003E5EA7"/>
    <w:rsid w:val="003F7474"/>
    <w:rsid w:val="003F7FED"/>
    <w:rsid w:val="00404616"/>
    <w:rsid w:val="00407B6A"/>
    <w:rsid w:val="00414400"/>
    <w:rsid w:val="00420910"/>
    <w:rsid w:val="00421CD4"/>
    <w:rsid w:val="00427833"/>
    <w:rsid w:val="00430618"/>
    <w:rsid w:val="0044196E"/>
    <w:rsid w:val="00457633"/>
    <w:rsid w:val="0047180B"/>
    <w:rsid w:val="00474210"/>
    <w:rsid w:val="00480B96"/>
    <w:rsid w:val="0048303E"/>
    <w:rsid w:val="00487AD3"/>
    <w:rsid w:val="004920F6"/>
    <w:rsid w:val="004A1B3F"/>
    <w:rsid w:val="004A67E8"/>
    <w:rsid w:val="004C3D65"/>
    <w:rsid w:val="004D05F5"/>
    <w:rsid w:val="004D6472"/>
    <w:rsid w:val="004D6A00"/>
    <w:rsid w:val="004E232E"/>
    <w:rsid w:val="004F08CE"/>
    <w:rsid w:val="00513BB6"/>
    <w:rsid w:val="005262C6"/>
    <w:rsid w:val="00561B55"/>
    <w:rsid w:val="00562EB1"/>
    <w:rsid w:val="00593A04"/>
    <w:rsid w:val="00593CBB"/>
    <w:rsid w:val="00597D3F"/>
    <w:rsid w:val="005A0EB0"/>
    <w:rsid w:val="005B098E"/>
    <w:rsid w:val="005B7859"/>
    <w:rsid w:val="005B79E9"/>
    <w:rsid w:val="005C0973"/>
    <w:rsid w:val="005E4912"/>
    <w:rsid w:val="005E6F1F"/>
    <w:rsid w:val="005F2B0B"/>
    <w:rsid w:val="005F3396"/>
    <w:rsid w:val="005F44D1"/>
    <w:rsid w:val="00621129"/>
    <w:rsid w:val="00633916"/>
    <w:rsid w:val="00641D2B"/>
    <w:rsid w:val="0065123B"/>
    <w:rsid w:val="00662D3E"/>
    <w:rsid w:val="00665C7E"/>
    <w:rsid w:val="00672DDD"/>
    <w:rsid w:val="00676C91"/>
    <w:rsid w:val="00683F5B"/>
    <w:rsid w:val="00690B77"/>
    <w:rsid w:val="0069185B"/>
    <w:rsid w:val="00693334"/>
    <w:rsid w:val="006B5D5B"/>
    <w:rsid w:val="006C4000"/>
    <w:rsid w:val="006D474B"/>
    <w:rsid w:val="006E17C3"/>
    <w:rsid w:val="006E1E6D"/>
    <w:rsid w:val="006E4BDD"/>
    <w:rsid w:val="006E56E8"/>
    <w:rsid w:val="006F7720"/>
    <w:rsid w:val="00711200"/>
    <w:rsid w:val="007134E8"/>
    <w:rsid w:val="0072397F"/>
    <w:rsid w:val="00731922"/>
    <w:rsid w:val="00731ACB"/>
    <w:rsid w:val="00735C48"/>
    <w:rsid w:val="007368AD"/>
    <w:rsid w:val="007377CB"/>
    <w:rsid w:val="00737F54"/>
    <w:rsid w:val="0074133D"/>
    <w:rsid w:val="0074293C"/>
    <w:rsid w:val="0075196D"/>
    <w:rsid w:val="007533F7"/>
    <w:rsid w:val="00753EAD"/>
    <w:rsid w:val="0075558C"/>
    <w:rsid w:val="00761EFA"/>
    <w:rsid w:val="00764873"/>
    <w:rsid w:val="007778DD"/>
    <w:rsid w:val="00790B6C"/>
    <w:rsid w:val="00793180"/>
    <w:rsid w:val="00795D03"/>
    <w:rsid w:val="00796693"/>
    <w:rsid w:val="007A5D61"/>
    <w:rsid w:val="007B7C54"/>
    <w:rsid w:val="007B7D94"/>
    <w:rsid w:val="007C7591"/>
    <w:rsid w:val="007D538B"/>
    <w:rsid w:val="007D5CD5"/>
    <w:rsid w:val="007F6AE9"/>
    <w:rsid w:val="007F7A99"/>
    <w:rsid w:val="00802125"/>
    <w:rsid w:val="008208E8"/>
    <w:rsid w:val="00826D54"/>
    <w:rsid w:val="00834CBF"/>
    <w:rsid w:val="008352DE"/>
    <w:rsid w:val="00836B4D"/>
    <w:rsid w:val="00836F89"/>
    <w:rsid w:val="00846459"/>
    <w:rsid w:val="008502AA"/>
    <w:rsid w:val="0085200B"/>
    <w:rsid w:val="00852266"/>
    <w:rsid w:val="00861CAB"/>
    <w:rsid w:val="00863435"/>
    <w:rsid w:val="008700FD"/>
    <w:rsid w:val="00872827"/>
    <w:rsid w:val="0087349A"/>
    <w:rsid w:val="008865B6"/>
    <w:rsid w:val="00895DF4"/>
    <w:rsid w:val="00896600"/>
    <w:rsid w:val="00896818"/>
    <w:rsid w:val="008A4E30"/>
    <w:rsid w:val="008B126C"/>
    <w:rsid w:val="008B1A4D"/>
    <w:rsid w:val="008D589C"/>
    <w:rsid w:val="008E7085"/>
    <w:rsid w:val="008E7EC0"/>
    <w:rsid w:val="008F2A6C"/>
    <w:rsid w:val="008F5202"/>
    <w:rsid w:val="008F5DF4"/>
    <w:rsid w:val="008F60C3"/>
    <w:rsid w:val="00911F8A"/>
    <w:rsid w:val="00914D9C"/>
    <w:rsid w:val="009254D6"/>
    <w:rsid w:val="0092669B"/>
    <w:rsid w:val="0093163E"/>
    <w:rsid w:val="009337F5"/>
    <w:rsid w:val="00936436"/>
    <w:rsid w:val="0094721A"/>
    <w:rsid w:val="00965FBD"/>
    <w:rsid w:val="00966BAC"/>
    <w:rsid w:val="00983810"/>
    <w:rsid w:val="009A2ABE"/>
    <w:rsid w:val="009A2D90"/>
    <w:rsid w:val="009A6A2F"/>
    <w:rsid w:val="009C369A"/>
    <w:rsid w:val="009C755C"/>
    <w:rsid w:val="009C780F"/>
    <w:rsid w:val="009D2408"/>
    <w:rsid w:val="009D2AA9"/>
    <w:rsid w:val="009D7424"/>
    <w:rsid w:val="009E4F4C"/>
    <w:rsid w:val="009F163E"/>
    <w:rsid w:val="009F2E22"/>
    <w:rsid w:val="00A02364"/>
    <w:rsid w:val="00A0666C"/>
    <w:rsid w:val="00A12098"/>
    <w:rsid w:val="00A25353"/>
    <w:rsid w:val="00A34ABE"/>
    <w:rsid w:val="00A34F5F"/>
    <w:rsid w:val="00A46A68"/>
    <w:rsid w:val="00A50EE9"/>
    <w:rsid w:val="00A5188E"/>
    <w:rsid w:val="00A5429F"/>
    <w:rsid w:val="00A56B44"/>
    <w:rsid w:val="00A752BA"/>
    <w:rsid w:val="00A86F48"/>
    <w:rsid w:val="00AA6547"/>
    <w:rsid w:val="00AB6976"/>
    <w:rsid w:val="00AD0A33"/>
    <w:rsid w:val="00AE0982"/>
    <w:rsid w:val="00AE125E"/>
    <w:rsid w:val="00AE55C5"/>
    <w:rsid w:val="00AF1AFB"/>
    <w:rsid w:val="00B07524"/>
    <w:rsid w:val="00B113E7"/>
    <w:rsid w:val="00B15F8B"/>
    <w:rsid w:val="00B31D9B"/>
    <w:rsid w:val="00B3272F"/>
    <w:rsid w:val="00B35B7C"/>
    <w:rsid w:val="00B44E75"/>
    <w:rsid w:val="00B53C15"/>
    <w:rsid w:val="00B7551A"/>
    <w:rsid w:val="00B76E7C"/>
    <w:rsid w:val="00B90095"/>
    <w:rsid w:val="00B955BD"/>
    <w:rsid w:val="00BB6E23"/>
    <w:rsid w:val="00BC1969"/>
    <w:rsid w:val="00BD3522"/>
    <w:rsid w:val="00BD43E6"/>
    <w:rsid w:val="00BD4F12"/>
    <w:rsid w:val="00BE4976"/>
    <w:rsid w:val="00BE5A49"/>
    <w:rsid w:val="00BF1169"/>
    <w:rsid w:val="00C02333"/>
    <w:rsid w:val="00C067FC"/>
    <w:rsid w:val="00C0799A"/>
    <w:rsid w:val="00C11D0D"/>
    <w:rsid w:val="00C15C10"/>
    <w:rsid w:val="00C24EEE"/>
    <w:rsid w:val="00C27D23"/>
    <w:rsid w:val="00C317E9"/>
    <w:rsid w:val="00C509C3"/>
    <w:rsid w:val="00C50A17"/>
    <w:rsid w:val="00C544AE"/>
    <w:rsid w:val="00C65186"/>
    <w:rsid w:val="00C70EAE"/>
    <w:rsid w:val="00C72D98"/>
    <w:rsid w:val="00C83B65"/>
    <w:rsid w:val="00C90166"/>
    <w:rsid w:val="00C95581"/>
    <w:rsid w:val="00C9707E"/>
    <w:rsid w:val="00C975B5"/>
    <w:rsid w:val="00CB77EA"/>
    <w:rsid w:val="00CD50B5"/>
    <w:rsid w:val="00CD73A9"/>
    <w:rsid w:val="00CF64CA"/>
    <w:rsid w:val="00D06F12"/>
    <w:rsid w:val="00D21EF3"/>
    <w:rsid w:val="00D307F9"/>
    <w:rsid w:val="00D46790"/>
    <w:rsid w:val="00D66887"/>
    <w:rsid w:val="00D81B0C"/>
    <w:rsid w:val="00D83B30"/>
    <w:rsid w:val="00D91C27"/>
    <w:rsid w:val="00D92F2B"/>
    <w:rsid w:val="00DB3CF8"/>
    <w:rsid w:val="00DC5925"/>
    <w:rsid w:val="00DC60FA"/>
    <w:rsid w:val="00DE23AF"/>
    <w:rsid w:val="00DE5031"/>
    <w:rsid w:val="00DF0D8E"/>
    <w:rsid w:val="00DF3B9A"/>
    <w:rsid w:val="00E03CE5"/>
    <w:rsid w:val="00E11089"/>
    <w:rsid w:val="00E17598"/>
    <w:rsid w:val="00E42A55"/>
    <w:rsid w:val="00E476EA"/>
    <w:rsid w:val="00E63077"/>
    <w:rsid w:val="00E91931"/>
    <w:rsid w:val="00E97FDB"/>
    <w:rsid w:val="00EA4D05"/>
    <w:rsid w:val="00EA4E2B"/>
    <w:rsid w:val="00EA5199"/>
    <w:rsid w:val="00EA5479"/>
    <w:rsid w:val="00EA5D96"/>
    <w:rsid w:val="00EA6348"/>
    <w:rsid w:val="00EC39E6"/>
    <w:rsid w:val="00ED0DEE"/>
    <w:rsid w:val="00ED7A05"/>
    <w:rsid w:val="00EE334C"/>
    <w:rsid w:val="00EF11A4"/>
    <w:rsid w:val="00F02153"/>
    <w:rsid w:val="00F058DF"/>
    <w:rsid w:val="00F15675"/>
    <w:rsid w:val="00F21250"/>
    <w:rsid w:val="00F2398D"/>
    <w:rsid w:val="00F36A43"/>
    <w:rsid w:val="00F634A3"/>
    <w:rsid w:val="00F710F9"/>
    <w:rsid w:val="00F7620F"/>
    <w:rsid w:val="00F83A5F"/>
    <w:rsid w:val="00F8462C"/>
    <w:rsid w:val="00F866ED"/>
    <w:rsid w:val="00F87F40"/>
    <w:rsid w:val="00FA0AE4"/>
    <w:rsid w:val="00FB3EF0"/>
    <w:rsid w:val="00FB4DBA"/>
    <w:rsid w:val="00FB667E"/>
    <w:rsid w:val="00FC332D"/>
    <w:rsid w:val="00FC5E9E"/>
    <w:rsid w:val="00FE12BA"/>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5FF128"/>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uiPriority w:val="9"/>
    <w:qFormat/>
    <w:rsid w:val="00AF1AFB"/>
    <w:pPr>
      <w:numPr>
        <w:numId w:val="4"/>
      </w:numPr>
      <w:autoSpaceDE w:val="0"/>
      <w:autoSpaceDN w:val="0"/>
      <w:adjustRightInd w:val="0"/>
      <w:spacing w:before="120" w:after="120" w:line="360" w:lineRule="auto"/>
      <w:ind w:left="4860"/>
      <w:jc w:val="center"/>
      <w:outlineLvl w:val="0"/>
    </w:pPr>
    <w:rPr>
      <w:b/>
      <w:bCs/>
      <w:caps/>
      <w:color w:val="000000" w:themeColor="text1"/>
      <w:sz w:val="28"/>
    </w:rPr>
  </w:style>
  <w:style w:type="paragraph" w:styleId="Heading2">
    <w:name w:val="heading 2"/>
    <w:basedOn w:val="Normal"/>
    <w:next w:val="Normal"/>
    <w:link w:val="Heading2Char"/>
    <w:autoRedefine/>
    <w:uiPriority w:val="9"/>
    <w:qFormat/>
    <w:rsid w:val="003C42BC"/>
    <w:pPr>
      <w:keepNext/>
      <w:spacing w:line="360" w:lineRule="auto"/>
      <w:jc w:val="center"/>
      <w:outlineLvl w:val="1"/>
    </w:pPr>
    <w:rPr>
      <w:rFonts w:ascii="Times New Roman" w:hAnsi="Times New Roman" w:cs="Times New Roman"/>
      <w:b/>
      <w:bCs/>
      <w:iCs/>
    </w:rPr>
  </w:style>
  <w:style w:type="paragraph" w:styleId="Heading3">
    <w:name w:val="heading 3"/>
    <w:basedOn w:val="Normal"/>
    <w:next w:val="Normal"/>
    <w:link w:val="Heading3Char"/>
    <w:autoRedefine/>
    <w:uiPriority w:val="9"/>
    <w:qFormat/>
    <w:rsid w:val="00230F46"/>
    <w:pPr>
      <w:keepNext/>
      <w:numPr>
        <w:ilvl w:val="2"/>
        <w:numId w:val="2"/>
      </w:numPr>
      <w:spacing w:before="240" w:after="60"/>
      <w:outlineLvl w:val="2"/>
    </w:pPr>
    <w:rPr>
      <w:rFonts w:ascii="Times New Roman" w:eastAsiaTheme="minorEastAsia" w:hAnsi="Times New Roman" w:cs="Times New Roman"/>
      <w:b/>
      <w:bCs/>
      <w:i/>
      <w:szCs w:val="26"/>
    </w:rPr>
  </w:style>
  <w:style w:type="paragraph" w:styleId="Heading4">
    <w:name w:val="heading 4"/>
    <w:basedOn w:val="Normal"/>
    <w:next w:val="Normal"/>
    <w:link w:val="Heading4Char"/>
    <w:uiPriority w:val="9"/>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uiPriority w:val="10"/>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link w:val="SubtitleChar"/>
    <w:autoRedefine/>
    <w:uiPriority w:val="11"/>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AF1AFB"/>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8F5202"/>
    <w:pPr>
      <w:keepNext/>
      <w:spacing w:before="120" w:after="120" w:line="360" w:lineRule="auto"/>
      <w:jc w:val="both"/>
    </w:pPr>
    <w:rPr>
      <w:rFonts w:ascii="Times New Roman" w:hAnsi="Times New Roman" w:cs="Times New Roman"/>
      <w:b/>
      <w:bCs/>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uiPriority w:val="9"/>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7377CB"/>
    <w:pPr>
      <w:numPr>
        <w:ilvl w:val="12"/>
        <w:numId w:val="0"/>
      </w:numPr>
    </w:pPr>
    <w:rPr>
      <w:rFonts w:ascii="Times New Roman" w:hAnsi="Times New Roman" w:cs="Times New Roman"/>
      <w:bCs w:val="0"/>
      <w:sz w:val="24"/>
    </w:rPr>
  </w:style>
  <w:style w:type="numbering" w:customStyle="1" w:styleId="NoList1">
    <w:name w:val="No List1"/>
    <w:next w:val="NoList"/>
    <w:uiPriority w:val="99"/>
    <w:semiHidden/>
    <w:unhideWhenUsed/>
    <w:rsid w:val="00836B4D"/>
  </w:style>
  <w:style w:type="character" w:customStyle="1" w:styleId="Heading2Char">
    <w:name w:val="Heading 2 Char"/>
    <w:basedOn w:val="DefaultParagraphFont"/>
    <w:link w:val="Heading2"/>
    <w:uiPriority w:val="9"/>
    <w:rsid w:val="00836B4D"/>
    <w:rPr>
      <w:rFonts w:cs="Times New Roman"/>
      <w:b/>
      <w:bCs/>
      <w:iCs/>
    </w:rPr>
  </w:style>
  <w:style w:type="character" w:customStyle="1" w:styleId="Heading3Char">
    <w:name w:val="Heading 3 Char"/>
    <w:basedOn w:val="DefaultParagraphFont"/>
    <w:link w:val="Heading3"/>
    <w:uiPriority w:val="9"/>
    <w:rsid w:val="00836B4D"/>
    <w:rPr>
      <w:rFonts w:eastAsiaTheme="minorEastAsia" w:cs="Times New Roman"/>
      <w:b/>
      <w:bCs/>
      <w:i/>
      <w:szCs w:val="26"/>
    </w:rPr>
  </w:style>
  <w:style w:type="character" w:customStyle="1" w:styleId="TitleChar">
    <w:name w:val="Title Char"/>
    <w:basedOn w:val="DefaultParagraphFont"/>
    <w:link w:val="Title"/>
    <w:uiPriority w:val="10"/>
    <w:rsid w:val="00836B4D"/>
    <w:rPr>
      <w:rFonts w:ascii="Arial" w:hAnsi="Arial"/>
      <w:sz w:val="28"/>
      <w:szCs w:val="28"/>
    </w:rPr>
  </w:style>
  <w:style w:type="character" w:customStyle="1" w:styleId="SubtitleChar">
    <w:name w:val="Subtitle Char"/>
    <w:basedOn w:val="DefaultParagraphFont"/>
    <w:link w:val="Subtitle"/>
    <w:uiPriority w:val="11"/>
    <w:rsid w:val="00836B4D"/>
    <w:rPr>
      <w:rFonts w:ascii="Arial" w:hAnsi="Arial"/>
      <w:b/>
      <w:bCs/>
    </w:rPr>
  </w:style>
  <w:style w:type="paragraph" w:styleId="Bibliography">
    <w:name w:val="Bibliography"/>
    <w:basedOn w:val="Normal"/>
    <w:next w:val="Normal"/>
    <w:uiPriority w:val="37"/>
    <w:unhideWhenUsed/>
    <w:rsid w:val="00836B4D"/>
    <w:pPr>
      <w:tabs>
        <w:tab w:val="left" w:pos="504"/>
      </w:tabs>
      <w:ind w:left="504" w:hanging="504"/>
    </w:pPr>
    <w:rPr>
      <w:rFonts w:ascii="Aptos" w:eastAsia="Aptos" w:hAnsi="Aptos"/>
      <w:kern w:val="2"/>
      <w:sz w:val="22"/>
      <w:szCs w:val="22"/>
      <w14:ligatures w14:val="standardContextual"/>
    </w:rPr>
  </w:style>
  <w:style w:type="character" w:styleId="PlaceholderText">
    <w:name w:val="Placeholder Text"/>
    <w:basedOn w:val="DefaultParagraphFont"/>
    <w:uiPriority w:val="99"/>
    <w:semiHidden/>
    <w:rsid w:val="00836B4D"/>
    <w:rPr>
      <w:color w:val="808080"/>
    </w:rPr>
  </w:style>
  <w:style w:type="paragraph" w:customStyle="1" w:styleId="FootnoteText1">
    <w:name w:val="Footnote Text1"/>
    <w:basedOn w:val="Normal"/>
    <w:next w:val="FootnoteText"/>
    <w:link w:val="FootnoteTextChar"/>
    <w:uiPriority w:val="99"/>
    <w:semiHidden/>
    <w:unhideWhenUsed/>
    <w:rsid w:val="00836B4D"/>
    <w:rPr>
      <w:rFonts w:ascii="Times New Roman" w:hAnsi="Times New Roman"/>
      <w:sz w:val="20"/>
      <w:szCs w:val="20"/>
    </w:rPr>
  </w:style>
  <w:style w:type="character" w:customStyle="1" w:styleId="FootnoteTextChar">
    <w:name w:val="Footnote Text Char"/>
    <w:basedOn w:val="DefaultParagraphFont"/>
    <w:link w:val="FootnoteText1"/>
    <w:uiPriority w:val="99"/>
    <w:semiHidden/>
    <w:rsid w:val="00836B4D"/>
    <w:rPr>
      <w:kern w:val="0"/>
      <w:sz w:val="20"/>
      <w:szCs w:val="20"/>
      <w14:ligatures w14:val="none"/>
    </w:rPr>
  </w:style>
  <w:style w:type="character" w:styleId="FootnoteReference">
    <w:name w:val="footnote reference"/>
    <w:basedOn w:val="DefaultParagraphFont"/>
    <w:uiPriority w:val="99"/>
    <w:semiHidden/>
    <w:unhideWhenUsed/>
    <w:rsid w:val="00836B4D"/>
    <w:rPr>
      <w:vertAlign w:val="superscript"/>
    </w:rPr>
  </w:style>
  <w:style w:type="paragraph" w:customStyle="1" w:styleId="BalloonText1">
    <w:name w:val="Balloon Text1"/>
    <w:basedOn w:val="Normal"/>
    <w:next w:val="BalloonText"/>
    <w:link w:val="BalloonTextChar"/>
    <w:uiPriority w:val="99"/>
    <w:semiHidden/>
    <w:unhideWhenUsed/>
    <w:rsid w:val="00836B4D"/>
    <w:rPr>
      <w:rFonts w:ascii="Times New Roman" w:hAnsi="Times New Roman" w:cs="Times New Roman"/>
      <w:sz w:val="18"/>
      <w:szCs w:val="18"/>
    </w:rPr>
  </w:style>
  <w:style w:type="character" w:customStyle="1" w:styleId="BalloonTextChar">
    <w:name w:val="Balloon Text Char"/>
    <w:basedOn w:val="DefaultParagraphFont"/>
    <w:link w:val="BalloonText1"/>
    <w:uiPriority w:val="99"/>
    <w:semiHidden/>
    <w:rsid w:val="00836B4D"/>
    <w:rPr>
      <w:rFonts w:ascii="Times New Roman" w:hAnsi="Times New Roman" w:cs="Times New Roman"/>
      <w:kern w:val="0"/>
      <w:sz w:val="18"/>
      <w:szCs w:val="18"/>
      <w14:ligatures w14:val="none"/>
    </w:rPr>
  </w:style>
  <w:style w:type="character" w:customStyle="1" w:styleId="HeaderChar">
    <w:name w:val="Header Char"/>
    <w:basedOn w:val="DefaultParagraphFont"/>
    <w:link w:val="Header"/>
    <w:uiPriority w:val="99"/>
    <w:rsid w:val="00836B4D"/>
    <w:rPr>
      <w:rFonts w:ascii="Arial" w:hAnsi="Arial"/>
    </w:rPr>
  </w:style>
  <w:style w:type="paragraph" w:customStyle="1" w:styleId="Revision1">
    <w:name w:val="Revision1"/>
    <w:next w:val="Revision"/>
    <w:hidden/>
    <w:uiPriority w:val="99"/>
    <w:semiHidden/>
    <w:rsid w:val="00836B4D"/>
    <w:rPr>
      <w:rFonts w:ascii="Aptos" w:eastAsia="Aptos" w:hAnsi="Aptos"/>
      <w:sz w:val="22"/>
      <w:szCs w:val="22"/>
    </w:rPr>
  </w:style>
  <w:style w:type="character" w:styleId="UnresolvedMention">
    <w:name w:val="Unresolved Mention"/>
    <w:basedOn w:val="DefaultParagraphFont"/>
    <w:uiPriority w:val="99"/>
    <w:semiHidden/>
    <w:unhideWhenUsed/>
    <w:rsid w:val="00836B4D"/>
    <w:rPr>
      <w:color w:val="605E5C"/>
      <w:shd w:val="clear" w:color="auto" w:fill="E1DFDD"/>
    </w:rPr>
  </w:style>
  <w:style w:type="character" w:styleId="CommentReference">
    <w:name w:val="annotation reference"/>
    <w:basedOn w:val="DefaultParagraphFont"/>
    <w:uiPriority w:val="99"/>
    <w:semiHidden/>
    <w:unhideWhenUsed/>
    <w:rsid w:val="00836B4D"/>
    <w:rPr>
      <w:sz w:val="16"/>
      <w:szCs w:val="16"/>
    </w:rPr>
  </w:style>
  <w:style w:type="paragraph" w:customStyle="1" w:styleId="CommentText1">
    <w:name w:val="Comment Text1"/>
    <w:basedOn w:val="Normal"/>
    <w:next w:val="CommentText"/>
    <w:link w:val="CommentTextChar"/>
    <w:uiPriority w:val="99"/>
    <w:semiHidden/>
    <w:unhideWhenUsed/>
    <w:rsid w:val="00836B4D"/>
    <w:pPr>
      <w:spacing w:after="160"/>
    </w:pPr>
    <w:rPr>
      <w:rFonts w:ascii="Times New Roman" w:hAnsi="Times New Roman"/>
      <w:sz w:val="20"/>
      <w:szCs w:val="20"/>
    </w:rPr>
  </w:style>
  <w:style w:type="character" w:customStyle="1" w:styleId="CommentTextChar">
    <w:name w:val="Comment Text Char"/>
    <w:basedOn w:val="DefaultParagraphFont"/>
    <w:link w:val="CommentText1"/>
    <w:uiPriority w:val="99"/>
    <w:rsid w:val="00836B4D"/>
    <w:rPr>
      <w:kern w:val="0"/>
      <w:sz w:val="20"/>
      <w:szCs w:val="20"/>
      <w14:ligatures w14:val="none"/>
    </w:rPr>
  </w:style>
  <w:style w:type="paragraph" w:customStyle="1" w:styleId="CommentSubject1">
    <w:name w:val="Comment Subject1"/>
    <w:basedOn w:val="CommentText"/>
    <w:next w:val="CommentText"/>
    <w:uiPriority w:val="99"/>
    <w:semiHidden/>
    <w:unhideWhenUsed/>
    <w:rsid w:val="00836B4D"/>
    <w:pPr>
      <w:spacing w:after="160"/>
    </w:pPr>
    <w:rPr>
      <w:rFonts w:ascii="Aptos" w:eastAsia="Aptos" w:hAnsi="Aptos"/>
      <w:b/>
      <w:bCs/>
    </w:rPr>
  </w:style>
  <w:style w:type="character" w:customStyle="1" w:styleId="CommentSubjectChar">
    <w:name w:val="Comment Subject Char"/>
    <w:basedOn w:val="CommentTextChar"/>
    <w:link w:val="CommentSubject"/>
    <w:uiPriority w:val="99"/>
    <w:semiHidden/>
    <w:rsid w:val="00836B4D"/>
    <w:rPr>
      <w:b/>
      <w:bCs/>
      <w:kern w:val="0"/>
      <w:sz w:val="20"/>
      <w:szCs w:val="20"/>
      <w14:ligatures w14:val="none"/>
    </w:rPr>
  </w:style>
  <w:style w:type="character" w:styleId="EndnoteReference">
    <w:name w:val="endnote reference"/>
    <w:basedOn w:val="DefaultParagraphFont"/>
    <w:uiPriority w:val="99"/>
    <w:semiHidden/>
    <w:unhideWhenUsed/>
    <w:rsid w:val="00836B4D"/>
    <w:rPr>
      <w:vertAlign w:val="superscript"/>
    </w:rPr>
  </w:style>
  <w:style w:type="paragraph" w:styleId="FootnoteText">
    <w:name w:val="footnote text"/>
    <w:basedOn w:val="Normal"/>
    <w:link w:val="FootnoteTextChar1"/>
    <w:uiPriority w:val="99"/>
    <w:semiHidden/>
    <w:unhideWhenUsed/>
    <w:rsid w:val="00836B4D"/>
    <w:rPr>
      <w:sz w:val="20"/>
      <w:szCs w:val="20"/>
    </w:rPr>
  </w:style>
  <w:style w:type="character" w:customStyle="1" w:styleId="FootnoteTextChar1">
    <w:name w:val="Footnote Text Char1"/>
    <w:basedOn w:val="DefaultParagraphFont"/>
    <w:link w:val="FootnoteText"/>
    <w:semiHidden/>
    <w:rsid w:val="00836B4D"/>
    <w:rPr>
      <w:rFonts w:ascii="Arial" w:hAnsi="Arial"/>
      <w:sz w:val="20"/>
      <w:szCs w:val="20"/>
    </w:rPr>
  </w:style>
  <w:style w:type="paragraph" w:styleId="BalloonText">
    <w:name w:val="Balloon Text"/>
    <w:basedOn w:val="Normal"/>
    <w:link w:val="BalloonTextChar1"/>
    <w:semiHidden/>
    <w:unhideWhenUsed/>
    <w:rsid w:val="00836B4D"/>
    <w:rPr>
      <w:rFonts w:ascii="Segoe UI" w:hAnsi="Segoe UI" w:cs="Segoe UI"/>
      <w:sz w:val="18"/>
      <w:szCs w:val="18"/>
    </w:rPr>
  </w:style>
  <w:style w:type="character" w:customStyle="1" w:styleId="BalloonTextChar1">
    <w:name w:val="Balloon Text Char1"/>
    <w:basedOn w:val="DefaultParagraphFont"/>
    <w:link w:val="BalloonText"/>
    <w:semiHidden/>
    <w:rsid w:val="00836B4D"/>
    <w:rPr>
      <w:rFonts w:ascii="Segoe UI" w:hAnsi="Segoe UI" w:cs="Segoe UI"/>
      <w:sz w:val="18"/>
      <w:szCs w:val="18"/>
    </w:rPr>
  </w:style>
  <w:style w:type="paragraph" w:styleId="Revision">
    <w:name w:val="Revision"/>
    <w:hidden/>
    <w:uiPriority w:val="99"/>
    <w:semiHidden/>
    <w:rsid w:val="00836B4D"/>
    <w:rPr>
      <w:rFonts w:ascii="Arial" w:hAnsi="Arial"/>
    </w:rPr>
  </w:style>
  <w:style w:type="paragraph" w:styleId="CommentText">
    <w:name w:val="annotation text"/>
    <w:basedOn w:val="Normal"/>
    <w:link w:val="CommentTextChar1"/>
    <w:uiPriority w:val="99"/>
    <w:unhideWhenUsed/>
    <w:rsid w:val="00836B4D"/>
    <w:rPr>
      <w:sz w:val="20"/>
      <w:szCs w:val="20"/>
    </w:rPr>
  </w:style>
  <w:style w:type="character" w:customStyle="1" w:styleId="CommentTextChar1">
    <w:name w:val="Comment Text Char1"/>
    <w:basedOn w:val="DefaultParagraphFont"/>
    <w:link w:val="CommentText"/>
    <w:semiHidden/>
    <w:rsid w:val="00836B4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36B4D"/>
    <w:rPr>
      <w:rFonts w:ascii="Times New Roman" w:hAnsi="Times New Roman"/>
      <w:b/>
      <w:bCs/>
    </w:rPr>
  </w:style>
  <w:style w:type="character" w:customStyle="1" w:styleId="CommentSubjectChar1">
    <w:name w:val="Comment Subject Char1"/>
    <w:basedOn w:val="CommentTextChar1"/>
    <w:semiHidden/>
    <w:rsid w:val="00836B4D"/>
    <w:rPr>
      <w:rFonts w:ascii="Arial" w:hAnsi="Arial"/>
      <w:b/>
      <w:bCs/>
      <w:sz w:val="20"/>
      <w:szCs w:val="20"/>
    </w:rPr>
  </w:style>
  <w:style w:type="numbering" w:customStyle="1" w:styleId="NoList2">
    <w:name w:val="No List2"/>
    <w:next w:val="NoList"/>
    <w:uiPriority w:val="99"/>
    <w:semiHidden/>
    <w:unhideWhenUsed/>
    <w:rsid w:val="00487AD3"/>
  </w:style>
  <w:style w:type="character" w:customStyle="1" w:styleId="anchor-text">
    <w:name w:val="anchor-text"/>
    <w:basedOn w:val="DefaultParagraphFont"/>
    <w:rsid w:val="00487AD3"/>
  </w:style>
  <w:style w:type="paragraph" w:customStyle="1" w:styleId="dx-doi">
    <w:name w:val="dx-doi"/>
    <w:basedOn w:val="Normal"/>
    <w:rsid w:val="00487AD3"/>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15/1.4024030" TargetMode="External"/><Relationship Id="rId21" Type="http://schemas.openxmlformats.org/officeDocument/2006/relationships/image" Target="media/image8.emf"/><Relationship Id="rId42" Type="http://schemas.openxmlformats.org/officeDocument/2006/relationships/image" Target="media/image29.emf"/><Relationship Id="rId63" Type="http://schemas.openxmlformats.org/officeDocument/2006/relationships/image" Target="media/image49.emf"/><Relationship Id="rId84" Type="http://schemas.openxmlformats.org/officeDocument/2006/relationships/hyperlink" Target="https://doi.org/10.1016/j.solener.2019.01.086" TargetMode="External"/><Relationship Id="rId138" Type="http://schemas.openxmlformats.org/officeDocument/2006/relationships/hyperlink" Target="https://doi.org/10.1016/j.ijheatmasstransfer.2022.123512" TargetMode="External"/><Relationship Id="rId107" Type="http://schemas.openxmlformats.org/officeDocument/2006/relationships/image" Target="media/image57.png"/><Relationship Id="rId11" Type="http://schemas.openxmlformats.org/officeDocument/2006/relationships/footer" Target="footer2.xml"/><Relationship Id="rId32" Type="http://schemas.openxmlformats.org/officeDocument/2006/relationships/image" Target="media/image19.png"/><Relationship Id="rId53" Type="http://schemas.openxmlformats.org/officeDocument/2006/relationships/image" Target="media/image40.emf"/><Relationship Id="rId74" Type="http://schemas.openxmlformats.org/officeDocument/2006/relationships/hyperlink" Target="https://doi.org/10.1016/j.ijrefrig.2005.11.005" TargetMode="External"/><Relationship Id="rId128" Type="http://schemas.openxmlformats.org/officeDocument/2006/relationships/hyperlink" Target="https://doi.org/10.1115/1.4035258" TargetMode="External"/><Relationship Id="rId5" Type="http://schemas.openxmlformats.org/officeDocument/2006/relationships/webSettings" Target="webSettings.xml"/><Relationship Id="rId90" Type="http://schemas.openxmlformats.org/officeDocument/2006/relationships/hyperlink" Target="https://doi.org/10.1016/j.powtec.2011.09.025" TargetMode="External"/><Relationship Id="rId95" Type="http://schemas.openxmlformats.org/officeDocument/2006/relationships/hyperlink" Target="https://doi.org/10.1098/rspa.1977.0100" TargetMode="External"/><Relationship Id="rId22" Type="http://schemas.openxmlformats.org/officeDocument/2006/relationships/image" Target="media/image9.emf"/><Relationship Id="rId27" Type="http://schemas.openxmlformats.org/officeDocument/2006/relationships/image" Target="media/image14.emf"/><Relationship Id="rId43" Type="http://schemas.openxmlformats.org/officeDocument/2006/relationships/image" Target="media/image30.emf"/><Relationship Id="rId48" Type="http://schemas.openxmlformats.org/officeDocument/2006/relationships/image" Target="media/image35.emf"/><Relationship Id="rId64" Type="http://schemas.openxmlformats.org/officeDocument/2006/relationships/image" Target="media/image50.emf"/><Relationship Id="rId69" Type="http://schemas.openxmlformats.org/officeDocument/2006/relationships/hyperlink" Target="https://doi.org/10.3390/e22080883" TargetMode="External"/><Relationship Id="rId113" Type="http://schemas.openxmlformats.org/officeDocument/2006/relationships/image" Target="media/image63.png"/><Relationship Id="rId118" Type="http://schemas.openxmlformats.org/officeDocument/2006/relationships/hyperlink" Target="https://doi.org/10.2172/1338899" TargetMode="External"/><Relationship Id="rId134" Type="http://schemas.openxmlformats.org/officeDocument/2006/relationships/hyperlink" Target="https://doi.org/10.1016/j.icheatmasstransfer.2021.105522" TargetMode="External"/><Relationship Id="rId139" Type="http://schemas.openxmlformats.org/officeDocument/2006/relationships/hyperlink" Target="https://doi.org/10.1016/j.solmat.2021.111271" TargetMode="External"/><Relationship Id="rId80" Type="http://schemas.openxmlformats.org/officeDocument/2006/relationships/hyperlink" Target="https://doi.org/10.1016/j.powtec.2021.08.080" TargetMode="External"/><Relationship Id="rId85" Type="http://schemas.openxmlformats.org/officeDocument/2006/relationships/hyperlink" Target="https://doi.org/10.1016/j.solener.2020.10.085" TargetMode="External"/><Relationship Id="rId12" Type="http://schemas.openxmlformats.org/officeDocument/2006/relationships/header" Target="header3.xml"/><Relationship Id="rId17" Type="http://schemas.openxmlformats.org/officeDocument/2006/relationships/image" Target="media/image4.emf"/><Relationship Id="rId33" Type="http://schemas.openxmlformats.org/officeDocument/2006/relationships/image" Target="media/image20.emf"/><Relationship Id="rId38" Type="http://schemas.openxmlformats.org/officeDocument/2006/relationships/image" Target="media/image25.emf"/><Relationship Id="rId59" Type="http://schemas.openxmlformats.org/officeDocument/2006/relationships/image" Target="media/image45.emf"/><Relationship Id="rId103" Type="http://schemas.openxmlformats.org/officeDocument/2006/relationships/hyperlink" Target="https://doi.org/10.1007/s40571-015-0056-5" TargetMode="External"/><Relationship Id="rId108" Type="http://schemas.openxmlformats.org/officeDocument/2006/relationships/image" Target="media/image58.png"/><Relationship Id="rId124" Type="http://schemas.openxmlformats.org/officeDocument/2006/relationships/hyperlink" Target="https://doi.org/10.1115/1.4030069" TargetMode="External"/><Relationship Id="rId129" Type="http://schemas.openxmlformats.org/officeDocument/2006/relationships/hyperlink" Target="https://doi.org/10.1016/j.applthermaleng.2022.118092" TargetMode="External"/><Relationship Id="rId54" Type="http://schemas.openxmlformats.org/officeDocument/2006/relationships/hyperlink" Target="https://doi.org/10.1115/1.4006943" TargetMode="External"/><Relationship Id="rId70" Type="http://schemas.openxmlformats.org/officeDocument/2006/relationships/hyperlink" Target="https://doi.org/10.2172/1338899" TargetMode="External"/><Relationship Id="rId75" Type="http://schemas.openxmlformats.org/officeDocument/2006/relationships/hyperlink" Target="https://doi.org/10.1016/j.corsci.2020.109070" TargetMode="External"/><Relationship Id="rId91" Type="http://schemas.openxmlformats.org/officeDocument/2006/relationships/hyperlink" Target="https://doi.org/10.1016/j.powtec.2017.06.020" TargetMode="External"/><Relationship Id="rId96" Type="http://schemas.openxmlformats.org/officeDocument/2006/relationships/hyperlink" Target="https://doi.org/10.1016/j.ces.2018.12.031" TargetMode="External"/><Relationship Id="rId140" Type="http://schemas.openxmlformats.org/officeDocument/2006/relationships/hyperlink" Target="https://doi.org/10.1007/s10765-020-02733-5"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emf"/><Relationship Id="rId49" Type="http://schemas.openxmlformats.org/officeDocument/2006/relationships/image" Target="media/image36.emf"/><Relationship Id="rId114" Type="http://schemas.openxmlformats.org/officeDocument/2006/relationships/image" Target="media/image64.png"/><Relationship Id="rId119" Type="http://schemas.openxmlformats.org/officeDocument/2006/relationships/hyperlink" Target="https://doi.org/10.1016/B978-0-12-813975-2.00007-7" TargetMode="External"/><Relationship Id="rId44" Type="http://schemas.openxmlformats.org/officeDocument/2006/relationships/image" Target="media/image31.png"/><Relationship Id="rId60" Type="http://schemas.openxmlformats.org/officeDocument/2006/relationships/image" Target="media/image46.emf"/><Relationship Id="rId65" Type="http://schemas.openxmlformats.org/officeDocument/2006/relationships/image" Target="media/image51.emf"/><Relationship Id="rId81" Type="http://schemas.openxmlformats.org/officeDocument/2006/relationships/hyperlink" Target="https://doi.org/10.1016/j.powtec.2022.117526" TargetMode="External"/><Relationship Id="rId86" Type="http://schemas.openxmlformats.org/officeDocument/2006/relationships/hyperlink" Target="https://doi.org/10.1016/j.apt.2016.01.016" TargetMode="External"/><Relationship Id="rId130" Type="http://schemas.openxmlformats.org/officeDocument/2006/relationships/hyperlink" Target="https://doi.org/10.1016/j.powtec.2021.08.080" TargetMode="External"/><Relationship Id="rId135" Type="http://schemas.openxmlformats.org/officeDocument/2006/relationships/hyperlink" Target="https://doi.org/10.1016/j.icheatmasstransfer.2020.105090" TargetMode="External"/><Relationship Id="rId13" Type="http://schemas.openxmlformats.org/officeDocument/2006/relationships/footer" Target="footer3.xml"/><Relationship Id="rId18" Type="http://schemas.openxmlformats.org/officeDocument/2006/relationships/image" Target="media/image5.emf"/><Relationship Id="rId39" Type="http://schemas.openxmlformats.org/officeDocument/2006/relationships/image" Target="media/image26.emf"/><Relationship Id="rId109" Type="http://schemas.openxmlformats.org/officeDocument/2006/relationships/image" Target="media/image59.png"/><Relationship Id="rId34" Type="http://schemas.openxmlformats.org/officeDocument/2006/relationships/image" Target="media/image21.emf"/><Relationship Id="rId50" Type="http://schemas.openxmlformats.org/officeDocument/2006/relationships/image" Target="media/image37.emf"/><Relationship Id="rId55" Type="http://schemas.openxmlformats.org/officeDocument/2006/relationships/image" Target="media/image41.png"/><Relationship Id="rId76" Type="http://schemas.openxmlformats.org/officeDocument/2006/relationships/hyperlink" Target="https://doi.org/10.1016/j.powtec.2020.04.001" TargetMode="External"/><Relationship Id="rId97" Type="http://schemas.openxmlformats.org/officeDocument/2006/relationships/hyperlink" Target="https://doi.org/10.1016/0009-2509(77)87001-2" TargetMode="External"/><Relationship Id="rId104" Type="http://schemas.openxmlformats.org/officeDocument/2006/relationships/hyperlink" Target="https://doi.org/10.1080/02726350215338" TargetMode="External"/><Relationship Id="rId120" Type="http://schemas.openxmlformats.org/officeDocument/2006/relationships/hyperlink" Target="https://doi.org/10.1016/j.apenergy.2021.117313" TargetMode="External"/><Relationship Id="rId125" Type="http://schemas.openxmlformats.org/officeDocument/2006/relationships/hyperlink" Target="https://doi.org/10.1115/1.4030657" TargetMode="External"/><Relationship Id="rId141" Type="http://schemas.openxmlformats.org/officeDocument/2006/relationships/hyperlink" Target="https://doi.org/10.1016/0894-1777(88)90043-X" TargetMode="External"/><Relationship Id="rId7" Type="http://schemas.openxmlformats.org/officeDocument/2006/relationships/endnotes" Target="endnotes.xml"/><Relationship Id="rId71" Type="http://schemas.openxmlformats.org/officeDocument/2006/relationships/hyperlink" Target="https://doi.org/10.1016/j.icheatmasstransfer.2018.05.020" TargetMode="External"/><Relationship Id="rId92" Type="http://schemas.openxmlformats.org/officeDocument/2006/relationships/hyperlink" Target="https://doi.org/10.1016/j.energy.2020.118203" TargetMode="Externa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emf"/><Relationship Id="rId45" Type="http://schemas.openxmlformats.org/officeDocument/2006/relationships/image" Target="media/image32.emf"/><Relationship Id="rId66" Type="http://schemas.openxmlformats.org/officeDocument/2006/relationships/image" Target="media/image52.emf"/><Relationship Id="rId87" Type="http://schemas.openxmlformats.org/officeDocument/2006/relationships/hyperlink" Target="https://doi.org/10.1016/j.ces.2012.06.015" TargetMode="External"/><Relationship Id="rId110" Type="http://schemas.openxmlformats.org/officeDocument/2006/relationships/image" Target="media/image60.png"/><Relationship Id="rId115" Type="http://schemas.openxmlformats.org/officeDocument/2006/relationships/image" Target="media/image65.png"/><Relationship Id="rId131" Type="http://schemas.openxmlformats.org/officeDocument/2006/relationships/hyperlink" Target="https://doi.org/10.1016/j.solener.2022.01.052" TargetMode="External"/><Relationship Id="rId136" Type="http://schemas.openxmlformats.org/officeDocument/2006/relationships/hyperlink" Target="https://doi.org/10.1016/j.applthermaleng.2022.118461" TargetMode="External"/><Relationship Id="rId61" Type="http://schemas.openxmlformats.org/officeDocument/2006/relationships/image" Target="media/image47.emf"/><Relationship Id="rId82" Type="http://schemas.openxmlformats.org/officeDocument/2006/relationships/hyperlink" Target="https://doi.org/10.1016/j.ijheatmasstransfer.2021.121296" TargetMode="External"/><Relationship Id="rId19" Type="http://schemas.openxmlformats.org/officeDocument/2006/relationships/image" Target="media/image6.emf"/><Relationship Id="rId14" Type="http://schemas.openxmlformats.org/officeDocument/2006/relationships/image" Target="media/image1.emf"/><Relationship Id="rId30" Type="http://schemas.openxmlformats.org/officeDocument/2006/relationships/image" Target="media/image17.emf"/><Relationship Id="rId35" Type="http://schemas.openxmlformats.org/officeDocument/2006/relationships/image" Target="media/image22.emf"/><Relationship Id="rId56" Type="http://schemas.openxmlformats.org/officeDocument/2006/relationships/image" Target="media/image42.emf"/><Relationship Id="rId77" Type="http://schemas.openxmlformats.org/officeDocument/2006/relationships/hyperlink" Target="https://doi.org/10.1115/1.4041546" TargetMode="External"/><Relationship Id="rId100" Type="http://schemas.openxmlformats.org/officeDocument/2006/relationships/hyperlink" Target="https://doi.org/10.1002/nme.6056" TargetMode="External"/><Relationship Id="rId105" Type="http://schemas.openxmlformats.org/officeDocument/2006/relationships/image" Target="media/image55.emf"/><Relationship Id="rId126" Type="http://schemas.openxmlformats.org/officeDocument/2006/relationships/hyperlink" Target="https://doi.org/10.1115/1.4001146" TargetMode="External"/><Relationship Id="rId8" Type="http://schemas.openxmlformats.org/officeDocument/2006/relationships/header" Target="header1.xml"/><Relationship Id="rId51" Type="http://schemas.openxmlformats.org/officeDocument/2006/relationships/image" Target="media/image38.emf"/><Relationship Id="rId72" Type="http://schemas.openxmlformats.org/officeDocument/2006/relationships/hyperlink" Target="https://doi.org/10.1016/j.applthermaleng.2016.08.023" TargetMode="External"/><Relationship Id="rId93" Type="http://schemas.openxmlformats.org/officeDocument/2006/relationships/hyperlink" Target="https://doi.org/10.3390/en14082187" TargetMode="External"/><Relationship Id="rId98" Type="http://schemas.openxmlformats.org/officeDocument/2006/relationships/hyperlink" Target="https://doi.org/10.1115/HT2022-81856" TargetMode="External"/><Relationship Id="rId121" Type="http://schemas.openxmlformats.org/officeDocument/2006/relationships/hyperlink" Target="https://doi.org/10.1016/j.applthermaleng.2016.04.103" TargetMode="External"/><Relationship Id="rId142" Type="http://schemas.openxmlformats.org/officeDocument/2006/relationships/hyperlink" Target="https://doi.org/10.1115/HT2022-81856" TargetMode="External"/><Relationship Id="rId3" Type="http://schemas.openxmlformats.org/officeDocument/2006/relationships/styles" Target="styles.xml"/><Relationship Id="rId25" Type="http://schemas.openxmlformats.org/officeDocument/2006/relationships/image" Target="media/image12.emf"/><Relationship Id="rId46" Type="http://schemas.openxmlformats.org/officeDocument/2006/relationships/image" Target="media/image33.emf"/><Relationship Id="rId67" Type="http://schemas.openxmlformats.org/officeDocument/2006/relationships/image" Target="media/image53.emf"/><Relationship Id="rId116" Type="http://schemas.openxmlformats.org/officeDocument/2006/relationships/image" Target="media/image66.png"/><Relationship Id="rId137" Type="http://schemas.openxmlformats.org/officeDocument/2006/relationships/hyperlink" Target="https://doi.org/10.1016/j.ijheatmasstransfer.2022.122692" TargetMode="External"/><Relationship Id="rId20" Type="http://schemas.openxmlformats.org/officeDocument/2006/relationships/image" Target="media/image7.emf"/><Relationship Id="rId41" Type="http://schemas.openxmlformats.org/officeDocument/2006/relationships/image" Target="media/image28.emf"/><Relationship Id="rId62" Type="http://schemas.openxmlformats.org/officeDocument/2006/relationships/image" Target="media/image48.emf"/><Relationship Id="rId83" Type="http://schemas.openxmlformats.org/officeDocument/2006/relationships/hyperlink" Target="https://doi.org/10.1680/geot.1979.29.1.47" TargetMode="External"/><Relationship Id="rId88" Type="http://schemas.openxmlformats.org/officeDocument/2006/relationships/hyperlink" Target="https://doi.org/10.1016/j.powtec.2017.01.044" TargetMode="External"/><Relationship Id="rId111" Type="http://schemas.openxmlformats.org/officeDocument/2006/relationships/image" Target="media/image61.png"/><Relationship Id="rId132" Type="http://schemas.openxmlformats.org/officeDocument/2006/relationships/hyperlink" Target="https://doi.org/10.1115/1.4042225" TargetMode="External"/><Relationship Id="rId15" Type="http://schemas.openxmlformats.org/officeDocument/2006/relationships/image" Target="media/image2.emf"/><Relationship Id="rId36" Type="http://schemas.openxmlformats.org/officeDocument/2006/relationships/image" Target="media/image23.emf"/><Relationship Id="rId57" Type="http://schemas.openxmlformats.org/officeDocument/2006/relationships/image" Target="media/image43.emf"/><Relationship Id="rId106" Type="http://schemas.openxmlformats.org/officeDocument/2006/relationships/image" Target="media/image56.png"/><Relationship Id="rId127" Type="http://schemas.openxmlformats.org/officeDocument/2006/relationships/hyperlink" Target="https://doi.org/10.1115/1.4035163" TargetMode="External"/><Relationship Id="rId10" Type="http://schemas.openxmlformats.org/officeDocument/2006/relationships/footer" Target="footer1.xml"/><Relationship Id="rId31" Type="http://schemas.openxmlformats.org/officeDocument/2006/relationships/image" Target="media/image18.png"/><Relationship Id="rId52" Type="http://schemas.openxmlformats.org/officeDocument/2006/relationships/image" Target="media/image39.emf"/><Relationship Id="rId73" Type="http://schemas.openxmlformats.org/officeDocument/2006/relationships/hyperlink" Target="https://doi.org/10.1016/j.applthermaleng.2017.06.005" TargetMode="External"/><Relationship Id="rId78" Type="http://schemas.openxmlformats.org/officeDocument/2006/relationships/hyperlink" Target="https://doi.org/10.1016/j.solener.2018.11.065" TargetMode="External"/><Relationship Id="rId94" Type="http://schemas.openxmlformats.org/officeDocument/2006/relationships/hyperlink" Target="https://doi.org/10.1016/j.pecs.2020.100847" TargetMode="External"/><Relationship Id="rId99" Type="http://schemas.openxmlformats.org/officeDocument/2006/relationships/hyperlink" Target="https://doi.org/10.1016/j.powtec.2016.08.018" TargetMode="External"/><Relationship Id="rId101" Type="http://schemas.openxmlformats.org/officeDocument/2006/relationships/hyperlink" Target="https://doi.org/10.1016/j.powtec.2015.03.040" TargetMode="External"/><Relationship Id="rId122" Type="http://schemas.openxmlformats.org/officeDocument/2006/relationships/hyperlink" Target="https://doi.org/10.1115/1.4030970" TargetMode="External"/><Relationship Id="rId143" Type="http://schemas.openxmlformats.org/officeDocument/2006/relationships/hyperlink" Target="https://doi.org/10.1115/1.4053204" TargetMode="Externa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13.png"/><Relationship Id="rId47" Type="http://schemas.openxmlformats.org/officeDocument/2006/relationships/image" Target="media/image34.emf"/><Relationship Id="rId68" Type="http://schemas.openxmlformats.org/officeDocument/2006/relationships/image" Target="media/image54.emf"/><Relationship Id="rId89" Type="http://schemas.openxmlformats.org/officeDocument/2006/relationships/hyperlink" Target="https://doi.org/10.1016/j.partic.2014.04.005" TargetMode="External"/><Relationship Id="rId112" Type="http://schemas.openxmlformats.org/officeDocument/2006/relationships/image" Target="media/image62.png"/><Relationship Id="rId133" Type="http://schemas.openxmlformats.org/officeDocument/2006/relationships/hyperlink" Target="https://doi.org/10.1016/j.ijheatmasstransfer.2020.119784" TargetMode="External"/><Relationship Id="rId16" Type="http://schemas.openxmlformats.org/officeDocument/2006/relationships/image" Target="media/image3.png"/><Relationship Id="rId37" Type="http://schemas.openxmlformats.org/officeDocument/2006/relationships/image" Target="media/image24.emf"/><Relationship Id="rId58" Type="http://schemas.openxmlformats.org/officeDocument/2006/relationships/image" Target="media/image44.emf"/><Relationship Id="rId79" Type="http://schemas.openxmlformats.org/officeDocument/2006/relationships/hyperlink" Target="https://doi.org/10.1016/j.egypro.2015.03.085" TargetMode="External"/><Relationship Id="rId102" Type="http://schemas.openxmlformats.org/officeDocument/2006/relationships/hyperlink" Target="https://doi.org/10.1103/PhysRevE.64.021301" TargetMode="External"/><Relationship Id="rId123" Type="http://schemas.openxmlformats.org/officeDocument/2006/relationships/hyperlink" Target="https://doi.org/10.1115/1.4029861" TargetMode="External"/><Relationship Id="rId14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1117</TotalTime>
  <Pages>181</Pages>
  <Words>49861</Words>
  <Characters>284212</Characters>
  <Application>Microsoft Office Word</Application>
  <DocSecurity>0</DocSecurity>
  <Lines>2368</Lines>
  <Paragraphs>666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333407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yousse aider</cp:lastModifiedBy>
  <cp:revision>88</cp:revision>
  <cp:lastPrinted>2005-09-22T13:02:00Z</cp:lastPrinted>
  <dcterms:created xsi:type="dcterms:W3CDTF">2024-09-20T12:47:00Z</dcterms:created>
  <dcterms:modified xsi:type="dcterms:W3CDTF">2024-09-21T00:57:00Z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id="SYtbz2n1"/&gt;&lt;style id="http://www.zotero.org/styles/american-society-of-mechanical-engineers" hasBibliography="1" bibliographyStyleHasBeenSet="0"/&gt;&lt;prefs&gt;&lt;pref name="fieldType" value="Field"/&gt;&lt;/pr</vt:lpwstr>
  </property>
  <property fmtid="{D5CDD505-2E9C-101B-9397-08002B2CF9AE}" pid="3" name="ZOTERO_PREF_2">
    <vt:lpwstr>efs&gt;&lt;/data&gt;</vt:lpwstr>
  </property>
</Properties>
</file>